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29C7" w:rsidRPr="00610A9D" w:rsidP="001629C7" w14:paraId="2866C55C" w14:textId="533DB7FC">
      <w:pPr>
        <w:spacing w:after="60" w:line="360" w:lineRule="exact"/>
        <w:jc w:val="center"/>
        <w:rPr>
          <w:rFonts w:ascii="Lucida Sans" w:hAnsi="Lucida Sans"/>
          <w:b/>
          <w:sz w:val="22"/>
          <w:szCs w:val="22"/>
        </w:rPr>
      </w:pPr>
      <w:r w:rsidRPr="00610A9D">
        <w:rPr>
          <w:rFonts w:ascii="Lucida Sans" w:hAnsi="Lucida Sans"/>
          <w:b/>
          <w:sz w:val="22"/>
          <w:szCs w:val="22"/>
        </w:rPr>
        <w:t xml:space="preserve">Supporting </w:t>
      </w:r>
      <w:r>
        <w:rPr>
          <w:rFonts w:ascii="Lucida Sans" w:hAnsi="Lucida Sans"/>
          <w:b/>
          <w:sz w:val="22"/>
          <w:szCs w:val="22"/>
        </w:rPr>
        <w:t>Statement</w:t>
      </w:r>
      <w:r w:rsidRPr="00610A9D">
        <w:rPr>
          <w:rFonts w:ascii="Lucida Sans" w:hAnsi="Lucida Sans"/>
          <w:b/>
          <w:sz w:val="22"/>
          <w:szCs w:val="22"/>
        </w:rPr>
        <w:t xml:space="preserve"> for OMB Clearance for the </w:t>
      </w:r>
      <w:r>
        <w:rPr>
          <w:rFonts w:ascii="Lucida Sans" w:hAnsi="Lucida Sans"/>
          <w:b/>
          <w:sz w:val="22"/>
          <w:szCs w:val="22"/>
        </w:rPr>
        <w:t>School Meals Operations Study</w:t>
      </w:r>
      <w:r w:rsidR="001F3C20">
        <w:rPr>
          <w:rFonts w:ascii="Lucida Sans" w:hAnsi="Lucida Sans"/>
          <w:b/>
          <w:sz w:val="22"/>
          <w:szCs w:val="22"/>
        </w:rPr>
        <w:t>: Evaluation</w:t>
      </w:r>
      <w:r w:rsidRPr="00011981" w:rsidR="00011981">
        <w:t xml:space="preserve"> </w:t>
      </w:r>
      <w:r w:rsidRPr="00011981" w:rsidR="00011981">
        <w:rPr>
          <w:rFonts w:ascii="Lucida Sans" w:hAnsi="Lucida Sans"/>
          <w:b/>
          <w:sz w:val="22"/>
          <w:szCs w:val="22"/>
        </w:rPr>
        <w:t xml:space="preserve">of the </w:t>
      </w:r>
      <w:r w:rsidR="00FF54AA">
        <w:rPr>
          <w:rFonts w:ascii="Lucida Sans" w:hAnsi="Lucida Sans"/>
          <w:b/>
          <w:sz w:val="22"/>
          <w:szCs w:val="22"/>
        </w:rPr>
        <w:t>School-based</w:t>
      </w:r>
      <w:r w:rsidRPr="00A95A72" w:rsidR="00A95A72">
        <w:rPr>
          <w:rFonts w:ascii="Lucida Sans" w:hAnsi="Lucida Sans"/>
          <w:b/>
          <w:sz w:val="22"/>
          <w:szCs w:val="22"/>
        </w:rPr>
        <w:t xml:space="preserve"> </w:t>
      </w:r>
      <w:r w:rsidRPr="00011981" w:rsidR="00011981">
        <w:rPr>
          <w:rFonts w:ascii="Lucida Sans" w:hAnsi="Lucida Sans"/>
          <w:b/>
          <w:sz w:val="22"/>
          <w:szCs w:val="22"/>
        </w:rPr>
        <w:t>Child Nutrition Programs</w:t>
      </w:r>
    </w:p>
    <w:p w:rsidR="001629C7" w:rsidP="001629C7" w14:paraId="09AE2222" w14:textId="77777777">
      <w:pPr>
        <w:spacing w:after="60" w:line="360" w:lineRule="exact"/>
        <w:jc w:val="center"/>
        <w:rPr>
          <w:rFonts w:ascii="Lucida Sans" w:hAnsi="Lucida Sans"/>
          <w:b/>
          <w:sz w:val="22"/>
          <w:szCs w:val="22"/>
        </w:rPr>
      </w:pPr>
    </w:p>
    <w:p w:rsidR="001629C7" w:rsidP="001629C7" w14:paraId="78601F4E" w14:textId="7940F757">
      <w:pPr>
        <w:spacing w:after="60" w:line="360" w:lineRule="exact"/>
        <w:jc w:val="center"/>
        <w:rPr>
          <w:rFonts w:ascii="Lucida Sans" w:hAnsi="Lucida Sans"/>
          <w:b/>
          <w:sz w:val="22"/>
          <w:szCs w:val="22"/>
        </w:rPr>
      </w:pPr>
      <w:r w:rsidRPr="00610A9D">
        <w:rPr>
          <w:rFonts w:ascii="Lucida Sans" w:hAnsi="Lucida Sans"/>
          <w:b/>
          <w:sz w:val="22"/>
          <w:szCs w:val="22"/>
        </w:rPr>
        <w:t xml:space="preserve">Part </w:t>
      </w:r>
      <w:r>
        <w:rPr>
          <w:rFonts w:ascii="Lucida Sans" w:hAnsi="Lucida Sans"/>
          <w:b/>
          <w:sz w:val="22"/>
          <w:szCs w:val="22"/>
        </w:rPr>
        <w:t>B</w:t>
      </w:r>
    </w:p>
    <w:p w:rsidR="001629C7" w:rsidP="001629C7" w14:paraId="1A9DF2F1" w14:textId="77777777">
      <w:pPr>
        <w:spacing w:after="60" w:line="360" w:lineRule="exact"/>
        <w:jc w:val="center"/>
        <w:rPr>
          <w:rFonts w:ascii="Lucida Sans" w:hAnsi="Lucida Sans"/>
          <w:b/>
          <w:sz w:val="22"/>
          <w:szCs w:val="22"/>
        </w:rPr>
      </w:pPr>
    </w:p>
    <w:p w:rsidR="001629C7" w:rsidRPr="00610A9D" w:rsidP="001629C7" w14:paraId="387DC7EA" w14:textId="1B7DC629">
      <w:pPr>
        <w:spacing w:after="60" w:line="360" w:lineRule="exact"/>
        <w:jc w:val="center"/>
        <w:rPr>
          <w:rFonts w:ascii="Lucida Sans" w:hAnsi="Lucida Sans"/>
          <w:b/>
          <w:sz w:val="22"/>
          <w:szCs w:val="22"/>
        </w:rPr>
      </w:pPr>
      <w:r w:rsidRPr="005A0C7C">
        <w:rPr>
          <w:rFonts w:ascii="Lucida Sans" w:hAnsi="Lucida Sans"/>
          <w:b/>
          <w:sz w:val="22"/>
          <w:szCs w:val="22"/>
        </w:rPr>
        <w:t>Revision to OMB # 0584-0607</w:t>
      </w:r>
      <w:r>
        <w:rPr>
          <w:rFonts w:ascii="Lucida Sans" w:hAnsi="Lucida Sans"/>
          <w:b/>
          <w:sz w:val="22"/>
          <w:szCs w:val="22"/>
        </w:rPr>
        <w:t xml:space="preserve">, </w:t>
      </w:r>
      <w:r w:rsidR="009A5412">
        <w:rPr>
          <w:rFonts w:ascii="Lucida Sans" w:hAnsi="Lucida Sans"/>
          <w:b/>
          <w:sz w:val="22"/>
          <w:szCs w:val="22"/>
        </w:rPr>
        <w:t>School Meals Operations Study</w:t>
      </w:r>
      <w:r>
        <w:rPr>
          <w:rFonts w:ascii="Lucida Sans" w:hAnsi="Lucida Sans"/>
          <w:b/>
          <w:sz w:val="22"/>
          <w:szCs w:val="22"/>
        </w:rPr>
        <w:t xml:space="preserve"> (</w:t>
      </w:r>
      <w:r w:rsidR="009A5412">
        <w:rPr>
          <w:rFonts w:ascii="Lucida Sans" w:hAnsi="Lucida Sans"/>
          <w:b/>
          <w:sz w:val="22"/>
          <w:szCs w:val="22"/>
        </w:rPr>
        <w:t>SMO</w:t>
      </w:r>
      <w:r>
        <w:rPr>
          <w:rFonts w:ascii="Lucida Sans" w:hAnsi="Lucida Sans"/>
          <w:b/>
          <w:sz w:val="22"/>
          <w:szCs w:val="22"/>
        </w:rPr>
        <w:t>)</w:t>
      </w:r>
    </w:p>
    <w:p w:rsidR="001629C7" w:rsidRPr="007C49C0" w:rsidP="001629C7" w14:paraId="4C6B36F8" w14:textId="2C155186">
      <w:pPr>
        <w:spacing w:before="144" w:after="288" w:line="360" w:lineRule="exact"/>
        <w:ind w:right="360"/>
        <w:jc w:val="center"/>
        <w:rPr>
          <w:rFonts w:ascii="Lucida Sans" w:hAnsi="Lucida Sans"/>
          <w:sz w:val="22"/>
          <w:szCs w:val="22"/>
        </w:rPr>
      </w:pPr>
      <w:bookmarkStart w:id="0" w:name="RepTitle"/>
      <w:bookmarkStart w:id="1" w:name="RepType"/>
      <w:bookmarkStart w:id="2" w:name="DateMark"/>
      <w:bookmarkEnd w:id="0"/>
      <w:bookmarkEnd w:id="1"/>
      <w:bookmarkEnd w:id="2"/>
      <w:r>
        <w:rPr>
          <w:rFonts w:ascii="Lucida Sans" w:hAnsi="Lucida Sans"/>
          <w:sz w:val="22"/>
          <w:szCs w:val="22"/>
        </w:rPr>
        <w:t>April 6</w:t>
      </w:r>
      <w:r w:rsidR="00FF54AA">
        <w:rPr>
          <w:rFonts w:ascii="Lucida Sans" w:hAnsi="Lucida Sans"/>
          <w:sz w:val="22"/>
          <w:szCs w:val="22"/>
        </w:rPr>
        <w:t>, 2023</w:t>
      </w:r>
    </w:p>
    <w:p w:rsidR="001629C7" w:rsidP="001629C7" w14:paraId="4828B590" w14:textId="77777777">
      <w:pPr>
        <w:spacing w:line="280" w:lineRule="exact"/>
        <w:jc w:val="center"/>
        <w:rPr>
          <w:rFonts w:ascii="Lucida Sans" w:hAnsi="Lucida Sans"/>
          <w:sz w:val="20"/>
        </w:rPr>
      </w:pPr>
      <w:bookmarkStart w:id="3" w:name="StartingPoint"/>
      <w:bookmarkEnd w:id="3"/>
    </w:p>
    <w:p w:rsidR="00D97645" w:rsidP="00D97645" w14:paraId="005AD64F" w14:textId="77777777">
      <w:pPr>
        <w:spacing w:line="280" w:lineRule="exact"/>
        <w:jc w:val="center"/>
        <w:rPr>
          <w:rFonts w:ascii="Lucida Sans" w:hAnsi="Lucida Sans"/>
          <w:sz w:val="20"/>
        </w:rPr>
        <w:sectPr w:rsidSect="00224D9D">
          <w:type w:val="continuous"/>
          <w:pgSz w:w="12240" w:h="15840" w:code="1"/>
          <w:pgMar w:top="1440" w:right="1440" w:bottom="1440" w:left="1440" w:header="720" w:footer="720" w:gutter="0"/>
          <w:cols w:space="360"/>
          <w:docGrid w:linePitch="360"/>
        </w:sectPr>
      </w:pPr>
    </w:p>
    <w:p w:rsidR="00D97645" w:rsidRPr="001D4FB6" w:rsidP="00D97645" w14:paraId="3BE5E35A" w14:textId="77777777">
      <w:pPr>
        <w:spacing w:line="280" w:lineRule="exact"/>
        <w:jc w:val="center"/>
        <w:rPr>
          <w:rFonts w:ascii="Lucida Sans" w:hAnsi="Lucida Sans"/>
          <w:sz w:val="20"/>
        </w:rPr>
      </w:pPr>
      <w:r w:rsidRPr="005254FD">
        <w:rPr>
          <w:rFonts w:ascii="Lucida Sans" w:hAnsi="Lucida Sans"/>
          <w:sz w:val="20"/>
        </w:rPr>
        <w:t>Darcy Güngör</w:t>
      </w:r>
    </w:p>
    <w:p w:rsidR="00D97645" w:rsidRPr="00775BC4" w:rsidP="00D97645" w14:paraId="7D4FC43D" w14:textId="77777777">
      <w:pPr>
        <w:spacing w:line="280" w:lineRule="exact"/>
        <w:jc w:val="center"/>
        <w:rPr>
          <w:rFonts w:ascii="Lucida Sans" w:hAnsi="Lucida Sans"/>
          <w:sz w:val="20"/>
        </w:rPr>
      </w:pPr>
      <w:r w:rsidRPr="00775BC4">
        <w:rPr>
          <w:rFonts w:ascii="Lucida Sans" w:hAnsi="Lucida Sans"/>
          <w:sz w:val="20"/>
        </w:rPr>
        <w:t>Social Science Research Analyst</w:t>
      </w:r>
    </w:p>
    <w:p w:rsidR="00D97645" w:rsidP="00D97645" w14:paraId="4056C826" w14:textId="3FE3B7F9">
      <w:pPr>
        <w:spacing w:line="280" w:lineRule="exact"/>
        <w:jc w:val="center"/>
        <w:rPr>
          <w:rFonts w:ascii="Lucida Sans" w:hAnsi="Lucida Sans"/>
          <w:sz w:val="20"/>
        </w:rPr>
      </w:pPr>
      <w:r w:rsidRPr="001D4FB6">
        <w:rPr>
          <w:rFonts w:ascii="Lucida Sans" w:hAnsi="Lucida Sans"/>
          <w:sz w:val="20"/>
        </w:rPr>
        <w:t xml:space="preserve">Email: </w:t>
      </w:r>
      <w:hyperlink r:id="rId10" w:history="1">
        <w:r w:rsidRPr="009C31A8">
          <w:rPr>
            <w:rStyle w:val="Hyperlink"/>
            <w:rFonts w:ascii="Lucida Sans" w:hAnsi="Lucida Sans"/>
            <w:sz w:val="20"/>
          </w:rPr>
          <w:t>Darcy.Gungor@usda.gov</w:t>
        </w:r>
      </w:hyperlink>
    </w:p>
    <w:p w:rsidR="00D97645" w:rsidP="00D97645" w14:paraId="5C492DF3" w14:textId="77777777">
      <w:pPr>
        <w:spacing w:line="280" w:lineRule="exact"/>
        <w:jc w:val="center"/>
        <w:rPr>
          <w:rFonts w:ascii="Lucida Sans" w:hAnsi="Lucida Sans"/>
          <w:sz w:val="20"/>
        </w:rPr>
      </w:pPr>
      <w:r>
        <w:rPr>
          <w:rFonts w:ascii="Lucida Sans" w:hAnsi="Lucida Sans"/>
          <w:sz w:val="20"/>
        </w:rPr>
        <w:t>Conor McGovern</w:t>
      </w:r>
    </w:p>
    <w:p w:rsidR="00D97645" w:rsidP="00D97645" w14:paraId="7E749C70" w14:textId="77777777">
      <w:pPr>
        <w:spacing w:line="280" w:lineRule="exact"/>
        <w:jc w:val="center"/>
        <w:rPr>
          <w:rFonts w:ascii="Lucida Sans" w:hAnsi="Lucida Sans"/>
          <w:sz w:val="20"/>
        </w:rPr>
      </w:pPr>
      <w:r>
        <w:rPr>
          <w:rFonts w:ascii="Lucida Sans" w:hAnsi="Lucida Sans"/>
          <w:sz w:val="20"/>
        </w:rPr>
        <w:t>Branch Chief</w:t>
      </w:r>
    </w:p>
    <w:p w:rsidR="00D97645" w:rsidP="00D97645" w14:paraId="264B567D" w14:textId="77777777">
      <w:pPr>
        <w:spacing w:line="280" w:lineRule="exact"/>
        <w:jc w:val="center"/>
        <w:rPr>
          <w:rFonts w:ascii="Lucida Sans" w:hAnsi="Lucida Sans"/>
          <w:sz w:val="20"/>
        </w:rPr>
      </w:pPr>
      <w:r>
        <w:rPr>
          <w:rFonts w:ascii="Lucida Sans" w:hAnsi="Lucida Sans"/>
          <w:sz w:val="20"/>
        </w:rPr>
        <w:t xml:space="preserve">Email: </w:t>
      </w:r>
      <w:hyperlink r:id="rId11" w:history="1">
        <w:r w:rsidRPr="009C31A8">
          <w:rPr>
            <w:rStyle w:val="Hyperlink"/>
            <w:rFonts w:ascii="Lucida Sans" w:hAnsi="Lucida Sans"/>
            <w:sz w:val="20"/>
          </w:rPr>
          <w:t>Conor.McGovern@usda.gov</w:t>
        </w:r>
      </w:hyperlink>
    </w:p>
    <w:p w:rsidR="00D97645" w:rsidP="001629C7" w14:paraId="37DC4148" w14:textId="77777777">
      <w:pPr>
        <w:spacing w:line="280" w:lineRule="exact"/>
        <w:jc w:val="center"/>
        <w:rPr>
          <w:rFonts w:ascii="Lucida Sans" w:hAnsi="Lucida Sans"/>
          <w:sz w:val="20"/>
          <w:highlight w:val="yellow"/>
        </w:rPr>
        <w:sectPr w:rsidSect="00D97645">
          <w:type w:val="continuous"/>
          <w:pgSz w:w="12240" w:h="15840" w:code="1"/>
          <w:pgMar w:top="1440" w:right="1440" w:bottom="1440" w:left="1440" w:header="720" w:footer="720" w:gutter="0"/>
          <w:cols w:num="2" w:space="360"/>
          <w:docGrid w:linePitch="360"/>
        </w:sectPr>
      </w:pPr>
    </w:p>
    <w:p w:rsidR="00D97645" w:rsidP="001629C7" w14:paraId="6C5771A6" w14:textId="77777777">
      <w:pPr>
        <w:spacing w:line="280" w:lineRule="exact"/>
        <w:jc w:val="center"/>
        <w:rPr>
          <w:rFonts w:ascii="Lucida Sans" w:hAnsi="Lucida Sans"/>
          <w:sz w:val="20"/>
          <w:highlight w:val="yellow"/>
        </w:rPr>
      </w:pPr>
    </w:p>
    <w:p w:rsidR="001629C7" w:rsidRPr="00D97645" w:rsidP="001629C7" w14:paraId="09923266" w14:textId="17C143EC">
      <w:pPr>
        <w:spacing w:line="280" w:lineRule="exact"/>
        <w:jc w:val="center"/>
        <w:rPr>
          <w:rFonts w:ascii="Lucida Sans" w:hAnsi="Lucida Sans"/>
          <w:sz w:val="20"/>
        </w:rPr>
      </w:pPr>
      <w:r w:rsidRPr="00D97645">
        <w:rPr>
          <w:rFonts w:ascii="Lucida Sans" w:hAnsi="Lucida Sans"/>
          <w:sz w:val="20"/>
        </w:rPr>
        <w:t>Office of Policy Support</w:t>
      </w:r>
    </w:p>
    <w:p w:rsidR="001629C7" w:rsidRPr="00D57348" w:rsidP="001629C7" w14:paraId="48A4167F" w14:textId="77777777">
      <w:pPr>
        <w:spacing w:line="280" w:lineRule="exact"/>
        <w:jc w:val="center"/>
        <w:rPr>
          <w:rFonts w:ascii="Lucida Sans" w:hAnsi="Lucida Sans"/>
          <w:sz w:val="20"/>
        </w:rPr>
      </w:pPr>
      <w:r w:rsidRPr="00D57348">
        <w:rPr>
          <w:rFonts w:ascii="Lucida Sans" w:hAnsi="Lucida Sans"/>
          <w:sz w:val="20"/>
        </w:rPr>
        <w:t>Food and Nutrition Service</w:t>
      </w:r>
    </w:p>
    <w:p w:rsidR="001629C7" w:rsidRPr="00D57348" w:rsidP="001629C7" w14:paraId="59FFDCC1" w14:textId="77777777">
      <w:pPr>
        <w:spacing w:line="280" w:lineRule="exact"/>
        <w:jc w:val="center"/>
        <w:rPr>
          <w:rFonts w:ascii="Lucida Sans" w:hAnsi="Lucida Sans"/>
          <w:sz w:val="20"/>
        </w:rPr>
      </w:pPr>
      <w:r w:rsidRPr="00D57348">
        <w:rPr>
          <w:rFonts w:ascii="Lucida Sans" w:hAnsi="Lucida Sans"/>
          <w:sz w:val="20"/>
        </w:rPr>
        <w:t>United States Department of Agriculture</w:t>
      </w:r>
    </w:p>
    <w:p w:rsidR="001629C7" w:rsidRPr="00D57348" w:rsidP="001629C7" w14:paraId="47C4B10E" w14:textId="77777777">
      <w:pPr>
        <w:spacing w:line="280" w:lineRule="exact"/>
        <w:jc w:val="center"/>
        <w:rPr>
          <w:rFonts w:ascii="Lucida Sans" w:hAnsi="Lucida Sans"/>
          <w:sz w:val="20"/>
        </w:rPr>
      </w:pPr>
      <w:r w:rsidRPr="00D57348">
        <w:rPr>
          <w:rFonts w:ascii="Lucida Sans" w:hAnsi="Lucida Sans"/>
          <w:sz w:val="20"/>
        </w:rPr>
        <w:t>1320 Braddock Place</w:t>
      </w:r>
    </w:p>
    <w:p w:rsidR="001629C7" w:rsidRPr="00D57348" w:rsidP="001629C7" w14:paraId="5FC930DD" w14:textId="77777777">
      <w:pPr>
        <w:spacing w:line="280" w:lineRule="exact"/>
        <w:jc w:val="center"/>
        <w:rPr>
          <w:rFonts w:ascii="Lucida Sans" w:hAnsi="Lucida Sans"/>
          <w:sz w:val="20"/>
        </w:rPr>
      </w:pPr>
      <w:r w:rsidRPr="00D57348">
        <w:rPr>
          <w:rFonts w:ascii="Lucida Sans" w:hAnsi="Lucida Sans"/>
          <w:sz w:val="20"/>
        </w:rPr>
        <w:t>Alexandria, Virginia 22314</w:t>
      </w:r>
    </w:p>
    <w:p w:rsidR="002D4879" w:rsidP="00FD0C9D" w14:paraId="08281465" w14:textId="77777777">
      <w:pPr>
        <w:spacing w:after="480" w:line="240" w:lineRule="auto"/>
        <w:jc w:val="center"/>
        <w:rPr>
          <w:rFonts w:cstheme="minorHAnsi"/>
          <w:b/>
          <w:szCs w:val="24"/>
        </w:rPr>
        <w:sectPr w:rsidSect="00224D9D">
          <w:type w:val="continuous"/>
          <w:pgSz w:w="12240" w:h="15840" w:code="1"/>
          <w:pgMar w:top="1440" w:right="1440" w:bottom="1440" w:left="1440" w:header="720" w:footer="720" w:gutter="0"/>
          <w:cols w:space="360"/>
          <w:docGrid w:linePitch="360"/>
        </w:sectPr>
      </w:pPr>
    </w:p>
    <w:p w:rsidR="00244B42" w:rsidP="00DB36E3" w14:paraId="1A1ACDEF" w14:textId="77777777">
      <w:pPr>
        <w:spacing w:before="240" w:line="240" w:lineRule="auto"/>
        <w:ind w:left="990" w:hanging="990"/>
        <w:rPr>
          <w:noProof/>
        </w:rPr>
      </w:pPr>
      <w:r w:rsidRPr="00DB36E3">
        <w:rPr>
          <w:rFonts w:asciiTheme="majorHAnsi" w:hAnsiTheme="majorHAnsi" w:cstheme="majorHAnsi"/>
          <w:b/>
          <w:szCs w:val="24"/>
        </w:rPr>
        <w:t>TABLE OF CONTENTS</w:t>
      </w:r>
      <w:r w:rsidRPr="00DB36E3">
        <w:rPr>
          <w:rFonts w:asciiTheme="majorHAnsi" w:hAnsiTheme="majorHAnsi" w:cstheme="majorHAnsi"/>
        </w:rPr>
        <w:fldChar w:fldCharType="begin"/>
      </w:r>
      <w:r w:rsidRPr="00DB36E3">
        <w:rPr>
          <w:rFonts w:asciiTheme="majorHAnsi" w:hAnsiTheme="majorHAnsi" w:cstheme="majorHAnsi"/>
        </w:rPr>
        <w:instrText xml:space="preserve"> TOC \o "1-3" \h \z \u </w:instrText>
      </w:r>
      <w:r w:rsidRPr="00DB36E3">
        <w:rPr>
          <w:rFonts w:asciiTheme="majorHAnsi" w:hAnsiTheme="majorHAnsi" w:cstheme="majorHAnsi"/>
        </w:rPr>
        <w:fldChar w:fldCharType="separate"/>
      </w:r>
    </w:p>
    <w:p w:rsidR="00244B42" w14:paraId="115AFBF4" w14:textId="156D5CA3">
      <w:pPr>
        <w:pStyle w:val="TOC2"/>
        <w:rPr>
          <w:rFonts w:asciiTheme="minorHAnsi" w:eastAsiaTheme="minorEastAsia" w:hAnsiTheme="minorHAnsi" w:cstheme="minorBidi"/>
          <w:sz w:val="22"/>
          <w:szCs w:val="22"/>
        </w:rPr>
      </w:pPr>
      <w:hyperlink w:anchor="_Toc133502225" w:history="1">
        <w:r w:rsidRPr="00BD575B">
          <w:rPr>
            <w:rStyle w:val="Hyperlink"/>
          </w:rPr>
          <w:t>B1.</w:t>
        </w:r>
        <w:r>
          <w:rPr>
            <w:rFonts w:asciiTheme="minorHAnsi" w:eastAsiaTheme="minorEastAsia" w:hAnsiTheme="minorHAnsi" w:cstheme="minorBidi"/>
            <w:sz w:val="22"/>
            <w:szCs w:val="22"/>
          </w:rPr>
          <w:tab/>
        </w:r>
        <w:r w:rsidRPr="00BD575B">
          <w:rPr>
            <w:rStyle w:val="Hyperlink"/>
          </w:rPr>
          <w:t>Respondent Universe and Sampling Methods</w:t>
        </w:r>
        <w:r>
          <w:rPr>
            <w:webHidden/>
          </w:rPr>
          <w:tab/>
        </w:r>
        <w:r>
          <w:rPr>
            <w:webHidden/>
          </w:rPr>
          <w:fldChar w:fldCharType="begin"/>
        </w:r>
        <w:r>
          <w:rPr>
            <w:webHidden/>
          </w:rPr>
          <w:instrText xml:space="preserve"> PAGEREF _Toc133502225 \h </w:instrText>
        </w:r>
        <w:r>
          <w:rPr>
            <w:webHidden/>
          </w:rPr>
          <w:fldChar w:fldCharType="separate"/>
        </w:r>
        <w:r>
          <w:rPr>
            <w:webHidden/>
          </w:rPr>
          <w:t>1</w:t>
        </w:r>
        <w:r>
          <w:rPr>
            <w:webHidden/>
          </w:rPr>
          <w:fldChar w:fldCharType="end"/>
        </w:r>
      </w:hyperlink>
    </w:p>
    <w:p w:rsidR="00244B42" w14:paraId="6A8086F8" w14:textId="54172089">
      <w:pPr>
        <w:pStyle w:val="TOC2"/>
        <w:rPr>
          <w:rFonts w:asciiTheme="minorHAnsi" w:eastAsiaTheme="minorEastAsia" w:hAnsiTheme="minorHAnsi" w:cstheme="minorBidi"/>
          <w:sz w:val="22"/>
          <w:szCs w:val="22"/>
        </w:rPr>
      </w:pPr>
      <w:hyperlink w:anchor="_Toc133502226" w:history="1">
        <w:r w:rsidRPr="00BD575B">
          <w:rPr>
            <w:rStyle w:val="Hyperlink"/>
          </w:rPr>
          <w:t>B2.</w:t>
        </w:r>
        <w:r>
          <w:rPr>
            <w:rFonts w:asciiTheme="minorHAnsi" w:eastAsiaTheme="minorEastAsia" w:hAnsiTheme="minorHAnsi" w:cstheme="minorBidi"/>
            <w:sz w:val="22"/>
            <w:szCs w:val="22"/>
          </w:rPr>
          <w:tab/>
        </w:r>
        <w:r w:rsidRPr="00BD575B">
          <w:rPr>
            <w:rStyle w:val="Hyperlink"/>
          </w:rPr>
          <w:t>Procedures for the Collection of Information</w:t>
        </w:r>
        <w:r>
          <w:rPr>
            <w:webHidden/>
          </w:rPr>
          <w:tab/>
        </w:r>
        <w:r>
          <w:rPr>
            <w:webHidden/>
          </w:rPr>
          <w:fldChar w:fldCharType="begin"/>
        </w:r>
        <w:r>
          <w:rPr>
            <w:webHidden/>
          </w:rPr>
          <w:instrText xml:space="preserve"> PAGEREF _Toc133502226 \h </w:instrText>
        </w:r>
        <w:r>
          <w:rPr>
            <w:webHidden/>
          </w:rPr>
          <w:fldChar w:fldCharType="separate"/>
        </w:r>
        <w:r>
          <w:rPr>
            <w:webHidden/>
          </w:rPr>
          <w:t>6</w:t>
        </w:r>
        <w:r>
          <w:rPr>
            <w:webHidden/>
          </w:rPr>
          <w:fldChar w:fldCharType="end"/>
        </w:r>
      </w:hyperlink>
    </w:p>
    <w:p w:rsidR="00244B42" w14:paraId="5FC6D54C" w14:textId="28D50DC2">
      <w:pPr>
        <w:pStyle w:val="TOC2"/>
        <w:rPr>
          <w:rFonts w:asciiTheme="minorHAnsi" w:eastAsiaTheme="minorEastAsia" w:hAnsiTheme="minorHAnsi" w:cstheme="minorBidi"/>
          <w:sz w:val="22"/>
          <w:szCs w:val="22"/>
        </w:rPr>
      </w:pPr>
      <w:hyperlink w:anchor="_Toc133502227" w:history="1">
        <w:r w:rsidRPr="00BD575B">
          <w:rPr>
            <w:rStyle w:val="Hyperlink"/>
          </w:rPr>
          <w:t>B3.</w:t>
        </w:r>
        <w:r>
          <w:rPr>
            <w:rFonts w:asciiTheme="minorHAnsi" w:eastAsiaTheme="minorEastAsia" w:hAnsiTheme="minorHAnsi" w:cstheme="minorBidi"/>
            <w:sz w:val="22"/>
            <w:szCs w:val="22"/>
          </w:rPr>
          <w:tab/>
        </w:r>
        <w:r w:rsidRPr="00BD575B">
          <w:rPr>
            <w:rStyle w:val="Hyperlink"/>
          </w:rPr>
          <w:t>Methods to Maximize the Response Rates and to Deal with Nonresponse</w:t>
        </w:r>
        <w:r>
          <w:rPr>
            <w:webHidden/>
          </w:rPr>
          <w:tab/>
        </w:r>
        <w:r>
          <w:rPr>
            <w:webHidden/>
          </w:rPr>
          <w:fldChar w:fldCharType="begin"/>
        </w:r>
        <w:r>
          <w:rPr>
            <w:webHidden/>
          </w:rPr>
          <w:instrText xml:space="preserve"> PAGEREF _Toc133502227 \h </w:instrText>
        </w:r>
        <w:r>
          <w:rPr>
            <w:webHidden/>
          </w:rPr>
          <w:fldChar w:fldCharType="separate"/>
        </w:r>
        <w:r>
          <w:rPr>
            <w:webHidden/>
          </w:rPr>
          <w:t>12</w:t>
        </w:r>
        <w:r>
          <w:rPr>
            <w:webHidden/>
          </w:rPr>
          <w:fldChar w:fldCharType="end"/>
        </w:r>
      </w:hyperlink>
    </w:p>
    <w:p w:rsidR="00244B42" w14:paraId="69F1B274" w14:textId="351CD060">
      <w:pPr>
        <w:pStyle w:val="TOC2"/>
        <w:rPr>
          <w:rFonts w:asciiTheme="minorHAnsi" w:eastAsiaTheme="minorEastAsia" w:hAnsiTheme="minorHAnsi" w:cstheme="minorBidi"/>
          <w:sz w:val="22"/>
          <w:szCs w:val="22"/>
        </w:rPr>
      </w:pPr>
      <w:hyperlink w:anchor="_Toc133502228" w:history="1">
        <w:r w:rsidRPr="00BD575B">
          <w:rPr>
            <w:rStyle w:val="Hyperlink"/>
          </w:rPr>
          <w:t>B4.</w:t>
        </w:r>
        <w:r>
          <w:rPr>
            <w:rFonts w:asciiTheme="minorHAnsi" w:eastAsiaTheme="minorEastAsia" w:hAnsiTheme="minorHAnsi" w:cstheme="minorBidi"/>
            <w:sz w:val="22"/>
            <w:szCs w:val="22"/>
          </w:rPr>
          <w:tab/>
        </w:r>
        <w:r w:rsidRPr="00BD575B">
          <w:rPr>
            <w:rStyle w:val="Hyperlink"/>
          </w:rPr>
          <w:t>Test of Procedures or Methods to be Undertaken</w:t>
        </w:r>
        <w:r>
          <w:rPr>
            <w:webHidden/>
          </w:rPr>
          <w:tab/>
        </w:r>
        <w:r>
          <w:rPr>
            <w:webHidden/>
          </w:rPr>
          <w:fldChar w:fldCharType="begin"/>
        </w:r>
        <w:r>
          <w:rPr>
            <w:webHidden/>
          </w:rPr>
          <w:instrText xml:space="preserve"> PAGEREF _Toc133502228 \h </w:instrText>
        </w:r>
        <w:r>
          <w:rPr>
            <w:webHidden/>
          </w:rPr>
          <w:fldChar w:fldCharType="separate"/>
        </w:r>
        <w:r>
          <w:rPr>
            <w:webHidden/>
          </w:rPr>
          <w:t>17</w:t>
        </w:r>
        <w:r>
          <w:rPr>
            <w:webHidden/>
          </w:rPr>
          <w:fldChar w:fldCharType="end"/>
        </w:r>
      </w:hyperlink>
    </w:p>
    <w:p w:rsidR="00244B42" w14:paraId="7857F0EB" w14:textId="0F91600C">
      <w:pPr>
        <w:pStyle w:val="TOC2"/>
        <w:rPr>
          <w:rFonts w:asciiTheme="minorHAnsi" w:eastAsiaTheme="minorEastAsia" w:hAnsiTheme="minorHAnsi" w:cstheme="minorBidi"/>
          <w:sz w:val="22"/>
          <w:szCs w:val="22"/>
        </w:rPr>
      </w:pPr>
      <w:hyperlink w:anchor="_Toc133502229" w:history="1">
        <w:r w:rsidRPr="00BD575B">
          <w:rPr>
            <w:rStyle w:val="Hyperlink"/>
          </w:rPr>
          <w:t>B5.</w:t>
        </w:r>
        <w:r>
          <w:rPr>
            <w:rFonts w:asciiTheme="minorHAnsi" w:eastAsiaTheme="minorEastAsia" w:hAnsiTheme="minorHAnsi" w:cstheme="minorBidi"/>
            <w:sz w:val="22"/>
            <w:szCs w:val="22"/>
          </w:rPr>
          <w:tab/>
        </w:r>
        <w:r w:rsidRPr="00BD575B">
          <w:rPr>
            <w:rStyle w:val="Hyperlink"/>
          </w:rPr>
          <w:t>Individuals Consulted on Statistical Aspects and Individuals Collecting and/or Analyzing Data</w:t>
        </w:r>
        <w:r>
          <w:rPr>
            <w:webHidden/>
          </w:rPr>
          <w:tab/>
        </w:r>
        <w:r>
          <w:rPr>
            <w:webHidden/>
          </w:rPr>
          <w:fldChar w:fldCharType="begin"/>
        </w:r>
        <w:r>
          <w:rPr>
            <w:webHidden/>
          </w:rPr>
          <w:instrText xml:space="preserve"> PAGEREF _Toc133502229 \h </w:instrText>
        </w:r>
        <w:r>
          <w:rPr>
            <w:webHidden/>
          </w:rPr>
          <w:fldChar w:fldCharType="separate"/>
        </w:r>
        <w:r>
          <w:rPr>
            <w:webHidden/>
          </w:rPr>
          <w:t>21</w:t>
        </w:r>
        <w:r>
          <w:rPr>
            <w:webHidden/>
          </w:rPr>
          <w:fldChar w:fldCharType="end"/>
        </w:r>
      </w:hyperlink>
    </w:p>
    <w:p w:rsidR="000D6B4B" w:rsidRPr="00DB36E3" w:rsidP="00DB36E3" w14:paraId="6BB1FE9B" w14:textId="65EE8B88">
      <w:pPr>
        <w:tabs>
          <w:tab w:val="right" w:leader="dot" w:pos="9360"/>
        </w:tabs>
        <w:spacing w:line="240" w:lineRule="auto"/>
        <w:ind w:left="990" w:hanging="990"/>
        <w:rPr>
          <w:rFonts w:asciiTheme="majorHAnsi" w:hAnsiTheme="majorHAnsi" w:cstheme="majorHAnsi"/>
          <w:b/>
          <w:szCs w:val="24"/>
        </w:rPr>
      </w:pPr>
      <w:r w:rsidRPr="00DB36E3">
        <w:rPr>
          <w:rFonts w:asciiTheme="majorHAnsi" w:hAnsiTheme="majorHAnsi" w:cstheme="majorHAnsi"/>
        </w:rPr>
        <w:fldChar w:fldCharType="end"/>
      </w:r>
    </w:p>
    <w:p w:rsidR="00FD0C9D" w:rsidRPr="00DB36E3" w:rsidP="00DB36E3" w14:paraId="7ED66F00" w14:textId="22D1F508">
      <w:pPr>
        <w:spacing w:line="240" w:lineRule="auto"/>
        <w:rPr>
          <w:rFonts w:asciiTheme="majorHAnsi" w:hAnsiTheme="majorHAnsi" w:cstheme="majorHAnsi"/>
          <w:b/>
          <w:webHidden/>
          <w:szCs w:val="24"/>
        </w:rPr>
      </w:pPr>
      <w:r w:rsidRPr="00DB36E3">
        <w:rPr>
          <w:rFonts w:asciiTheme="majorHAnsi" w:hAnsiTheme="majorHAnsi" w:cstheme="majorHAnsi"/>
          <w:b/>
          <w:szCs w:val="24"/>
        </w:rPr>
        <w:t>TABLES</w:t>
      </w:r>
    </w:p>
    <w:p w:rsidR="00244B42" w14:paraId="5B421E72" w14:textId="1D566A16">
      <w:pPr>
        <w:pStyle w:val="TableofFigures"/>
        <w:rPr>
          <w:rFonts w:asciiTheme="minorHAnsi" w:eastAsiaTheme="minorEastAsia" w:hAnsiTheme="minorHAnsi" w:cstheme="minorBidi"/>
          <w:noProof/>
          <w:sz w:val="22"/>
          <w:szCs w:val="22"/>
        </w:rPr>
      </w:pPr>
      <w:r w:rsidRPr="00DB36E3">
        <w:rPr>
          <w:rFonts w:asciiTheme="majorHAnsi" w:hAnsiTheme="majorHAnsi" w:cstheme="majorHAnsi"/>
          <w:sz w:val="24"/>
          <w:szCs w:val="24"/>
        </w:rPr>
        <w:fldChar w:fldCharType="begin"/>
      </w:r>
      <w:r w:rsidRPr="00DB36E3">
        <w:rPr>
          <w:rFonts w:asciiTheme="majorHAnsi" w:hAnsiTheme="majorHAnsi" w:cstheme="majorHAnsi"/>
          <w:sz w:val="24"/>
          <w:szCs w:val="24"/>
        </w:rPr>
        <w:instrText xml:space="preserve"> TOC \h \z \t "Table Title" \c </w:instrText>
      </w:r>
      <w:r w:rsidRPr="00DB36E3">
        <w:rPr>
          <w:rFonts w:asciiTheme="majorHAnsi" w:hAnsiTheme="majorHAnsi" w:cstheme="majorHAnsi"/>
          <w:sz w:val="24"/>
          <w:szCs w:val="24"/>
        </w:rPr>
        <w:fldChar w:fldCharType="separate"/>
      </w:r>
      <w:hyperlink w:anchor="_Toc133502233" w:history="1">
        <w:r w:rsidRPr="008530E2">
          <w:rPr>
            <w:rStyle w:val="Hyperlink"/>
            <w:noProof/>
          </w:rPr>
          <w:t>Table B1.1. SFA sample allocation by stratum</w:t>
        </w:r>
        <w:r>
          <w:rPr>
            <w:noProof/>
            <w:webHidden/>
          </w:rPr>
          <w:tab/>
        </w:r>
        <w:r>
          <w:rPr>
            <w:noProof/>
            <w:webHidden/>
          </w:rPr>
          <w:fldChar w:fldCharType="begin"/>
        </w:r>
        <w:r>
          <w:rPr>
            <w:noProof/>
            <w:webHidden/>
          </w:rPr>
          <w:instrText xml:space="preserve"> PAGEREF _Toc133502233 \h </w:instrText>
        </w:r>
        <w:r>
          <w:rPr>
            <w:noProof/>
            <w:webHidden/>
          </w:rPr>
          <w:fldChar w:fldCharType="separate"/>
        </w:r>
        <w:r>
          <w:rPr>
            <w:noProof/>
            <w:webHidden/>
          </w:rPr>
          <w:t>2</w:t>
        </w:r>
        <w:r>
          <w:rPr>
            <w:noProof/>
            <w:webHidden/>
          </w:rPr>
          <w:fldChar w:fldCharType="end"/>
        </w:r>
      </w:hyperlink>
    </w:p>
    <w:p w:rsidR="00244B42" w14:paraId="1296D5A1" w14:textId="46603837">
      <w:pPr>
        <w:pStyle w:val="TableofFigures"/>
        <w:rPr>
          <w:rFonts w:asciiTheme="minorHAnsi" w:eastAsiaTheme="minorEastAsia" w:hAnsiTheme="minorHAnsi" w:cstheme="minorBidi"/>
          <w:noProof/>
          <w:sz w:val="22"/>
          <w:szCs w:val="22"/>
        </w:rPr>
      </w:pPr>
      <w:hyperlink w:anchor="_Toc133502234" w:history="1">
        <w:r w:rsidRPr="008530E2">
          <w:rPr>
            <w:rStyle w:val="Hyperlink"/>
            <w:noProof/>
          </w:rPr>
          <w:t>Table B1.2. Summary of Respondent Universe and Expected and Prior Response Rates</w:t>
        </w:r>
        <w:r>
          <w:rPr>
            <w:noProof/>
            <w:webHidden/>
          </w:rPr>
          <w:tab/>
        </w:r>
        <w:r>
          <w:rPr>
            <w:noProof/>
            <w:webHidden/>
          </w:rPr>
          <w:fldChar w:fldCharType="begin"/>
        </w:r>
        <w:r>
          <w:rPr>
            <w:noProof/>
            <w:webHidden/>
          </w:rPr>
          <w:instrText xml:space="preserve"> PAGEREF _Toc133502234 \h </w:instrText>
        </w:r>
        <w:r>
          <w:rPr>
            <w:noProof/>
            <w:webHidden/>
          </w:rPr>
          <w:fldChar w:fldCharType="separate"/>
        </w:r>
        <w:r>
          <w:rPr>
            <w:noProof/>
            <w:webHidden/>
          </w:rPr>
          <w:t>5</w:t>
        </w:r>
        <w:r>
          <w:rPr>
            <w:noProof/>
            <w:webHidden/>
          </w:rPr>
          <w:fldChar w:fldCharType="end"/>
        </w:r>
      </w:hyperlink>
    </w:p>
    <w:p w:rsidR="00244B42" w14:paraId="3F8E4FA4" w14:textId="3CE60A6A">
      <w:pPr>
        <w:pStyle w:val="TableofFigures"/>
        <w:rPr>
          <w:rFonts w:asciiTheme="minorHAnsi" w:eastAsiaTheme="minorEastAsia" w:hAnsiTheme="minorHAnsi" w:cstheme="minorBidi"/>
          <w:noProof/>
          <w:sz w:val="22"/>
          <w:szCs w:val="22"/>
        </w:rPr>
      </w:pPr>
      <w:hyperlink w:anchor="_Toc133502235" w:history="1">
        <w:r w:rsidRPr="008530E2">
          <w:rPr>
            <w:rStyle w:val="Hyperlink"/>
            <w:noProof/>
          </w:rPr>
          <w:t>Table B2.2. SFA sample size for SY 2023-2024 data collection, focusing on SY 2022-2023 operations (selected, released, completes, noncompletes, and reserves)</w:t>
        </w:r>
        <w:r>
          <w:rPr>
            <w:noProof/>
            <w:webHidden/>
          </w:rPr>
          <w:tab/>
        </w:r>
        <w:r>
          <w:rPr>
            <w:noProof/>
            <w:webHidden/>
          </w:rPr>
          <w:fldChar w:fldCharType="begin"/>
        </w:r>
        <w:r>
          <w:rPr>
            <w:noProof/>
            <w:webHidden/>
          </w:rPr>
          <w:instrText xml:space="preserve"> PAGEREF _Toc133502235 \h </w:instrText>
        </w:r>
        <w:r>
          <w:rPr>
            <w:noProof/>
            <w:webHidden/>
          </w:rPr>
          <w:fldChar w:fldCharType="separate"/>
        </w:r>
        <w:r>
          <w:rPr>
            <w:noProof/>
            <w:webHidden/>
          </w:rPr>
          <w:t>9</w:t>
        </w:r>
        <w:r>
          <w:rPr>
            <w:noProof/>
            <w:webHidden/>
          </w:rPr>
          <w:fldChar w:fldCharType="end"/>
        </w:r>
      </w:hyperlink>
    </w:p>
    <w:p w:rsidR="00244B42" w14:paraId="51920B5D" w14:textId="7515DDDD">
      <w:pPr>
        <w:pStyle w:val="TableofFigures"/>
        <w:rPr>
          <w:rFonts w:asciiTheme="minorHAnsi" w:eastAsiaTheme="minorEastAsia" w:hAnsiTheme="minorHAnsi" w:cstheme="minorBidi"/>
          <w:noProof/>
          <w:sz w:val="22"/>
          <w:szCs w:val="22"/>
        </w:rPr>
      </w:pPr>
      <w:hyperlink w:anchor="_Toc133502236" w:history="1">
        <w:r w:rsidRPr="008530E2">
          <w:rPr>
            <w:rStyle w:val="Hyperlink"/>
            <w:noProof/>
          </w:rPr>
          <w:t>Table B2.3. Sample size estimates and expected margins of error for SFA sample and key subgroups</w:t>
        </w:r>
        <w:r>
          <w:rPr>
            <w:noProof/>
            <w:webHidden/>
          </w:rPr>
          <w:tab/>
        </w:r>
        <w:r>
          <w:rPr>
            <w:noProof/>
            <w:webHidden/>
          </w:rPr>
          <w:fldChar w:fldCharType="begin"/>
        </w:r>
        <w:r>
          <w:rPr>
            <w:noProof/>
            <w:webHidden/>
          </w:rPr>
          <w:instrText xml:space="preserve"> PAGEREF _Toc133502236 \h </w:instrText>
        </w:r>
        <w:r>
          <w:rPr>
            <w:noProof/>
            <w:webHidden/>
          </w:rPr>
          <w:fldChar w:fldCharType="separate"/>
        </w:r>
        <w:r>
          <w:rPr>
            <w:noProof/>
            <w:webHidden/>
          </w:rPr>
          <w:t>11</w:t>
        </w:r>
        <w:r>
          <w:rPr>
            <w:noProof/>
            <w:webHidden/>
          </w:rPr>
          <w:fldChar w:fldCharType="end"/>
        </w:r>
      </w:hyperlink>
    </w:p>
    <w:p w:rsidR="00244B42" w14:paraId="6ACABEE2" w14:textId="261ABA64">
      <w:pPr>
        <w:pStyle w:val="TableofFigures"/>
        <w:rPr>
          <w:rFonts w:asciiTheme="minorHAnsi" w:eastAsiaTheme="minorEastAsia" w:hAnsiTheme="minorHAnsi" w:cstheme="minorBidi"/>
          <w:noProof/>
          <w:sz w:val="22"/>
          <w:szCs w:val="22"/>
        </w:rPr>
      </w:pPr>
      <w:hyperlink w:anchor="_Toc133502237" w:history="1">
        <w:r w:rsidRPr="008530E2">
          <w:rPr>
            <w:rStyle w:val="Hyperlink"/>
            <w:noProof/>
          </w:rPr>
          <w:t>Table B4.1. Changes to State CN Director Survey based on respondent feedback</w:t>
        </w:r>
        <w:r>
          <w:rPr>
            <w:noProof/>
            <w:webHidden/>
          </w:rPr>
          <w:tab/>
        </w:r>
        <w:r>
          <w:rPr>
            <w:noProof/>
            <w:webHidden/>
          </w:rPr>
          <w:fldChar w:fldCharType="begin"/>
        </w:r>
        <w:r>
          <w:rPr>
            <w:noProof/>
            <w:webHidden/>
          </w:rPr>
          <w:instrText xml:space="preserve"> PAGEREF _Toc133502237 \h </w:instrText>
        </w:r>
        <w:r>
          <w:rPr>
            <w:noProof/>
            <w:webHidden/>
          </w:rPr>
          <w:fldChar w:fldCharType="separate"/>
        </w:r>
        <w:r>
          <w:rPr>
            <w:noProof/>
            <w:webHidden/>
          </w:rPr>
          <w:t>18</w:t>
        </w:r>
        <w:r>
          <w:rPr>
            <w:noProof/>
            <w:webHidden/>
          </w:rPr>
          <w:fldChar w:fldCharType="end"/>
        </w:r>
      </w:hyperlink>
    </w:p>
    <w:p w:rsidR="00244B42" w14:paraId="7F09C49B" w14:textId="58F30A17">
      <w:pPr>
        <w:pStyle w:val="TableofFigures"/>
        <w:rPr>
          <w:rFonts w:asciiTheme="minorHAnsi" w:eastAsiaTheme="minorEastAsia" w:hAnsiTheme="minorHAnsi" w:cstheme="minorBidi"/>
          <w:noProof/>
          <w:sz w:val="22"/>
          <w:szCs w:val="22"/>
        </w:rPr>
      </w:pPr>
      <w:hyperlink w:anchor="_Toc133502238" w:history="1">
        <w:r w:rsidRPr="008530E2">
          <w:rPr>
            <w:rStyle w:val="Hyperlink"/>
            <w:noProof/>
          </w:rPr>
          <w:t>Table B4.2. Changes to SFA Director Survey based on respondent feedback</w:t>
        </w:r>
        <w:r>
          <w:rPr>
            <w:noProof/>
            <w:webHidden/>
          </w:rPr>
          <w:tab/>
        </w:r>
        <w:r>
          <w:rPr>
            <w:noProof/>
            <w:webHidden/>
          </w:rPr>
          <w:fldChar w:fldCharType="begin"/>
        </w:r>
        <w:r>
          <w:rPr>
            <w:noProof/>
            <w:webHidden/>
          </w:rPr>
          <w:instrText xml:space="preserve"> PAGEREF _Toc133502238 \h </w:instrText>
        </w:r>
        <w:r>
          <w:rPr>
            <w:noProof/>
            <w:webHidden/>
          </w:rPr>
          <w:fldChar w:fldCharType="separate"/>
        </w:r>
        <w:r>
          <w:rPr>
            <w:noProof/>
            <w:webHidden/>
          </w:rPr>
          <w:t>19</w:t>
        </w:r>
        <w:r>
          <w:rPr>
            <w:noProof/>
            <w:webHidden/>
          </w:rPr>
          <w:fldChar w:fldCharType="end"/>
        </w:r>
      </w:hyperlink>
    </w:p>
    <w:p w:rsidR="00244B42" w14:paraId="34C86CB7" w14:textId="3FD8AF79">
      <w:pPr>
        <w:pStyle w:val="TableofFigures"/>
        <w:rPr>
          <w:rFonts w:asciiTheme="minorHAnsi" w:eastAsiaTheme="minorEastAsia" w:hAnsiTheme="minorHAnsi" w:cstheme="minorBidi"/>
          <w:noProof/>
          <w:sz w:val="22"/>
          <w:szCs w:val="22"/>
        </w:rPr>
      </w:pPr>
      <w:hyperlink w:anchor="_Toc133502239" w:history="1">
        <w:r w:rsidRPr="008530E2">
          <w:rPr>
            <w:rStyle w:val="Hyperlink"/>
            <w:noProof/>
          </w:rPr>
          <w:t>Table B5.1. Individuals consulted on statistical aspects of study design</w:t>
        </w:r>
        <w:r>
          <w:rPr>
            <w:noProof/>
            <w:webHidden/>
          </w:rPr>
          <w:tab/>
        </w:r>
        <w:r>
          <w:rPr>
            <w:noProof/>
            <w:webHidden/>
          </w:rPr>
          <w:fldChar w:fldCharType="begin"/>
        </w:r>
        <w:r>
          <w:rPr>
            <w:noProof/>
            <w:webHidden/>
          </w:rPr>
          <w:instrText xml:space="preserve"> PAGEREF _Toc133502239 \h </w:instrText>
        </w:r>
        <w:r>
          <w:rPr>
            <w:noProof/>
            <w:webHidden/>
          </w:rPr>
          <w:fldChar w:fldCharType="separate"/>
        </w:r>
        <w:r>
          <w:rPr>
            <w:noProof/>
            <w:webHidden/>
          </w:rPr>
          <w:t>22</w:t>
        </w:r>
        <w:r>
          <w:rPr>
            <w:noProof/>
            <w:webHidden/>
          </w:rPr>
          <w:fldChar w:fldCharType="end"/>
        </w:r>
      </w:hyperlink>
    </w:p>
    <w:p w:rsidR="009847B0" w:rsidP="00D342FF" w14:paraId="376D0513" w14:textId="07FF6C72">
      <w:pPr>
        <w:spacing w:line="240" w:lineRule="auto"/>
        <w:ind w:right="1440"/>
        <w:jc w:val="center"/>
        <w:rPr>
          <w:rFonts w:asciiTheme="majorHAnsi" w:hAnsiTheme="majorHAnsi" w:cstheme="majorHAnsi"/>
          <w:szCs w:val="24"/>
        </w:rPr>
      </w:pPr>
      <w:r w:rsidRPr="00DB36E3">
        <w:rPr>
          <w:rFonts w:asciiTheme="majorHAnsi" w:hAnsiTheme="majorHAnsi" w:cstheme="majorHAnsi"/>
          <w:szCs w:val="24"/>
        </w:rPr>
        <w:fldChar w:fldCharType="end"/>
      </w:r>
      <w:bookmarkStart w:id="4" w:name="_Hlk35854146"/>
    </w:p>
    <w:p w:rsidR="00D37702" w:rsidRPr="00236452" w:rsidP="00D37702" w14:paraId="6B0A3E73" w14:textId="77777777">
      <w:pPr>
        <w:rPr>
          <w:rFonts w:asciiTheme="majorHAnsi" w:hAnsiTheme="majorHAnsi" w:cstheme="majorHAnsi"/>
          <w:szCs w:val="24"/>
        </w:rPr>
      </w:pPr>
      <w:bookmarkStart w:id="5" w:name="_Hlk36803105"/>
      <w:bookmarkEnd w:id="4"/>
      <w:r w:rsidRPr="00DB36E3">
        <w:rPr>
          <w:rFonts w:asciiTheme="majorHAnsi" w:hAnsiTheme="majorHAnsi" w:cstheme="majorHAnsi"/>
          <w:b/>
          <w:bCs/>
        </w:rPr>
        <w:t>APPENDICES</w:t>
      </w:r>
      <w:bookmarkEnd w:id="5"/>
    </w:p>
    <w:p w:rsidR="00D37702" w:rsidRPr="003D292A" w:rsidP="00D37702" w14:paraId="030AB638" w14:textId="77777777">
      <w:pPr>
        <w:spacing w:after="120" w:line="240" w:lineRule="auto"/>
        <w:ind w:left="990" w:hanging="990"/>
        <w:rPr>
          <w:rFonts w:ascii="Arial" w:hAnsi="Arial" w:cs="Arial"/>
          <w:sz w:val="20"/>
        </w:rPr>
      </w:pPr>
      <w:r w:rsidRPr="00E021BB">
        <w:rPr>
          <w:rFonts w:asciiTheme="majorHAnsi" w:hAnsiTheme="majorHAnsi" w:cstheme="majorHAnsi"/>
          <w:sz w:val="20"/>
        </w:rPr>
        <w:t>A</w:t>
      </w:r>
      <w:r w:rsidRPr="00E021BB">
        <w:rPr>
          <w:rFonts w:asciiTheme="majorHAnsi" w:hAnsiTheme="majorHAnsi" w:cstheme="majorHAnsi"/>
          <w:sz w:val="20"/>
        </w:rPr>
        <w:tab/>
      </w:r>
      <w:r w:rsidRPr="003D292A">
        <w:rPr>
          <w:rFonts w:ascii="Arial" w:hAnsi="Arial" w:cs="Arial"/>
          <w:sz w:val="20"/>
        </w:rPr>
        <w:t>Section 2202 of the Families First Coronavirus Response Act (FFCRA)</w:t>
      </w:r>
    </w:p>
    <w:p w:rsidR="00D37702" w:rsidRPr="002F6C75" w:rsidP="00D37702" w14:paraId="4CFD404F" w14:textId="78741C39">
      <w:pPr>
        <w:spacing w:after="120" w:line="240" w:lineRule="auto"/>
        <w:ind w:left="990" w:hanging="990"/>
        <w:rPr>
          <w:rFonts w:ascii="Arial" w:hAnsi="Arial" w:cs="Arial"/>
          <w:sz w:val="20"/>
        </w:rPr>
      </w:pPr>
      <w:r w:rsidRPr="002F6C75">
        <w:rPr>
          <w:rFonts w:ascii="Arial" w:hAnsi="Arial" w:cs="Arial"/>
          <w:sz w:val="20"/>
        </w:rPr>
        <w:t>B</w:t>
      </w:r>
      <w:r w:rsidRPr="002F6C75">
        <w:rPr>
          <w:rFonts w:ascii="Arial" w:hAnsi="Arial" w:cs="Arial"/>
          <w:sz w:val="20"/>
        </w:rPr>
        <w:tab/>
        <w:t xml:space="preserve">Research Questions </w:t>
      </w:r>
    </w:p>
    <w:p w:rsidR="00D37702" w:rsidRPr="002F6C75" w:rsidP="00D37702" w14:paraId="2A98F8DC" w14:textId="77777777">
      <w:pPr>
        <w:spacing w:after="120" w:line="240" w:lineRule="auto"/>
        <w:ind w:left="990" w:hanging="990"/>
        <w:rPr>
          <w:rFonts w:ascii="Arial" w:hAnsi="Arial" w:cs="Arial"/>
          <w:sz w:val="20"/>
        </w:rPr>
      </w:pPr>
      <w:r w:rsidRPr="002F6C75">
        <w:rPr>
          <w:rFonts w:ascii="Arial" w:hAnsi="Arial" w:cs="Arial"/>
          <w:sz w:val="20"/>
        </w:rPr>
        <w:t>C</w:t>
      </w:r>
      <w:r w:rsidRPr="002F6C75">
        <w:rPr>
          <w:rFonts w:ascii="Arial" w:hAnsi="Arial" w:cs="Arial"/>
          <w:sz w:val="20"/>
        </w:rPr>
        <w:tab/>
      </w:r>
      <w:bookmarkStart w:id="6" w:name="_Hlk72949963"/>
      <w:r w:rsidRPr="002F6C75">
        <w:rPr>
          <w:rFonts w:ascii="Arial" w:hAnsi="Arial" w:cs="Arial"/>
          <w:sz w:val="20"/>
        </w:rPr>
        <w:t>Section 28 of the Richard B. Russell National School Lunch Act and Section 305 of the Healthy, Hunger-Free Kids Act of 2010</w:t>
      </w:r>
      <w:bookmarkEnd w:id="6"/>
    </w:p>
    <w:p w:rsidR="00D37702" w:rsidRPr="002F6C75" w:rsidP="00D37702" w14:paraId="498FD874" w14:textId="61C15BA2">
      <w:pPr>
        <w:spacing w:after="120" w:line="240" w:lineRule="auto"/>
        <w:ind w:left="990" w:hanging="990"/>
        <w:rPr>
          <w:rFonts w:ascii="Arial" w:hAnsi="Arial" w:cs="Arial"/>
          <w:sz w:val="20"/>
        </w:rPr>
      </w:pPr>
      <w:bookmarkStart w:id="7" w:name="_Hlk72938086"/>
      <w:r w:rsidRPr="002F6C75">
        <w:rPr>
          <w:rFonts w:ascii="Arial" w:hAnsi="Arial" w:cs="Arial"/>
          <w:sz w:val="20"/>
        </w:rPr>
        <w:t>D.1</w:t>
      </w:r>
      <w:r w:rsidRPr="002F6C75">
        <w:rPr>
          <w:rFonts w:ascii="Arial" w:hAnsi="Arial" w:cs="Arial"/>
          <w:sz w:val="20"/>
        </w:rPr>
        <w:tab/>
        <w:t xml:space="preserve">State Agency Child Nutrition Director Survey </w:t>
      </w:r>
      <w:r w:rsidRPr="002F6C75" w:rsidR="00943913">
        <w:rPr>
          <w:rFonts w:ascii="Arial" w:hAnsi="Arial" w:cs="Arial"/>
          <w:sz w:val="20"/>
        </w:rPr>
        <w:t xml:space="preserve">SY </w:t>
      </w:r>
      <w:r w:rsidRPr="002F6C75">
        <w:rPr>
          <w:rFonts w:ascii="Arial" w:hAnsi="Arial" w:cs="Arial"/>
          <w:sz w:val="20"/>
        </w:rPr>
        <w:t>202</w:t>
      </w:r>
      <w:r w:rsidRPr="002F6C75" w:rsidR="00FF54AA">
        <w:rPr>
          <w:rFonts w:ascii="Arial" w:hAnsi="Arial" w:cs="Arial"/>
          <w:sz w:val="20"/>
        </w:rPr>
        <w:t>3</w:t>
      </w:r>
      <w:r w:rsidRPr="002F6C75" w:rsidR="00943913">
        <w:rPr>
          <w:rFonts w:ascii="Arial" w:hAnsi="Arial" w:cs="Arial"/>
          <w:sz w:val="20"/>
        </w:rPr>
        <w:t>-2024</w:t>
      </w:r>
    </w:p>
    <w:p w:rsidR="00D37702" w:rsidRPr="002F6C75" w:rsidP="00D37702" w14:paraId="2E6FAD63" w14:textId="746773AC">
      <w:pPr>
        <w:spacing w:after="120" w:line="240" w:lineRule="auto"/>
        <w:ind w:left="990" w:hanging="990"/>
        <w:rPr>
          <w:rFonts w:ascii="Arial" w:hAnsi="Arial" w:cs="Arial"/>
          <w:sz w:val="20"/>
        </w:rPr>
      </w:pPr>
      <w:r w:rsidRPr="002F6C75">
        <w:rPr>
          <w:rFonts w:ascii="Arial" w:hAnsi="Arial" w:cs="Arial"/>
          <w:sz w:val="20"/>
        </w:rPr>
        <w:t>D.2</w:t>
      </w:r>
      <w:r w:rsidRPr="002F6C75">
        <w:rPr>
          <w:rFonts w:ascii="Arial" w:hAnsi="Arial" w:cs="Arial"/>
          <w:sz w:val="20"/>
        </w:rPr>
        <w:tab/>
        <w:t xml:space="preserve">Screenshots of State Agency Child Nutrition Director </w:t>
      </w:r>
      <w:bookmarkEnd w:id="7"/>
      <w:r w:rsidRPr="002F6C75">
        <w:rPr>
          <w:rFonts w:ascii="Arial" w:hAnsi="Arial" w:cs="Arial"/>
          <w:sz w:val="20"/>
        </w:rPr>
        <w:t xml:space="preserve">Survey </w:t>
      </w:r>
      <w:r w:rsidRPr="002F6C75" w:rsidR="00943913">
        <w:rPr>
          <w:rFonts w:ascii="Arial" w:hAnsi="Arial" w:cs="Arial"/>
          <w:sz w:val="20"/>
        </w:rPr>
        <w:t xml:space="preserve">SY </w:t>
      </w:r>
      <w:r w:rsidRPr="002F6C75">
        <w:rPr>
          <w:rFonts w:ascii="Arial" w:hAnsi="Arial" w:cs="Arial"/>
          <w:sz w:val="20"/>
        </w:rPr>
        <w:t>202</w:t>
      </w:r>
      <w:r w:rsidRPr="002F6C75" w:rsidR="00FF54AA">
        <w:rPr>
          <w:rFonts w:ascii="Arial" w:hAnsi="Arial" w:cs="Arial"/>
          <w:sz w:val="20"/>
        </w:rPr>
        <w:t>3</w:t>
      </w:r>
      <w:r w:rsidRPr="002F6C75" w:rsidR="00943913">
        <w:rPr>
          <w:rFonts w:ascii="Arial" w:hAnsi="Arial" w:cs="Arial"/>
          <w:sz w:val="20"/>
        </w:rPr>
        <w:t>-2024</w:t>
      </w:r>
    </w:p>
    <w:p w:rsidR="00D37702" w:rsidRPr="002F6C75" w:rsidP="00D37702" w14:paraId="7C9D45A8" w14:textId="27BEA76E">
      <w:pPr>
        <w:spacing w:after="120" w:line="240" w:lineRule="auto"/>
        <w:ind w:left="990" w:hanging="990"/>
        <w:rPr>
          <w:rFonts w:ascii="Arial" w:hAnsi="Arial" w:cs="Arial"/>
          <w:sz w:val="20"/>
        </w:rPr>
      </w:pPr>
      <w:r w:rsidRPr="002F6C75">
        <w:rPr>
          <w:rFonts w:ascii="Arial" w:hAnsi="Arial" w:cs="Arial"/>
          <w:sz w:val="20"/>
        </w:rPr>
        <w:t>E.1</w:t>
      </w:r>
      <w:r w:rsidRPr="002F6C75">
        <w:rPr>
          <w:rFonts w:ascii="Arial" w:hAnsi="Arial" w:cs="Arial"/>
          <w:sz w:val="20"/>
        </w:rPr>
        <w:tab/>
        <w:t>FNS-10 Administrative Data Request for FY 202</w:t>
      </w:r>
      <w:r w:rsidRPr="002F6C75" w:rsidR="00FF54AA">
        <w:rPr>
          <w:rFonts w:ascii="Arial" w:hAnsi="Arial" w:cs="Arial"/>
          <w:sz w:val="20"/>
        </w:rPr>
        <w:t>3</w:t>
      </w:r>
    </w:p>
    <w:p w:rsidR="00D37702" w:rsidRPr="002F6C75" w:rsidP="00D37702" w14:paraId="38863325" w14:textId="582A01C6">
      <w:pPr>
        <w:spacing w:after="120" w:line="240" w:lineRule="auto"/>
        <w:ind w:left="990" w:hanging="990"/>
        <w:rPr>
          <w:rFonts w:ascii="Arial" w:hAnsi="Arial" w:cs="Arial"/>
          <w:sz w:val="20"/>
        </w:rPr>
      </w:pPr>
      <w:r w:rsidRPr="002F6C75">
        <w:rPr>
          <w:rFonts w:ascii="Arial" w:hAnsi="Arial" w:cs="Arial"/>
          <w:sz w:val="20"/>
        </w:rPr>
        <w:t>E.2</w:t>
      </w:r>
      <w:r w:rsidRPr="002F6C75">
        <w:rPr>
          <w:rFonts w:ascii="Arial" w:hAnsi="Arial" w:cs="Arial"/>
          <w:sz w:val="20"/>
        </w:rPr>
        <w:tab/>
        <w:t>FNS-418 Administrative Data Request for FY 202</w:t>
      </w:r>
      <w:r w:rsidRPr="002F6C75" w:rsidR="00FF54AA">
        <w:rPr>
          <w:rFonts w:ascii="Arial" w:hAnsi="Arial" w:cs="Arial"/>
          <w:sz w:val="20"/>
        </w:rPr>
        <w:t>3</w:t>
      </w:r>
    </w:p>
    <w:p w:rsidR="00D37702" w:rsidRPr="002F6C75" w:rsidP="00D37702" w14:paraId="0F64E8B0" w14:textId="5E92E876">
      <w:pPr>
        <w:spacing w:after="120" w:line="240" w:lineRule="auto"/>
        <w:ind w:left="990" w:hanging="990"/>
        <w:rPr>
          <w:rFonts w:ascii="Arial" w:hAnsi="Arial" w:cs="Arial"/>
          <w:sz w:val="20"/>
        </w:rPr>
      </w:pPr>
      <w:r w:rsidRPr="002F6C75">
        <w:rPr>
          <w:rFonts w:ascii="Arial" w:hAnsi="Arial" w:cs="Arial"/>
          <w:sz w:val="20"/>
        </w:rPr>
        <w:t>E.3</w:t>
      </w:r>
      <w:r w:rsidRPr="002F6C75">
        <w:rPr>
          <w:rFonts w:ascii="Arial" w:hAnsi="Arial" w:cs="Arial"/>
          <w:sz w:val="20"/>
        </w:rPr>
        <w:tab/>
        <w:t>FNS-44 Administrative Data Request for FY 202</w:t>
      </w:r>
      <w:r w:rsidRPr="002F6C75" w:rsidR="00FF54AA">
        <w:rPr>
          <w:rFonts w:ascii="Arial" w:hAnsi="Arial" w:cs="Arial"/>
          <w:sz w:val="20"/>
        </w:rPr>
        <w:t>3</w:t>
      </w:r>
      <w:r w:rsidRPr="002F6C75">
        <w:rPr>
          <w:rFonts w:ascii="Arial" w:hAnsi="Arial" w:cs="Arial"/>
          <w:sz w:val="20"/>
        </w:rPr>
        <w:t xml:space="preserve"> </w:t>
      </w:r>
    </w:p>
    <w:p w:rsidR="00D37702" w:rsidRPr="002F6C75" w:rsidP="00D37702" w14:paraId="2D3F5E0A" w14:textId="0F3C60DD">
      <w:pPr>
        <w:spacing w:after="120" w:line="240" w:lineRule="auto"/>
        <w:ind w:left="990" w:hanging="990"/>
        <w:rPr>
          <w:rFonts w:ascii="Arial" w:hAnsi="Arial" w:cs="Arial"/>
          <w:sz w:val="20"/>
        </w:rPr>
      </w:pPr>
      <w:r w:rsidRPr="002F6C75">
        <w:rPr>
          <w:rFonts w:ascii="Arial" w:hAnsi="Arial" w:cs="Arial"/>
          <w:sz w:val="20"/>
        </w:rPr>
        <w:t>F.1</w:t>
      </w:r>
      <w:r w:rsidRPr="002F6C75">
        <w:rPr>
          <w:rFonts w:ascii="Arial" w:hAnsi="Arial" w:cs="Arial"/>
          <w:sz w:val="20"/>
        </w:rPr>
        <w:tab/>
        <w:t xml:space="preserve">School Food Authority Director Survey </w:t>
      </w:r>
      <w:r w:rsidRPr="002F6C75" w:rsidR="00D066E6">
        <w:rPr>
          <w:rFonts w:ascii="Arial" w:hAnsi="Arial" w:cs="Arial"/>
          <w:sz w:val="20"/>
        </w:rPr>
        <w:t>SY 2023-2024</w:t>
      </w:r>
    </w:p>
    <w:p w:rsidR="00D37702" w:rsidRPr="002F6C75" w:rsidP="00D37702" w14:paraId="73075EA7" w14:textId="6F226E45">
      <w:pPr>
        <w:spacing w:after="120" w:line="240" w:lineRule="auto"/>
        <w:ind w:left="990" w:hanging="990"/>
        <w:rPr>
          <w:rFonts w:ascii="Arial" w:hAnsi="Arial" w:cs="Arial"/>
          <w:sz w:val="20"/>
        </w:rPr>
      </w:pPr>
      <w:r w:rsidRPr="002F6C75">
        <w:rPr>
          <w:rFonts w:ascii="Arial" w:hAnsi="Arial" w:cs="Arial"/>
          <w:sz w:val="20"/>
        </w:rPr>
        <w:t>F.2</w:t>
      </w:r>
      <w:r w:rsidRPr="002F6C75">
        <w:rPr>
          <w:rFonts w:ascii="Arial" w:hAnsi="Arial" w:cs="Arial"/>
          <w:sz w:val="20"/>
        </w:rPr>
        <w:tab/>
        <w:t xml:space="preserve">Screenshots of School Food Authority Director Survey </w:t>
      </w:r>
      <w:r w:rsidRPr="002F6C75" w:rsidR="00D066E6">
        <w:rPr>
          <w:rFonts w:ascii="Arial" w:hAnsi="Arial" w:cs="Arial"/>
          <w:sz w:val="20"/>
        </w:rPr>
        <w:t>SY 2023-2024</w:t>
      </w:r>
    </w:p>
    <w:p w:rsidR="00D37702" w:rsidRPr="00AB258C" w:rsidP="00D37702" w14:paraId="7CC70F45" w14:textId="77777777">
      <w:pPr>
        <w:spacing w:after="120" w:line="240" w:lineRule="auto"/>
        <w:ind w:left="990" w:hanging="990"/>
        <w:rPr>
          <w:rFonts w:ascii="Arial" w:hAnsi="Arial" w:cs="Arial"/>
          <w:sz w:val="20"/>
        </w:rPr>
      </w:pPr>
      <w:bookmarkStart w:id="8" w:name="_Hlk72950123"/>
      <w:r w:rsidRPr="00AB258C">
        <w:rPr>
          <w:rFonts w:ascii="Arial" w:hAnsi="Arial" w:cs="Arial"/>
          <w:sz w:val="20"/>
        </w:rPr>
        <w:t>G.1</w:t>
      </w:r>
      <w:r w:rsidRPr="00AB258C">
        <w:rPr>
          <w:rFonts w:ascii="Arial" w:hAnsi="Arial" w:cs="Arial"/>
          <w:sz w:val="20"/>
        </w:rPr>
        <w:tab/>
        <w:t>Notification from USDA FNS to Regional Offices</w:t>
      </w:r>
      <w:bookmarkEnd w:id="8"/>
    </w:p>
    <w:p w:rsidR="00D37702" w:rsidRPr="00AB258C" w:rsidP="00D37702" w14:paraId="7BA1CBC4" w14:textId="44D5B2D3">
      <w:pPr>
        <w:spacing w:after="120" w:line="240" w:lineRule="auto"/>
        <w:ind w:left="990" w:hanging="990"/>
        <w:rPr>
          <w:rFonts w:ascii="Arial" w:hAnsi="Arial" w:cs="Arial"/>
          <w:sz w:val="20"/>
        </w:rPr>
      </w:pPr>
      <w:r w:rsidRPr="00AB258C">
        <w:rPr>
          <w:rFonts w:ascii="Arial" w:hAnsi="Arial" w:cs="Arial"/>
          <w:sz w:val="20"/>
        </w:rPr>
        <w:t>G.2</w:t>
      </w:r>
      <w:r w:rsidRPr="00AB258C">
        <w:rPr>
          <w:rFonts w:ascii="Arial" w:hAnsi="Arial" w:cs="Arial"/>
          <w:sz w:val="20"/>
        </w:rPr>
        <w:tab/>
        <w:t>Study support email from FNS R</w:t>
      </w:r>
      <w:r w:rsidRPr="00AB258C" w:rsidR="00FF54AA">
        <w:rPr>
          <w:rFonts w:ascii="Arial" w:hAnsi="Arial" w:cs="Arial"/>
          <w:sz w:val="20"/>
        </w:rPr>
        <w:t>egional Offices</w:t>
      </w:r>
      <w:r w:rsidRPr="00AB258C">
        <w:rPr>
          <w:rFonts w:ascii="Arial" w:hAnsi="Arial" w:cs="Arial"/>
          <w:sz w:val="20"/>
        </w:rPr>
        <w:t xml:space="preserve"> to S</w:t>
      </w:r>
      <w:r w:rsidRPr="00AB258C" w:rsidR="00FF54AA">
        <w:rPr>
          <w:rFonts w:ascii="Arial" w:hAnsi="Arial" w:cs="Arial"/>
          <w:sz w:val="20"/>
        </w:rPr>
        <w:t xml:space="preserve">tate </w:t>
      </w:r>
      <w:r w:rsidRPr="00AB258C">
        <w:rPr>
          <w:rFonts w:ascii="Arial" w:hAnsi="Arial" w:cs="Arial"/>
          <w:sz w:val="20"/>
        </w:rPr>
        <w:t>A</w:t>
      </w:r>
      <w:r w:rsidRPr="00AB258C" w:rsidR="00FF54AA">
        <w:rPr>
          <w:rFonts w:ascii="Arial" w:hAnsi="Arial" w:cs="Arial"/>
          <w:sz w:val="20"/>
        </w:rPr>
        <w:t>gencies</w:t>
      </w:r>
    </w:p>
    <w:p w:rsidR="00D37702" w:rsidRPr="00AB258C" w:rsidP="00D37702" w14:paraId="0913083B" w14:textId="405001F2">
      <w:pPr>
        <w:spacing w:after="120" w:line="240" w:lineRule="auto"/>
        <w:ind w:left="990" w:hanging="990"/>
        <w:rPr>
          <w:rFonts w:ascii="Arial" w:hAnsi="Arial" w:cs="Arial"/>
          <w:sz w:val="20"/>
        </w:rPr>
      </w:pPr>
      <w:r w:rsidRPr="00AB258C">
        <w:rPr>
          <w:rFonts w:ascii="Arial" w:hAnsi="Arial" w:cs="Arial"/>
          <w:sz w:val="20"/>
        </w:rPr>
        <w:t>G.3</w:t>
      </w:r>
      <w:r w:rsidRPr="00AB258C">
        <w:rPr>
          <w:rFonts w:ascii="Arial" w:hAnsi="Arial" w:cs="Arial"/>
          <w:sz w:val="20"/>
        </w:rPr>
        <w:tab/>
        <w:t>S</w:t>
      </w:r>
      <w:r w:rsidRPr="00AB258C" w:rsidR="00FF54AA">
        <w:rPr>
          <w:rFonts w:ascii="Arial" w:hAnsi="Arial" w:cs="Arial"/>
          <w:sz w:val="20"/>
        </w:rPr>
        <w:t>tate Agency</w:t>
      </w:r>
      <w:r w:rsidRPr="00AB258C">
        <w:rPr>
          <w:rFonts w:ascii="Arial" w:hAnsi="Arial" w:cs="Arial"/>
          <w:sz w:val="20"/>
        </w:rPr>
        <w:t xml:space="preserve"> Advance </w:t>
      </w:r>
      <w:r w:rsidRPr="00AB258C" w:rsidR="00D97645">
        <w:rPr>
          <w:rFonts w:ascii="Arial" w:hAnsi="Arial" w:cs="Arial"/>
          <w:sz w:val="20"/>
        </w:rPr>
        <w:t>E</w:t>
      </w:r>
      <w:r w:rsidRPr="00AB258C">
        <w:rPr>
          <w:rFonts w:ascii="Arial" w:hAnsi="Arial" w:cs="Arial"/>
          <w:sz w:val="20"/>
        </w:rPr>
        <w:t>mail</w:t>
      </w:r>
    </w:p>
    <w:p w:rsidR="00D37702" w:rsidRPr="00AB258C" w:rsidP="00D37702" w14:paraId="3A2F73CF" w14:textId="77777777">
      <w:pPr>
        <w:spacing w:after="120" w:line="240" w:lineRule="auto"/>
        <w:ind w:left="990" w:hanging="990"/>
        <w:rPr>
          <w:rFonts w:ascii="Arial" w:hAnsi="Arial" w:cs="Arial"/>
          <w:sz w:val="20"/>
        </w:rPr>
      </w:pPr>
      <w:r w:rsidRPr="00AB258C">
        <w:rPr>
          <w:rFonts w:ascii="Arial" w:hAnsi="Arial" w:cs="Arial"/>
          <w:sz w:val="20"/>
        </w:rPr>
        <w:t>G.4</w:t>
      </w:r>
      <w:r w:rsidRPr="00AB258C">
        <w:rPr>
          <w:rFonts w:ascii="Arial" w:hAnsi="Arial" w:cs="Arial"/>
          <w:sz w:val="20"/>
        </w:rPr>
        <w:tab/>
        <w:t>Brochure</w:t>
      </w:r>
    </w:p>
    <w:p w:rsidR="00D37702" w:rsidRPr="00AB258C" w:rsidP="00D37702" w14:paraId="497AA4C4" w14:textId="117A48EE">
      <w:pPr>
        <w:spacing w:after="120" w:line="240" w:lineRule="auto"/>
        <w:ind w:left="990" w:hanging="990"/>
        <w:rPr>
          <w:rFonts w:ascii="Arial" w:hAnsi="Arial" w:cs="Arial"/>
          <w:sz w:val="20"/>
        </w:rPr>
      </w:pPr>
      <w:bookmarkStart w:id="9" w:name="_Hlk72950177"/>
      <w:r w:rsidRPr="00AB258C">
        <w:rPr>
          <w:rFonts w:ascii="Arial" w:hAnsi="Arial" w:cs="Arial"/>
          <w:sz w:val="20"/>
        </w:rPr>
        <w:t>G.5</w:t>
      </w:r>
      <w:r w:rsidRPr="00AB258C">
        <w:rPr>
          <w:rFonts w:ascii="Arial" w:hAnsi="Arial" w:cs="Arial"/>
          <w:sz w:val="20"/>
        </w:rPr>
        <w:tab/>
        <w:t xml:space="preserve">Telephone </w:t>
      </w:r>
      <w:r w:rsidRPr="00AB258C" w:rsidR="00D97645">
        <w:rPr>
          <w:rFonts w:ascii="Arial" w:hAnsi="Arial" w:cs="Arial"/>
          <w:sz w:val="20"/>
        </w:rPr>
        <w:t>M</w:t>
      </w:r>
      <w:r w:rsidRPr="00AB258C">
        <w:rPr>
          <w:rFonts w:ascii="Arial" w:hAnsi="Arial" w:cs="Arial"/>
          <w:sz w:val="20"/>
        </w:rPr>
        <w:t xml:space="preserve">eeting </w:t>
      </w:r>
      <w:r w:rsidRPr="00AB258C" w:rsidR="00D97645">
        <w:rPr>
          <w:rFonts w:ascii="Arial" w:hAnsi="Arial" w:cs="Arial"/>
          <w:sz w:val="20"/>
        </w:rPr>
        <w:t>A</w:t>
      </w:r>
      <w:r w:rsidRPr="00AB258C" w:rsidR="00482262">
        <w:rPr>
          <w:rFonts w:ascii="Arial" w:hAnsi="Arial" w:cs="Arial"/>
          <w:sz w:val="20"/>
        </w:rPr>
        <w:t xml:space="preserve">dvance </w:t>
      </w:r>
      <w:r w:rsidRPr="00AB258C" w:rsidR="00D97645">
        <w:rPr>
          <w:rFonts w:ascii="Arial" w:hAnsi="Arial" w:cs="Arial"/>
          <w:sz w:val="20"/>
        </w:rPr>
        <w:t>E</w:t>
      </w:r>
      <w:r w:rsidRPr="00AB258C" w:rsidR="00482262">
        <w:rPr>
          <w:rFonts w:ascii="Arial" w:hAnsi="Arial" w:cs="Arial"/>
          <w:sz w:val="20"/>
        </w:rPr>
        <w:t xml:space="preserve">mail and </w:t>
      </w:r>
      <w:r w:rsidRPr="00AB258C" w:rsidR="00D97645">
        <w:rPr>
          <w:rFonts w:ascii="Arial" w:hAnsi="Arial" w:cs="Arial"/>
          <w:sz w:val="20"/>
        </w:rPr>
        <w:t>T</w:t>
      </w:r>
      <w:r w:rsidRPr="00AB258C" w:rsidR="00B46BD1">
        <w:rPr>
          <w:rFonts w:ascii="Arial" w:hAnsi="Arial" w:cs="Arial"/>
          <w:sz w:val="20"/>
        </w:rPr>
        <w:t xml:space="preserve">elephone </w:t>
      </w:r>
      <w:r w:rsidRPr="00AB258C" w:rsidR="00D97645">
        <w:rPr>
          <w:rFonts w:ascii="Arial" w:hAnsi="Arial" w:cs="Arial"/>
          <w:sz w:val="20"/>
        </w:rPr>
        <w:t>S</w:t>
      </w:r>
      <w:r w:rsidRPr="00AB258C">
        <w:rPr>
          <w:rFonts w:ascii="Arial" w:hAnsi="Arial" w:cs="Arial"/>
          <w:sz w:val="20"/>
        </w:rPr>
        <w:t>cript</w:t>
      </w:r>
      <w:bookmarkEnd w:id="9"/>
    </w:p>
    <w:p w:rsidR="00D37702" w:rsidRPr="00AB258C" w:rsidP="00D37702" w14:paraId="010FC182" w14:textId="639284A6">
      <w:pPr>
        <w:spacing w:after="120" w:line="240" w:lineRule="auto"/>
        <w:ind w:left="990" w:hanging="990"/>
        <w:rPr>
          <w:rFonts w:ascii="Arial" w:hAnsi="Arial" w:cs="Arial"/>
          <w:sz w:val="20"/>
        </w:rPr>
      </w:pPr>
      <w:r w:rsidRPr="00AB258C">
        <w:rPr>
          <w:rFonts w:ascii="Arial" w:hAnsi="Arial" w:cs="Arial"/>
          <w:sz w:val="20"/>
        </w:rPr>
        <w:t>G.6</w:t>
      </w:r>
      <w:r w:rsidRPr="00AB258C">
        <w:rPr>
          <w:rFonts w:ascii="Arial" w:hAnsi="Arial" w:cs="Arial"/>
          <w:sz w:val="20"/>
        </w:rPr>
        <w:tab/>
        <w:t>S</w:t>
      </w:r>
      <w:r w:rsidRPr="00AB258C" w:rsidR="00B46BD1">
        <w:rPr>
          <w:rFonts w:ascii="Arial" w:hAnsi="Arial" w:cs="Arial"/>
          <w:sz w:val="20"/>
        </w:rPr>
        <w:t>tate Agency</w:t>
      </w:r>
      <w:r w:rsidRPr="00AB258C">
        <w:rPr>
          <w:rFonts w:ascii="Arial" w:hAnsi="Arial" w:cs="Arial"/>
          <w:sz w:val="20"/>
        </w:rPr>
        <w:t xml:space="preserve"> Invitation </w:t>
      </w:r>
      <w:r w:rsidRPr="00AB258C" w:rsidR="00D97645">
        <w:rPr>
          <w:rFonts w:ascii="Arial" w:hAnsi="Arial" w:cs="Arial"/>
          <w:sz w:val="20"/>
        </w:rPr>
        <w:t>E</w:t>
      </w:r>
      <w:r w:rsidRPr="00AB258C">
        <w:rPr>
          <w:rFonts w:ascii="Arial" w:hAnsi="Arial" w:cs="Arial"/>
          <w:sz w:val="20"/>
        </w:rPr>
        <w:t xml:space="preserve">mail </w:t>
      </w:r>
    </w:p>
    <w:p w:rsidR="00D37702" w:rsidRPr="00AB258C" w:rsidP="00D37702" w14:paraId="547F4495" w14:textId="6902BA8A">
      <w:pPr>
        <w:spacing w:after="120" w:line="240" w:lineRule="auto"/>
        <w:ind w:left="990" w:hanging="990"/>
        <w:rPr>
          <w:rFonts w:ascii="Arial" w:hAnsi="Arial" w:cs="Arial"/>
          <w:sz w:val="20"/>
        </w:rPr>
      </w:pPr>
      <w:r w:rsidRPr="00AB258C">
        <w:rPr>
          <w:rFonts w:ascii="Arial" w:hAnsi="Arial" w:cs="Arial"/>
          <w:sz w:val="20"/>
        </w:rPr>
        <w:t>G.7</w:t>
      </w:r>
      <w:r w:rsidRPr="00AB258C">
        <w:rPr>
          <w:rFonts w:ascii="Arial" w:hAnsi="Arial" w:cs="Arial"/>
          <w:sz w:val="20"/>
        </w:rPr>
        <w:tab/>
        <w:t xml:space="preserve">Reminder </w:t>
      </w:r>
      <w:r w:rsidRPr="00AB258C" w:rsidR="00D97645">
        <w:rPr>
          <w:rFonts w:ascii="Arial" w:hAnsi="Arial" w:cs="Arial"/>
          <w:sz w:val="20"/>
        </w:rPr>
        <w:t>E</w:t>
      </w:r>
      <w:r w:rsidRPr="00AB258C">
        <w:rPr>
          <w:rFonts w:ascii="Arial" w:hAnsi="Arial" w:cs="Arial"/>
          <w:sz w:val="20"/>
        </w:rPr>
        <w:t xml:space="preserve">mail </w:t>
      </w:r>
    </w:p>
    <w:p w:rsidR="00D37702" w:rsidRPr="00AB258C" w:rsidP="00D37702" w14:paraId="3176F65A" w14:textId="3297017C">
      <w:pPr>
        <w:spacing w:after="120" w:line="240" w:lineRule="auto"/>
        <w:ind w:left="990" w:hanging="990"/>
        <w:rPr>
          <w:rFonts w:ascii="Arial" w:hAnsi="Arial" w:cs="Arial"/>
          <w:sz w:val="20"/>
        </w:rPr>
      </w:pPr>
      <w:r w:rsidRPr="00AB258C">
        <w:rPr>
          <w:rFonts w:ascii="Arial" w:hAnsi="Arial" w:cs="Arial"/>
          <w:sz w:val="20"/>
        </w:rPr>
        <w:t>G.8</w:t>
      </w:r>
      <w:r w:rsidRPr="00AB258C">
        <w:rPr>
          <w:rFonts w:ascii="Arial" w:hAnsi="Arial" w:cs="Arial"/>
          <w:sz w:val="20"/>
        </w:rPr>
        <w:tab/>
        <w:t xml:space="preserve">Telephone </w:t>
      </w:r>
      <w:r w:rsidRPr="00AB258C" w:rsidR="00D97645">
        <w:rPr>
          <w:rFonts w:ascii="Arial" w:hAnsi="Arial" w:cs="Arial"/>
          <w:sz w:val="20"/>
        </w:rPr>
        <w:t>R</w:t>
      </w:r>
      <w:r w:rsidRPr="00AB258C">
        <w:rPr>
          <w:rFonts w:ascii="Arial" w:hAnsi="Arial" w:cs="Arial"/>
          <w:sz w:val="20"/>
        </w:rPr>
        <w:t xml:space="preserve">eminder </w:t>
      </w:r>
      <w:r w:rsidRPr="00AB258C" w:rsidR="00D97645">
        <w:rPr>
          <w:rFonts w:ascii="Arial" w:hAnsi="Arial" w:cs="Arial"/>
          <w:sz w:val="20"/>
        </w:rPr>
        <w:t>S</w:t>
      </w:r>
      <w:r w:rsidRPr="00AB258C">
        <w:rPr>
          <w:rFonts w:ascii="Arial" w:hAnsi="Arial" w:cs="Arial"/>
          <w:sz w:val="20"/>
        </w:rPr>
        <w:t xml:space="preserve">cript </w:t>
      </w:r>
    </w:p>
    <w:p w:rsidR="00D37702" w:rsidRPr="00AB258C" w:rsidP="00D37702" w14:paraId="3BD5A10E" w14:textId="39258540">
      <w:pPr>
        <w:spacing w:after="120" w:line="240" w:lineRule="auto"/>
        <w:ind w:left="990" w:hanging="990"/>
        <w:rPr>
          <w:rFonts w:ascii="Arial" w:hAnsi="Arial" w:cs="Arial"/>
          <w:sz w:val="20"/>
        </w:rPr>
      </w:pPr>
      <w:r w:rsidRPr="00AB258C">
        <w:rPr>
          <w:rFonts w:ascii="Arial" w:hAnsi="Arial" w:cs="Arial"/>
          <w:sz w:val="20"/>
        </w:rPr>
        <w:t>G.9</w:t>
      </w:r>
      <w:r w:rsidRPr="00AB258C">
        <w:rPr>
          <w:rFonts w:ascii="Arial" w:hAnsi="Arial" w:cs="Arial"/>
          <w:sz w:val="20"/>
        </w:rPr>
        <w:tab/>
        <w:t>S</w:t>
      </w:r>
      <w:r w:rsidRPr="00AB258C" w:rsidR="00B46BD1">
        <w:rPr>
          <w:rFonts w:ascii="Arial" w:hAnsi="Arial" w:cs="Arial"/>
          <w:sz w:val="20"/>
        </w:rPr>
        <w:t>tate Agency</w:t>
      </w:r>
      <w:r w:rsidRPr="00AB258C">
        <w:rPr>
          <w:rFonts w:ascii="Arial" w:hAnsi="Arial" w:cs="Arial"/>
          <w:sz w:val="20"/>
        </w:rPr>
        <w:t xml:space="preserve"> Last </w:t>
      </w:r>
      <w:r w:rsidRPr="00AB258C" w:rsidR="00D97645">
        <w:rPr>
          <w:rFonts w:ascii="Arial" w:hAnsi="Arial" w:cs="Arial"/>
          <w:sz w:val="20"/>
        </w:rPr>
        <w:t>C</w:t>
      </w:r>
      <w:r w:rsidRPr="00AB258C">
        <w:rPr>
          <w:rFonts w:ascii="Arial" w:hAnsi="Arial" w:cs="Arial"/>
          <w:sz w:val="20"/>
        </w:rPr>
        <w:t xml:space="preserve">hance </w:t>
      </w:r>
      <w:r w:rsidRPr="00AB258C" w:rsidR="00D97645">
        <w:rPr>
          <w:rFonts w:ascii="Arial" w:hAnsi="Arial" w:cs="Arial"/>
          <w:sz w:val="20"/>
        </w:rPr>
        <w:t>P</w:t>
      </w:r>
      <w:r w:rsidRPr="00AB258C">
        <w:rPr>
          <w:rFonts w:ascii="Arial" w:hAnsi="Arial" w:cs="Arial"/>
          <w:sz w:val="20"/>
        </w:rPr>
        <w:t xml:space="preserve">ost </w:t>
      </w:r>
      <w:r w:rsidRPr="00AB258C" w:rsidR="00D97645">
        <w:rPr>
          <w:rFonts w:ascii="Arial" w:hAnsi="Arial" w:cs="Arial"/>
          <w:sz w:val="20"/>
        </w:rPr>
        <w:t>C</w:t>
      </w:r>
      <w:r w:rsidRPr="00AB258C">
        <w:rPr>
          <w:rFonts w:ascii="Arial" w:hAnsi="Arial" w:cs="Arial"/>
          <w:sz w:val="20"/>
        </w:rPr>
        <w:t xml:space="preserve">ard </w:t>
      </w:r>
    </w:p>
    <w:p w:rsidR="00D37702" w:rsidRPr="00AB258C" w:rsidP="00D37702" w14:paraId="0D905F12" w14:textId="3B970856">
      <w:pPr>
        <w:spacing w:after="120" w:line="240" w:lineRule="auto"/>
        <w:ind w:left="990" w:hanging="990"/>
        <w:rPr>
          <w:rFonts w:ascii="Arial" w:hAnsi="Arial" w:cs="Arial"/>
          <w:sz w:val="20"/>
        </w:rPr>
      </w:pPr>
      <w:r w:rsidRPr="00AB258C">
        <w:rPr>
          <w:rFonts w:ascii="Arial" w:hAnsi="Arial" w:cs="Arial"/>
          <w:sz w:val="20"/>
        </w:rPr>
        <w:t>G.10</w:t>
      </w:r>
      <w:r w:rsidRPr="00AB258C">
        <w:rPr>
          <w:rFonts w:ascii="Arial" w:hAnsi="Arial" w:cs="Arial"/>
          <w:sz w:val="20"/>
        </w:rPr>
        <w:tab/>
        <w:t xml:space="preserve">Study </w:t>
      </w:r>
      <w:r w:rsidRPr="00AB258C" w:rsidR="00D97645">
        <w:rPr>
          <w:rFonts w:ascii="Arial" w:hAnsi="Arial" w:cs="Arial"/>
          <w:sz w:val="20"/>
        </w:rPr>
        <w:t>S</w:t>
      </w:r>
      <w:r w:rsidRPr="00AB258C">
        <w:rPr>
          <w:rFonts w:ascii="Arial" w:hAnsi="Arial" w:cs="Arial"/>
          <w:sz w:val="20"/>
        </w:rPr>
        <w:t xml:space="preserve">upport </w:t>
      </w:r>
      <w:r w:rsidRPr="00AB258C" w:rsidR="00D97645">
        <w:rPr>
          <w:rFonts w:ascii="Arial" w:hAnsi="Arial" w:cs="Arial"/>
          <w:sz w:val="20"/>
        </w:rPr>
        <w:t>E</w:t>
      </w:r>
      <w:r w:rsidRPr="00AB258C">
        <w:rPr>
          <w:rFonts w:ascii="Arial" w:hAnsi="Arial" w:cs="Arial"/>
          <w:sz w:val="20"/>
        </w:rPr>
        <w:t>mail from S</w:t>
      </w:r>
      <w:r w:rsidRPr="00AB258C" w:rsidR="00B46BD1">
        <w:rPr>
          <w:rFonts w:ascii="Arial" w:hAnsi="Arial" w:cs="Arial"/>
          <w:sz w:val="20"/>
        </w:rPr>
        <w:t xml:space="preserve">tate </w:t>
      </w:r>
      <w:r w:rsidRPr="00AB258C">
        <w:rPr>
          <w:rFonts w:ascii="Arial" w:hAnsi="Arial" w:cs="Arial"/>
          <w:sz w:val="20"/>
        </w:rPr>
        <w:t>A</w:t>
      </w:r>
      <w:r w:rsidRPr="00AB258C" w:rsidR="00B46BD1">
        <w:rPr>
          <w:rFonts w:ascii="Arial" w:hAnsi="Arial" w:cs="Arial"/>
          <w:sz w:val="20"/>
        </w:rPr>
        <w:t>gencies</w:t>
      </w:r>
      <w:r w:rsidRPr="00AB258C">
        <w:rPr>
          <w:rFonts w:ascii="Arial" w:hAnsi="Arial" w:cs="Arial"/>
          <w:sz w:val="20"/>
        </w:rPr>
        <w:t xml:space="preserve"> to SFA</w:t>
      </w:r>
      <w:r w:rsidRPr="00AB258C" w:rsidR="00B46BD1">
        <w:rPr>
          <w:rFonts w:ascii="Arial" w:hAnsi="Arial" w:cs="Arial"/>
          <w:sz w:val="20"/>
        </w:rPr>
        <w:t>s</w:t>
      </w:r>
      <w:r w:rsidRPr="00AB258C">
        <w:rPr>
          <w:rFonts w:ascii="Arial" w:hAnsi="Arial" w:cs="Arial"/>
          <w:sz w:val="20"/>
        </w:rPr>
        <w:t xml:space="preserve"> </w:t>
      </w:r>
    </w:p>
    <w:p w:rsidR="00D37702" w:rsidRPr="00AB258C" w:rsidP="00D37702" w14:paraId="769BE5DD" w14:textId="66927883">
      <w:pPr>
        <w:spacing w:after="120" w:line="240" w:lineRule="auto"/>
        <w:ind w:left="990" w:hanging="990"/>
        <w:rPr>
          <w:rFonts w:ascii="Arial" w:hAnsi="Arial" w:cs="Arial"/>
          <w:sz w:val="20"/>
        </w:rPr>
      </w:pPr>
      <w:r w:rsidRPr="00AB258C">
        <w:rPr>
          <w:rFonts w:ascii="Arial" w:hAnsi="Arial" w:cs="Arial"/>
          <w:sz w:val="20"/>
        </w:rPr>
        <w:t>G.11</w:t>
      </w:r>
      <w:r w:rsidRPr="00AB258C">
        <w:rPr>
          <w:rFonts w:ascii="Arial" w:hAnsi="Arial" w:cs="Arial"/>
          <w:sz w:val="20"/>
        </w:rPr>
        <w:tab/>
        <w:t xml:space="preserve">SFA Advance </w:t>
      </w:r>
      <w:r w:rsidRPr="00AB258C" w:rsidR="00D97645">
        <w:rPr>
          <w:rFonts w:ascii="Arial" w:hAnsi="Arial" w:cs="Arial"/>
          <w:sz w:val="20"/>
        </w:rPr>
        <w:t>E</w:t>
      </w:r>
      <w:r w:rsidRPr="00AB258C" w:rsidR="00B46BD1">
        <w:rPr>
          <w:rFonts w:ascii="Arial" w:hAnsi="Arial" w:cs="Arial"/>
          <w:sz w:val="20"/>
        </w:rPr>
        <w:t>mail</w:t>
      </w:r>
    </w:p>
    <w:p w:rsidR="00D37702" w:rsidRPr="00AB258C" w:rsidP="00D37702" w14:paraId="55CE558E" w14:textId="7CAA2A49">
      <w:pPr>
        <w:spacing w:after="120" w:line="240" w:lineRule="auto"/>
        <w:ind w:left="990" w:hanging="990"/>
        <w:rPr>
          <w:rFonts w:ascii="Arial" w:hAnsi="Arial" w:cs="Arial"/>
          <w:sz w:val="20"/>
        </w:rPr>
      </w:pPr>
      <w:r w:rsidRPr="00AB258C">
        <w:rPr>
          <w:rFonts w:ascii="Arial" w:hAnsi="Arial" w:cs="Arial"/>
          <w:sz w:val="20"/>
        </w:rPr>
        <w:t>G.12</w:t>
      </w:r>
      <w:r w:rsidRPr="00AB258C">
        <w:rPr>
          <w:rFonts w:ascii="Arial" w:hAnsi="Arial" w:cs="Arial"/>
          <w:sz w:val="20"/>
        </w:rPr>
        <w:tab/>
        <w:t xml:space="preserve">SFA Invitation </w:t>
      </w:r>
      <w:r w:rsidRPr="00AB258C" w:rsidR="00D97645">
        <w:rPr>
          <w:rFonts w:ascii="Arial" w:hAnsi="Arial" w:cs="Arial"/>
          <w:sz w:val="20"/>
        </w:rPr>
        <w:t>E</w:t>
      </w:r>
      <w:r w:rsidRPr="00AB258C">
        <w:rPr>
          <w:rFonts w:ascii="Arial" w:hAnsi="Arial" w:cs="Arial"/>
          <w:sz w:val="20"/>
        </w:rPr>
        <w:t xml:space="preserve">mail </w:t>
      </w:r>
    </w:p>
    <w:p w:rsidR="00D37702" w:rsidP="00D37702" w14:paraId="67B5159B" w14:textId="59450E90">
      <w:pPr>
        <w:spacing w:after="120" w:line="240" w:lineRule="auto"/>
        <w:ind w:left="990" w:hanging="990"/>
        <w:rPr>
          <w:rFonts w:ascii="Arial" w:hAnsi="Arial" w:cs="Arial"/>
          <w:sz w:val="20"/>
        </w:rPr>
      </w:pPr>
      <w:r w:rsidRPr="00AB258C">
        <w:rPr>
          <w:rFonts w:ascii="Arial" w:hAnsi="Arial" w:cs="Arial"/>
          <w:sz w:val="20"/>
        </w:rPr>
        <w:t>G.13</w:t>
      </w:r>
      <w:r w:rsidRPr="00AB258C">
        <w:rPr>
          <w:rFonts w:ascii="Arial" w:hAnsi="Arial" w:cs="Arial"/>
          <w:sz w:val="20"/>
        </w:rPr>
        <w:tab/>
        <w:t xml:space="preserve">SFA Last </w:t>
      </w:r>
      <w:r w:rsidRPr="00AB258C" w:rsidR="00D97645">
        <w:rPr>
          <w:rFonts w:ascii="Arial" w:hAnsi="Arial" w:cs="Arial"/>
          <w:sz w:val="20"/>
        </w:rPr>
        <w:t>C</w:t>
      </w:r>
      <w:r w:rsidRPr="00AB258C">
        <w:rPr>
          <w:rFonts w:ascii="Arial" w:hAnsi="Arial" w:cs="Arial"/>
          <w:sz w:val="20"/>
        </w:rPr>
        <w:t xml:space="preserve">hance </w:t>
      </w:r>
      <w:r w:rsidRPr="00AB258C" w:rsidR="00D97645">
        <w:rPr>
          <w:rFonts w:ascii="Arial" w:hAnsi="Arial" w:cs="Arial"/>
          <w:sz w:val="20"/>
        </w:rPr>
        <w:t>P</w:t>
      </w:r>
      <w:r w:rsidRPr="00AB258C">
        <w:rPr>
          <w:rFonts w:ascii="Arial" w:hAnsi="Arial" w:cs="Arial"/>
          <w:sz w:val="20"/>
        </w:rPr>
        <w:t xml:space="preserve">ost </w:t>
      </w:r>
      <w:r w:rsidRPr="00AB258C" w:rsidR="00D97645">
        <w:rPr>
          <w:rFonts w:ascii="Arial" w:hAnsi="Arial" w:cs="Arial"/>
          <w:sz w:val="20"/>
        </w:rPr>
        <w:t>C</w:t>
      </w:r>
      <w:r w:rsidRPr="00AB258C">
        <w:rPr>
          <w:rFonts w:ascii="Arial" w:hAnsi="Arial" w:cs="Arial"/>
          <w:sz w:val="20"/>
        </w:rPr>
        <w:t>ard</w:t>
      </w:r>
    </w:p>
    <w:p w:rsidR="00244B42" w:rsidP="00244B42" w14:paraId="1825F5F4" w14:textId="77777777">
      <w:pPr>
        <w:spacing w:after="120" w:line="240" w:lineRule="auto"/>
        <w:ind w:left="990" w:hanging="990"/>
        <w:rPr>
          <w:rFonts w:ascii="Arial" w:hAnsi="Arial" w:cs="Arial"/>
          <w:sz w:val="20"/>
        </w:rPr>
      </w:pPr>
      <w:r>
        <w:rPr>
          <w:rFonts w:ascii="Arial" w:hAnsi="Arial" w:cs="Arial"/>
          <w:sz w:val="20"/>
        </w:rPr>
        <w:t>H.1</w:t>
      </w:r>
      <w:r>
        <w:rPr>
          <w:rFonts w:ascii="Arial" w:hAnsi="Arial" w:cs="Arial"/>
          <w:sz w:val="20"/>
        </w:rPr>
        <w:tab/>
        <w:t>Public Comment 1</w:t>
      </w:r>
    </w:p>
    <w:p w:rsidR="00244B42" w:rsidP="00244B42" w14:paraId="035955D4" w14:textId="77777777">
      <w:pPr>
        <w:spacing w:after="120" w:line="240" w:lineRule="auto"/>
        <w:ind w:left="990" w:hanging="990"/>
        <w:rPr>
          <w:rFonts w:ascii="Arial" w:hAnsi="Arial" w:cs="Arial"/>
          <w:sz w:val="20"/>
        </w:rPr>
      </w:pPr>
      <w:r>
        <w:rPr>
          <w:rFonts w:ascii="Arial" w:hAnsi="Arial" w:cs="Arial"/>
          <w:sz w:val="20"/>
        </w:rPr>
        <w:t>H.2</w:t>
      </w:r>
      <w:r>
        <w:rPr>
          <w:rFonts w:ascii="Arial" w:hAnsi="Arial" w:cs="Arial"/>
          <w:sz w:val="20"/>
        </w:rPr>
        <w:tab/>
        <w:t>Public Comment 2</w:t>
      </w:r>
    </w:p>
    <w:p w:rsidR="00244B42" w:rsidP="00244B42" w14:paraId="153E64BC" w14:textId="77777777">
      <w:pPr>
        <w:spacing w:after="120" w:line="240" w:lineRule="auto"/>
        <w:ind w:left="990" w:hanging="990"/>
        <w:rPr>
          <w:rFonts w:ascii="Arial" w:hAnsi="Arial" w:cs="Arial"/>
          <w:sz w:val="20"/>
        </w:rPr>
      </w:pPr>
      <w:r>
        <w:rPr>
          <w:rFonts w:ascii="Arial" w:hAnsi="Arial" w:cs="Arial"/>
          <w:sz w:val="20"/>
        </w:rPr>
        <w:t>H.3</w:t>
      </w:r>
      <w:r>
        <w:rPr>
          <w:rFonts w:ascii="Arial" w:hAnsi="Arial" w:cs="Arial"/>
          <w:sz w:val="20"/>
        </w:rPr>
        <w:tab/>
        <w:t>Public Comment 3</w:t>
      </w:r>
    </w:p>
    <w:p w:rsidR="00244B42" w:rsidP="00244B42" w14:paraId="15AB350D" w14:textId="77777777">
      <w:pPr>
        <w:spacing w:after="120" w:line="240" w:lineRule="auto"/>
        <w:ind w:left="990" w:hanging="990"/>
        <w:rPr>
          <w:rFonts w:ascii="Arial" w:hAnsi="Arial" w:cs="Arial"/>
          <w:sz w:val="20"/>
        </w:rPr>
      </w:pPr>
      <w:r>
        <w:rPr>
          <w:rFonts w:ascii="Arial" w:hAnsi="Arial" w:cs="Arial"/>
          <w:sz w:val="20"/>
        </w:rPr>
        <w:t>H.4</w:t>
      </w:r>
      <w:r>
        <w:rPr>
          <w:rFonts w:ascii="Arial" w:hAnsi="Arial" w:cs="Arial"/>
          <w:sz w:val="20"/>
        </w:rPr>
        <w:tab/>
        <w:t>Public Comment 4</w:t>
      </w:r>
    </w:p>
    <w:p w:rsidR="00244B42" w:rsidP="00244B42" w14:paraId="641EE267" w14:textId="77777777">
      <w:pPr>
        <w:spacing w:after="120" w:line="240" w:lineRule="auto"/>
        <w:ind w:left="990" w:hanging="990"/>
        <w:rPr>
          <w:rFonts w:ascii="Arial" w:hAnsi="Arial" w:cs="Arial"/>
          <w:sz w:val="20"/>
        </w:rPr>
      </w:pPr>
      <w:r>
        <w:rPr>
          <w:rFonts w:ascii="Arial" w:hAnsi="Arial" w:cs="Arial"/>
          <w:sz w:val="20"/>
        </w:rPr>
        <w:t>H.5</w:t>
      </w:r>
      <w:r>
        <w:rPr>
          <w:rFonts w:ascii="Arial" w:hAnsi="Arial" w:cs="Arial"/>
          <w:sz w:val="20"/>
        </w:rPr>
        <w:tab/>
        <w:t>Public Comment 5</w:t>
      </w:r>
    </w:p>
    <w:p w:rsidR="00244B42" w:rsidP="00244B42" w14:paraId="0FE0697B" w14:textId="77777777">
      <w:pPr>
        <w:spacing w:after="120" w:line="240" w:lineRule="auto"/>
        <w:ind w:left="990" w:hanging="990"/>
        <w:rPr>
          <w:rFonts w:ascii="Arial" w:hAnsi="Arial" w:cs="Arial"/>
          <w:sz w:val="20"/>
        </w:rPr>
      </w:pPr>
      <w:r>
        <w:rPr>
          <w:rFonts w:ascii="Arial" w:hAnsi="Arial" w:cs="Arial"/>
          <w:sz w:val="20"/>
        </w:rPr>
        <w:t>H.6</w:t>
      </w:r>
      <w:r>
        <w:rPr>
          <w:rFonts w:ascii="Arial" w:hAnsi="Arial" w:cs="Arial"/>
          <w:sz w:val="20"/>
        </w:rPr>
        <w:tab/>
        <w:t>Public Comment 6</w:t>
      </w:r>
    </w:p>
    <w:p w:rsidR="00244B42" w:rsidP="00244B42" w14:paraId="2F3B41EA" w14:textId="77777777">
      <w:pPr>
        <w:spacing w:after="120" w:line="240" w:lineRule="auto"/>
        <w:ind w:left="990" w:hanging="990"/>
        <w:rPr>
          <w:rFonts w:ascii="Arial" w:hAnsi="Arial" w:cs="Arial"/>
          <w:sz w:val="20"/>
        </w:rPr>
      </w:pPr>
      <w:r>
        <w:rPr>
          <w:rFonts w:ascii="Arial" w:hAnsi="Arial" w:cs="Arial"/>
          <w:sz w:val="20"/>
        </w:rPr>
        <w:t>H.7</w:t>
      </w:r>
      <w:r>
        <w:rPr>
          <w:rFonts w:ascii="Arial" w:hAnsi="Arial" w:cs="Arial"/>
          <w:sz w:val="20"/>
        </w:rPr>
        <w:tab/>
        <w:t>Public Comment 7</w:t>
      </w:r>
    </w:p>
    <w:p w:rsidR="00244B42" w:rsidP="00244B42" w14:paraId="0F5C8A9F" w14:textId="77777777">
      <w:pPr>
        <w:spacing w:after="120" w:line="240" w:lineRule="auto"/>
        <w:ind w:left="990" w:hanging="990"/>
        <w:rPr>
          <w:rFonts w:ascii="Arial" w:hAnsi="Arial" w:cs="Arial"/>
          <w:sz w:val="20"/>
        </w:rPr>
      </w:pPr>
      <w:r>
        <w:rPr>
          <w:rFonts w:ascii="Arial" w:hAnsi="Arial" w:cs="Arial"/>
          <w:sz w:val="20"/>
        </w:rPr>
        <w:t>H.8</w:t>
      </w:r>
      <w:r>
        <w:rPr>
          <w:rFonts w:ascii="Arial" w:hAnsi="Arial" w:cs="Arial"/>
          <w:sz w:val="20"/>
        </w:rPr>
        <w:tab/>
        <w:t>Response to Public Comment 1</w:t>
      </w:r>
    </w:p>
    <w:p w:rsidR="00244B42" w:rsidP="00244B42" w14:paraId="6C3EBCB7" w14:textId="77777777">
      <w:pPr>
        <w:spacing w:after="120" w:line="240" w:lineRule="auto"/>
        <w:ind w:left="990" w:hanging="990"/>
        <w:rPr>
          <w:rFonts w:ascii="Arial" w:hAnsi="Arial" w:cs="Arial"/>
          <w:sz w:val="20"/>
        </w:rPr>
      </w:pPr>
      <w:r>
        <w:rPr>
          <w:rFonts w:ascii="Arial" w:hAnsi="Arial" w:cs="Arial"/>
          <w:sz w:val="20"/>
        </w:rPr>
        <w:t>H.9</w:t>
      </w:r>
      <w:r>
        <w:rPr>
          <w:rFonts w:ascii="Arial" w:hAnsi="Arial" w:cs="Arial"/>
          <w:sz w:val="20"/>
        </w:rPr>
        <w:tab/>
        <w:t>Response to Public Comment 2</w:t>
      </w:r>
    </w:p>
    <w:p w:rsidR="00244B42" w:rsidP="00244B42" w14:paraId="3DDAB935" w14:textId="77777777">
      <w:pPr>
        <w:spacing w:after="120" w:line="240" w:lineRule="auto"/>
        <w:ind w:left="990" w:hanging="990"/>
        <w:rPr>
          <w:rFonts w:ascii="Arial" w:hAnsi="Arial" w:cs="Arial"/>
          <w:sz w:val="20"/>
        </w:rPr>
      </w:pPr>
      <w:r>
        <w:rPr>
          <w:rFonts w:ascii="Arial" w:hAnsi="Arial" w:cs="Arial"/>
          <w:sz w:val="20"/>
        </w:rPr>
        <w:t>H.10</w:t>
      </w:r>
      <w:r>
        <w:rPr>
          <w:rFonts w:ascii="Arial" w:hAnsi="Arial" w:cs="Arial"/>
          <w:sz w:val="20"/>
        </w:rPr>
        <w:tab/>
        <w:t>Response to Public Comment 3</w:t>
      </w:r>
    </w:p>
    <w:p w:rsidR="00244B42" w:rsidP="00244B42" w14:paraId="0B00027F" w14:textId="77777777">
      <w:pPr>
        <w:spacing w:after="120" w:line="240" w:lineRule="auto"/>
        <w:ind w:left="990" w:hanging="990"/>
        <w:rPr>
          <w:rFonts w:ascii="Arial" w:hAnsi="Arial" w:cs="Arial"/>
          <w:sz w:val="20"/>
        </w:rPr>
      </w:pPr>
      <w:r>
        <w:rPr>
          <w:rFonts w:ascii="Arial" w:hAnsi="Arial" w:cs="Arial"/>
          <w:sz w:val="20"/>
        </w:rPr>
        <w:t>H.11</w:t>
      </w:r>
      <w:r>
        <w:rPr>
          <w:rFonts w:ascii="Arial" w:hAnsi="Arial" w:cs="Arial"/>
          <w:sz w:val="20"/>
        </w:rPr>
        <w:tab/>
        <w:t>Response to Public Comment 6</w:t>
      </w:r>
    </w:p>
    <w:p w:rsidR="00244B42" w:rsidRPr="00237E1F" w:rsidP="00244B42" w14:paraId="1A6C6641" w14:textId="77777777">
      <w:pPr>
        <w:spacing w:after="120" w:line="240" w:lineRule="auto"/>
        <w:ind w:left="990" w:hanging="990"/>
        <w:rPr>
          <w:rFonts w:ascii="Arial" w:hAnsi="Arial" w:cs="Arial"/>
          <w:sz w:val="20"/>
        </w:rPr>
      </w:pPr>
      <w:r>
        <w:rPr>
          <w:rFonts w:ascii="Arial" w:hAnsi="Arial" w:cs="Arial"/>
          <w:sz w:val="20"/>
        </w:rPr>
        <w:t>H.12</w:t>
      </w:r>
      <w:r>
        <w:rPr>
          <w:rFonts w:ascii="Arial" w:hAnsi="Arial" w:cs="Arial"/>
          <w:sz w:val="20"/>
        </w:rPr>
        <w:tab/>
        <w:t>Response to Public Comment 7</w:t>
      </w:r>
    </w:p>
    <w:p w:rsidR="00244B42" w:rsidRPr="00AB258C" w:rsidP="00244B42" w14:paraId="494C88B9" w14:textId="4B9B9438">
      <w:pPr>
        <w:spacing w:after="120" w:line="240" w:lineRule="auto"/>
        <w:ind w:left="990" w:hanging="990"/>
        <w:rPr>
          <w:rFonts w:ascii="Arial" w:hAnsi="Arial" w:cs="Arial"/>
          <w:sz w:val="20"/>
        </w:rPr>
      </w:pPr>
      <w:r w:rsidRPr="00287F7B">
        <w:rPr>
          <w:rFonts w:ascii="Arial" w:hAnsi="Arial" w:cs="Arial"/>
          <w:sz w:val="20"/>
        </w:rPr>
        <w:t>I.</w:t>
      </w:r>
      <w:r w:rsidRPr="00287F7B">
        <w:rPr>
          <w:rFonts w:ascii="Arial" w:hAnsi="Arial" w:cs="Arial"/>
          <w:sz w:val="20"/>
        </w:rPr>
        <w:tab/>
      </w:r>
      <w:r>
        <w:rPr>
          <w:rFonts w:ascii="Arial" w:hAnsi="Arial" w:cs="Arial"/>
          <w:sz w:val="20"/>
        </w:rPr>
        <w:t>National Agricultural Statistics Service Comments and FNS Response</w:t>
      </w:r>
    </w:p>
    <w:p w:rsidR="00D37702" w:rsidRPr="002F6C75" w:rsidP="00D37702" w14:paraId="3866215B" w14:textId="77777777">
      <w:pPr>
        <w:spacing w:after="120" w:line="240" w:lineRule="auto"/>
        <w:ind w:left="990" w:hanging="990"/>
        <w:rPr>
          <w:rFonts w:ascii="Arial" w:hAnsi="Arial" w:cs="Arial"/>
          <w:sz w:val="20"/>
        </w:rPr>
      </w:pPr>
      <w:r w:rsidRPr="002F6C75">
        <w:rPr>
          <w:rFonts w:ascii="Arial" w:hAnsi="Arial" w:cs="Arial"/>
          <w:sz w:val="20"/>
        </w:rPr>
        <w:t>J</w:t>
      </w:r>
      <w:r w:rsidRPr="002F6C75">
        <w:rPr>
          <w:rFonts w:ascii="Arial" w:hAnsi="Arial" w:cs="Arial"/>
          <w:sz w:val="20"/>
        </w:rPr>
        <w:tab/>
        <w:t>Confidentiality Pledge</w:t>
      </w:r>
    </w:p>
    <w:p w:rsidR="00D37702" w:rsidRPr="002F6C75" w:rsidP="00D37702" w14:paraId="411A83CA" w14:textId="77777777">
      <w:pPr>
        <w:spacing w:after="120" w:line="240" w:lineRule="auto"/>
        <w:ind w:left="990" w:hanging="990"/>
        <w:rPr>
          <w:rFonts w:ascii="Arial" w:hAnsi="Arial" w:cs="Arial"/>
          <w:sz w:val="20"/>
        </w:rPr>
      </w:pPr>
      <w:r w:rsidRPr="002F6C75">
        <w:rPr>
          <w:rFonts w:ascii="Arial" w:hAnsi="Arial" w:cs="Arial"/>
          <w:sz w:val="20"/>
        </w:rPr>
        <w:t>K</w:t>
      </w:r>
      <w:r w:rsidRPr="002F6C75">
        <w:rPr>
          <w:rFonts w:ascii="Arial" w:hAnsi="Arial" w:cs="Arial"/>
          <w:sz w:val="20"/>
        </w:rPr>
        <w:tab/>
        <w:t xml:space="preserve">Estimated Annualized Burden </w:t>
      </w:r>
    </w:p>
    <w:p w:rsidR="00D37702" w:rsidRPr="002F6C75" w:rsidP="00D37702" w14:paraId="313EAD28" w14:textId="77777777">
      <w:pPr>
        <w:spacing w:after="120" w:line="240" w:lineRule="auto"/>
        <w:ind w:left="990" w:hanging="990"/>
        <w:rPr>
          <w:rFonts w:ascii="Arial" w:hAnsi="Arial" w:cs="Arial"/>
          <w:sz w:val="20"/>
        </w:rPr>
      </w:pPr>
      <w:r w:rsidRPr="002F6C75">
        <w:rPr>
          <w:rFonts w:ascii="Arial" w:hAnsi="Arial" w:cs="Arial"/>
          <w:sz w:val="20"/>
        </w:rPr>
        <w:t>L</w:t>
      </w:r>
      <w:r w:rsidRPr="002F6C75">
        <w:rPr>
          <w:rFonts w:ascii="Arial" w:hAnsi="Arial" w:cs="Arial"/>
          <w:sz w:val="20"/>
        </w:rPr>
        <w:tab/>
        <w:t>FNS-742 School Food Authority Verification Collection Report</w:t>
      </w:r>
    </w:p>
    <w:p w:rsidR="00D37702" w:rsidRPr="002F6C75" w:rsidP="00D37702" w14:paraId="4C85AA07" w14:textId="38C7F865">
      <w:pPr>
        <w:spacing w:after="120" w:line="240" w:lineRule="auto"/>
        <w:ind w:left="990" w:hanging="990"/>
        <w:rPr>
          <w:rFonts w:ascii="Arial" w:hAnsi="Arial" w:cs="Arial"/>
          <w:sz w:val="20"/>
        </w:rPr>
      </w:pPr>
      <w:bookmarkStart w:id="10" w:name="_Hlk75949923"/>
      <w:r w:rsidRPr="002F6C75">
        <w:rPr>
          <w:rFonts w:ascii="Arial" w:hAnsi="Arial" w:cs="Arial"/>
          <w:sz w:val="20"/>
        </w:rPr>
        <w:t>M</w:t>
      </w:r>
      <w:r w:rsidRPr="002F6C75">
        <w:rPr>
          <w:rFonts w:ascii="Arial" w:hAnsi="Arial" w:cs="Arial"/>
          <w:sz w:val="20"/>
        </w:rPr>
        <w:tab/>
        <w:t xml:space="preserve">SMO Option Period </w:t>
      </w:r>
      <w:r w:rsidRPr="002F6C75" w:rsidR="00B46BD1">
        <w:rPr>
          <w:rFonts w:ascii="Arial" w:hAnsi="Arial" w:cs="Arial"/>
          <w:sz w:val="20"/>
        </w:rPr>
        <w:t>2</w:t>
      </w:r>
      <w:r w:rsidRPr="002F6C75">
        <w:rPr>
          <w:rFonts w:ascii="Arial" w:hAnsi="Arial" w:cs="Arial"/>
          <w:sz w:val="20"/>
        </w:rPr>
        <w:t xml:space="preserve"> Pre-test Findings Memo</w:t>
      </w:r>
    </w:p>
    <w:bookmarkEnd w:id="10"/>
    <w:p w:rsidR="00F32757" w:rsidRPr="009C2D05" w:rsidP="00DB36E3" w14:paraId="33F85BB4" w14:textId="0AFB840B">
      <w:pPr>
        <w:spacing w:after="120" w:line="240" w:lineRule="auto"/>
        <w:ind w:left="720" w:hanging="720"/>
        <w:rPr>
          <w:rFonts w:asciiTheme="majorHAnsi" w:hAnsiTheme="majorHAnsi" w:cstheme="majorHAnsi"/>
          <w:sz w:val="20"/>
          <w:highlight w:val="green"/>
        </w:rPr>
        <w:sectPr w:rsidSect="00C76143">
          <w:headerReference w:type="default" r:id="rId12"/>
          <w:footerReference w:type="default" r:id="rId13"/>
          <w:pgSz w:w="12240" w:h="15840" w:code="1"/>
          <w:pgMar w:top="1440" w:right="1440" w:bottom="1440" w:left="1440" w:header="720" w:footer="720" w:gutter="0"/>
          <w:pgNumType w:fmt="lowerRoman" w:start="1"/>
          <w:cols w:space="360"/>
          <w:docGrid w:linePitch="360"/>
        </w:sectPr>
      </w:pPr>
    </w:p>
    <w:p w:rsidR="00934E17" w:rsidRPr="00934E17" w:rsidP="00934E17" w14:paraId="54233C66" w14:textId="72528197">
      <w:pPr>
        <w:pStyle w:val="H1"/>
      </w:pPr>
      <w:bookmarkStart w:id="11" w:name="_Toc133502225"/>
      <w:r w:rsidRPr="00934E17">
        <w:t>B1.</w:t>
      </w:r>
      <w:r w:rsidRPr="00934E17">
        <w:tab/>
        <w:t>Respondent Universe and Sampling Methods</w:t>
      </w:r>
      <w:bookmarkEnd w:id="11"/>
    </w:p>
    <w:p w:rsidR="00A03D99" w:rsidRPr="00FE6E00" w:rsidP="00DA5BC3" w14:paraId="0BCA451B" w14:textId="7E9866C1">
      <w:pPr>
        <w:spacing w:line="240" w:lineRule="auto"/>
        <w:ind w:right="-20"/>
        <w:rPr>
          <w:rFonts w:ascii="Times New Roman" w:hAnsi="Times New Roman"/>
          <w:szCs w:val="24"/>
        </w:rPr>
      </w:pPr>
      <w:r w:rsidRPr="00FE6E00">
        <w:rPr>
          <w:rFonts w:ascii="Times New Roman" w:hAnsi="Times New Roman"/>
          <w:b/>
          <w:bCs/>
          <w:szCs w:val="24"/>
        </w:rPr>
        <w:t>Describe (including a numerical estimate) the potential respondent universe and any</w:t>
      </w:r>
      <w:r w:rsidRPr="00FE6E00">
        <w:rPr>
          <w:rFonts w:ascii="Times New Roman" w:hAnsi="Times New Roman"/>
          <w:szCs w:val="24"/>
        </w:rPr>
        <w:t xml:space="preserve"> </w:t>
      </w:r>
      <w:r w:rsidRPr="00FE6E00">
        <w:rPr>
          <w:rFonts w:ascii="Times New Roman" w:hAnsi="Times New Roman"/>
          <w:b/>
          <w:bCs/>
          <w:szCs w:val="24"/>
        </w:rPr>
        <w:t>sampling or other respondent selection method to be used.</w:t>
      </w:r>
      <w:r w:rsidR="00934E17">
        <w:rPr>
          <w:rFonts w:ascii="Times New Roman" w:hAnsi="Times New Roman"/>
          <w:b/>
          <w:bCs/>
          <w:szCs w:val="24"/>
        </w:rPr>
        <w:t xml:space="preserve"> </w:t>
      </w:r>
      <w:r w:rsidRPr="00FE6E00">
        <w:rPr>
          <w:rFonts w:ascii="Times New Roman" w:hAnsi="Times New Roman"/>
          <w:b/>
          <w:bCs/>
          <w:szCs w:val="24"/>
        </w:rPr>
        <w:t xml:space="preserve">Data on the number of entities (e.g., establishments, State and local government units, households, or persons) in the universe covered by the collection and in the corresponding sample are to be provided in tabular form for the universe as a </w:t>
      </w:r>
      <w:r w:rsidRPr="00FE6E00">
        <w:rPr>
          <w:rFonts w:ascii="Times New Roman" w:hAnsi="Times New Roman"/>
          <w:b/>
          <w:bCs/>
          <w:spacing w:val="-2"/>
          <w:szCs w:val="24"/>
        </w:rPr>
        <w:t>w</w:t>
      </w:r>
      <w:r w:rsidRPr="00FE6E00">
        <w:rPr>
          <w:rFonts w:ascii="Times New Roman" w:hAnsi="Times New Roman"/>
          <w:b/>
          <w:bCs/>
          <w:szCs w:val="24"/>
        </w:rPr>
        <w:t xml:space="preserve">hole and for each of the strata in the proposed sample. Indicate expected response rates for the collection as a </w:t>
      </w:r>
      <w:r w:rsidRPr="00FE6E00">
        <w:rPr>
          <w:rFonts w:ascii="Times New Roman" w:hAnsi="Times New Roman"/>
          <w:b/>
          <w:bCs/>
          <w:spacing w:val="-2"/>
          <w:szCs w:val="24"/>
        </w:rPr>
        <w:t>w</w:t>
      </w:r>
      <w:r w:rsidRPr="00FE6E00">
        <w:rPr>
          <w:rFonts w:ascii="Times New Roman" w:hAnsi="Times New Roman"/>
          <w:b/>
          <w:bCs/>
          <w:szCs w:val="24"/>
        </w:rPr>
        <w:t>hole. If the collection had been conducted previously, include the actual response rate achieved during the last collection.</w:t>
      </w:r>
    </w:p>
    <w:p w:rsidR="00CB35B0" w:rsidP="00B0225A" w14:paraId="60D877AF" w14:textId="5FC526CB">
      <w:pPr>
        <w:spacing w:after="0" w:line="480" w:lineRule="auto"/>
        <w:ind w:firstLine="432"/>
      </w:pPr>
      <w:r>
        <w:t xml:space="preserve">Two </w:t>
      </w:r>
      <w:r w:rsidR="00D87DB9">
        <w:t xml:space="preserve">web-based surveys will be conducted, </w:t>
      </w:r>
      <w:r>
        <w:t xml:space="preserve">one </w:t>
      </w:r>
      <w:r w:rsidR="00D87DB9">
        <w:t xml:space="preserve">with State Child Nutrition (CN) </w:t>
      </w:r>
      <w:r w:rsidR="000D5B9A">
        <w:t>D</w:t>
      </w:r>
      <w:r w:rsidR="00D87DB9">
        <w:t>irectors</w:t>
      </w:r>
      <w:r w:rsidR="00DA79E9">
        <w:t xml:space="preserve"> and </w:t>
      </w:r>
      <w:r>
        <w:t>one</w:t>
      </w:r>
      <w:r w:rsidR="00756948">
        <w:t xml:space="preserve"> </w:t>
      </w:r>
      <w:r w:rsidR="00DA79E9">
        <w:t xml:space="preserve">with </w:t>
      </w:r>
      <w:r w:rsidR="00756948">
        <w:t xml:space="preserve">school food authority </w:t>
      </w:r>
      <w:r w:rsidR="00DA79E9">
        <w:t>(SFA)</w:t>
      </w:r>
      <w:r w:rsidR="00AD7E97">
        <w:t xml:space="preserve"> </w:t>
      </w:r>
      <w:r w:rsidR="000D5B9A">
        <w:t>D</w:t>
      </w:r>
      <w:r w:rsidR="00AD7E97">
        <w:t>irectors</w:t>
      </w:r>
      <w:r w:rsidR="00D87DB9">
        <w:t xml:space="preserve">. </w:t>
      </w:r>
      <w:r w:rsidR="001F3C20">
        <w:t xml:space="preserve">The respondent universe for </w:t>
      </w:r>
      <w:r w:rsidRPr="00B0225A" w:rsidR="00B0225A">
        <w:t xml:space="preserve">the State </w:t>
      </w:r>
      <w:r w:rsidR="00202CF8">
        <w:t xml:space="preserve">Agency </w:t>
      </w:r>
      <w:r w:rsidRPr="00B0225A" w:rsidR="00B0225A">
        <w:t>Child Nutrition Director Survey</w:t>
      </w:r>
      <w:r w:rsidR="00ED2AC6">
        <w:t>s</w:t>
      </w:r>
      <w:r w:rsidRPr="00B0225A" w:rsidR="00B0225A">
        <w:t xml:space="preserve"> (</w:t>
      </w:r>
      <w:r w:rsidRPr="00B0225A" w:rsidR="008246DB">
        <w:t>Appendices</w:t>
      </w:r>
      <w:r w:rsidR="008246DB">
        <w:t xml:space="preserve"> D.1</w:t>
      </w:r>
      <w:r>
        <w:t xml:space="preserve"> and D.2</w:t>
      </w:r>
      <w:r w:rsidRPr="00B0225A" w:rsidR="00B0225A">
        <w:t>)</w:t>
      </w:r>
      <w:r w:rsidR="00B0225A">
        <w:t xml:space="preserve"> </w:t>
      </w:r>
      <w:r w:rsidR="001F3C20">
        <w:t xml:space="preserve">includes </w:t>
      </w:r>
      <w:r w:rsidR="00D628B9">
        <w:t>56</w:t>
      </w:r>
      <w:r w:rsidR="000724F1">
        <w:t xml:space="preserve"> </w:t>
      </w:r>
      <w:r w:rsidR="00186F0D">
        <w:t>S</w:t>
      </w:r>
      <w:r w:rsidR="00F90663">
        <w:t xml:space="preserve">tate </w:t>
      </w:r>
      <w:r w:rsidR="00186F0D">
        <w:t xml:space="preserve">CN </w:t>
      </w:r>
      <w:r w:rsidR="000D5B9A">
        <w:t>D</w:t>
      </w:r>
      <w:r w:rsidR="00186F0D">
        <w:t>irectors</w:t>
      </w:r>
      <w:r w:rsidR="00C233E4">
        <w:t xml:space="preserve"> </w:t>
      </w:r>
      <w:r w:rsidR="00C233E4">
        <w:rPr>
          <w:rFonts w:eastAsia="Calibri" w:cstheme="minorHAnsi"/>
          <w:szCs w:val="24"/>
        </w:rPr>
        <w:t xml:space="preserve">that oversee the </w:t>
      </w:r>
      <w:r w:rsidRPr="00AB6579" w:rsidR="00C233E4">
        <w:rPr>
          <w:rFonts w:eastAsia="Calibri" w:cstheme="minorHAnsi"/>
          <w:szCs w:val="24"/>
        </w:rPr>
        <w:t>National School Lunch Program (NSLP), the School Breakfast Program (SBP),</w:t>
      </w:r>
      <w:r w:rsidR="00C233E4">
        <w:rPr>
          <w:rFonts w:eastAsia="Calibri" w:cstheme="minorHAnsi"/>
          <w:szCs w:val="24"/>
        </w:rPr>
        <w:t xml:space="preserve"> </w:t>
      </w:r>
      <w:r w:rsidR="006138FF">
        <w:rPr>
          <w:rFonts w:eastAsia="Calibri" w:cstheme="minorHAnsi"/>
          <w:szCs w:val="24"/>
        </w:rPr>
        <w:t xml:space="preserve">and </w:t>
      </w:r>
      <w:r w:rsidR="00C233E4">
        <w:rPr>
          <w:rFonts w:eastAsia="Calibri" w:cstheme="minorHAnsi"/>
          <w:szCs w:val="24"/>
        </w:rPr>
        <w:t xml:space="preserve">NSLP </w:t>
      </w:r>
      <w:r w:rsidRPr="00734EE3" w:rsidR="00C233E4">
        <w:rPr>
          <w:rFonts w:eastAsia="Calibri" w:cstheme="minorHAnsi"/>
          <w:szCs w:val="24"/>
        </w:rPr>
        <w:t>S</w:t>
      </w:r>
      <w:r w:rsidR="00C233E4">
        <w:rPr>
          <w:rFonts w:eastAsia="Calibri" w:cstheme="minorHAnsi"/>
          <w:szCs w:val="24"/>
        </w:rPr>
        <w:t xml:space="preserve">eamless </w:t>
      </w:r>
      <w:r w:rsidRPr="00734EE3" w:rsidR="00C233E4">
        <w:rPr>
          <w:rFonts w:eastAsia="Calibri" w:cstheme="minorHAnsi"/>
          <w:szCs w:val="24"/>
        </w:rPr>
        <w:t>S</w:t>
      </w:r>
      <w:r w:rsidR="00C233E4">
        <w:rPr>
          <w:rFonts w:eastAsia="Calibri" w:cstheme="minorHAnsi"/>
          <w:szCs w:val="24"/>
        </w:rPr>
        <w:t xml:space="preserve">ummer </w:t>
      </w:r>
      <w:r w:rsidRPr="00734EE3" w:rsidR="00C233E4">
        <w:rPr>
          <w:rFonts w:eastAsia="Calibri" w:cstheme="minorHAnsi"/>
          <w:szCs w:val="24"/>
        </w:rPr>
        <w:t>O</w:t>
      </w:r>
      <w:r w:rsidR="00C233E4">
        <w:rPr>
          <w:rFonts w:eastAsia="Calibri" w:cstheme="minorHAnsi"/>
          <w:szCs w:val="24"/>
        </w:rPr>
        <w:t>ption (SSO)</w:t>
      </w:r>
      <w:r w:rsidRPr="00734EE3" w:rsidR="00C233E4">
        <w:rPr>
          <w:rFonts w:eastAsia="Calibri" w:cstheme="minorHAnsi"/>
          <w:szCs w:val="24"/>
        </w:rPr>
        <w:t>,</w:t>
      </w:r>
      <w:r w:rsidR="00ED4747">
        <w:rPr>
          <w:rFonts w:eastAsia="Calibri" w:cstheme="minorHAnsi"/>
          <w:szCs w:val="24"/>
        </w:rPr>
        <w:t xml:space="preserve"> </w:t>
      </w:r>
      <w:r w:rsidR="00C233E4">
        <w:rPr>
          <w:rFonts w:eastAsia="Calibri" w:cstheme="minorHAnsi"/>
          <w:szCs w:val="24"/>
        </w:rPr>
        <w:t>in the</w:t>
      </w:r>
      <w:r w:rsidR="00B46AFB">
        <w:rPr>
          <w:rFonts w:eastAsia="Calibri" w:cstheme="minorHAnsi"/>
          <w:szCs w:val="24"/>
        </w:rPr>
        <w:t xml:space="preserve"> 50 </w:t>
      </w:r>
      <w:r w:rsidR="00C233E4">
        <w:rPr>
          <w:rFonts w:eastAsia="Calibri" w:cstheme="minorHAnsi"/>
          <w:szCs w:val="24"/>
        </w:rPr>
        <w:t>State</w:t>
      </w:r>
      <w:r w:rsidR="00B46AFB">
        <w:rPr>
          <w:rFonts w:eastAsia="Calibri" w:cstheme="minorHAnsi"/>
          <w:szCs w:val="24"/>
        </w:rPr>
        <w:t>s</w:t>
      </w:r>
      <w:r w:rsidR="00C233E4">
        <w:rPr>
          <w:rFonts w:eastAsia="Calibri" w:cstheme="minorHAnsi"/>
          <w:szCs w:val="24"/>
        </w:rPr>
        <w:t>, District of Columbia, Guam, Puerto Rico, and U.S. Virgin Islands</w:t>
      </w:r>
      <w:r w:rsidR="00186F0D">
        <w:t xml:space="preserve">. </w:t>
      </w:r>
    </w:p>
    <w:p w:rsidR="00F40226" w:rsidP="009847B0" w14:paraId="0D65E595" w14:textId="6876A0C3">
      <w:pPr>
        <w:spacing w:after="0" w:line="480" w:lineRule="auto"/>
        <w:ind w:firstLine="432"/>
      </w:pPr>
      <w:r>
        <w:t>The respondent universe for the School Food Authority Director Survey (Appendi</w:t>
      </w:r>
      <w:r w:rsidR="00932E2F">
        <w:t>ces</w:t>
      </w:r>
      <w:r>
        <w:t xml:space="preserve"> </w:t>
      </w:r>
      <w:r w:rsidR="008246DB">
        <w:t>F</w:t>
      </w:r>
      <w:r w:rsidR="000D6748">
        <w:t>.1 and F.2</w:t>
      </w:r>
      <w:r>
        <w:t xml:space="preserve">) includes </w:t>
      </w:r>
      <w:r w:rsidR="000A1981">
        <w:t xml:space="preserve">all </w:t>
      </w:r>
      <w:r>
        <w:t xml:space="preserve">SFAs operating in public </w:t>
      </w:r>
      <w:r w:rsidRPr="004E54F8" w:rsidR="00055969">
        <w:t>and private</w:t>
      </w:r>
      <w:r w:rsidR="00055969">
        <w:t xml:space="preserve"> </w:t>
      </w:r>
      <w:r>
        <w:t xml:space="preserve">school districts (including charters) in the United States and outlying territories that were required to submit form </w:t>
      </w:r>
      <w:bookmarkStart w:id="12" w:name="_Hlk73043961"/>
      <w:r>
        <w:t xml:space="preserve">FNS-742 </w:t>
      </w:r>
      <w:bookmarkEnd w:id="12"/>
      <w:r>
        <w:t xml:space="preserve">School Food Authority </w:t>
      </w:r>
      <w:r w:rsidR="00586106">
        <w:t xml:space="preserve">Verification Collection Report </w:t>
      </w:r>
      <w:r>
        <w:t>(</w:t>
      </w:r>
      <w:r w:rsidRPr="00F26871">
        <w:t>OMB number 0584-0594</w:t>
      </w:r>
      <w:r w:rsidRPr="00F26871" w:rsidR="00044E6F">
        <w:t xml:space="preserve"> Food Programs Reporting System (FPRS)</w:t>
      </w:r>
      <w:r w:rsidRPr="00F26871">
        <w:t xml:space="preserve">, expiration date </w:t>
      </w:r>
      <w:r w:rsidR="00597E2E">
        <w:t>July 31, 2023</w:t>
      </w:r>
      <w:r>
        <w:t xml:space="preserve">) (Appendix L) to FNS in </w:t>
      </w:r>
      <w:r w:rsidR="00AF53B5">
        <w:t>school year (SY)</w:t>
      </w:r>
      <w:r>
        <w:t xml:space="preserve"> </w:t>
      </w:r>
      <w:r w:rsidRPr="00F26871">
        <w:t>20</w:t>
      </w:r>
      <w:r w:rsidRPr="00F26871" w:rsidR="003E15F9">
        <w:t>2</w:t>
      </w:r>
      <w:r w:rsidRPr="00F26871" w:rsidR="00B46BD1">
        <w:t>2</w:t>
      </w:r>
      <w:r w:rsidRPr="00F26871">
        <w:t>-</w:t>
      </w:r>
      <w:r w:rsidRPr="00F26871" w:rsidR="005C0670">
        <w:t>20</w:t>
      </w:r>
      <w:r w:rsidRPr="00F26871">
        <w:t>2</w:t>
      </w:r>
      <w:r w:rsidRPr="00F26871" w:rsidR="00B46BD1">
        <w:t>3</w:t>
      </w:r>
      <w:r>
        <w:t xml:space="preserve">. In general, all SFAs that participated in the </w:t>
      </w:r>
      <w:r w:rsidR="00756948">
        <w:t>NSLP</w:t>
      </w:r>
      <w:r>
        <w:t xml:space="preserve"> or the </w:t>
      </w:r>
      <w:r w:rsidR="00756948">
        <w:t>SB</w:t>
      </w:r>
      <w:r w:rsidR="00ED2AC6">
        <w:t>P</w:t>
      </w:r>
      <w:r>
        <w:t xml:space="preserve"> are included in the respondent universe except SFAs associated </w:t>
      </w:r>
      <w:r w:rsidRPr="004E54F8">
        <w:t>with</w:t>
      </w:r>
      <w:r w:rsidRPr="004E54F8" w:rsidR="00055969">
        <w:t xml:space="preserve"> </w:t>
      </w:r>
      <w:r w:rsidRPr="004E54F8">
        <w:t>Federally-administered schools</w:t>
      </w:r>
      <w:r>
        <w:t xml:space="preserve">. </w:t>
      </w:r>
    </w:p>
    <w:p w:rsidR="00F40226" w:rsidP="00F40226" w14:paraId="617634B1" w14:textId="3288EFAC">
      <w:pPr>
        <w:spacing w:after="0" w:line="480" w:lineRule="auto"/>
        <w:ind w:firstLine="432"/>
      </w:pPr>
      <w:r>
        <w:t xml:space="preserve">The sampling frame is based on the latest available FNS-742 file, supplemented with school district-level characteristics from the U.S. Department of Education’s </w:t>
      </w:r>
      <w:r w:rsidR="004E54F8">
        <w:t xml:space="preserve">National Center for Education Statistics (NCES) </w:t>
      </w:r>
      <w:r>
        <w:t xml:space="preserve">and district-level estimates of school-age children in poverty from the U.S. Census Bureau’s Small Area Income and Poverty Estimates file. This will result in a respondent universe of </w:t>
      </w:r>
      <w:r w:rsidRPr="00F26871">
        <w:t xml:space="preserve">approximately </w:t>
      </w:r>
      <w:r w:rsidRPr="00F26871" w:rsidR="008622A8">
        <w:t>18,821</w:t>
      </w:r>
      <w:r w:rsidRPr="00F26871">
        <w:t xml:space="preserve"> SFAs</w:t>
      </w:r>
      <w:r>
        <w:t xml:space="preserve">. Table B.1.1 summarizes the distribution of </w:t>
      </w:r>
      <w:r>
        <w:t>eligible SFAs in the sampling frame by sampling stratum, which is based on SFA enrollment size and poverty status (defined as the percentage of students in the SFA that are eligible for free</w:t>
      </w:r>
      <w:r w:rsidR="006C1441">
        <w:t xml:space="preserve"> or </w:t>
      </w:r>
      <w:r>
        <w:t xml:space="preserve">reduced-price </w:t>
      </w:r>
      <w:r w:rsidR="00885D2C">
        <w:t>meals</w:t>
      </w:r>
      <w:r>
        <w:t>).</w:t>
      </w:r>
    </w:p>
    <w:p w:rsidR="009C7D12" w:rsidRPr="001A718C" w:rsidP="009C7D12" w14:paraId="71EE1D3B" w14:textId="77777777">
      <w:pPr>
        <w:pStyle w:val="TableTitle"/>
        <w:rPr>
          <w:rFonts w:ascii="Garamond" w:hAnsi="Garamond" w:cs="Garamond"/>
          <w:sz w:val="23"/>
          <w:szCs w:val="23"/>
        </w:rPr>
      </w:pPr>
      <w:bookmarkStart w:id="13" w:name="_Toc36800868"/>
      <w:bookmarkStart w:id="14" w:name="_Hlk125379834"/>
      <w:bookmarkStart w:id="15" w:name="_Toc133502233"/>
      <w:r>
        <w:t>Table B1.1.</w:t>
      </w:r>
      <w:r w:rsidRPr="001A718C">
        <w:t xml:space="preserve"> SFA sample allocation by stratum</w:t>
      </w:r>
      <w:bookmarkEnd w:id="13"/>
      <w:bookmarkEnd w:id="15"/>
    </w:p>
    <w:tbl>
      <w:tblPr>
        <w:tblStyle w:val="TableGrid1"/>
        <w:tblW w:w="5096" w:type="pct"/>
        <w:tblCellMar>
          <w:left w:w="43" w:type="dxa"/>
          <w:right w:w="43" w:type="dxa"/>
        </w:tblCellMar>
        <w:tblLook w:val="04A0"/>
      </w:tblPr>
      <w:tblGrid>
        <w:gridCol w:w="866"/>
        <w:gridCol w:w="1376"/>
        <w:gridCol w:w="1446"/>
        <w:gridCol w:w="1250"/>
        <w:gridCol w:w="1187"/>
        <w:gridCol w:w="1080"/>
        <w:gridCol w:w="1080"/>
        <w:gridCol w:w="1255"/>
      </w:tblGrid>
      <w:tr w14:paraId="038980CC" w14:textId="77777777" w:rsidTr="00A95C6F">
        <w:tblPrEx>
          <w:tblW w:w="5096" w:type="pct"/>
          <w:tblCellMar>
            <w:left w:w="43" w:type="dxa"/>
            <w:right w:w="43" w:type="dxa"/>
          </w:tblCellMar>
          <w:tblLook w:val="04A0"/>
        </w:tblPrEx>
        <w:trPr>
          <w:tblHeader/>
        </w:trPr>
        <w:tc>
          <w:tcPr>
            <w:tcW w:w="454" w:type="pct"/>
            <w:tcBorders>
              <w:top w:val="nil"/>
              <w:left w:val="nil"/>
              <w:bottom w:val="nil"/>
              <w:right w:val="nil"/>
            </w:tcBorders>
            <w:shd w:val="clear" w:color="auto" w:fill="6C6F70"/>
            <w:vAlign w:val="bottom"/>
          </w:tcPr>
          <w:p w:rsidR="009C7D12" w:rsidRPr="005E0369" w:rsidP="009C7D12" w14:paraId="56E4430A" w14:textId="77777777">
            <w:pPr>
              <w:pStyle w:val="TableHeaderCenter"/>
              <w:rPr>
                <w:rFonts w:eastAsia="Calibri" w:cstheme="majorHAnsi"/>
              </w:rPr>
            </w:pPr>
            <w:r w:rsidRPr="005E0369">
              <w:rPr>
                <w:rFonts w:eastAsia="Calibri" w:cstheme="majorHAnsi"/>
              </w:rPr>
              <w:t>Stratum</w:t>
            </w:r>
          </w:p>
        </w:tc>
        <w:tc>
          <w:tcPr>
            <w:tcW w:w="721" w:type="pct"/>
            <w:tcBorders>
              <w:top w:val="nil"/>
              <w:left w:val="nil"/>
              <w:bottom w:val="nil"/>
              <w:right w:val="nil"/>
            </w:tcBorders>
            <w:shd w:val="clear" w:color="auto" w:fill="6C6F70"/>
            <w:vAlign w:val="bottom"/>
          </w:tcPr>
          <w:p w:rsidR="009C7D12" w:rsidRPr="005E0369" w:rsidP="009C7D12" w14:paraId="0DECB1F9" w14:textId="77777777">
            <w:pPr>
              <w:pStyle w:val="TableHeaderCenter"/>
              <w:rPr>
                <w:rFonts w:eastAsia="Calibri" w:cstheme="majorHAnsi"/>
              </w:rPr>
            </w:pPr>
            <w:r w:rsidRPr="005E0369">
              <w:rPr>
                <w:rFonts w:eastAsia="Calibri" w:cstheme="majorHAnsi"/>
              </w:rPr>
              <w:t>SFA size (student enrollment)</w:t>
            </w:r>
          </w:p>
        </w:tc>
        <w:tc>
          <w:tcPr>
            <w:tcW w:w="758" w:type="pct"/>
            <w:tcBorders>
              <w:top w:val="nil"/>
              <w:left w:val="nil"/>
              <w:bottom w:val="nil"/>
              <w:right w:val="nil"/>
            </w:tcBorders>
            <w:shd w:val="clear" w:color="auto" w:fill="6C6F70"/>
            <w:vAlign w:val="bottom"/>
          </w:tcPr>
          <w:p w:rsidR="009C7D12" w:rsidRPr="005E0369" w:rsidP="009C7D12" w14:paraId="4C74610B" w14:textId="77777777">
            <w:pPr>
              <w:pStyle w:val="TableHeaderCenter"/>
              <w:rPr>
                <w:rFonts w:eastAsia="Calibri" w:cstheme="majorHAnsi"/>
              </w:rPr>
            </w:pPr>
            <w:r w:rsidRPr="005E0369">
              <w:rPr>
                <w:rFonts w:eastAsia="Calibri" w:cstheme="majorHAnsi"/>
              </w:rPr>
              <w:t>Poverty level (percentage approved for F/RP meals)</w:t>
            </w:r>
          </w:p>
        </w:tc>
        <w:tc>
          <w:tcPr>
            <w:tcW w:w="655" w:type="pct"/>
            <w:tcBorders>
              <w:top w:val="nil"/>
              <w:left w:val="nil"/>
              <w:bottom w:val="nil"/>
              <w:right w:val="nil"/>
            </w:tcBorders>
            <w:shd w:val="clear" w:color="auto" w:fill="6C6F70"/>
            <w:vAlign w:val="bottom"/>
          </w:tcPr>
          <w:p w:rsidR="009C7D12" w:rsidRPr="005E0369" w:rsidP="009C7D12" w14:paraId="27BBB6B1" w14:textId="25169990">
            <w:pPr>
              <w:pStyle w:val="TableHeaderCenter"/>
              <w:rPr>
                <w:rFonts w:eastAsia="Calibri" w:cstheme="majorHAnsi"/>
              </w:rPr>
            </w:pPr>
            <w:r w:rsidRPr="005E0369">
              <w:rPr>
                <w:rFonts w:eastAsia="Calibri" w:cstheme="majorHAnsi"/>
              </w:rPr>
              <w:t xml:space="preserve">Total </w:t>
            </w:r>
            <w:r w:rsidRPr="005E0369">
              <w:rPr>
                <w:rFonts w:eastAsia="Calibri" w:cstheme="majorHAnsi"/>
              </w:rPr>
              <w:t>population</w:t>
            </w:r>
            <w:r w:rsidRPr="003F6B98" w:rsidR="00171B69">
              <w:rPr>
                <w:rFonts w:eastAsia="Calibri" w:cstheme="majorHAnsi"/>
                <w:vertAlign w:val="superscript"/>
              </w:rPr>
              <w:t>a</w:t>
            </w:r>
          </w:p>
        </w:tc>
        <w:tc>
          <w:tcPr>
            <w:tcW w:w="622" w:type="pct"/>
            <w:tcBorders>
              <w:top w:val="nil"/>
              <w:left w:val="nil"/>
              <w:bottom w:val="nil"/>
              <w:right w:val="nil"/>
            </w:tcBorders>
            <w:shd w:val="clear" w:color="auto" w:fill="6C6F70"/>
            <w:vAlign w:val="bottom"/>
          </w:tcPr>
          <w:p w:rsidR="009C7D12" w:rsidRPr="005E0369" w:rsidP="009C7D12" w14:paraId="675C7A04" w14:textId="77777777">
            <w:pPr>
              <w:pStyle w:val="TableHeaderCenter"/>
              <w:rPr>
                <w:rFonts w:eastAsia="Calibri" w:cstheme="majorHAnsi"/>
              </w:rPr>
            </w:pPr>
            <w:r w:rsidRPr="005E0369">
              <w:rPr>
                <w:rFonts w:eastAsia="Calibri" w:cstheme="majorHAnsi"/>
              </w:rPr>
              <w:t>Augmented sample selected</w:t>
            </w:r>
          </w:p>
        </w:tc>
        <w:tc>
          <w:tcPr>
            <w:tcW w:w="566" w:type="pct"/>
            <w:tcBorders>
              <w:top w:val="nil"/>
              <w:left w:val="nil"/>
              <w:bottom w:val="nil"/>
              <w:right w:val="nil"/>
            </w:tcBorders>
            <w:shd w:val="clear" w:color="auto" w:fill="6C6F70"/>
            <w:vAlign w:val="bottom"/>
          </w:tcPr>
          <w:p w:rsidR="009C7D12" w:rsidRPr="005E0369" w:rsidP="009C7D12" w14:paraId="61C1E3DC" w14:textId="77777777">
            <w:pPr>
              <w:pStyle w:val="TableHeaderCenter"/>
              <w:rPr>
                <w:rFonts w:eastAsia="Calibri" w:cstheme="majorHAnsi"/>
              </w:rPr>
            </w:pPr>
            <w:r w:rsidRPr="005E0369">
              <w:rPr>
                <w:rFonts w:eastAsia="Calibri" w:cstheme="majorHAnsi"/>
              </w:rPr>
              <w:t>Initially released sample</w:t>
            </w:r>
          </w:p>
        </w:tc>
        <w:tc>
          <w:tcPr>
            <w:tcW w:w="566" w:type="pct"/>
            <w:tcBorders>
              <w:top w:val="nil"/>
              <w:left w:val="nil"/>
              <w:bottom w:val="nil"/>
              <w:right w:val="nil"/>
            </w:tcBorders>
            <w:shd w:val="clear" w:color="auto" w:fill="6C6F70"/>
            <w:vAlign w:val="bottom"/>
          </w:tcPr>
          <w:p w:rsidR="009C7D12" w:rsidRPr="005E0369" w:rsidP="009C7D12" w14:paraId="664F6B27" w14:textId="7612EFB6">
            <w:pPr>
              <w:pStyle w:val="TableHeaderCenter"/>
              <w:rPr>
                <w:rFonts w:eastAsia="Calibri" w:cstheme="majorHAnsi"/>
              </w:rPr>
            </w:pPr>
            <w:r>
              <w:rPr>
                <w:rFonts w:eastAsia="Calibri" w:cstheme="majorHAnsi"/>
              </w:rPr>
              <w:t xml:space="preserve">Reserve </w:t>
            </w:r>
            <w:r w:rsidR="00AD7E97">
              <w:rPr>
                <w:rFonts w:eastAsia="Calibri" w:cstheme="majorHAnsi"/>
              </w:rPr>
              <w:t>s</w:t>
            </w:r>
            <w:r>
              <w:rPr>
                <w:rFonts w:eastAsia="Calibri" w:cstheme="majorHAnsi"/>
              </w:rPr>
              <w:t>ample</w:t>
            </w:r>
          </w:p>
        </w:tc>
        <w:tc>
          <w:tcPr>
            <w:tcW w:w="658" w:type="pct"/>
            <w:tcBorders>
              <w:top w:val="nil"/>
              <w:left w:val="nil"/>
              <w:bottom w:val="nil"/>
              <w:right w:val="nil"/>
            </w:tcBorders>
            <w:shd w:val="clear" w:color="auto" w:fill="6C6F70"/>
            <w:vAlign w:val="bottom"/>
          </w:tcPr>
          <w:p w:rsidR="009C7D12" w:rsidRPr="005E0369" w:rsidP="009C7D12" w14:paraId="0FCE9728" w14:textId="05D59547">
            <w:pPr>
              <w:pStyle w:val="TableHeaderCenter"/>
              <w:rPr>
                <w:rFonts w:eastAsia="Calibri" w:cstheme="majorHAnsi"/>
              </w:rPr>
            </w:pPr>
            <w:r w:rsidRPr="005E0369">
              <w:rPr>
                <w:rFonts w:eastAsia="Calibri" w:cstheme="majorHAnsi"/>
              </w:rPr>
              <w:t xml:space="preserve">Expected survey </w:t>
            </w:r>
            <w:r w:rsidRPr="005E0369">
              <w:rPr>
                <w:rFonts w:eastAsia="Calibri" w:cstheme="majorHAnsi"/>
              </w:rPr>
              <w:t>completes</w:t>
            </w:r>
            <w:r w:rsidRPr="003F6B98" w:rsidR="00171B69">
              <w:rPr>
                <w:rFonts w:eastAsia="Calibri" w:cstheme="majorHAnsi"/>
                <w:vertAlign w:val="superscript"/>
              </w:rPr>
              <w:t>b</w:t>
            </w:r>
          </w:p>
        </w:tc>
      </w:tr>
      <w:tr w14:paraId="04F07D5E" w14:textId="77777777" w:rsidTr="00A95C6F">
        <w:tblPrEx>
          <w:tblW w:w="5096" w:type="pct"/>
          <w:tblCellMar>
            <w:left w:w="43" w:type="dxa"/>
            <w:right w:w="43" w:type="dxa"/>
          </w:tblCellMar>
          <w:tblLook w:val="04A0"/>
        </w:tblPrEx>
        <w:tc>
          <w:tcPr>
            <w:tcW w:w="454" w:type="pct"/>
            <w:tcBorders>
              <w:top w:val="nil"/>
              <w:left w:val="nil"/>
              <w:bottom w:val="single" w:sz="4" w:space="0" w:color="auto"/>
              <w:right w:val="nil"/>
            </w:tcBorders>
          </w:tcPr>
          <w:p w:rsidR="009C7D12" w:rsidRPr="005E0369" w:rsidP="009C7D12" w14:paraId="4D1ECC7A" w14:textId="77777777">
            <w:pPr>
              <w:pStyle w:val="TableTextLeft"/>
              <w:spacing w:before="40" w:after="40"/>
              <w:rPr>
                <w:rFonts w:eastAsia="Calibri" w:cstheme="majorHAnsi"/>
              </w:rPr>
            </w:pPr>
            <w:r w:rsidRPr="005E0369">
              <w:rPr>
                <w:rFonts w:eastAsia="Calibri" w:cstheme="majorHAnsi"/>
              </w:rPr>
              <w:t>1</w:t>
            </w:r>
          </w:p>
        </w:tc>
        <w:tc>
          <w:tcPr>
            <w:tcW w:w="721" w:type="pct"/>
            <w:tcBorders>
              <w:top w:val="nil"/>
              <w:left w:val="nil"/>
              <w:bottom w:val="single" w:sz="4" w:space="0" w:color="auto"/>
              <w:right w:val="nil"/>
            </w:tcBorders>
          </w:tcPr>
          <w:p w:rsidR="009C7D12" w:rsidRPr="005E0369" w:rsidP="009C7D12" w14:paraId="31975144" w14:textId="77777777">
            <w:pPr>
              <w:pStyle w:val="TableTextLeft"/>
              <w:spacing w:before="40" w:after="40"/>
              <w:rPr>
                <w:rFonts w:eastAsia="Calibri" w:cstheme="majorHAnsi"/>
              </w:rPr>
            </w:pPr>
            <w:r w:rsidRPr="005E0369">
              <w:rPr>
                <w:rFonts w:eastAsia="Calibri" w:cstheme="majorHAnsi"/>
              </w:rPr>
              <w:t>1–499</w:t>
            </w:r>
          </w:p>
        </w:tc>
        <w:tc>
          <w:tcPr>
            <w:tcW w:w="758" w:type="pct"/>
            <w:tcBorders>
              <w:top w:val="nil"/>
              <w:left w:val="nil"/>
              <w:bottom w:val="single" w:sz="4" w:space="0" w:color="auto"/>
              <w:right w:val="nil"/>
            </w:tcBorders>
          </w:tcPr>
          <w:p w:rsidR="009C7D12" w:rsidRPr="000D5B9A" w:rsidP="009C7D12" w14:paraId="15157B97" w14:textId="77777777">
            <w:pPr>
              <w:pStyle w:val="TableTextLeft"/>
              <w:tabs>
                <w:tab w:val="decimal" w:pos="732"/>
              </w:tabs>
              <w:spacing w:before="40" w:after="40"/>
              <w:rPr>
                <w:rFonts w:eastAsia="Calibri" w:cstheme="majorHAnsi"/>
              </w:rPr>
            </w:pPr>
            <w:r w:rsidRPr="000D5B9A">
              <w:rPr>
                <w:rFonts w:eastAsia="Calibri" w:cstheme="majorHAnsi"/>
              </w:rPr>
              <w:t>&lt;60%</w:t>
            </w:r>
          </w:p>
        </w:tc>
        <w:tc>
          <w:tcPr>
            <w:tcW w:w="655" w:type="pct"/>
            <w:tcBorders>
              <w:top w:val="nil"/>
              <w:left w:val="nil"/>
              <w:bottom w:val="single" w:sz="4" w:space="0" w:color="auto"/>
              <w:right w:val="nil"/>
            </w:tcBorders>
          </w:tcPr>
          <w:p w:rsidR="009C7D12" w:rsidRPr="00F26871" w:rsidP="009C7D12" w14:paraId="74331A2E" w14:textId="71DCB855">
            <w:pPr>
              <w:pStyle w:val="TableTextLeft"/>
              <w:tabs>
                <w:tab w:val="decimal" w:pos="798"/>
              </w:tabs>
              <w:spacing w:before="40" w:after="40"/>
              <w:rPr>
                <w:rFonts w:eastAsia="Calibri" w:cstheme="majorHAnsi"/>
              </w:rPr>
            </w:pPr>
            <w:r w:rsidRPr="00F26871">
              <w:rPr>
                <w:rFonts w:eastAsia="Calibri"/>
              </w:rPr>
              <w:t>5,337</w:t>
            </w:r>
          </w:p>
        </w:tc>
        <w:tc>
          <w:tcPr>
            <w:tcW w:w="622" w:type="pct"/>
            <w:tcBorders>
              <w:top w:val="nil"/>
              <w:left w:val="nil"/>
              <w:bottom w:val="single" w:sz="4" w:space="0" w:color="auto"/>
              <w:right w:val="nil"/>
            </w:tcBorders>
          </w:tcPr>
          <w:p w:rsidR="009C7D12" w:rsidRPr="00F26871" w:rsidP="009C7D12" w14:paraId="67805E1B" w14:textId="3B9893F5">
            <w:pPr>
              <w:pStyle w:val="TableTextLeft"/>
              <w:tabs>
                <w:tab w:val="decimal" w:pos="730"/>
              </w:tabs>
              <w:spacing w:before="40" w:after="40"/>
              <w:rPr>
                <w:rFonts w:eastAsia="Calibri" w:cstheme="majorHAnsi"/>
              </w:rPr>
            </w:pPr>
            <w:r w:rsidRPr="00F26871">
              <w:rPr>
                <w:rFonts w:eastAsia="Calibri"/>
              </w:rPr>
              <w:t>372</w:t>
            </w:r>
          </w:p>
        </w:tc>
        <w:tc>
          <w:tcPr>
            <w:tcW w:w="566" w:type="pct"/>
            <w:tcBorders>
              <w:top w:val="nil"/>
              <w:left w:val="nil"/>
              <w:bottom w:val="single" w:sz="4" w:space="0" w:color="auto"/>
              <w:right w:val="nil"/>
            </w:tcBorders>
          </w:tcPr>
          <w:p w:rsidR="009C7D12" w:rsidRPr="00F26871" w:rsidP="009C7D12" w14:paraId="42A71457" w14:textId="6770FA3D">
            <w:pPr>
              <w:pStyle w:val="TableTextLeft"/>
              <w:tabs>
                <w:tab w:val="decimal" w:pos="730"/>
              </w:tabs>
              <w:spacing w:before="40" w:after="40"/>
              <w:rPr>
                <w:rFonts w:eastAsia="Calibri" w:cstheme="majorHAnsi"/>
              </w:rPr>
            </w:pPr>
            <w:r w:rsidRPr="00F26871">
              <w:rPr>
                <w:rFonts w:eastAsia="Calibri"/>
              </w:rPr>
              <w:t>298</w:t>
            </w:r>
          </w:p>
        </w:tc>
        <w:tc>
          <w:tcPr>
            <w:tcW w:w="566" w:type="pct"/>
            <w:tcBorders>
              <w:top w:val="nil"/>
              <w:left w:val="nil"/>
              <w:bottom w:val="single" w:sz="4" w:space="0" w:color="auto"/>
              <w:right w:val="nil"/>
            </w:tcBorders>
          </w:tcPr>
          <w:p w:rsidR="009C7D12" w:rsidRPr="00F26871" w:rsidP="009C7D12" w14:paraId="1EC421FA" w14:textId="77777777">
            <w:pPr>
              <w:pStyle w:val="TableTextLeft"/>
              <w:tabs>
                <w:tab w:val="decimal" w:pos="730"/>
              </w:tabs>
              <w:spacing w:before="40" w:after="40"/>
              <w:rPr>
                <w:rFonts w:eastAsia="Calibri"/>
              </w:rPr>
            </w:pPr>
            <w:r w:rsidRPr="00F26871">
              <w:rPr>
                <w:rFonts w:eastAsia="Calibri"/>
              </w:rPr>
              <w:t>46</w:t>
            </w:r>
          </w:p>
        </w:tc>
        <w:tc>
          <w:tcPr>
            <w:tcW w:w="658" w:type="pct"/>
            <w:tcBorders>
              <w:top w:val="nil"/>
              <w:left w:val="nil"/>
              <w:bottom w:val="single" w:sz="4" w:space="0" w:color="auto"/>
              <w:right w:val="nil"/>
            </w:tcBorders>
          </w:tcPr>
          <w:p w:rsidR="009C7D12" w:rsidRPr="00F26871" w:rsidP="009C7D12" w14:paraId="65583B86" w14:textId="743CE700">
            <w:pPr>
              <w:pStyle w:val="TableTextLeft"/>
              <w:tabs>
                <w:tab w:val="decimal" w:pos="730"/>
              </w:tabs>
              <w:spacing w:before="40" w:after="40"/>
              <w:rPr>
                <w:rFonts w:eastAsia="Calibri" w:cstheme="majorHAnsi"/>
              </w:rPr>
            </w:pPr>
            <w:r w:rsidRPr="00F26871">
              <w:rPr>
                <w:rFonts w:eastAsia="Calibri"/>
              </w:rPr>
              <w:t>238</w:t>
            </w:r>
          </w:p>
        </w:tc>
      </w:tr>
      <w:tr w14:paraId="7F2B04CE" w14:textId="77777777" w:rsidTr="00A95C6F">
        <w:tblPrEx>
          <w:tblW w:w="5096" w:type="pct"/>
          <w:tblCellMar>
            <w:left w:w="43" w:type="dxa"/>
            <w:right w:w="43" w:type="dxa"/>
          </w:tblCellMar>
          <w:tblLook w:val="04A0"/>
        </w:tblPrEx>
        <w:tc>
          <w:tcPr>
            <w:tcW w:w="454" w:type="pct"/>
            <w:tcBorders>
              <w:top w:val="single" w:sz="4" w:space="0" w:color="auto"/>
              <w:left w:val="nil"/>
              <w:bottom w:val="single" w:sz="4" w:space="0" w:color="auto"/>
              <w:right w:val="nil"/>
            </w:tcBorders>
          </w:tcPr>
          <w:p w:rsidR="009C7D12" w:rsidRPr="005E0369" w:rsidP="009C7D12" w14:paraId="19063207" w14:textId="77777777">
            <w:pPr>
              <w:pStyle w:val="TableTextLeft"/>
              <w:spacing w:before="40" w:after="40"/>
              <w:rPr>
                <w:rFonts w:eastAsia="Calibri" w:cstheme="majorHAnsi"/>
              </w:rPr>
            </w:pPr>
            <w:r w:rsidRPr="005E0369">
              <w:rPr>
                <w:rFonts w:eastAsia="Calibri" w:cstheme="majorHAnsi"/>
              </w:rPr>
              <w:t>2</w:t>
            </w:r>
          </w:p>
        </w:tc>
        <w:tc>
          <w:tcPr>
            <w:tcW w:w="721" w:type="pct"/>
            <w:tcBorders>
              <w:top w:val="single" w:sz="4" w:space="0" w:color="auto"/>
              <w:left w:val="nil"/>
              <w:bottom w:val="single" w:sz="4" w:space="0" w:color="auto"/>
              <w:right w:val="nil"/>
            </w:tcBorders>
          </w:tcPr>
          <w:p w:rsidR="009C7D12" w:rsidRPr="005E0369" w:rsidP="009C7D12" w14:paraId="1DB9F6D5" w14:textId="596665CF">
            <w:pPr>
              <w:pStyle w:val="TableTextLeft"/>
              <w:spacing w:before="40" w:after="40"/>
              <w:rPr>
                <w:rFonts w:eastAsia="Calibri" w:cstheme="majorHAnsi"/>
              </w:rPr>
            </w:pPr>
            <w:r w:rsidRPr="005E0369">
              <w:rPr>
                <w:rFonts w:eastAsia="Calibri" w:cstheme="majorHAnsi"/>
              </w:rPr>
              <w:t>1–499</w:t>
            </w:r>
          </w:p>
        </w:tc>
        <w:tc>
          <w:tcPr>
            <w:tcW w:w="758" w:type="pct"/>
            <w:tcBorders>
              <w:top w:val="single" w:sz="4" w:space="0" w:color="auto"/>
              <w:left w:val="nil"/>
              <w:bottom w:val="single" w:sz="4" w:space="0" w:color="auto"/>
              <w:right w:val="nil"/>
            </w:tcBorders>
          </w:tcPr>
          <w:p w:rsidR="009C7D12" w:rsidRPr="000D5B9A" w:rsidP="009C7D12" w14:paraId="023F1D61" w14:textId="77777777">
            <w:pPr>
              <w:pStyle w:val="TableTextLeft"/>
              <w:tabs>
                <w:tab w:val="decimal" w:pos="732"/>
              </w:tabs>
              <w:spacing w:before="40" w:after="40"/>
              <w:rPr>
                <w:rFonts w:eastAsia="Calibri" w:cstheme="majorHAnsi"/>
              </w:rPr>
            </w:pPr>
            <w:r w:rsidRPr="000D5B9A">
              <w:rPr>
                <w:rFonts w:eastAsia="Calibri" w:cstheme="majorHAnsi"/>
              </w:rPr>
              <w:t>60% +</w:t>
            </w:r>
          </w:p>
        </w:tc>
        <w:tc>
          <w:tcPr>
            <w:tcW w:w="655" w:type="pct"/>
            <w:tcBorders>
              <w:top w:val="single" w:sz="4" w:space="0" w:color="auto"/>
              <w:left w:val="nil"/>
              <w:bottom w:val="single" w:sz="4" w:space="0" w:color="auto"/>
              <w:right w:val="nil"/>
            </w:tcBorders>
          </w:tcPr>
          <w:p w:rsidR="009C7D12" w:rsidRPr="00F26871" w:rsidP="009C7D12" w14:paraId="4A56B71A" w14:textId="5F76D9F8">
            <w:pPr>
              <w:pStyle w:val="TableTextLeft"/>
              <w:tabs>
                <w:tab w:val="decimal" w:pos="798"/>
              </w:tabs>
              <w:spacing w:before="40" w:after="40"/>
              <w:rPr>
                <w:rFonts w:eastAsia="Calibri" w:cstheme="majorHAnsi"/>
              </w:rPr>
            </w:pPr>
            <w:r w:rsidRPr="00F26871">
              <w:rPr>
                <w:rFonts w:eastAsia="Calibri"/>
              </w:rPr>
              <w:t>3,</w:t>
            </w:r>
            <w:r w:rsidRPr="00F26871" w:rsidR="001B3E47">
              <w:rPr>
                <w:rFonts w:eastAsia="Calibri"/>
              </w:rPr>
              <w:t>09</w:t>
            </w:r>
            <w:r w:rsidRPr="00F26871" w:rsidR="008622A8">
              <w:rPr>
                <w:rFonts w:eastAsia="Calibri"/>
              </w:rPr>
              <w:t>0</w:t>
            </w:r>
          </w:p>
        </w:tc>
        <w:tc>
          <w:tcPr>
            <w:tcW w:w="622" w:type="pct"/>
            <w:tcBorders>
              <w:top w:val="single" w:sz="4" w:space="0" w:color="auto"/>
              <w:left w:val="nil"/>
              <w:bottom w:val="single" w:sz="4" w:space="0" w:color="auto"/>
              <w:right w:val="nil"/>
            </w:tcBorders>
          </w:tcPr>
          <w:p w:rsidR="009C7D12" w:rsidRPr="00F26871" w:rsidP="009C7D12" w14:paraId="7BBB485F" w14:textId="6D94D961">
            <w:pPr>
              <w:pStyle w:val="TableTextLeft"/>
              <w:tabs>
                <w:tab w:val="decimal" w:pos="730"/>
              </w:tabs>
              <w:spacing w:before="40" w:after="40"/>
              <w:rPr>
                <w:rFonts w:eastAsia="Calibri" w:cstheme="majorHAnsi"/>
              </w:rPr>
            </w:pPr>
            <w:r w:rsidRPr="00F26871">
              <w:rPr>
                <w:rFonts w:eastAsia="Calibri"/>
              </w:rPr>
              <w:t>216</w:t>
            </w:r>
          </w:p>
        </w:tc>
        <w:tc>
          <w:tcPr>
            <w:tcW w:w="566" w:type="pct"/>
            <w:tcBorders>
              <w:top w:val="single" w:sz="4" w:space="0" w:color="auto"/>
              <w:left w:val="nil"/>
              <w:bottom w:val="single" w:sz="4" w:space="0" w:color="auto"/>
              <w:right w:val="nil"/>
            </w:tcBorders>
          </w:tcPr>
          <w:p w:rsidR="009C7D12" w:rsidRPr="00F26871" w:rsidP="009C7D12" w14:paraId="5AD452E1" w14:textId="026459B9">
            <w:pPr>
              <w:pStyle w:val="TableTextLeft"/>
              <w:tabs>
                <w:tab w:val="decimal" w:pos="730"/>
              </w:tabs>
              <w:spacing w:before="40" w:after="40"/>
              <w:rPr>
                <w:rFonts w:eastAsia="Calibri" w:cstheme="majorHAnsi"/>
              </w:rPr>
            </w:pPr>
            <w:r w:rsidRPr="00F26871">
              <w:rPr>
                <w:rFonts w:eastAsia="Calibri"/>
              </w:rPr>
              <w:t>173</w:t>
            </w:r>
          </w:p>
        </w:tc>
        <w:tc>
          <w:tcPr>
            <w:tcW w:w="566" w:type="pct"/>
            <w:tcBorders>
              <w:top w:val="single" w:sz="4" w:space="0" w:color="auto"/>
              <w:left w:val="nil"/>
              <w:bottom w:val="single" w:sz="4" w:space="0" w:color="auto"/>
              <w:right w:val="nil"/>
            </w:tcBorders>
          </w:tcPr>
          <w:p w:rsidR="009C7D12" w:rsidRPr="00F26871" w:rsidP="009C7D12" w14:paraId="1E7C7102" w14:textId="77777777">
            <w:pPr>
              <w:pStyle w:val="TableTextLeft"/>
              <w:tabs>
                <w:tab w:val="decimal" w:pos="730"/>
              </w:tabs>
              <w:spacing w:before="40" w:after="40"/>
              <w:rPr>
                <w:rFonts w:eastAsia="Calibri"/>
              </w:rPr>
            </w:pPr>
            <w:r w:rsidRPr="00F26871">
              <w:rPr>
                <w:rFonts w:eastAsia="Calibri"/>
              </w:rPr>
              <w:t>42</w:t>
            </w:r>
          </w:p>
        </w:tc>
        <w:tc>
          <w:tcPr>
            <w:tcW w:w="658" w:type="pct"/>
            <w:tcBorders>
              <w:top w:val="single" w:sz="4" w:space="0" w:color="auto"/>
              <w:left w:val="nil"/>
              <w:bottom w:val="single" w:sz="4" w:space="0" w:color="auto"/>
              <w:right w:val="nil"/>
            </w:tcBorders>
          </w:tcPr>
          <w:p w:rsidR="009C7D12" w:rsidRPr="00F26871" w:rsidP="009C7D12" w14:paraId="27082974" w14:textId="5ED2CEDE">
            <w:pPr>
              <w:pStyle w:val="TableTextLeft"/>
              <w:tabs>
                <w:tab w:val="decimal" w:pos="730"/>
              </w:tabs>
              <w:spacing w:before="40" w:after="40"/>
              <w:rPr>
                <w:rFonts w:eastAsia="Calibri" w:cstheme="majorHAnsi"/>
              </w:rPr>
            </w:pPr>
            <w:r w:rsidRPr="00F26871">
              <w:rPr>
                <w:rFonts w:eastAsia="Calibri"/>
              </w:rPr>
              <w:t>138</w:t>
            </w:r>
          </w:p>
        </w:tc>
      </w:tr>
      <w:tr w14:paraId="57167E53" w14:textId="77777777" w:rsidTr="00A95C6F">
        <w:tblPrEx>
          <w:tblW w:w="5096" w:type="pct"/>
          <w:tblCellMar>
            <w:left w:w="43" w:type="dxa"/>
            <w:right w:w="43" w:type="dxa"/>
          </w:tblCellMar>
          <w:tblLook w:val="04A0"/>
        </w:tblPrEx>
        <w:tc>
          <w:tcPr>
            <w:tcW w:w="454" w:type="pct"/>
            <w:tcBorders>
              <w:top w:val="single" w:sz="4" w:space="0" w:color="auto"/>
              <w:left w:val="nil"/>
              <w:bottom w:val="single" w:sz="4" w:space="0" w:color="auto"/>
              <w:right w:val="nil"/>
            </w:tcBorders>
          </w:tcPr>
          <w:p w:rsidR="009C7D12" w:rsidRPr="005E0369" w:rsidP="009C7D12" w14:paraId="30643F7C" w14:textId="77777777">
            <w:pPr>
              <w:pStyle w:val="TableTextLeft"/>
              <w:spacing w:before="40" w:after="40"/>
              <w:rPr>
                <w:rFonts w:eastAsia="Calibri" w:cstheme="majorHAnsi"/>
              </w:rPr>
            </w:pPr>
            <w:r w:rsidRPr="005E0369">
              <w:rPr>
                <w:rFonts w:eastAsia="Calibri" w:cstheme="majorHAnsi"/>
              </w:rPr>
              <w:t>3</w:t>
            </w:r>
          </w:p>
        </w:tc>
        <w:tc>
          <w:tcPr>
            <w:tcW w:w="721" w:type="pct"/>
            <w:tcBorders>
              <w:top w:val="single" w:sz="4" w:space="0" w:color="auto"/>
              <w:left w:val="nil"/>
              <w:bottom w:val="single" w:sz="4" w:space="0" w:color="auto"/>
              <w:right w:val="nil"/>
            </w:tcBorders>
          </w:tcPr>
          <w:p w:rsidR="009C7D12" w:rsidRPr="005E0369" w:rsidP="009C7D12" w14:paraId="10E43A36" w14:textId="77777777">
            <w:pPr>
              <w:pStyle w:val="TableTextLeft"/>
              <w:spacing w:before="40" w:after="40"/>
              <w:rPr>
                <w:rFonts w:eastAsia="Calibri" w:cstheme="majorHAnsi"/>
              </w:rPr>
            </w:pPr>
            <w:r w:rsidRPr="005E0369">
              <w:rPr>
                <w:rFonts w:eastAsia="Calibri" w:cstheme="majorHAnsi"/>
              </w:rPr>
              <w:t>500–2,499</w:t>
            </w:r>
          </w:p>
        </w:tc>
        <w:tc>
          <w:tcPr>
            <w:tcW w:w="758" w:type="pct"/>
            <w:tcBorders>
              <w:top w:val="single" w:sz="4" w:space="0" w:color="auto"/>
              <w:left w:val="nil"/>
              <w:bottom w:val="single" w:sz="4" w:space="0" w:color="auto"/>
              <w:right w:val="nil"/>
            </w:tcBorders>
          </w:tcPr>
          <w:p w:rsidR="009C7D12" w:rsidRPr="000D5B9A" w:rsidP="009C7D12" w14:paraId="1E99EC02" w14:textId="77777777">
            <w:pPr>
              <w:pStyle w:val="TableTextLeft"/>
              <w:tabs>
                <w:tab w:val="decimal" w:pos="732"/>
              </w:tabs>
              <w:spacing w:before="40" w:after="40"/>
              <w:rPr>
                <w:rFonts w:eastAsia="Calibri" w:cstheme="majorHAnsi"/>
              </w:rPr>
            </w:pPr>
            <w:r w:rsidRPr="000D5B9A">
              <w:rPr>
                <w:rFonts w:eastAsia="Calibri" w:cstheme="majorHAnsi"/>
              </w:rPr>
              <w:t>&lt;60%</w:t>
            </w:r>
          </w:p>
        </w:tc>
        <w:tc>
          <w:tcPr>
            <w:tcW w:w="655" w:type="pct"/>
            <w:tcBorders>
              <w:top w:val="single" w:sz="4" w:space="0" w:color="auto"/>
              <w:left w:val="nil"/>
              <w:bottom w:val="single" w:sz="4" w:space="0" w:color="auto"/>
              <w:right w:val="nil"/>
            </w:tcBorders>
          </w:tcPr>
          <w:p w:rsidR="009C7D12" w:rsidRPr="00F26871" w:rsidP="009C7D12" w14:paraId="11FFB9A8" w14:textId="5857117C">
            <w:pPr>
              <w:pStyle w:val="TableTextLeft"/>
              <w:tabs>
                <w:tab w:val="decimal" w:pos="798"/>
              </w:tabs>
              <w:spacing w:before="40" w:after="40"/>
              <w:rPr>
                <w:rFonts w:eastAsia="Calibri" w:cstheme="majorHAnsi"/>
              </w:rPr>
            </w:pPr>
            <w:r w:rsidRPr="00F26871">
              <w:rPr>
                <w:rFonts w:eastAsia="Calibri"/>
              </w:rPr>
              <w:t>4,5</w:t>
            </w:r>
            <w:r w:rsidRPr="00F26871" w:rsidR="009413E7">
              <w:rPr>
                <w:rFonts w:eastAsia="Calibri"/>
              </w:rPr>
              <w:t>2</w:t>
            </w:r>
            <w:r w:rsidRPr="00F26871" w:rsidR="008622A8">
              <w:rPr>
                <w:rFonts w:eastAsia="Calibri"/>
              </w:rPr>
              <w:t>4</w:t>
            </w:r>
          </w:p>
        </w:tc>
        <w:tc>
          <w:tcPr>
            <w:tcW w:w="622" w:type="pct"/>
            <w:tcBorders>
              <w:top w:val="single" w:sz="4" w:space="0" w:color="auto"/>
              <w:left w:val="nil"/>
              <w:bottom w:val="single" w:sz="4" w:space="0" w:color="auto"/>
              <w:right w:val="nil"/>
            </w:tcBorders>
          </w:tcPr>
          <w:p w:rsidR="009C7D12" w:rsidRPr="00F26871" w:rsidP="009C7D12" w14:paraId="1A822CF6" w14:textId="1F46B60A">
            <w:pPr>
              <w:pStyle w:val="TableTextLeft"/>
              <w:tabs>
                <w:tab w:val="decimal" w:pos="730"/>
              </w:tabs>
              <w:spacing w:before="40" w:after="40"/>
              <w:rPr>
                <w:rFonts w:eastAsia="Calibri" w:cstheme="majorHAnsi"/>
              </w:rPr>
            </w:pPr>
            <w:r w:rsidRPr="00F26871">
              <w:rPr>
                <w:rFonts w:eastAsia="Calibri"/>
              </w:rPr>
              <w:t>314</w:t>
            </w:r>
          </w:p>
        </w:tc>
        <w:tc>
          <w:tcPr>
            <w:tcW w:w="566" w:type="pct"/>
            <w:tcBorders>
              <w:top w:val="single" w:sz="4" w:space="0" w:color="auto"/>
              <w:left w:val="nil"/>
              <w:bottom w:val="single" w:sz="4" w:space="0" w:color="auto"/>
              <w:right w:val="nil"/>
            </w:tcBorders>
          </w:tcPr>
          <w:p w:rsidR="009C7D12" w:rsidRPr="00F26871" w:rsidP="009C7D12" w14:paraId="0F03A56C" w14:textId="76C25800">
            <w:pPr>
              <w:pStyle w:val="TableTextLeft"/>
              <w:tabs>
                <w:tab w:val="decimal" w:pos="730"/>
              </w:tabs>
              <w:spacing w:before="40" w:after="40"/>
              <w:rPr>
                <w:rFonts w:eastAsia="Calibri" w:cstheme="majorHAnsi"/>
              </w:rPr>
            </w:pPr>
            <w:r w:rsidRPr="00F26871">
              <w:rPr>
                <w:rFonts w:eastAsia="Calibri"/>
              </w:rPr>
              <w:t>251</w:t>
            </w:r>
          </w:p>
        </w:tc>
        <w:tc>
          <w:tcPr>
            <w:tcW w:w="566" w:type="pct"/>
            <w:tcBorders>
              <w:top w:val="single" w:sz="4" w:space="0" w:color="auto"/>
              <w:left w:val="nil"/>
              <w:bottom w:val="single" w:sz="4" w:space="0" w:color="auto"/>
              <w:right w:val="nil"/>
            </w:tcBorders>
          </w:tcPr>
          <w:p w:rsidR="009C7D12" w:rsidRPr="00F26871" w:rsidP="009C7D12" w14:paraId="19EDE1B9" w14:textId="77777777">
            <w:pPr>
              <w:pStyle w:val="TableTextLeft"/>
              <w:tabs>
                <w:tab w:val="decimal" w:pos="730"/>
              </w:tabs>
              <w:spacing w:before="40" w:after="40"/>
              <w:rPr>
                <w:rFonts w:eastAsia="Calibri"/>
              </w:rPr>
            </w:pPr>
            <w:r w:rsidRPr="00F26871">
              <w:rPr>
                <w:rFonts w:eastAsia="Calibri"/>
              </w:rPr>
              <w:t>79</w:t>
            </w:r>
          </w:p>
        </w:tc>
        <w:tc>
          <w:tcPr>
            <w:tcW w:w="658" w:type="pct"/>
            <w:tcBorders>
              <w:top w:val="single" w:sz="4" w:space="0" w:color="auto"/>
              <w:left w:val="nil"/>
              <w:bottom w:val="single" w:sz="4" w:space="0" w:color="auto"/>
              <w:right w:val="nil"/>
            </w:tcBorders>
          </w:tcPr>
          <w:p w:rsidR="009C7D12" w:rsidRPr="00F26871" w:rsidP="009C7D12" w14:paraId="55F9469B" w14:textId="18B6E4F3">
            <w:pPr>
              <w:pStyle w:val="TableTextLeft"/>
              <w:tabs>
                <w:tab w:val="decimal" w:pos="730"/>
              </w:tabs>
              <w:spacing w:before="40" w:after="40"/>
              <w:rPr>
                <w:rFonts w:eastAsia="Calibri" w:cstheme="majorHAnsi"/>
              </w:rPr>
            </w:pPr>
            <w:r w:rsidRPr="00F26871">
              <w:rPr>
                <w:rFonts w:eastAsia="Calibri"/>
              </w:rPr>
              <w:t>200</w:t>
            </w:r>
          </w:p>
        </w:tc>
      </w:tr>
      <w:tr w14:paraId="16BAB4FD" w14:textId="77777777" w:rsidTr="00A95C6F">
        <w:tblPrEx>
          <w:tblW w:w="5096" w:type="pct"/>
          <w:tblCellMar>
            <w:left w:w="43" w:type="dxa"/>
            <w:right w:w="43" w:type="dxa"/>
          </w:tblCellMar>
          <w:tblLook w:val="04A0"/>
        </w:tblPrEx>
        <w:tc>
          <w:tcPr>
            <w:tcW w:w="454" w:type="pct"/>
            <w:tcBorders>
              <w:top w:val="single" w:sz="4" w:space="0" w:color="auto"/>
              <w:left w:val="nil"/>
              <w:bottom w:val="single" w:sz="4" w:space="0" w:color="auto"/>
              <w:right w:val="nil"/>
            </w:tcBorders>
          </w:tcPr>
          <w:p w:rsidR="009C7D12" w:rsidRPr="005E0369" w:rsidP="009C7D12" w14:paraId="14F92413" w14:textId="77777777">
            <w:pPr>
              <w:pStyle w:val="TableTextLeft"/>
              <w:spacing w:before="40" w:after="40"/>
              <w:rPr>
                <w:rFonts w:eastAsia="Calibri" w:cstheme="majorHAnsi"/>
              </w:rPr>
            </w:pPr>
            <w:r w:rsidRPr="005E0369">
              <w:rPr>
                <w:rFonts w:eastAsia="Calibri" w:cstheme="majorHAnsi"/>
              </w:rPr>
              <w:t>4</w:t>
            </w:r>
          </w:p>
        </w:tc>
        <w:tc>
          <w:tcPr>
            <w:tcW w:w="721" w:type="pct"/>
            <w:tcBorders>
              <w:top w:val="single" w:sz="4" w:space="0" w:color="auto"/>
              <w:left w:val="nil"/>
              <w:bottom w:val="single" w:sz="4" w:space="0" w:color="auto"/>
              <w:right w:val="nil"/>
            </w:tcBorders>
          </w:tcPr>
          <w:p w:rsidR="009C7D12" w:rsidRPr="005E0369" w:rsidP="009C7D12" w14:paraId="34E9B249" w14:textId="22EFC92A">
            <w:pPr>
              <w:pStyle w:val="TableTextLeft"/>
              <w:spacing w:before="40" w:after="40"/>
              <w:rPr>
                <w:rFonts w:eastAsia="Calibri" w:cstheme="majorHAnsi"/>
              </w:rPr>
            </w:pPr>
            <w:r w:rsidRPr="005E0369">
              <w:rPr>
                <w:rFonts w:eastAsia="Calibri" w:cstheme="majorHAnsi"/>
              </w:rPr>
              <w:t>500–2,499</w:t>
            </w:r>
          </w:p>
        </w:tc>
        <w:tc>
          <w:tcPr>
            <w:tcW w:w="758" w:type="pct"/>
            <w:tcBorders>
              <w:top w:val="single" w:sz="4" w:space="0" w:color="auto"/>
              <w:left w:val="nil"/>
              <w:bottom w:val="single" w:sz="4" w:space="0" w:color="auto"/>
              <w:right w:val="nil"/>
            </w:tcBorders>
          </w:tcPr>
          <w:p w:rsidR="009C7D12" w:rsidRPr="000D5B9A" w:rsidP="009C7D12" w14:paraId="04697C01" w14:textId="77777777">
            <w:pPr>
              <w:pStyle w:val="TableTextLeft"/>
              <w:tabs>
                <w:tab w:val="decimal" w:pos="732"/>
              </w:tabs>
              <w:spacing w:before="40" w:after="40"/>
              <w:rPr>
                <w:rFonts w:eastAsia="Calibri" w:cstheme="majorHAnsi"/>
              </w:rPr>
            </w:pPr>
            <w:r w:rsidRPr="000D5B9A">
              <w:rPr>
                <w:rFonts w:eastAsia="Calibri" w:cstheme="majorHAnsi"/>
              </w:rPr>
              <w:t>60% +</w:t>
            </w:r>
          </w:p>
        </w:tc>
        <w:tc>
          <w:tcPr>
            <w:tcW w:w="655" w:type="pct"/>
            <w:tcBorders>
              <w:top w:val="single" w:sz="4" w:space="0" w:color="auto"/>
              <w:left w:val="nil"/>
              <w:bottom w:val="single" w:sz="4" w:space="0" w:color="auto"/>
              <w:right w:val="nil"/>
            </w:tcBorders>
          </w:tcPr>
          <w:p w:rsidR="009C7D12" w:rsidRPr="00F26871" w:rsidP="009C7D12" w14:paraId="5DC6F1E7" w14:textId="1000F8AA">
            <w:pPr>
              <w:pStyle w:val="TableTextLeft"/>
              <w:tabs>
                <w:tab w:val="decimal" w:pos="798"/>
              </w:tabs>
              <w:spacing w:before="40" w:after="40"/>
              <w:rPr>
                <w:rFonts w:eastAsia="Calibri" w:cstheme="majorHAnsi"/>
              </w:rPr>
            </w:pPr>
            <w:r w:rsidRPr="00F26871">
              <w:rPr>
                <w:rFonts w:eastAsia="Calibri"/>
              </w:rPr>
              <w:t>2,</w:t>
            </w:r>
            <w:r w:rsidRPr="00F26871" w:rsidR="009413E7">
              <w:rPr>
                <w:rFonts w:eastAsia="Calibri"/>
              </w:rPr>
              <w:t>094</w:t>
            </w:r>
          </w:p>
        </w:tc>
        <w:tc>
          <w:tcPr>
            <w:tcW w:w="622" w:type="pct"/>
            <w:tcBorders>
              <w:top w:val="single" w:sz="4" w:space="0" w:color="auto"/>
              <w:left w:val="nil"/>
              <w:bottom w:val="single" w:sz="4" w:space="0" w:color="auto"/>
              <w:right w:val="nil"/>
            </w:tcBorders>
          </w:tcPr>
          <w:p w:rsidR="009C7D12" w:rsidRPr="00F26871" w:rsidP="009C7D12" w14:paraId="343B05F5" w14:textId="3B79F5F3">
            <w:pPr>
              <w:pStyle w:val="TableTextLeft"/>
              <w:tabs>
                <w:tab w:val="decimal" w:pos="730"/>
              </w:tabs>
              <w:spacing w:before="40" w:after="40"/>
              <w:rPr>
                <w:rFonts w:eastAsia="Calibri" w:cstheme="majorHAnsi"/>
              </w:rPr>
            </w:pPr>
            <w:r w:rsidRPr="00F26871">
              <w:rPr>
                <w:rFonts w:eastAsia="Calibri"/>
              </w:rPr>
              <w:t>180</w:t>
            </w:r>
          </w:p>
        </w:tc>
        <w:tc>
          <w:tcPr>
            <w:tcW w:w="566" w:type="pct"/>
            <w:tcBorders>
              <w:top w:val="single" w:sz="4" w:space="0" w:color="auto"/>
              <w:left w:val="nil"/>
              <w:bottom w:val="single" w:sz="4" w:space="0" w:color="auto"/>
              <w:right w:val="nil"/>
            </w:tcBorders>
          </w:tcPr>
          <w:p w:rsidR="009C7D12" w:rsidRPr="00F26871" w:rsidP="009C7D12" w14:paraId="57605614" w14:textId="50DD438B">
            <w:pPr>
              <w:pStyle w:val="TableTextLeft"/>
              <w:tabs>
                <w:tab w:val="decimal" w:pos="730"/>
              </w:tabs>
              <w:spacing w:before="40" w:after="40"/>
              <w:rPr>
                <w:rFonts w:eastAsia="Calibri" w:cstheme="majorHAnsi"/>
              </w:rPr>
            </w:pPr>
            <w:r w:rsidRPr="00F26871">
              <w:rPr>
                <w:rFonts w:eastAsia="Calibri"/>
              </w:rPr>
              <w:t>144</w:t>
            </w:r>
          </w:p>
        </w:tc>
        <w:tc>
          <w:tcPr>
            <w:tcW w:w="566" w:type="pct"/>
            <w:tcBorders>
              <w:top w:val="single" w:sz="4" w:space="0" w:color="auto"/>
              <w:left w:val="nil"/>
              <w:bottom w:val="single" w:sz="4" w:space="0" w:color="auto"/>
              <w:right w:val="nil"/>
            </w:tcBorders>
          </w:tcPr>
          <w:p w:rsidR="009C7D12" w:rsidRPr="00F26871" w:rsidP="009C7D12" w14:paraId="25D32172" w14:textId="77777777">
            <w:pPr>
              <w:pStyle w:val="TableTextLeft"/>
              <w:tabs>
                <w:tab w:val="decimal" w:pos="730"/>
              </w:tabs>
              <w:spacing w:before="40" w:after="40"/>
              <w:rPr>
                <w:rFonts w:eastAsia="Calibri"/>
              </w:rPr>
            </w:pPr>
            <w:r w:rsidRPr="00F26871">
              <w:rPr>
                <w:rFonts w:eastAsia="Calibri"/>
              </w:rPr>
              <w:t>38</w:t>
            </w:r>
          </w:p>
        </w:tc>
        <w:tc>
          <w:tcPr>
            <w:tcW w:w="658" w:type="pct"/>
            <w:tcBorders>
              <w:top w:val="single" w:sz="4" w:space="0" w:color="auto"/>
              <w:left w:val="nil"/>
              <w:bottom w:val="single" w:sz="4" w:space="0" w:color="auto"/>
              <w:right w:val="nil"/>
            </w:tcBorders>
          </w:tcPr>
          <w:p w:rsidR="009C7D12" w:rsidRPr="00F26871" w:rsidP="009C7D12" w14:paraId="2FB6E6A3" w14:textId="53750449">
            <w:pPr>
              <w:pStyle w:val="TableTextLeft"/>
              <w:tabs>
                <w:tab w:val="decimal" w:pos="730"/>
              </w:tabs>
              <w:spacing w:before="40" w:after="40"/>
              <w:rPr>
                <w:rFonts w:eastAsia="Calibri" w:cstheme="majorHAnsi"/>
              </w:rPr>
            </w:pPr>
            <w:r w:rsidRPr="00F26871">
              <w:rPr>
                <w:rFonts w:eastAsia="Calibri"/>
              </w:rPr>
              <w:t>115</w:t>
            </w:r>
          </w:p>
        </w:tc>
      </w:tr>
      <w:tr w14:paraId="35A67C30" w14:textId="77777777" w:rsidTr="00A95C6F">
        <w:tblPrEx>
          <w:tblW w:w="5096" w:type="pct"/>
          <w:tblCellMar>
            <w:left w:w="43" w:type="dxa"/>
            <w:right w:w="43" w:type="dxa"/>
          </w:tblCellMar>
          <w:tblLook w:val="04A0"/>
        </w:tblPrEx>
        <w:tc>
          <w:tcPr>
            <w:tcW w:w="454" w:type="pct"/>
            <w:tcBorders>
              <w:top w:val="single" w:sz="4" w:space="0" w:color="auto"/>
              <w:left w:val="nil"/>
              <w:bottom w:val="single" w:sz="4" w:space="0" w:color="auto"/>
              <w:right w:val="nil"/>
            </w:tcBorders>
          </w:tcPr>
          <w:p w:rsidR="009C7D12" w:rsidRPr="005E0369" w:rsidP="009C7D12" w14:paraId="13BE031D" w14:textId="77777777">
            <w:pPr>
              <w:pStyle w:val="TableTextLeft"/>
              <w:spacing w:before="40" w:after="40"/>
              <w:rPr>
                <w:rFonts w:eastAsia="Calibri" w:cstheme="majorHAnsi"/>
              </w:rPr>
            </w:pPr>
            <w:r w:rsidRPr="005E0369">
              <w:rPr>
                <w:rFonts w:eastAsia="Calibri" w:cstheme="majorHAnsi"/>
              </w:rPr>
              <w:t>5</w:t>
            </w:r>
          </w:p>
        </w:tc>
        <w:tc>
          <w:tcPr>
            <w:tcW w:w="721" w:type="pct"/>
            <w:tcBorders>
              <w:top w:val="single" w:sz="4" w:space="0" w:color="auto"/>
              <w:left w:val="nil"/>
              <w:bottom w:val="single" w:sz="4" w:space="0" w:color="auto"/>
              <w:right w:val="nil"/>
            </w:tcBorders>
          </w:tcPr>
          <w:p w:rsidR="009C7D12" w:rsidRPr="005E0369" w:rsidP="009C7D12" w14:paraId="7B8A21A9" w14:textId="77777777">
            <w:pPr>
              <w:pStyle w:val="TableTextLeft"/>
              <w:spacing w:before="40" w:after="40"/>
              <w:rPr>
                <w:rFonts w:eastAsia="Calibri" w:cstheme="majorHAnsi"/>
              </w:rPr>
            </w:pPr>
            <w:r w:rsidRPr="005E0369">
              <w:rPr>
                <w:rFonts w:eastAsia="Calibri" w:cstheme="majorHAnsi"/>
              </w:rPr>
              <w:t>2,500–4,999</w:t>
            </w:r>
          </w:p>
        </w:tc>
        <w:tc>
          <w:tcPr>
            <w:tcW w:w="758" w:type="pct"/>
            <w:tcBorders>
              <w:top w:val="single" w:sz="4" w:space="0" w:color="auto"/>
              <w:left w:val="nil"/>
              <w:bottom w:val="single" w:sz="4" w:space="0" w:color="auto"/>
              <w:right w:val="nil"/>
            </w:tcBorders>
          </w:tcPr>
          <w:p w:rsidR="009C7D12" w:rsidRPr="000D5B9A" w:rsidP="009C7D12" w14:paraId="7D3A3E16" w14:textId="77777777">
            <w:pPr>
              <w:pStyle w:val="TableTextLeft"/>
              <w:tabs>
                <w:tab w:val="decimal" w:pos="732"/>
              </w:tabs>
              <w:spacing w:before="40" w:after="40"/>
              <w:rPr>
                <w:rFonts w:eastAsia="Calibri" w:cstheme="majorHAnsi"/>
              </w:rPr>
            </w:pPr>
            <w:r w:rsidRPr="000D5B9A">
              <w:rPr>
                <w:rFonts w:eastAsia="Calibri" w:cstheme="majorHAnsi"/>
              </w:rPr>
              <w:t>&lt;60%</w:t>
            </w:r>
          </w:p>
        </w:tc>
        <w:tc>
          <w:tcPr>
            <w:tcW w:w="655" w:type="pct"/>
            <w:tcBorders>
              <w:top w:val="single" w:sz="4" w:space="0" w:color="auto"/>
              <w:left w:val="nil"/>
              <w:bottom w:val="single" w:sz="4" w:space="0" w:color="auto"/>
              <w:right w:val="nil"/>
            </w:tcBorders>
          </w:tcPr>
          <w:p w:rsidR="009C7D12" w:rsidRPr="00F26871" w:rsidP="009C7D12" w14:paraId="3E6CCF33" w14:textId="4B3247B9">
            <w:pPr>
              <w:pStyle w:val="TableTextLeft"/>
              <w:tabs>
                <w:tab w:val="decimal" w:pos="798"/>
              </w:tabs>
              <w:spacing w:before="40" w:after="40"/>
              <w:rPr>
                <w:rFonts w:eastAsia="Calibri" w:cstheme="majorHAnsi"/>
              </w:rPr>
            </w:pPr>
            <w:r w:rsidRPr="00F26871">
              <w:rPr>
                <w:rFonts w:eastAsia="Calibri"/>
              </w:rPr>
              <w:t>1,</w:t>
            </w:r>
            <w:r w:rsidRPr="00F26871" w:rsidR="009413E7">
              <w:rPr>
                <w:rFonts w:eastAsia="Calibri"/>
              </w:rPr>
              <w:t>2</w:t>
            </w:r>
            <w:r w:rsidRPr="00F26871" w:rsidR="008622A8">
              <w:rPr>
                <w:rFonts w:eastAsia="Calibri"/>
              </w:rPr>
              <w:t>89</w:t>
            </w:r>
          </w:p>
        </w:tc>
        <w:tc>
          <w:tcPr>
            <w:tcW w:w="622" w:type="pct"/>
            <w:tcBorders>
              <w:top w:val="single" w:sz="4" w:space="0" w:color="auto"/>
              <w:left w:val="nil"/>
              <w:bottom w:val="single" w:sz="4" w:space="0" w:color="auto"/>
              <w:right w:val="nil"/>
            </w:tcBorders>
          </w:tcPr>
          <w:p w:rsidR="009C7D12" w:rsidRPr="00F26871" w:rsidP="009C7D12" w14:paraId="6F559F15" w14:textId="62F670ED">
            <w:pPr>
              <w:pStyle w:val="TableTextLeft"/>
              <w:tabs>
                <w:tab w:val="decimal" w:pos="730"/>
              </w:tabs>
              <w:spacing w:before="40" w:after="40"/>
              <w:rPr>
                <w:rFonts w:eastAsia="Calibri" w:cstheme="majorHAnsi"/>
              </w:rPr>
            </w:pPr>
            <w:r w:rsidRPr="00F26871">
              <w:rPr>
                <w:rFonts w:eastAsia="Calibri"/>
              </w:rPr>
              <w:t>180</w:t>
            </w:r>
          </w:p>
        </w:tc>
        <w:tc>
          <w:tcPr>
            <w:tcW w:w="566" w:type="pct"/>
            <w:tcBorders>
              <w:top w:val="single" w:sz="4" w:space="0" w:color="auto"/>
              <w:left w:val="nil"/>
              <w:bottom w:val="single" w:sz="4" w:space="0" w:color="auto"/>
              <w:right w:val="nil"/>
            </w:tcBorders>
          </w:tcPr>
          <w:p w:rsidR="009C7D12" w:rsidRPr="00F26871" w:rsidP="009C7D12" w14:paraId="42C4D460" w14:textId="77777777">
            <w:pPr>
              <w:pStyle w:val="TableTextLeft"/>
              <w:tabs>
                <w:tab w:val="decimal" w:pos="730"/>
              </w:tabs>
              <w:spacing w:before="40" w:after="40"/>
              <w:rPr>
                <w:rFonts w:eastAsia="Calibri" w:cstheme="majorHAnsi"/>
              </w:rPr>
            </w:pPr>
            <w:r w:rsidRPr="00F26871">
              <w:rPr>
                <w:rFonts w:eastAsia="Calibri"/>
              </w:rPr>
              <w:t>144</w:t>
            </w:r>
          </w:p>
        </w:tc>
        <w:tc>
          <w:tcPr>
            <w:tcW w:w="566" w:type="pct"/>
            <w:tcBorders>
              <w:top w:val="single" w:sz="4" w:space="0" w:color="auto"/>
              <w:left w:val="nil"/>
              <w:bottom w:val="single" w:sz="4" w:space="0" w:color="auto"/>
              <w:right w:val="nil"/>
            </w:tcBorders>
          </w:tcPr>
          <w:p w:rsidR="009C7D12" w:rsidRPr="00F26871" w:rsidP="009C7D12" w14:paraId="14144882" w14:textId="77777777">
            <w:pPr>
              <w:pStyle w:val="TableTextLeft"/>
              <w:tabs>
                <w:tab w:val="decimal" w:pos="730"/>
              </w:tabs>
              <w:spacing w:before="40" w:after="40"/>
              <w:rPr>
                <w:rFonts w:eastAsia="Calibri"/>
              </w:rPr>
            </w:pPr>
            <w:r w:rsidRPr="00F26871">
              <w:rPr>
                <w:rFonts w:eastAsia="Calibri"/>
              </w:rPr>
              <w:t>34</w:t>
            </w:r>
          </w:p>
        </w:tc>
        <w:tc>
          <w:tcPr>
            <w:tcW w:w="658" w:type="pct"/>
            <w:tcBorders>
              <w:top w:val="single" w:sz="4" w:space="0" w:color="auto"/>
              <w:left w:val="nil"/>
              <w:bottom w:val="single" w:sz="4" w:space="0" w:color="auto"/>
              <w:right w:val="nil"/>
            </w:tcBorders>
          </w:tcPr>
          <w:p w:rsidR="009C7D12" w:rsidRPr="00F26871" w:rsidP="009C7D12" w14:paraId="692E70B3" w14:textId="77777777">
            <w:pPr>
              <w:pStyle w:val="TableTextLeft"/>
              <w:tabs>
                <w:tab w:val="decimal" w:pos="730"/>
              </w:tabs>
              <w:spacing w:before="40" w:after="40"/>
              <w:rPr>
                <w:rFonts w:eastAsia="Calibri" w:cstheme="majorHAnsi"/>
              </w:rPr>
            </w:pPr>
            <w:r w:rsidRPr="00F26871">
              <w:rPr>
                <w:rFonts w:eastAsia="Calibri"/>
              </w:rPr>
              <w:t>115</w:t>
            </w:r>
          </w:p>
        </w:tc>
      </w:tr>
      <w:tr w14:paraId="5737E19C" w14:textId="77777777" w:rsidTr="00A95C6F">
        <w:tblPrEx>
          <w:tblW w:w="5096" w:type="pct"/>
          <w:tblCellMar>
            <w:left w:w="43" w:type="dxa"/>
            <w:right w:w="43" w:type="dxa"/>
          </w:tblCellMar>
          <w:tblLook w:val="04A0"/>
        </w:tblPrEx>
        <w:tc>
          <w:tcPr>
            <w:tcW w:w="454" w:type="pct"/>
            <w:tcBorders>
              <w:top w:val="single" w:sz="4" w:space="0" w:color="auto"/>
              <w:left w:val="nil"/>
              <w:bottom w:val="single" w:sz="4" w:space="0" w:color="auto"/>
              <w:right w:val="nil"/>
            </w:tcBorders>
          </w:tcPr>
          <w:p w:rsidR="009C7D12" w:rsidRPr="005E0369" w:rsidP="009C7D12" w14:paraId="4EF70C43" w14:textId="77777777">
            <w:pPr>
              <w:pStyle w:val="TableTextLeft"/>
              <w:spacing w:before="40" w:after="40"/>
              <w:rPr>
                <w:rFonts w:eastAsia="Calibri" w:cstheme="majorHAnsi"/>
              </w:rPr>
            </w:pPr>
            <w:r w:rsidRPr="005E0369">
              <w:rPr>
                <w:rFonts w:eastAsia="Calibri" w:cstheme="majorHAnsi"/>
              </w:rPr>
              <w:t>6</w:t>
            </w:r>
          </w:p>
        </w:tc>
        <w:tc>
          <w:tcPr>
            <w:tcW w:w="721" w:type="pct"/>
            <w:tcBorders>
              <w:top w:val="single" w:sz="4" w:space="0" w:color="auto"/>
              <w:left w:val="nil"/>
              <w:bottom w:val="single" w:sz="4" w:space="0" w:color="auto"/>
              <w:right w:val="nil"/>
            </w:tcBorders>
          </w:tcPr>
          <w:p w:rsidR="009C7D12" w:rsidRPr="005E0369" w:rsidP="009C7D12" w14:paraId="769E4379" w14:textId="3D042221">
            <w:pPr>
              <w:pStyle w:val="TableTextLeft"/>
              <w:spacing w:before="40" w:after="40"/>
              <w:rPr>
                <w:rFonts w:eastAsia="Calibri" w:cstheme="majorHAnsi"/>
              </w:rPr>
            </w:pPr>
            <w:r w:rsidRPr="005E0369">
              <w:rPr>
                <w:rFonts w:eastAsia="Calibri" w:cstheme="majorHAnsi"/>
              </w:rPr>
              <w:t>2,500–4,999</w:t>
            </w:r>
          </w:p>
        </w:tc>
        <w:tc>
          <w:tcPr>
            <w:tcW w:w="758" w:type="pct"/>
            <w:tcBorders>
              <w:top w:val="single" w:sz="4" w:space="0" w:color="auto"/>
              <w:left w:val="nil"/>
              <w:bottom w:val="single" w:sz="4" w:space="0" w:color="auto"/>
              <w:right w:val="nil"/>
            </w:tcBorders>
          </w:tcPr>
          <w:p w:rsidR="009C7D12" w:rsidRPr="000D5B9A" w:rsidP="009C7D12" w14:paraId="308F70B2" w14:textId="77777777">
            <w:pPr>
              <w:pStyle w:val="TableTextLeft"/>
              <w:tabs>
                <w:tab w:val="decimal" w:pos="732"/>
              </w:tabs>
              <w:spacing w:before="40" w:after="40"/>
              <w:rPr>
                <w:rFonts w:eastAsia="Calibri" w:cstheme="majorHAnsi"/>
              </w:rPr>
            </w:pPr>
            <w:r w:rsidRPr="000D5B9A">
              <w:rPr>
                <w:rFonts w:eastAsia="Calibri" w:cstheme="majorHAnsi"/>
              </w:rPr>
              <w:t>60% +</w:t>
            </w:r>
          </w:p>
        </w:tc>
        <w:tc>
          <w:tcPr>
            <w:tcW w:w="655" w:type="pct"/>
            <w:tcBorders>
              <w:top w:val="single" w:sz="4" w:space="0" w:color="auto"/>
              <w:left w:val="nil"/>
              <w:bottom w:val="single" w:sz="4" w:space="0" w:color="auto"/>
              <w:right w:val="nil"/>
            </w:tcBorders>
          </w:tcPr>
          <w:p w:rsidR="009C7D12" w:rsidRPr="00F26871" w:rsidP="009C7D12" w14:paraId="09E31A55" w14:textId="5881F80E">
            <w:pPr>
              <w:pStyle w:val="TableTextLeft"/>
              <w:tabs>
                <w:tab w:val="decimal" w:pos="798"/>
              </w:tabs>
              <w:spacing w:before="40" w:after="40"/>
              <w:rPr>
                <w:rFonts w:eastAsia="Calibri" w:cstheme="majorHAnsi"/>
              </w:rPr>
            </w:pPr>
            <w:r w:rsidRPr="00F26871">
              <w:rPr>
                <w:rFonts w:eastAsia="Calibri"/>
              </w:rPr>
              <w:t>5</w:t>
            </w:r>
            <w:r w:rsidRPr="00F26871" w:rsidR="009413E7">
              <w:rPr>
                <w:rFonts w:eastAsia="Calibri"/>
              </w:rPr>
              <w:t>61</w:t>
            </w:r>
          </w:p>
        </w:tc>
        <w:tc>
          <w:tcPr>
            <w:tcW w:w="622" w:type="pct"/>
            <w:tcBorders>
              <w:top w:val="single" w:sz="4" w:space="0" w:color="auto"/>
              <w:left w:val="nil"/>
              <w:bottom w:val="single" w:sz="4" w:space="0" w:color="auto"/>
              <w:right w:val="nil"/>
            </w:tcBorders>
          </w:tcPr>
          <w:p w:rsidR="009C7D12" w:rsidRPr="00F26871" w:rsidP="009C7D12" w14:paraId="6875F529" w14:textId="23572371">
            <w:pPr>
              <w:pStyle w:val="TableTextLeft"/>
              <w:tabs>
                <w:tab w:val="decimal" w:pos="730"/>
              </w:tabs>
              <w:spacing w:before="40" w:after="40"/>
              <w:rPr>
                <w:rFonts w:eastAsia="Calibri" w:cstheme="majorHAnsi"/>
              </w:rPr>
            </w:pPr>
            <w:r w:rsidRPr="00F26871">
              <w:rPr>
                <w:rFonts w:eastAsia="Calibri"/>
              </w:rPr>
              <w:t>55</w:t>
            </w:r>
          </w:p>
        </w:tc>
        <w:tc>
          <w:tcPr>
            <w:tcW w:w="566" w:type="pct"/>
            <w:tcBorders>
              <w:top w:val="single" w:sz="4" w:space="0" w:color="auto"/>
              <w:left w:val="nil"/>
              <w:bottom w:val="single" w:sz="4" w:space="0" w:color="auto"/>
              <w:right w:val="nil"/>
            </w:tcBorders>
          </w:tcPr>
          <w:p w:rsidR="009C7D12" w:rsidRPr="00F26871" w:rsidP="009C7D12" w14:paraId="104B0E46" w14:textId="77777777">
            <w:pPr>
              <w:pStyle w:val="TableTextLeft"/>
              <w:tabs>
                <w:tab w:val="decimal" w:pos="730"/>
              </w:tabs>
              <w:spacing w:before="40" w:after="40"/>
              <w:rPr>
                <w:rFonts w:eastAsia="Calibri" w:cstheme="majorHAnsi"/>
              </w:rPr>
            </w:pPr>
            <w:r w:rsidRPr="00F26871">
              <w:rPr>
                <w:rFonts w:eastAsia="Calibri"/>
              </w:rPr>
              <w:t>44</w:t>
            </w:r>
          </w:p>
        </w:tc>
        <w:tc>
          <w:tcPr>
            <w:tcW w:w="566" w:type="pct"/>
            <w:tcBorders>
              <w:top w:val="single" w:sz="4" w:space="0" w:color="auto"/>
              <w:left w:val="nil"/>
              <w:bottom w:val="single" w:sz="4" w:space="0" w:color="auto"/>
              <w:right w:val="nil"/>
            </w:tcBorders>
          </w:tcPr>
          <w:p w:rsidR="009C7D12" w:rsidRPr="00F26871" w:rsidP="009C7D12" w14:paraId="2A6F47E2" w14:textId="77777777">
            <w:pPr>
              <w:pStyle w:val="TableTextLeft"/>
              <w:tabs>
                <w:tab w:val="decimal" w:pos="730"/>
              </w:tabs>
              <w:spacing w:before="40" w:after="40"/>
              <w:rPr>
                <w:rFonts w:eastAsia="Calibri"/>
              </w:rPr>
            </w:pPr>
            <w:r w:rsidRPr="00F26871">
              <w:rPr>
                <w:rFonts w:eastAsia="Calibri"/>
              </w:rPr>
              <w:t>10</w:t>
            </w:r>
          </w:p>
        </w:tc>
        <w:tc>
          <w:tcPr>
            <w:tcW w:w="658" w:type="pct"/>
            <w:tcBorders>
              <w:top w:val="single" w:sz="4" w:space="0" w:color="auto"/>
              <w:left w:val="nil"/>
              <w:bottom w:val="single" w:sz="4" w:space="0" w:color="auto"/>
              <w:right w:val="nil"/>
            </w:tcBorders>
          </w:tcPr>
          <w:p w:rsidR="009C7D12" w:rsidRPr="00F26871" w:rsidP="009C7D12" w14:paraId="0A256247" w14:textId="77777777">
            <w:pPr>
              <w:pStyle w:val="TableTextLeft"/>
              <w:tabs>
                <w:tab w:val="decimal" w:pos="730"/>
              </w:tabs>
              <w:spacing w:before="40" w:after="40"/>
              <w:rPr>
                <w:rFonts w:eastAsia="Calibri" w:cstheme="majorHAnsi"/>
              </w:rPr>
            </w:pPr>
            <w:r w:rsidRPr="00F26871">
              <w:rPr>
                <w:rFonts w:eastAsia="Calibri"/>
              </w:rPr>
              <w:t>35</w:t>
            </w:r>
          </w:p>
        </w:tc>
      </w:tr>
      <w:tr w14:paraId="2C5B6EEA" w14:textId="77777777" w:rsidTr="00A95C6F">
        <w:tblPrEx>
          <w:tblW w:w="5096" w:type="pct"/>
          <w:tblCellMar>
            <w:left w:w="43" w:type="dxa"/>
            <w:right w:w="43" w:type="dxa"/>
          </w:tblCellMar>
          <w:tblLook w:val="04A0"/>
        </w:tblPrEx>
        <w:tc>
          <w:tcPr>
            <w:tcW w:w="454" w:type="pct"/>
            <w:tcBorders>
              <w:top w:val="single" w:sz="4" w:space="0" w:color="auto"/>
              <w:left w:val="nil"/>
              <w:bottom w:val="single" w:sz="4" w:space="0" w:color="auto"/>
              <w:right w:val="nil"/>
            </w:tcBorders>
          </w:tcPr>
          <w:p w:rsidR="009C7D12" w:rsidRPr="005E0369" w:rsidP="009C7D12" w14:paraId="15D6F0C5" w14:textId="77777777">
            <w:pPr>
              <w:pStyle w:val="TableTextLeft"/>
              <w:spacing w:before="40" w:after="40"/>
              <w:rPr>
                <w:rFonts w:eastAsia="Calibri" w:cstheme="majorHAnsi"/>
              </w:rPr>
            </w:pPr>
            <w:r w:rsidRPr="005E0369">
              <w:rPr>
                <w:rFonts w:eastAsia="Calibri" w:cstheme="majorHAnsi"/>
              </w:rPr>
              <w:t>7</w:t>
            </w:r>
          </w:p>
        </w:tc>
        <w:tc>
          <w:tcPr>
            <w:tcW w:w="721" w:type="pct"/>
            <w:tcBorders>
              <w:top w:val="single" w:sz="4" w:space="0" w:color="auto"/>
              <w:left w:val="nil"/>
              <w:bottom w:val="single" w:sz="4" w:space="0" w:color="auto"/>
              <w:right w:val="nil"/>
            </w:tcBorders>
          </w:tcPr>
          <w:p w:rsidR="009C7D12" w:rsidRPr="005E0369" w:rsidP="009C7D12" w14:paraId="71DF79E6" w14:textId="77777777">
            <w:pPr>
              <w:pStyle w:val="TableTextLeft"/>
              <w:spacing w:before="40" w:after="40"/>
              <w:rPr>
                <w:rFonts w:eastAsia="Calibri" w:cstheme="majorHAnsi"/>
              </w:rPr>
            </w:pPr>
            <w:r w:rsidRPr="005E0369">
              <w:rPr>
                <w:rFonts w:eastAsia="Calibri" w:cstheme="majorHAnsi"/>
              </w:rPr>
              <w:t>5,000–99,999</w:t>
            </w:r>
          </w:p>
        </w:tc>
        <w:tc>
          <w:tcPr>
            <w:tcW w:w="758" w:type="pct"/>
            <w:tcBorders>
              <w:top w:val="single" w:sz="4" w:space="0" w:color="auto"/>
              <w:left w:val="nil"/>
              <w:bottom w:val="single" w:sz="4" w:space="0" w:color="auto"/>
              <w:right w:val="nil"/>
            </w:tcBorders>
          </w:tcPr>
          <w:p w:rsidR="009C7D12" w:rsidRPr="000D5B9A" w:rsidP="009C7D12" w14:paraId="25545F92" w14:textId="77777777">
            <w:pPr>
              <w:pStyle w:val="TableTextLeft"/>
              <w:tabs>
                <w:tab w:val="decimal" w:pos="732"/>
              </w:tabs>
              <w:spacing w:before="40" w:after="40"/>
              <w:rPr>
                <w:rFonts w:eastAsia="Calibri" w:cstheme="majorHAnsi"/>
              </w:rPr>
            </w:pPr>
            <w:r w:rsidRPr="000D5B9A">
              <w:rPr>
                <w:rFonts w:eastAsia="Calibri" w:cstheme="majorHAnsi"/>
              </w:rPr>
              <w:t>&lt;60%</w:t>
            </w:r>
          </w:p>
        </w:tc>
        <w:tc>
          <w:tcPr>
            <w:tcW w:w="655" w:type="pct"/>
            <w:tcBorders>
              <w:top w:val="single" w:sz="4" w:space="0" w:color="auto"/>
              <w:left w:val="nil"/>
              <w:bottom w:val="single" w:sz="4" w:space="0" w:color="auto"/>
              <w:right w:val="nil"/>
            </w:tcBorders>
          </w:tcPr>
          <w:p w:rsidR="009C7D12" w:rsidRPr="00F26871" w:rsidP="009C7D12" w14:paraId="30E336FC" w14:textId="49FFF530">
            <w:pPr>
              <w:pStyle w:val="TableTextLeft"/>
              <w:tabs>
                <w:tab w:val="decimal" w:pos="798"/>
              </w:tabs>
              <w:spacing w:before="40" w:after="40"/>
              <w:rPr>
                <w:rFonts w:eastAsia="Calibri" w:cstheme="majorHAnsi"/>
              </w:rPr>
            </w:pPr>
            <w:r w:rsidRPr="00F26871">
              <w:rPr>
                <w:rFonts w:eastAsia="Calibri"/>
              </w:rPr>
              <w:t>1,</w:t>
            </w:r>
            <w:r w:rsidRPr="00F26871" w:rsidR="00E40430">
              <w:rPr>
                <w:rFonts w:eastAsia="Calibri"/>
              </w:rPr>
              <w:t>3</w:t>
            </w:r>
            <w:r w:rsidRPr="00F26871" w:rsidR="009413E7">
              <w:rPr>
                <w:rFonts w:eastAsia="Calibri"/>
              </w:rPr>
              <w:t>61</w:t>
            </w:r>
          </w:p>
        </w:tc>
        <w:tc>
          <w:tcPr>
            <w:tcW w:w="622" w:type="pct"/>
            <w:tcBorders>
              <w:top w:val="single" w:sz="4" w:space="0" w:color="auto"/>
              <w:left w:val="nil"/>
              <w:bottom w:val="single" w:sz="4" w:space="0" w:color="auto"/>
              <w:right w:val="nil"/>
            </w:tcBorders>
          </w:tcPr>
          <w:p w:rsidR="009C7D12" w:rsidRPr="00F26871" w:rsidP="009C7D12" w14:paraId="17C13E50" w14:textId="60F77CBE">
            <w:pPr>
              <w:pStyle w:val="TableTextLeft"/>
              <w:tabs>
                <w:tab w:val="decimal" w:pos="730"/>
              </w:tabs>
              <w:spacing w:before="40" w:after="40"/>
              <w:rPr>
                <w:rFonts w:eastAsia="Calibri" w:cstheme="majorHAnsi"/>
              </w:rPr>
            </w:pPr>
            <w:r w:rsidRPr="00F26871">
              <w:rPr>
                <w:rFonts w:eastAsia="Calibri"/>
              </w:rPr>
              <w:t>180</w:t>
            </w:r>
          </w:p>
        </w:tc>
        <w:tc>
          <w:tcPr>
            <w:tcW w:w="566" w:type="pct"/>
            <w:tcBorders>
              <w:top w:val="single" w:sz="4" w:space="0" w:color="auto"/>
              <w:left w:val="nil"/>
              <w:bottom w:val="single" w:sz="4" w:space="0" w:color="auto"/>
              <w:right w:val="nil"/>
            </w:tcBorders>
          </w:tcPr>
          <w:p w:rsidR="009C7D12" w:rsidRPr="00F26871" w:rsidP="009C7D12" w14:paraId="6B803197" w14:textId="77777777">
            <w:pPr>
              <w:pStyle w:val="TableTextLeft"/>
              <w:tabs>
                <w:tab w:val="decimal" w:pos="730"/>
              </w:tabs>
              <w:spacing w:before="40" w:after="40"/>
              <w:rPr>
                <w:rFonts w:eastAsia="Calibri" w:cstheme="majorHAnsi"/>
              </w:rPr>
            </w:pPr>
            <w:r w:rsidRPr="00F26871">
              <w:rPr>
                <w:rFonts w:eastAsia="Calibri"/>
              </w:rPr>
              <w:t>144</w:t>
            </w:r>
          </w:p>
        </w:tc>
        <w:tc>
          <w:tcPr>
            <w:tcW w:w="566" w:type="pct"/>
            <w:tcBorders>
              <w:top w:val="single" w:sz="4" w:space="0" w:color="auto"/>
              <w:left w:val="nil"/>
              <w:bottom w:val="single" w:sz="4" w:space="0" w:color="auto"/>
              <w:right w:val="nil"/>
            </w:tcBorders>
          </w:tcPr>
          <w:p w:rsidR="009C7D12" w:rsidRPr="00F26871" w:rsidP="009C7D12" w14:paraId="2FFB6657" w14:textId="77777777">
            <w:pPr>
              <w:pStyle w:val="TableTextLeft"/>
              <w:tabs>
                <w:tab w:val="decimal" w:pos="730"/>
              </w:tabs>
              <w:spacing w:before="40" w:after="40"/>
              <w:rPr>
                <w:rFonts w:eastAsia="Calibri"/>
              </w:rPr>
            </w:pPr>
            <w:r w:rsidRPr="00F26871">
              <w:rPr>
                <w:rFonts w:eastAsia="Calibri"/>
              </w:rPr>
              <w:t>34</w:t>
            </w:r>
          </w:p>
        </w:tc>
        <w:tc>
          <w:tcPr>
            <w:tcW w:w="658" w:type="pct"/>
            <w:tcBorders>
              <w:top w:val="single" w:sz="4" w:space="0" w:color="auto"/>
              <w:left w:val="nil"/>
              <w:bottom w:val="single" w:sz="4" w:space="0" w:color="auto"/>
              <w:right w:val="nil"/>
            </w:tcBorders>
          </w:tcPr>
          <w:p w:rsidR="009C7D12" w:rsidRPr="00F26871" w:rsidP="009C7D12" w14:paraId="5A91F471" w14:textId="77777777">
            <w:pPr>
              <w:pStyle w:val="TableTextLeft"/>
              <w:tabs>
                <w:tab w:val="decimal" w:pos="730"/>
              </w:tabs>
              <w:spacing w:before="40" w:after="40"/>
              <w:rPr>
                <w:rFonts w:eastAsia="Calibri" w:cstheme="majorHAnsi"/>
              </w:rPr>
            </w:pPr>
            <w:r w:rsidRPr="00F26871">
              <w:rPr>
                <w:rFonts w:eastAsia="Calibri"/>
              </w:rPr>
              <w:t>115</w:t>
            </w:r>
          </w:p>
        </w:tc>
      </w:tr>
      <w:tr w14:paraId="4CCAB3BF" w14:textId="77777777" w:rsidTr="00A95C6F">
        <w:tblPrEx>
          <w:tblW w:w="5096" w:type="pct"/>
          <w:tblCellMar>
            <w:left w:w="43" w:type="dxa"/>
            <w:right w:w="43" w:type="dxa"/>
          </w:tblCellMar>
          <w:tblLook w:val="04A0"/>
        </w:tblPrEx>
        <w:tc>
          <w:tcPr>
            <w:tcW w:w="454" w:type="pct"/>
            <w:tcBorders>
              <w:top w:val="single" w:sz="4" w:space="0" w:color="auto"/>
              <w:left w:val="nil"/>
              <w:bottom w:val="single" w:sz="4" w:space="0" w:color="auto"/>
              <w:right w:val="nil"/>
            </w:tcBorders>
          </w:tcPr>
          <w:p w:rsidR="009C7D12" w:rsidRPr="005E0369" w:rsidP="009C7D12" w14:paraId="4ABAD502" w14:textId="77777777">
            <w:pPr>
              <w:pStyle w:val="TableTextLeft"/>
              <w:spacing w:before="40" w:after="40"/>
              <w:rPr>
                <w:rFonts w:eastAsia="Calibri" w:cstheme="majorHAnsi"/>
              </w:rPr>
            </w:pPr>
            <w:r w:rsidRPr="005E0369">
              <w:rPr>
                <w:rFonts w:eastAsia="Calibri" w:cstheme="majorHAnsi"/>
              </w:rPr>
              <w:t>8</w:t>
            </w:r>
          </w:p>
        </w:tc>
        <w:tc>
          <w:tcPr>
            <w:tcW w:w="721" w:type="pct"/>
            <w:tcBorders>
              <w:top w:val="single" w:sz="4" w:space="0" w:color="auto"/>
              <w:left w:val="nil"/>
              <w:bottom w:val="single" w:sz="4" w:space="0" w:color="auto"/>
              <w:right w:val="nil"/>
            </w:tcBorders>
          </w:tcPr>
          <w:p w:rsidR="009C7D12" w:rsidRPr="005E0369" w:rsidP="009C7D12" w14:paraId="7C8A8AEF" w14:textId="6D760464">
            <w:pPr>
              <w:pStyle w:val="TableTextLeft"/>
              <w:spacing w:before="40" w:after="40"/>
              <w:rPr>
                <w:rFonts w:eastAsia="Calibri" w:cstheme="majorHAnsi"/>
              </w:rPr>
            </w:pPr>
            <w:r w:rsidRPr="005E0369">
              <w:rPr>
                <w:rFonts w:eastAsia="Calibri" w:cstheme="majorHAnsi"/>
              </w:rPr>
              <w:t>5,000–99,999</w:t>
            </w:r>
          </w:p>
        </w:tc>
        <w:tc>
          <w:tcPr>
            <w:tcW w:w="758" w:type="pct"/>
            <w:tcBorders>
              <w:top w:val="single" w:sz="4" w:space="0" w:color="auto"/>
              <w:left w:val="nil"/>
              <w:bottom w:val="single" w:sz="4" w:space="0" w:color="auto"/>
              <w:right w:val="nil"/>
            </w:tcBorders>
          </w:tcPr>
          <w:p w:rsidR="009C7D12" w:rsidRPr="000D5B9A" w:rsidP="009C7D12" w14:paraId="6A00F187" w14:textId="77777777">
            <w:pPr>
              <w:pStyle w:val="TableTextLeft"/>
              <w:tabs>
                <w:tab w:val="decimal" w:pos="732"/>
              </w:tabs>
              <w:spacing w:before="40" w:after="40"/>
              <w:rPr>
                <w:rFonts w:eastAsia="Calibri" w:cstheme="majorHAnsi"/>
              </w:rPr>
            </w:pPr>
            <w:r w:rsidRPr="000D5B9A">
              <w:rPr>
                <w:rFonts w:eastAsia="Calibri" w:cstheme="majorHAnsi"/>
              </w:rPr>
              <w:t>60% +</w:t>
            </w:r>
          </w:p>
        </w:tc>
        <w:tc>
          <w:tcPr>
            <w:tcW w:w="655" w:type="pct"/>
            <w:tcBorders>
              <w:top w:val="single" w:sz="4" w:space="0" w:color="auto"/>
              <w:left w:val="nil"/>
              <w:bottom w:val="single" w:sz="4" w:space="0" w:color="auto"/>
              <w:right w:val="nil"/>
            </w:tcBorders>
          </w:tcPr>
          <w:p w:rsidR="009C7D12" w:rsidRPr="00F26871" w:rsidP="009C7D12" w14:paraId="413EA7E0" w14:textId="54F91679">
            <w:pPr>
              <w:pStyle w:val="TableTextLeft"/>
              <w:tabs>
                <w:tab w:val="decimal" w:pos="798"/>
              </w:tabs>
              <w:spacing w:before="40" w:after="40"/>
              <w:rPr>
                <w:rFonts w:eastAsia="Calibri" w:cstheme="majorHAnsi"/>
              </w:rPr>
            </w:pPr>
            <w:r w:rsidRPr="00F26871">
              <w:rPr>
                <w:rFonts w:eastAsia="Calibri"/>
              </w:rPr>
              <w:t>5</w:t>
            </w:r>
            <w:r w:rsidRPr="00F26871" w:rsidR="009413E7">
              <w:rPr>
                <w:rFonts w:eastAsia="Calibri"/>
              </w:rPr>
              <w:t>38</w:t>
            </w:r>
          </w:p>
        </w:tc>
        <w:tc>
          <w:tcPr>
            <w:tcW w:w="622" w:type="pct"/>
            <w:tcBorders>
              <w:top w:val="single" w:sz="4" w:space="0" w:color="auto"/>
              <w:left w:val="nil"/>
              <w:bottom w:val="single" w:sz="4" w:space="0" w:color="auto"/>
              <w:right w:val="nil"/>
            </w:tcBorders>
          </w:tcPr>
          <w:p w:rsidR="009C7D12" w:rsidRPr="00F26871" w:rsidP="009C7D12" w14:paraId="1BBB226E" w14:textId="117964EF">
            <w:pPr>
              <w:pStyle w:val="TableTextLeft"/>
              <w:tabs>
                <w:tab w:val="decimal" w:pos="730"/>
              </w:tabs>
              <w:spacing w:before="40" w:after="40"/>
              <w:rPr>
                <w:rFonts w:eastAsia="Calibri" w:cstheme="majorHAnsi"/>
              </w:rPr>
            </w:pPr>
            <w:r w:rsidRPr="00F26871">
              <w:rPr>
                <w:rFonts w:eastAsia="Calibri"/>
              </w:rPr>
              <w:t>54</w:t>
            </w:r>
          </w:p>
        </w:tc>
        <w:tc>
          <w:tcPr>
            <w:tcW w:w="566" w:type="pct"/>
            <w:tcBorders>
              <w:top w:val="single" w:sz="4" w:space="0" w:color="auto"/>
              <w:left w:val="nil"/>
              <w:bottom w:val="single" w:sz="4" w:space="0" w:color="auto"/>
              <w:right w:val="nil"/>
            </w:tcBorders>
          </w:tcPr>
          <w:p w:rsidR="009C7D12" w:rsidRPr="00F26871" w:rsidP="009C7D12" w14:paraId="75249892" w14:textId="77777777">
            <w:pPr>
              <w:pStyle w:val="TableTextLeft"/>
              <w:tabs>
                <w:tab w:val="decimal" w:pos="730"/>
              </w:tabs>
              <w:spacing w:before="40" w:after="40"/>
              <w:rPr>
                <w:rFonts w:eastAsia="Calibri" w:cstheme="majorHAnsi"/>
              </w:rPr>
            </w:pPr>
            <w:r w:rsidRPr="00F26871">
              <w:rPr>
                <w:rFonts w:eastAsia="Calibri"/>
              </w:rPr>
              <w:t>43</w:t>
            </w:r>
          </w:p>
        </w:tc>
        <w:tc>
          <w:tcPr>
            <w:tcW w:w="566" w:type="pct"/>
            <w:tcBorders>
              <w:top w:val="single" w:sz="4" w:space="0" w:color="auto"/>
              <w:left w:val="nil"/>
              <w:bottom w:val="single" w:sz="4" w:space="0" w:color="auto"/>
              <w:right w:val="nil"/>
            </w:tcBorders>
          </w:tcPr>
          <w:p w:rsidR="009C7D12" w:rsidRPr="00F26871" w:rsidP="009C7D12" w14:paraId="17FE053D" w14:textId="77777777">
            <w:pPr>
              <w:pStyle w:val="TableTextLeft"/>
              <w:tabs>
                <w:tab w:val="decimal" w:pos="730"/>
              </w:tabs>
              <w:spacing w:before="40" w:after="40"/>
              <w:rPr>
                <w:rFonts w:eastAsia="Calibri"/>
              </w:rPr>
            </w:pPr>
            <w:r w:rsidRPr="00F26871">
              <w:rPr>
                <w:rFonts w:eastAsia="Calibri"/>
              </w:rPr>
              <w:t>10</w:t>
            </w:r>
          </w:p>
        </w:tc>
        <w:tc>
          <w:tcPr>
            <w:tcW w:w="658" w:type="pct"/>
            <w:tcBorders>
              <w:top w:val="single" w:sz="4" w:space="0" w:color="auto"/>
              <w:left w:val="nil"/>
              <w:bottom w:val="single" w:sz="4" w:space="0" w:color="auto"/>
              <w:right w:val="nil"/>
            </w:tcBorders>
          </w:tcPr>
          <w:p w:rsidR="009C7D12" w:rsidRPr="00F26871" w:rsidP="009C7D12" w14:paraId="071BB3BB" w14:textId="77777777">
            <w:pPr>
              <w:pStyle w:val="TableTextLeft"/>
              <w:tabs>
                <w:tab w:val="decimal" w:pos="730"/>
              </w:tabs>
              <w:spacing w:before="40" w:after="40"/>
              <w:rPr>
                <w:rFonts w:eastAsia="Calibri" w:cstheme="majorHAnsi"/>
              </w:rPr>
            </w:pPr>
            <w:r w:rsidRPr="00F26871">
              <w:rPr>
                <w:rFonts w:eastAsia="Calibri"/>
              </w:rPr>
              <w:t>34</w:t>
            </w:r>
          </w:p>
        </w:tc>
      </w:tr>
      <w:tr w14:paraId="5785A39A" w14:textId="77777777" w:rsidTr="00A95C6F">
        <w:tblPrEx>
          <w:tblW w:w="5096" w:type="pct"/>
          <w:tblCellMar>
            <w:left w:w="43" w:type="dxa"/>
            <w:right w:w="43" w:type="dxa"/>
          </w:tblCellMar>
          <w:tblLook w:val="04A0"/>
        </w:tblPrEx>
        <w:tc>
          <w:tcPr>
            <w:tcW w:w="454" w:type="pct"/>
            <w:tcBorders>
              <w:top w:val="single" w:sz="4" w:space="0" w:color="auto"/>
              <w:left w:val="nil"/>
              <w:bottom w:val="single" w:sz="4" w:space="0" w:color="auto"/>
              <w:right w:val="nil"/>
            </w:tcBorders>
          </w:tcPr>
          <w:p w:rsidR="009C7D12" w:rsidRPr="005E0369" w:rsidP="009C7D12" w14:paraId="175E83AD" w14:textId="77777777">
            <w:pPr>
              <w:pStyle w:val="TableTextLeft"/>
              <w:spacing w:before="40" w:after="40"/>
              <w:rPr>
                <w:rFonts w:eastAsia="Calibri" w:cstheme="majorHAnsi"/>
              </w:rPr>
            </w:pPr>
            <w:r w:rsidRPr="005E0369">
              <w:rPr>
                <w:rFonts w:eastAsia="Calibri" w:cstheme="majorHAnsi"/>
              </w:rPr>
              <w:t>9</w:t>
            </w:r>
          </w:p>
        </w:tc>
        <w:tc>
          <w:tcPr>
            <w:tcW w:w="721" w:type="pct"/>
            <w:tcBorders>
              <w:top w:val="single" w:sz="4" w:space="0" w:color="auto"/>
              <w:left w:val="nil"/>
              <w:bottom w:val="single" w:sz="4" w:space="0" w:color="auto"/>
              <w:right w:val="nil"/>
            </w:tcBorders>
          </w:tcPr>
          <w:p w:rsidR="009C7D12" w:rsidRPr="005E0369" w:rsidP="009C7D12" w14:paraId="1FEE3CCC" w14:textId="77777777">
            <w:pPr>
              <w:pStyle w:val="TableTextLeft"/>
              <w:spacing w:before="40" w:after="40"/>
              <w:rPr>
                <w:rFonts w:eastAsia="Calibri" w:cstheme="majorHAnsi"/>
              </w:rPr>
            </w:pPr>
            <w:r w:rsidRPr="005E0369">
              <w:rPr>
                <w:rFonts w:eastAsia="Calibri" w:cstheme="majorHAnsi"/>
              </w:rPr>
              <w:t>100,000+</w:t>
            </w:r>
          </w:p>
        </w:tc>
        <w:tc>
          <w:tcPr>
            <w:tcW w:w="758" w:type="pct"/>
            <w:tcBorders>
              <w:top w:val="single" w:sz="4" w:space="0" w:color="auto"/>
              <w:left w:val="nil"/>
              <w:bottom w:val="single" w:sz="4" w:space="0" w:color="auto"/>
              <w:right w:val="nil"/>
            </w:tcBorders>
          </w:tcPr>
          <w:p w:rsidR="009C7D12" w:rsidRPr="000D5B9A" w:rsidP="009C7D12" w14:paraId="119F1363" w14:textId="77777777">
            <w:pPr>
              <w:pStyle w:val="TableTextLeft"/>
              <w:tabs>
                <w:tab w:val="decimal" w:pos="732"/>
              </w:tabs>
              <w:spacing w:before="40" w:after="40"/>
              <w:rPr>
                <w:rFonts w:eastAsia="Calibri" w:cstheme="majorHAnsi"/>
              </w:rPr>
            </w:pPr>
            <w:r w:rsidRPr="000D5B9A">
              <w:rPr>
                <w:rFonts w:eastAsia="Calibri" w:cstheme="majorHAnsi"/>
              </w:rPr>
              <w:t>--</w:t>
            </w:r>
          </w:p>
        </w:tc>
        <w:tc>
          <w:tcPr>
            <w:tcW w:w="655" w:type="pct"/>
            <w:tcBorders>
              <w:top w:val="single" w:sz="4" w:space="0" w:color="auto"/>
              <w:left w:val="nil"/>
              <w:bottom w:val="single" w:sz="4" w:space="0" w:color="auto"/>
              <w:right w:val="nil"/>
            </w:tcBorders>
          </w:tcPr>
          <w:p w:rsidR="009C7D12" w:rsidRPr="00F26871" w:rsidP="009C7D12" w14:paraId="1EB77610" w14:textId="0408D4CD">
            <w:pPr>
              <w:pStyle w:val="TableTextLeft"/>
              <w:tabs>
                <w:tab w:val="decimal" w:pos="798"/>
              </w:tabs>
              <w:spacing w:before="40" w:after="40"/>
              <w:rPr>
                <w:rFonts w:eastAsia="Calibri" w:cstheme="majorHAnsi"/>
              </w:rPr>
            </w:pPr>
            <w:r w:rsidRPr="00F26871">
              <w:rPr>
                <w:rFonts w:eastAsia="Calibri"/>
              </w:rPr>
              <w:t>27</w:t>
            </w:r>
          </w:p>
        </w:tc>
        <w:tc>
          <w:tcPr>
            <w:tcW w:w="622" w:type="pct"/>
            <w:tcBorders>
              <w:top w:val="single" w:sz="4" w:space="0" w:color="auto"/>
              <w:left w:val="nil"/>
              <w:bottom w:val="single" w:sz="4" w:space="0" w:color="auto"/>
              <w:right w:val="nil"/>
            </w:tcBorders>
          </w:tcPr>
          <w:p w:rsidR="009C7D12" w:rsidRPr="00F26871" w:rsidP="009C7D12" w14:paraId="7F390705" w14:textId="749F8328">
            <w:pPr>
              <w:pStyle w:val="TableTextLeft"/>
              <w:tabs>
                <w:tab w:val="decimal" w:pos="730"/>
              </w:tabs>
              <w:spacing w:before="40" w:after="40"/>
              <w:rPr>
                <w:rFonts w:eastAsia="Calibri" w:cstheme="majorHAnsi"/>
              </w:rPr>
            </w:pPr>
            <w:r w:rsidRPr="00F26871">
              <w:rPr>
                <w:rFonts w:eastAsia="Calibri"/>
              </w:rPr>
              <w:t>27</w:t>
            </w:r>
          </w:p>
        </w:tc>
        <w:tc>
          <w:tcPr>
            <w:tcW w:w="566" w:type="pct"/>
            <w:tcBorders>
              <w:top w:val="single" w:sz="4" w:space="0" w:color="auto"/>
              <w:left w:val="nil"/>
              <w:bottom w:val="single" w:sz="4" w:space="0" w:color="auto"/>
              <w:right w:val="nil"/>
            </w:tcBorders>
          </w:tcPr>
          <w:p w:rsidR="009C7D12" w:rsidRPr="00F26871" w:rsidP="009C7D12" w14:paraId="49CF4865" w14:textId="39634AEB">
            <w:pPr>
              <w:pStyle w:val="TableTextLeft"/>
              <w:tabs>
                <w:tab w:val="decimal" w:pos="730"/>
              </w:tabs>
              <w:spacing w:before="40" w:after="40"/>
              <w:rPr>
                <w:rFonts w:eastAsia="Calibri" w:cstheme="majorHAnsi"/>
              </w:rPr>
            </w:pPr>
            <w:r w:rsidRPr="00F26871">
              <w:rPr>
                <w:rFonts w:eastAsia="Calibri"/>
              </w:rPr>
              <w:t>27</w:t>
            </w:r>
          </w:p>
        </w:tc>
        <w:tc>
          <w:tcPr>
            <w:tcW w:w="566" w:type="pct"/>
            <w:tcBorders>
              <w:top w:val="single" w:sz="4" w:space="0" w:color="auto"/>
              <w:left w:val="nil"/>
              <w:bottom w:val="single" w:sz="4" w:space="0" w:color="auto"/>
              <w:right w:val="nil"/>
            </w:tcBorders>
          </w:tcPr>
          <w:p w:rsidR="009C7D12" w:rsidRPr="00F26871" w:rsidP="009C7D12" w14:paraId="30193504" w14:textId="77777777">
            <w:pPr>
              <w:pStyle w:val="TableTextLeft"/>
              <w:tabs>
                <w:tab w:val="decimal" w:pos="730"/>
              </w:tabs>
              <w:spacing w:before="40" w:after="40"/>
              <w:rPr>
                <w:rFonts w:eastAsia="Calibri"/>
              </w:rPr>
            </w:pPr>
            <w:r w:rsidRPr="00F26871">
              <w:rPr>
                <w:rFonts w:eastAsia="Calibri"/>
              </w:rPr>
              <w:t>0</w:t>
            </w:r>
          </w:p>
        </w:tc>
        <w:tc>
          <w:tcPr>
            <w:tcW w:w="658" w:type="pct"/>
            <w:tcBorders>
              <w:top w:val="single" w:sz="4" w:space="0" w:color="auto"/>
              <w:left w:val="nil"/>
              <w:bottom w:val="single" w:sz="4" w:space="0" w:color="auto"/>
              <w:right w:val="nil"/>
            </w:tcBorders>
          </w:tcPr>
          <w:p w:rsidR="009C7D12" w:rsidRPr="00F26871" w:rsidP="009C7D12" w14:paraId="5213AAA0" w14:textId="77777777">
            <w:pPr>
              <w:pStyle w:val="TableTextLeft"/>
              <w:tabs>
                <w:tab w:val="decimal" w:pos="730"/>
              </w:tabs>
              <w:spacing w:before="40" w:after="40"/>
              <w:rPr>
                <w:rFonts w:eastAsia="Calibri" w:cstheme="majorHAnsi"/>
              </w:rPr>
            </w:pPr>
            <w:r w:rsidRPr="00F26871">
              <w:rPr>
                <w:rFonts w:eastAsia="Calibri"/>
              </w:rPr>
              <w:t>22</w:t>
            </w:r>
          </w:p>
        </w:tc>
      </w:tr>
      <w:tr w14:paraId="2D70BC61" w14:textId="77777777" w:rsidTr="00A95C6F">
        <w:tblPrEx>
          <w:tblW w:w="5096" w:type="pct"/>
          <w:tblCellMar>
            <w:left w:w="43" w:type="dxa"/>
            <w:right w:w="43" w:type="dxa"/>
          </w:tblCellMar>
          <w:tblLook w:val="04A0"/>
        </w:tblPrEx>
        <w:tc>
          <w:tcPr>
            <w:tcW w:w="454" w:type="pct"/>
            <w:tcBorders>
              <w:top w:val="single" w:sz="4" w:space="0" w:color="auto"/>
              <w:left w:val="nil"/>
              <w:bottom w:val="single" w:sz="4" w:space="0" w:color="auto"/>
              <w:right w:val="nil"/>
            </w:tcBorders>
          </w:tcPr>
          <w:p w:rsidR="009C7D12" w:rsidRPr="00934E17" w:rsidP="009C7D12" w14:paraId="3CE21EDE" w14:textId="77777777">
            <w:pPr>
              <w:pStyle w:val="TableTextLeft"/>
              <w:spacing w:before="40" w:after="40"/>
              <w:rPr>
                <w:rFonts w:eastAsia="Calibri" w:cstheme="majorHAnsi"/>
                <w:b/>
                <w:bCs/>
              </w:rPr>
            </w:pPr>
          </w:p>
        </w:tc>
        <w:tc>
          <w:tcPr>
            <w:tcW w:w="721" w:type="pct"/>
            <w:tcBorders>
              <w:top w:val="single" w:sz="4" w:space="0" w:color="auto"/>
              <w:left w:val="nil"/>
              <w:bottom w:val="single" w:sz="4" w:space="0" w:color="auto"/>
              <w:right w:val="nil"/>
            </w:tcBorders>
          </w:tcPr>
          <w:p w:rsidR="009C7D12" w:rsidRPr="00934E17" w:rsidP="009C7D12" w14:paraId="49C6EEE8" w14:textId="77777777">
            <w:pPr>
              <w:pStyle w:val="TableTextLeft"/>
              <w:spacing w:before="40" w:after="40"/>
              <w:rPr>
                <w:rFonts w:eastAsia="Calibri" w:cstheme="majorHAnsi"/>
                <w:b/>
                <w:bCs/>
              </w:rPr>
            </w:pPr>
          </w:p>
        </w:tc>
        <w:tc>
          <w:tcPr>
            <w:tcW w:w="758" w:type="pct"/>
            <w:tcBorders>
              <w:top w:val="single" w:sz="4" w:space="0" w:color="auto"/>
              <w:left w:val="nil"/>
              <w:bottom w:val="single" w:sz="4" w:space="0" w:color="auto"/>
              <w:right w:val="nil"/>
            </w:tcBorders>
          </w:tcPr>
          <w:p w:rsidR="009C7D12" w:rsidRPr="000D5B9A" w:rsidP="009C7D12" w14:paraId="6FC82653" w14:textId="77777777">
            <w:pPr>
              <w:pStyle w:val="TableTextLeft"/>
              <w:tabs>
                <w:tab w:val="decimal" w:pos="732"/>
              </w:tabs>
              <w:spacing w:before="40" w:after="40"/>
              <w:rPr>
                <w:rFonts w:eastAsia="Calibri" w:cstheme="majorHAnsi"/>
                <w:b/>
                <w:bCs/>
              </w:rPr>
            </w:pPr>
          </w:p>
        </w:tc>
        <w:tc>
          <w:tcPr>
            <w:tcW w:w="655" w:type="pct"/>
            <w:tcBorders>
              <w:top w:val="single" w:sz="4" w:space="0" w:color="auto"/>
              <w:left w:val="nil"/>
              <w:bottom w:val="single" w:sz="4" w:space="0" w:color="auto"/>
              <w:right w:val="nil"/>
            </w:tcBorders>
          </w:tcPr>
          <w:p w:rsidR="009C7D12" w:rsidRPr="00F26871" w:rsidP="009C7D12" w14:paraId="6C733B81" w14:textId="7921EB7A">
            <w:pPr>
              <w:pStyle w:val="TableTextLeft"/>
              <w:tabs>
                <w:tab w:val="decimal" w:pos="798"/>
              </w:tabs>
              <w:spacing w:before="40" w:after="40"/>
              <w:rPr>
                <w:rFonts w:eastAsia="Calibri" w:cstheme="majorHAnsi"/>
                <w:b/>
                <w:bCs/>
              </w:rPr>
            </w:pPr>
            <w:r w:rsidRPr="00F26871">
              <w:rPr>
                <w:rFonts w:eastAsia="Calibri"/>
                <w:b/>
                <w:bCs/>
              </w:rPr>
              <w:t>18,821</w:t>
            </w:r>
          </w:p>
        </w:tc>
        <w:tc>
          <w:tcPr>
            <w:tcW w:w="622" w:type="pct"/>
            <w:tcBorders>
              <w:top w:val="single" w:sz="4" w:space="0" w:color="auto"/>
              <w:left w:val="nil"/>
              <w:bottom w:val="single" w:sz="4" w:space="0" w:color="auto"/>
              <w:right w:val="nil"/>
            </w:tcBorders>
          </w:tcPr>
          <w:p w:rsidR="009C7D12" w:rsidRPr="00F26871" w:rsidP="009C7D12" w14:paraId="1BBEBFB9" w14:textId="577020D9">
            <w:pPr>
              <w:pStyle w:val="TableTextLeft"/>
              <w:tabs>
                <w:tab w:val="decimal" w:pos="730"/>
              </w:tabs>
              <w:spacing w:before="40" w:after="40"/>
              <w:rPr>
                <w:rFonts w:eastAsia="Calibri" w:cstheme="majorHAnsi"/>
                <w:b/>
                <w:bCs/>
              </w:rPr>
            </w:pPr>
            <w:r w:rsidRPr="00F26871">
              <w:rPr>
                <w:rFonts w:eastAsia="Calibri"/>
                <w:b/>
                <w:bCs/>
              </w:rPr>
              <w:t>1,561</w:t>
            </w:r>
          </w:p>
        </w:tc>
        <w:tc>
          <w:tcPr>
            <w:tcW w:w="566" w:type="pct"/>
            <w:tcBorders>
              <w:top w:val="single" w:sz="4" w:space="0" w:color="auto"/>
              <w:left w:val="nil"/>
              <w:bottom w:val="single" w:sz="4" w:space="0" w:color="auto"/>
              <w:right w:val="nil"/>
            </w:tcBorders>
          </w:tcPr>
          <w:p w:rsidR="009C7D12" w:rsidRPr="00F26871" w:rsidP="009C7D12" w14:paraId="7FCDD96B" w14:textId="03A91168">
            <w:pPr>
              <w:pStyle w:val="TableTextLeft"/>
              <w:tabs>
                <w:tab w:val="decimal" w:pos="730"/>
              </w:tabs>
              <w:spacing w:before="40" w:after="40"/>
              <w:rPr>
                <w:rFonts w:eastAsia="Calibri" w:cstheme="majorHAnsi"/>
                <w:b/>
                <w:bCs/>
              </w:rPr>
            </w:pPr>
            <w:r w:rsidRPr="00AB258C">
              <w:rPr>
                <w:rFonts w:eastAsia="Calibri"/>
                <w:b/>
                <w:bCs/>
              </w:rPr>
              <w:t>1,268</w:t>
            </w:r>
          </w:p>
        </w:tc>
        <w:tc>
          <w:tcPr>
            <w:tcW w:w="566" w:type="pct"/>
            <w:tcBorders>
              <w:top w:val="single" w:sz="4" w:space="0" w:color="auto"/>
              <w:left w:val="nil"/>
              <w:bottom w:val="single" w:sz="4" w:space="0" w:color="auto"/>
              <w:right w:val="nil"/>
            </w:tcBorders>
          </w:tcPr>
          <w:p w:rsidR="009C7D12" w:rsidRPr="00F26871" w:rsidP="009C7D12" w14:paraId="171AED70" w14:textId="77777777">
            <w:pPr>
              <w:pStyle w:val="TableTextLeft"/>
              <w:tabs>
                <w:tab w:val="decimal" w:pos="730"/>
              </w:tabs>
              <w:spacing w:before="40" w:after="40"/>
              <w:rPr>
                <w:rFonts w:eastAsia="Calibri"/>
                <w:b/>
                <w:bCs/>
              </w:rPr>
            </w:pPr>
            <w:r w:rsidRPr="00F26871">
              <w:rPr>
                <w:rFonts w:eastAsia="Calibri"/>
                <w:b/>
                <w:bCs/>
              </w:rPr>
              <w:t>293</w:t>
            </w:r>
          </w:p>
        </w:tc>
        <w:tc>
          <w:tcPr>
            <w:tcW w:w="658" w:type="pct"/>
            <w:tcBorders>
              <w:top w:val="single" w:sz="4" w:space="0" w:color="auto"/>
              <w:left w:val="nil"/>
              <w:bottom w:val="single" w:sz="4" w:space="0" w:color="auto"/>
              <w:right w:val="nil"/>
            </w:tcBorders>
          </w:tcPr>
          <w:p w:rsidR="009C7D12" w:rsidRPr="00F26871" w:rsidP="009C7D12" w14:paraId="7F13960F" w14:textId="77777777">
            <w:pPr>
              <w:pStyle w:val="TableTextLeft"/>
              <w:tabs>
                <w:tab w:val="decimal" w:pos="730"/>
              </w:tabs>
              <w:spacing w:before="40" w:after="40"/>
              <w:rPr>
                <w:rFonts w:eastAsia="Calibri" w:cstheme="majorHAnsi"/>
                <w:b/>
                <w:bCs/>
              </w:rPr>
            </w:pPr>
            <w:r w:rsidRPr="00F26871">
              <w:rPr>
                <w:rFonts w:eastAsia="Calibri"/>
                <w:b/>
                <w:bCs/>
              </w:rPr>
              <w:t>1,012</w:t>
            </w:r>
          </w:p>
        </w:tc>
      </w:tr>
    </w:tbl>
    <w:bookmarkEnd w:id="14"/>
    <w:p w:rsidR="00035E65" w:rsidRPr="003F6B98" w:rsidP="003F6B98" w14:paraId="2DDA8A8D" w14:textId="2D6659E6">
      <w:pPr>
        <w:pStyle w:val="TableSource"/>
        <w:ind w:left="144" w:hanging="144"/>
        <w:rPr>
          <w:rFonts w:eastAsia="Calibri"/>
          <w:sz w:val="18"/>
          <w:szCs w:val="18"/>
        </w:rPr>
      </w:pPr>
      <w:r w:rsidRPr="003F6B98">
        <w:rPr>
          <w:rFonts w:eastAsia="Calibri"/>
          <w:sz w:val="18"/>
          <w:szCs w:val="18"/>
          <w:vertAlign w:val="superscript"/>
        </w:rPr>
        <w:t>a</w:t>
      </w:r>
      <w:r w:rsidRPr="003F6B98">
        <w:rPr>
          <w:rFonts w:eastAsia="Calibri"/>
          <w:sz w:val="18"/>
          <w:szCs w:val="18"/>
          <w:vertAlign w:val="superscript"/>
        </w:rPr>
        <w:t xml:space="preserve"> </w:t>
      </w:r>
      <w:r w:rsidRPr="00B75CD1" w:rsidR="00B75CD1">
        <w:rPr>
          <w:rFonts w:eastAsia="Calibri"/>
          <w:sz w:val="18"/>
          <w:szCs w:val="18"/>
        </w:rPr>
        <w:t>The population numbers are based on a list of SFAs that combines data from the SY 2020-2021 FNS-742 file and SY 2019-2020 FNS-742 file</w:t>
      </w:r>
      <w:r w:rsidRPr="000D5B9A" w:rsidR="001C3F3D">
        <w:rPr>
          <w:rFonts w:eastAsia="Calibri"/>
          <w:sz w:val="18"/>
          <w:szCs w:val="18"/>
        </w:rPr>
        <w:t>, the last time an SFA survey was conducted under 0584-0607</w:t>
      </w:r>
      <w:r w:rsidRPr="000D5B9A">
        <w:rPr>
          <w:rFonts w:eastAsia="Calibri"/>
          <w:sz w:val="18"/>
          <w:szCs w:val="18"/>
        </w:rPr>
        <w:t>. An updated frame will be used when designing the sample for</w:t>
      </w:r>
      <w:r w:rsidRPr="000D5B9A" w:rsidR="006C1441">
        <w:rPr>
          <w:rFonts w:eastAsia="Calibri"/>
          <w:sz w:val="18"/>
          <w:szCs w:val="18"/>
        </w:rPr>
        <w:t xml:space="preserve"> </w:t>
      </w:r>
      <w:r w:rsidRPr="000D5B9A" w:rsidR="00ED2AC6">
        <w:rPr>
          <w:rFonts w:eastAsia="Calibri"/>
          <w:sz w:val="18"/>
          <w:szCs w:val="18"/>
        </w:rPr>
        <w:t xml:space="preserve">the </w:t>
      </w:r>
      <w:r w:rsidR="00730A2E">
        <w:rPr>
          <w:rFonts w:eastAsia="Calibri"/>
          <w:sz w:val="18"/>
          <w:szCs w:val="18"/>
        </w:rPr>
        <w:t>SY</w:t>
      </w:r>
      <w:r w:rsidRPr="000D5B9A" w:rsidR="006C1441">
        <w:rPr>
          <w:rFonts w:eastAsia="Calibri"/>
          <w:sz w:val="18"/>
          <w:szCs w:val="18"/>
        </w:rPr>
        <w:t xml:space="preserve"> </w:t>
      </w:r>
      <w:r w:rsidRPr="000D5B9A" w:rsidR="00B75CD1">
        <w:rPr>
          <w:rFonts w:eastAsia="Calibri"/>
          <w:sz w:val="18"/>
          <w:szCs w:val="18"/>
        </w:rPr>
        <w:t>202</w:t>
      </w:r>
      <w:r w:rsidR="00B75CD1">
        <w:rPr>
          <w:rFonts w:eastAsia="Calibri"/>
          <w:sz w:val="18"/>
          <w:szCs w:val="18"/>
        </w:rPr>
        <w:t>2</w:t>
      </w:r>
      <w:r w:rsidRPr="000D5B9A" w:rsidR="006C1441">
        <w:rPr>
          <w:rFonts w:eastAsia="Calibri"/>
          <w:sz w:val="18"/>
          <w:szCs w:val="18"/>
        </w:rPr>
        <w:t>-</w:t>
      </w:r>
      <w:r w:rsidRPr="000D5B9A" w:rsidR="00B75CD1">
        <w:rPr>
          <w:rFonts w:eastAsia="Calibri"/>
          <w:sz w:val="18"/>
          <w:szCs w:val="18"/>
        </w:rPr>
        <w:t>202</w:t>
      </w:r>
      <w:r w:rsidR="00B75CD1">
        <w:rPr>
          <w:rFonts w:eastAsia="Calibri"/>
          <w:sz w:val="18"/>
          <w:szCs w:val="18"/>
        </w:rPr>
        <w:t>3</w:t>
      </w:r>
      <w:r w:rsidRPr="000D5B9A" w:rsidR="00B75CD1">
        <w:rPr>
          <w:rFonts w:eastAsia="Calibri"/>
          <w:sz w:val="18"/>
          <w:szCs w:val="18"/>
        </w:rPr>
        <w:t xml:space="preserve"> </w:t>
      </w:r>
      <w:r w:rsidRPr="000D5B9A" w:rsidR="00ED2AC6">
        <w:rPr>
          <w:rFonts w:eastAsia="Calibri"/>
          <w:sz w:val="18"/>
          <w:szCs w:val="18"/>
        </w:rPr>
        <w:t>survey</w:t>
      </w:r>
      <w:r w:rsidRPr="000D5B9A">
        <w:rPr>
          <w:rFonts w:eastAsia="Calibri"/>
          <w:sz w:val="18"/>
          <w:szCs w:val="18"/>
        </w:rPr>
        <w:t>.</w:t>
      </w:r>
    </w:p>
    <w:p w:rsidR="00171B69" w:rsidRPr="003F6B98" w:rsidP="003F6B98" w14:paraId="101CB57B" w14:textId="7D0CE32C">
      <w:pPr>
        <w:pStyle w:val="TableSource"/>
        <w:ind w:left="144" w:hanging="144"/>
        <w:rPr>
          <w:rFonts w:eastAsia="Calibri"/>
          <w:sz w:val="18"/>
          <w:szCs w:val="18"/>
        </w:rPr>
      </w:pPr>
      <w:r w:rsidRPr="003F6B98">
        <w:rPr>
          <w:rFonts w:eastAsia="Calibri"/>
          <w:sz w:val="18"/>
          <w:szCs w:val="18"/>
          <w:vertAlign w:val="superscript"/>
        </w:rPr>
        <w:t>b</w:t>
      </w:r>
      <w:r w:rsidRPr="003F6B98">
        <w:rPr>
          <w:rFonts w:eastAsia="Calibri"/>
          <w:sz w:val="18"/>
          <w:szCs w:val="18"/>
        </w:rPr>
        <w:t xml:space="preserve"> The number of e</w:t>
      </w:r>
      <w:r w:rsidRPr="003F6B98">
        <w:rPr>
          <w:rFonts w:eastAsia="Calibri"/>
          <w:sz w:val="18"/>
          <w:szCs w:val="18"/>
        </w:rPr>
        <w:t xml:space="preserve">xpected survey completes assumes an 80 percent response rate from the initially released sample. </w:t>
      </w:r>
      <w:r w:rsidRPr="003F6B98">
        <w:rPr>
          <w:rFonts w:eastAsia="Calibri"/>
          <w:sz w:val="18"/>
          <w:szCs w:val="18"/>
        </w:rPr>
        <w:t xml:space="preserve">Additional </w:t>
      </w:r>
      <w:r w:rsidRPr="003F6B98">
        <w:rPr>
          <w:rFonts w:eastAsia="Calibri"/>
          <w:sz w:val="18"/>
          <w:szCs w:val="18"/>
        </w:rPr>
        <w:t>SFAs in the augmented sample will be held in reserve as backup SFAs, which will be random ordered in each stratum and released as needed to achieve the stratum’s target number of completes.</w:t>
      </w:r>
    </w:p>
    <w:p w:rsidR="009C7D12" w:rsidRPr="003F6B98" w:rsidP="009C7D12" w14:paraId="2F4F7799" w14:textId="77777777">
      <w:pPr>
        <w:pStyle w:val="TableSource"/>
        <w:spacing w:after="360"/>
        <w:rPr>
          <w:rFonts w:eastAsia="Calibri"/>
          <w:sz w:val="18"/>
          <w:szCs w:val="18"/>
        </w:rPr>
      </w:pPr>
      <w:r w:rsidRPr="003F6B98">
        <w:rPr>
          <w:rFonts w:eastAsia="Calibri"/>
          <w:sz w:val="18"/>
          <w:szCs w:val="18"/>
        </w:rPr>
        <w:t>F/RP = free or reduced price.</w:t>
      </w:r>
    </w:p>
    <w:p w:rsidR="009C7D12" w:rsidP="009C7D12" w14:paraId="16ABE833" w14:textId="21744C68">
      <w:pPr>
        <w:pStyle w:val="Paragraph"/>
        <w:spacing w:line="480" w:lineRule="auto"/>
        <w:ind w:firstLine="432"/>
        <w:rPr>
          <w:rFonts w:eastAsia="Calibri"/>
        </w:rPr>
      </w:pPr>
      <w:r>
        <w:rPr>
          <w:rFonts w:eastAsia="Calibri"/>
        </w:rPr>
        <w:t>T</w:t>
      </w:r>
      <w:r w:rsidRPr="001A718C">
        <w:rPr>
          <w:rFonts w:eastAsia="Calibri"/>
        </w:rPr>
        <w:t>he study team plans to sample SFAs with equal probability within each stratum</w:t>
      </w:r>
      <w:r>
        <w:rPr>
          <w:rFonts w:eastAsia="Calibri"/>
        </w:rPr>
        <w:t>.</w:t>
      </w:r>
      <w:r w:rsidRPr="001A718C">
        <w:rPr>
          <w:rFonts w:eastAsia="Calibri"/>
        </w:rPr>
        <w:t xml:space="preserve"> </w:t>
      </w:r>
      <w:r>
        <w:rPr>
          <w:rFonts w:eastAsia="Calibri"/>
        </w:rPr>
        <w:t>T</w:t>
      </w:r>
      <w:r w:rsidRPr="001A718C">
        <w:rPr>
          <w:rFonts w:eastAsia="Calibri"/>
        </w:rPr>
        <w:t>he targeted sample size across strata will be allocated disproportionately (relative to their population proportions) to allow for a sufficient number of SFAs in policy-relevant subgroups.</w:t>
      </w:r>
      <w:r>
        <w:rPr>
          <w:rFonts w:eastAsia="Calibri"/>
        </w:rPr>
        <w:t xml:space="preserve"> SFAs that pretest the survey will be excluded from sample selection. A </w:t>
      </w:r>
      <w:r w:rsidRPr="001A718C">
        <w:rPr>
          <w:rFonts w:eastAsia="Calibri"/>
        </w:rPr>
        <w:t xml:space="preserve">census </w:t>
      </w:r>
      <w:r>
        <w:rPr>
          <w:rFonts w:eastAsia="Calibri"/>
        </w:rPr>
        <w:t xml:space="preserve">will be taken </w:t>
      </w:r>
      <w:r w:rsidRPr="001A718C">
        <w:rPr>
          <w:rFonts w:eastAsia="Calibri"/>
        </w:rPr>
        <w:t xml:space="preserve">of SFAs with 100,000 or more enrolled students (“certainty SFAs”) and enough other SFAs </w:t>
      </w:r>
      <w:r>
        <w:rPr>
          <w:rFonts w:eastAsia="Calibri"/>
        </w:rPr>
        <w:t xml:space="preserve">will be sampled </w:t>
      </w:r>
      <w:r w:rsidRPr="001A718C">
        <w:rPr>
          <w:rFonts w:eastAsia="Calibri"/>
        </w:rPr>
        <w:t xml:space="preserve">to obtain </w:t>
      </w:r>
      <w:r w:rsidRPr="00F26871">
        <w:rPr>
          <w:rFonts w:eastAsia="Calibri"/>
        </w:rPr>
        <w:t>12 to 300</w:t>
      </w:r>
      <w:r w:rsidRPr="001A718C">
        <w:rPr>
          <w:rFonts w:eastAsia="Calibri"/>
        </w:rPr>
        <w:t xml:space="preserve"> completed SFA surveys per stratum. The study team will select a sample that allows for lower-than-anticipated response rates (an augmented sample). From this sample, the team will randomly subsample a first release that assumes an </w:t>
      </w:r>
      <w:r w:rsidRPr="00F26871">
        <w:rPr>
          <w:rFonts w:eastAsia="Calibri"/>
        </w:rPr>
        <w:t>80 percent response rate</w:t>
      </w:r>
      <w:r w:rsidRPr="001A718C">
        <w:rPr>
          <w:rFonts w:eastAsia="Calibri"/>
        </w:rPr>
        <w:t xml:space="preserve">, where all </w:t>
      </w:r>
      <w:r w:rsidRPr="001A718C">
        <w:rPr>
          <w:rFonts w:eastAsia="Calibri"/>
        </w:rPr>
        <w:t>remaining sampled SFAs are held in reserve as backup SFAs. In each stratum, backup SFAs will be random ordered and released as needed to achieve the stratum’s target number of completes.</w:t>
      </w:r>
      <w:r>
        <w:rPr>
          <w:rFonts w:eastAsia="Calibri"/>
        </w:rPr>
        <w:t xml:space="preserve"> </w:t>
      </w:r>
      <w:bookmarkStart w:id="16" w:name="_Hlk81322881"/>
      <w:r w:rsidRPr="00E969F3" w:rsidR="00E9469C">
        <w:rPr>
          <w:rFonts w:eastAsia="Calibri"/>
        </w:rPr>
        <w:t>The final sampling weights will then be calculated as the product of the initial sampling weight (the inverse of the probability of selection for the augmented sample) and the release adjustment (the number of cases selected for the augmented sample in each stratum divided by the number of released cases in that stratum).</w:t>
      </w:r>
      <w:bookmarkEnd w:id="16"/>
    </w:p>
    <w:p w:rsidR="009C7D12" w:rsidP="009C7D12" w14:paraId="14CA1FAA" w14:textId="1F4037BD">
      <w:pPr>
        <w:spacing w:after="0" w:line="480" w:lineRule="auto"/>
        <w:ind w:firstLine="432"/>
      </w:pPr>
      <w:r>
        <w:t xml:space="preserve">To streamline survey data collection, </w:t>
      </w:r>
      <w:r w:rsidR="001D2064">
        <w:t xml:space="preserve">the team also plans to collect disaggregated </w:t>
      </w:r>
      <w:r w:rsidRPr="000E6D85" w:rsidR="000E6D85">
        <w:t xml:space="preserve">administrative data from </w:t>
      </w:r>
      <w:r w:rsidR="00C33F2F">
        <w:t>68</w:t>
      </w:r>
      <w:r w:rsidRPr="000E6D85" w:rsidR="000E6D85">
        <w:t xml:space="preserve"> State </w:t>
      </w:r>
      <w:r w:rsidRPr="000E6D85" w:rsidR="00730A2E">
        <w:t>agenc</w:t>
      </w:r>
      <w:r w:rsidR="00730A2E">
        <w:t xml:space="preserve">ies </w:t>
      </w:r>
      <w:r w:rsidRPr="000E6D85" w:rsidR="000E6D85">
        <w:t>that are currently only reported</w:t>
      </w:r>
      <w:r w:rsidR="00B5009C">
        <w:t xml:space="preserve"> to FNS</w:t>
      </w:r>
      <w:r w:rsidRPr="000E6D85" w:rsidR="000E6D85">
        <w:t xml:space="preserve"> in aggregate on forms FNS-10, Report of School Program Operations, FNS-418, Report of the Summer Food Service Program for Children, and FNS-44, Report of the Child and Adult Care Food Program (</w:t>
      </w:r>
      <w:r w:rsidRPr="00F26871" w:rsidR="000E6D85">
        <w:t>which are approved under OMB# 0584-0594, Food Programs Reporting System (FPRS), expiration date 07/31/2023</w:t>
      </w:r>
      <w:r w:rsidRPr="000E6D85" w:rsidR="000E6D85">
        <w:t>)</w:t>
      </w:r>
      <w:r>
        <w:t xml:space="preserve">. </w:t>
      </w:r>
      <w:r w:rsidRPr="009C7D12">
        <w:t xml:space="preserve">No sampling or weighting is required </w:t>
      </w:r>
      <w:r w:rsidR="00756948">
        <w:t xml:space="preserve">for the state-level collections </w:t>
      </w:r>
      <w:r w:rsidRPr="009C7D12">
        <w:t xml:space="preserve">as the study will </w:t>
      </w:r>
      <w:r w:rsidR="001D2064">
        <w:t>include</w:t>
      </w:r>
      <w:r w:rsidRPr="009C7D12">
        <w:t xml:space="preserve"> a census of all </w:t>
      </w:r>
      <w:r w:rsidR="00C33F2F">
        <w:t>68</w:t>
      </w:r>
      <w:r w:rsidRPr="00932E2F">
        <w:t xml:space="preserve"> S</w:t>
      </w:r>
      <w:r w:rsidR="00730A2E">
        <w:t>tate agencies</w:t>
      </w:r>
      <w:r w:rsidRPr="009C7D12">
        <w:t xml:space="preserve">. Given the total universe of only </w:t>
      </w:r>
      <w:r w:rsidR="00C33F2F">
        <w:t>68</w:t>
      </w:r>
      <w:r w:rsidRPr="009C7D12">
        <w:t xml:space="preserve"> eligible State</w:t>
      </w:r>
      <w:r w:rsidR="00730A2E">
        <w:t xml:space="preserve"> agencie</w:t>
      </w:r>
      <w:r w:rsidRPr="009C7D12">
        <w:t xml:space="preserve">s and </w:t>
      </w:r>
      <w:r w:rsidR="00932E2F">
        <w:t>T</w:t>
      </w:r>
      <w:r w:rsidRPr="009C7D12">
        <w:t>erritories and their relatively distinct characteristics, there is not an efficient sample design that could closely match the comprehensive data on State policies and student meal service that a census will yield to better understand variation and localized concerns.</w:t>
      </w:r>
    </w:p>
    <w:p w:rsidR="00186F0D" w:rsidRPr="00DB36E3" w:rsidP="00DB36E3" w14:paraId="73759D19" w14:textId="63008D8A">
      <w:pPr>
        <w:pStyle w:val="H3"/>
      </w:pPr>
      <w:r w:rsidRPr="00DB36E3">
        <w:t>Expected Response Rates</w:t>
      </w:r>
    </w:p>
    <w:p w:rsidR="004B7FEA" w:rsidP="007561D6" w14:paraId="76295460" w14:textId="305916CC">
      <w:pPr>
        <w:spacing w:after="0" w:line="480" w:lineRule="auto"/>
        <w:ind w:firstLine="432"/>
        <w:rPr>
          <w:rFonts w:eastAsia="Calibri"/>
        </w:rPr>
      </w:pPr>
      <w:r w:rsidRPr="004B7FEA">
        <w:rPr>
          <w:rFonts w:eastAsia="Calibri"/>
        </w:rPr>
        <w:t xml:space="preserve">The nationally representative sample of </w:t>
      </w:r>
      <w:r w:rsidR="00327865">
        <w:rPr>
          <w:rFonts w:eastAsia="Calibri"/>
        </w:rPr>
        <w:t>1,26</w:t>
      </w:r>
      <w:r w:rsidR="00F84CF2">
        <w:rPr>
          <w:rFonts w:eastAsia="Calibri"/>
        </w:rPr>
        <w:t>8</w:t>
      </w:r>
      <w:r w:rsidR="00327865">
        <w:rPr>
          <w:rFonts w:eastAsia="Calibri"/>
        </w:rPr>
        <w:t xml:space="preserve"> </w:t>
      </w:r>
      <w:r w:rsidRPr="004B7FEA">
        <w:rPr>
          <w:rFonts w:eastAsia="Calibri"/>
        </w:rPr>
        <w:t>SFAs (including charters) is expected to result in 1,012 completed web surveys</w:t>
      </w:r>
      <w:r w:rsidR="00DE6056">
        <w:rPr>
          <w:rFonts w:eastAsia="Calibri"/>
        </w:rPr>
        <w:t>, a response rate of 80%</w:t>
      </w:r>
      <w:r w:rsidRPr="004B7FEA">
        <w:rPr>
          <w:rFonts w:eastAsia="Calibri"/>
        </w:rPr>
        <w:t xml:space="preserve">. This will balance the need for precise estimates with the desire for minimizing burden on SFA </w:t>
      </w:r>
      <w:r w:rsidR="000D5B9A">
        <w:rPr>
          <w:rFonts w:eastAsia="Calibri"/>
        </w:rPr>
        <w:t>D</w:t>
      </w:r>
      <w:r w:rsidRPr="004B7FEA">
        <w:rPr>
          <w:rFonts w:eastAsia="Calibri"/>
        </w:rPr>
        <w:t>irectors.</w:t>
      </w:r>
    </w:p>
    <w:p w:rsidR="007561D6" w:rsidP="007561D6" w14:paraId="520375DA" w14:textId="1A985D43">
      <w:pPr>
        <w:spacing w:after="0" w:line="480" w:lineRule="auto"/>
        <w:ind w:firstLine="432"/>
        <w:rPr>
          <w:rFonts w:eastAsia="Calibri"/>
          <w:szCs w:val="24"/>
        </w:rPr>
      </w:pPr>
      <w:r w:rsidRPr="001A718C">
        <w:rPr>
          <w:rFonts w:eastAsia="Calibri"/>
        </w:rPr>
        <w:t xml:space="preserve">Achieving high response rates on the </w:t>
      </w:r>
      <w:r w:rsidR="0018687F">
        <w:rPr>
          <w:rFonts w:eastAsia="Calibri"/>
        </w:rPr>
        <w:t xml:space="preserve">SA and SFA </w:t>
      </w:r>
      <w:r w:rsidRPr="001A718C">
        <w:rPr>
          <w:rFonts w:eastAsia="Calibri"/>
        </w:rPr>
        <w:t>survey</w:t>
      </w:r>
      <w:r w:rsidR="0018687F">
        <w:rPr>
          <w:rFonts w:eastAsia="Calibri"/>
        </w:rPr>
        <w:t>s</w:t>
      </w:r>
      <w:r w:rsidRPr="001A718C">
        <w:rPr>
          <w:rFonts w:eastAsia="Calibri"/>
        </w:rPr>
        <w:t xml:space="preserve"> and the administrative data request is critical to the study’s success.</w:t>
      </w:r>
      <w:r w:rsidR="0032121E">
        <w:rPr>
          <w:rFonts w:eastAsia="Calibri"/>
        </w:rPr>
        <w:t xml:space="preserve"> </w:t>
      </w:r>
      <w:r w:rsidR="00AD7A8B">
        <w:rPr>
          <w:rFonts w:eastAsia="Calibri"/>
        </w:rPr>
        <w:t xml:space="preserve">The </w:t>
      </w:r>
      <w:r w:rsidRPr="00712065" w:rsidR="00AD7A8B">
        <w:rPr>
          <w:rFonts w:eastAsia="Calibri" w:cstheme="minorHAnsi"/>
          <w:szCs w:val="24"/>
        </w:rPr>
        <w:t>Child Nutrition Program Operations Study II (CN-</w:t>
      </w:r>
      <w:r w:rsidRPr="00712065" w:rsidR="00AD7A8B">
        <w:rPr>
          <w:rFonts w:eastAsia="Calibri" w:cstheme="minorHAnsi"/>
          <w:szCs w:val="24"/>
        </w:rPr>
        <w:t>OPS II)</w:t>
      </w:r>
      <w:r w:rsidR="002234B4">
        <w:rPr>
          <w:rFonts w:eastAsia="Calibri" w:cstheme="minorHAnsi"/>
          <w:szCs w:val="24"/>
        </w:rPr>
        <w:t xml:space="preserve"> (OMB number 0584-0607, expiration date 08/31/2022)</w:t>
      </w:r>
      <w:r w:rsidR="00AD7A8B">
        <w:rPr>
          <w:rFonts w:eastAsia="Calibri" w:cstheme="minorHAnsi"/>
          <w:szCs w:val="24"/>
        </w:rPr>
        <w:t xml:space="preserve">, </w:t>
      </w:r>
      <w:r w:rsidRPr="002A544E" w:rsidR="002A544E">
        <w:rPr>
          <w:rFonts w:eastAsia="Calibri" w:cstheme="minorHAnsi"/>
          <w:szCs w:val="24"/>
        </w:rPr>
        <w:t>which is the predecessor to the SMO Study</w:t>
      </w:r>
      <w:r w:rsidR="00AD7A8B">
        <w:rPr>
          <w:rFonts w:eastAsia="Calibri"/>
        </w:rPr>
        <w:t>,</w:t>
      </w:r>
      <w:r w:rsidR="00B65930">
        <w:rPr>
          <w:rFonts w:eastAsia="Calibri"/>
        </w:rPr>
        <w:t xml:space="preserve"> had survey response rates </w:t>
      </w:r>
      <w:r w:rsidR="00631E82">
        <w:rPr>
          <w:rFonts w:eastAsia="Calibri"/>
        </w:rPr>
        <w:t xml:space="preserve">of </w:t>
      </w:r>
      <w:r w:rsidR="00B65930">
        <w:rPr>
          <w:rFonts w:eastAsia="Calibri"/>
        </w:rPr>
        <w:t>100 percent for the S</w:t>
      </w:r>
      <w:r w:rsidR="00CB3F14">
        <w:rPr>
          <w:rFonts w:eastAsia="Calibri"/>
        </w:rPr>
        <w:t>tate CN</w:t>
      </w:r>
      <w:r w:rsidR="00B65930">
        <w:rPr>
          <w:rFonts w:eastAsia="Calibri"/>
        </w:rPr>
        <w:t xml:space="preserve"> survey</w:t>
      </w:r>
      <w:r w:rsidRPr="00B40A6F" w:rsidR="00B40A6F">
        <w:t xml:space="preserve"> </w:t>
      </w:r>
      <w:r w:rsidRPr="00B40A6F" w:rsidR="00B40A6F">
        <w:rPr>
          <w:rFonts w:eastAsia="Calibri"/>
        </w:rPr>
        <w:t>and 78 percent for the SFA survey averaged across</w:t>
      </w:r>
      <w:r w:rsidR="00B65930">
        <w:rPr>
          <w:rFonts w:eastAsia="Calibri"/>
        </w:rPr>
        <w:t xml:space="preserve"> </w:t>
      </w:r>
      <w:r w:rsidR="00CB3F14">
        <w:rPr>
          <w:rFonts w:eastAsia="Calibri"/>
        </w:rPr>
        <w:t xml:space="preserve">three </w:t>
      </w:r>
      <w:r w:rsidR="00551118">
        <w:rPr>
          <w:rFonts w:eastAsia="Calibri"/>
        </w:rPr>
        <w:t>data collection</w:t>
      </w:r>
      <w:r w:rsidR="00CB3F14">
        <w:rPr>
          <w:rFonts w:eastAsia="Calibri"/>
        </w:rPr>
        <w:t xml:space="preserve"> years</w:t>
      </w:r>
      <w:r w:rsidR="00544095">
        <w:rPr>
          <w:rFonts w:eastAsia="Calibri"/>
        </w:rPr>
        <w:t>.</w:t>
      </w:r>
      <w:r w:rsidR="00E71F8C">
        <w:rPr>
          <w:rFonts w:eastAsia="Calibri"/>
        </w:rPr>
        <w:t xml:space="preserve"> </w:t>
      </w:r>
      <w:r w:rsidR="002E2742">
        <w:rPr>
          <w:rFonts w:eastAsia="Calibri"/>
        </w:rPr>
        <w:t>In addition, t</w:t>
      </w:r>
      <w:r w:rsidR="00825FD7">
        <w:rPr>
          <w:rFonts w:eastAsia="Calibri"/>
        </w:rPr>
        <w:t xml:space="preserve">he SMO Study had a response rate of </w:t>
      </w:r>
      <w:r w:rsidR="005A6789">
        <w:rPr>
          <w:rFonts w:eastAsia="Calibri"/>
        </w:rPr>
        <w:t xml:space="preserve">100 </w:t>
      </w:r>
      <w:r w:rsidR="00825FD7">
        <w:rPr>
          <w:rFonts w:eastAsia="Calibri"/>
        </w:rPr>
        <w:t xml:space="preserve">percent </w:t>
      </w:r>
      <w:r w:rsidRPr="00825FD7" w:rsidR="00825FD7">
        <w:rPr>
          <w:rFonts w:eastAsia="Calibri"/>
        </w:rPr>
        <w:t xml:space="preserve">for the State CN </w:t>
      </w:r>
      <w:r w:rsidR="00730A2E">
        <w:rPr>
          <w:rFonts w:eastAsia="Calibri"/>
        </w:rPr>
        <w:t xml:space="preserve">Director </w:t>
      </w:r>
      <w:r w:rsidRPr="00825FD7" w:rsidR="00825FD7">
        <w:rPr>
          <w:rFonts w:eastAsia="Calibri"/>
        </w:rPr>
        <w:t xml:space="preserve">survey </w:t>
      </w:r>
      <w:r w:rsidR="00D5335A">
        <w:rPr>
          <w:rFonts w:eastAsia="Calibri"/>
        </w:rPr>
        <w:t xml:space="preserve">and administrative data collection </w:t>
      </w:r>
      <w:r w:rsidR="00825FD7">
        <w:rPr>
          <w:rFonts w:eastAsia="Calibri"/>
        </w:rPr>
        <w:t>during the first</w:t>
      </w:r>
      <w:r w:rsidR="000C6438">
        <w:rPr>
          <w:rFonts w:eastAsia="Calibri"/>
        </w:rPr>
        <w:t xml:space="preserve"> three</w:t>
      </w:r>
      <w:r w:rsidR="00825FD7">
        <w:rPr>
          <w:rFonts w:eastAsia="Calibri"/>
        </w:rPr>
        <w:t xml:space="preserve"> year</w:t>
      </w:r>
      <w:r w:rsidR="000C6438">
        <w:rPr>
          <w:rFonts w:eastAsia="Calibri"/>
        </w:rPr>
        <w:t>s</w:t>
      </w:r>
      <w:r w:rsidR="00825FD7">
        <w:rPr>
          <w:rFonts w:eastAsia="Calibri"/>
        </w:rPr>
        <w:t xml:space="preserve"> of data collection in </w:t>
      </w:r>
      <w:r w:rsidR="00AF53B5">
        <w:rPr>
          <w:rFonts w:eastAsia="Calibri"/>
        </w:rPr>
        <w:t xml:space="preserve">SY </w:t>
      </w:r>
      <w:r w:rsidR="00825FD7">
        <w:rPr>
          <w:rFonts w:eastAsia="Calibri"/>
        </w:rPr>
        <w:t>2020-2021</w:t>
      </w:r>
      <w:r w:rsidR="000C6438">
        <w:rPr>
          <w:rFonts w:eastAsia="Calibri"/>
        </w:rPr>
        <w:t>, SY 2021-2022, and SY 2022-2023</w:t>
      </w:r>
      <w:r w:rsidR="00730A2E">
        <w:rPr>
          <w:rFonts w:eastAsia="Calibri"/>
        </w:rPr>
        <w:t>, and a response rate of 86</w:t>
      </w:r>
      <w:r w:rsidRPr="00B40A6F" w:rsidR="00730A2E">
        <w:rPr>
          <w:rFonts w:eastAsia="Calibri"/>
        </w:rPr>
        <w:t xml:space="preserve"> percent for the SFA </w:t>
      </w:r>
      <w:r w:rsidR="00730A2E">
        <w:rPr>
          <w:rFonts w:eastAsia="Calibri"/>
        </w:rPr>
        <w:t xml:space="preserve">Director </w:t>
      </w:r>
      <w:r w:rsidRPr="00B40A6F" w:rsidR="00730A2E">
        <w:rPr>
          <w:rFonts w:eastAsia="Calibri"/>
        </w:rPr>
        <w:t>survey</w:t>
      </w:r>
      <w:r w:rsidR="00730A2E">
        <w:rPr>
          <w:rFonts w:eastAsia="Calibri"/>
        </w:rPr>
        <w:t xml:space="preserve"> fielded in SY 2021-2022</w:t>
      </w:r>
      <w:r w:rsidR="00825FD7">
        <w:rPr>
          <w:rFonts w:eastAsia="Calibri"/>
        </w:rPr>
        <w:t>.</w:t>
      </w:r>
      <w:r w:rsidR="000C6438">
        <w:rPr>
          <w:rFonts w:eastAsia="Calibri"/>
        </w:rPr>
        <w:t xml:space="preserve"> </w:t>
      </w:r>
      <w:r w:rsidR="00D16FFA">
        <w:rPr>
          <w:rFonts w:eastAsia="Calibri"/>
          <w:szCs w:val="24"/>
        </w:rPr>
        <w:t>T</w:t>
      </w:r>
      <w:r w:rsidR="005A6789">
        <w:rPr>
          <w:rFonts w:eastAsia="Calibri"/>
          <w:szCs w:val="24"/>
        </w:rPr>
        <w:t xml:space="preserve">he team </w:t>
      </w:r>
      <w:r w:rsidRPr="00825FD7" w:rsidR="005A6789">
        <w:rPr>
          <w:rFonts w:eastAsia="Calibri"/>
          <w:szCs w:val="24"/>
        </w:rPr>
        <w:t>anticipate</w:t>
      </w:r>
      <w:r w:rsidR="005A6789">
        <w:rPr>
          <w:rFonts w:eastAsia="Calibri"/>
          <w:szCs w:val="24"/>
        </w:rPr>
        <w:t>s</w:t>
      </w:r>
      <w:r w:rsidRPr="00825FD7" w:rsidR="005A6789">
        <w:rPr>
          <w:rFonts w:eastAsia="Calibri"/>
          <w:szCs w:val="24"/>
        </w:rPr>
        <w:t xml:space="preserve"> </w:t>
      </w:r>
      <w:r w:rsidR="005A6789">
        <w:rPr>
          <w:rFonts w:eastAsia="Calibri"/>
          <w:szCs w:val="24"/>
        </w:rPr>
        <w:t xml:space="preserve">again </w:t>
      </w:r>
      <w:r w:rsidRPr="00825FD7" w:rsidR="005A6789">
        <w:rPr>
          <w:rFonts w:eastAsia="Calibri"/>
          <w:szCs w:val="24"/>
        </w:rPr>
        <w:t xml:space="preserve">reaching </w:t>
      </w:r>
      <w:r w:rsidRPr="00F26871" w:rsidR="005A6789">
        <w:rPr>
          <w:rFonts w:eastAsia="Calibri"/>
          <w:szCs w:val="24"/>
        </w:rPr>
        <w:t xml:space="preserve">100 percent completion with the </w:t>
      </w:r>
      <w:r w:rsidRPr="00F26871" w:rsidR="00C33F2F">
        <w:rPr>
          <w:rFonts w:eastAsia="Calibri"/>
          <w:szCs w:val="24"/>
        </w:rPr>
        <w:t>68</w:t>
      </w:r>
      <w:r w:rsidRPr="00F26871" w:rsidR="005A6789">
        <w:rPr>
          <w:rFonts w:eastAsia="Calibri"/>
          <w:szCs w:val="24"/>
        </w:rPr>
        <w:t xml:space="preserve"> </w:t>
      </w:r>
      <w:r w:rsidRPr="00F26871" w:rsidR="00D5335A">
        <w:rPr>
          <w:rFonts w:eastAsia="Calibri"/>
          <w:szCs w:val="24"/>
        </w:rPr>
        <w:t>State</w:t>
      </w:r>
      <w:r w:rsidR="00D5335A">
        <w:rPr>
          <w:rFonts w:eastAsia="Calibri"/>
          <w:szCs w:val="24"/>
        </w:rPr>
        <w:t xml:space="preserve"> agency </w:t>
      </w:r>
      <w:r w:rsidRPr="00825FD7" w:rsidR="005A6789">
        <w:rPr>
          <w:rFonts w:eastAsia="Calibri"/>
          <w:szCs w:val="24"/>
        </w:rPr>
        <w:t>respondents</w:t>
      </w:r>
      <w:r w:rsidR="00890DF1">
        <w:rPr>
          <w:rFonts w:eastAsia="Calibri"/>
          <w:szCs w:val="24"/>
        </w:rPr>
        <w:t xml:space="preserve"> for the web survey and the administrative data collection</w:t>
      </w:r>
      <w:r w:rsidRPr="00825FD7" w:rsidR="005A6789">
        <w:rPr>
          <w:rFonts w:eastAsia="Calibri"/>
          <w:szCs w:val="24"/>
        </w:rPr>
        <w:t>.</w:t>
      </w:r>
      <w:r w:rsidR="005A6789">
        <w:t xml:space="preserve"> </w:t>
      </w:r>
      <w:r w:rsidR="002E2742">
        <w:t xml:space="preserve">With the SFA survey, while SFA </w:t>
      </w:r>
      <w:r w:rsidR="000D5B9A">
        <w:t>D</w:t>
      </w:r>
      <w:r w:rsidR="002E2742">
        <w:t xml:space="preserve">irectors will likely be </w:t>
      </w:r>
      <w:r w:rsidR="001E6637">
        <w:t xml:space="preserve">continuing to make </w:t>
      </w:r>
      <w:r w:rsidR="002E2742">
        <w:t>adjustments to program operations due to the COVID-19 pandemic</w:t>
      </w:r>
      <w:r w:rsidR="001E6637">
        <w:t xml:space="preserve"> during SY 202</w:t>
      </w:r>
      <w:r w:rsidR="000C6438">
        <w:t>3</w:t>
      </w:r>
      <w:r w:rsidR="001E6637">
        <w:t>-202</w:t>
      </w:r>
      <w:r w:rsidR="000C6438">
        <w:t>4</w:t>
      </w:r>
      <w:r w:rsidR="002E2742">
        <w:t>, we expect that they will also be interested in reporting to FNS on th</w:t>
      </w:r>
      <w:r w:rsidR="000C6438">
        <w:t>eir current operations</w:t>
      </w:r>
      <w:r w:rsidR="002E2742">
        <w:t>.</w:t>
      </w:r>
      <w:r w:rsidR="001E6637">
        <w:t xml:space="preserve"> This </w:t>
      </w:r>
      <w:r w:rsidR="00D5335A">
        <w:t xml:space="preserve">survey </w:t>
      </w:r>
      <w:r w:rsidR="001E6637">
        <w:t xml:space="preserve">will be their </w:t>
      </w:r>
      <w:r w:rsidR="00D5335A">
        <w:t xml:space="preserve">primary </w:t>
      </w:r>
      <w:r w:rsidR="001E6637">
        <w:t xml:space="preserve">opportunity to report </w:t>
      </w:r>
      <w:r w:rsidR="00D5335A">
        <w:t xml:space="preserve">directly </w:t>
      </w:r>
      <w:r w:rsidR="001E6637">
        <w:t>to FNS on their unique experiences</w:t>
      </w:r>
      <w:r w:rsidR="00D5335A">
        <w:t>,</w:t>
      </w:r>
      <w:r w:rsidR="001E6637">
        <w:t xml:space="preserve"> and</w:t>
      </w:r>
      <w:r w:rsidR="002E2742">
        <w:t xml:space="preserve"> </w:t>
      </w:r>
      <w:r w:rsidR="00D5335A">
        <w:t xml:space="preserve">study </w:t>
      </w:r>
      <w:r w:rsidR="002E2742">
        <w:t xml:space="preserve">recruitment materials will convey the importance of reporting this information to inform </w:t>
      </w:r>
      <w:r w:rsidR="00AD6332">
        <w:t xml:space="preserve">future </w:t>
      </w:r>
      <w:r w:rsidR="002E2742">
        <w:t xml:space="preserve">program policy and assistance efforts. </w:t>
      </w:r>
      <w:r w:rsidR="001C7F8F">
        <w:t xml:space="preserve">Further, the administrative data collection </w:t>
      </w:r>
      <w:r w:rsidR="00D5335A">
        <w:t xml:space="preserve">was added </w:t>
      </w:r>
      <w:r w:rsidR="001C7F8F">
        <w:t xml:space="preserve">to the current study </w:t>
      </w:r>
      <w:r w:rsidR="00D5335A">
        <w:t>in part to minimize the burden of survey completion for SFAs, in co</w:t>
      </w:r>
      <w:r w:rsidR="00AD6332">
        <w:t>ntrast</w:t>
      </w:r>
      <w:r w:rsidR="00D5335A">
        <w:t xml:space="preserve"> to previous versions of the study</w:t>
      </w:r>
      <w:r w:rsidR="00DE6056">
        <w:t xml:space="preserve">; </w:t>
      </w:r>
      <w:r w:rsidR="00D5335A">
        <w:t>they will not be asked for information in the survey that is available through the data</w:t>
      </w:r>
      <w:r w:rsidR="000C6438">
        <w:t xml:space="preserve"> and the SFA survey is limited to 30 minutes in length</w:t>
      </w:r>
      <w:r w:rsidR="00D5335A">
        <w:t xml:space="preserve">. </w:t>
      </w:r>
      <w:r w:rsidR="00AD6332">
        <w:t xml:space="preserve">Therefore, </w:t>
      </w:r>
      <w:r w:rsidR="00890DF1">
        <w:t xml:space="preserve">while SFAs will be informed that their participation in the survey is mandatory, </w:t>
      </w:r>
      <w:r w:rsidR="00D5335A">
        <w:t xml:space="preserve">based on </w:t>
      </w:r>
      <w:r w:rsidR="001E6637">
        <w:t xml:space="preserve">past experience with similar surveys </w:t>
      </w:r>
      <w:r w:rsidR="00D5335A">
        <w:t xml:space="preserve">and efforts to reduce burden, </w:t>
      </w:r>
      <w:r w:rsidR="001E6637">
        <w:t>w</w:t>
      </w:r>
      <w:r w:rsidR="002E2742">
        <w:t xml:space="preserve">e anticipate reaching </w:t>
      </w:r>
      <w:r w:rsidRPr="00291DCE" w:rsidR="00291DCE">
        <w:rPr>
          <w:rFonts w:eastAsia="Calibri"/>
          <w:szCs w:val="24"/>
        </w:rPr>
        <w:t>an 80 percent response rate for the SFA web survey</w:t>
      </w:r>
      <w:r w:rsidRPr="00B765BC">
        <w:rPr>
          <w:rFonts w:eastAsia="Calibri"/>
          <w:szCs w:val="24"/>
        </w:rPr>
        <w:t>.</w:t>
      </w:r>
      <w:r w:rsidRPr="00B765BC" w:rsidR="0032121E">
        <w:rPr>
          <w:rFonts w:eastAsia="Calibri"/>
          <w:szCs w:val="24"/>
        </w:rPr>
        <w:t xml:space="preserve"> </w:t>
      </w:r>
    </w:p>
    <w:p w:rsidR="00604E77" w:rsidRPr="00973BF6" w:rsidP="00604E77" w14:paraId="3190C35C" w14:textId="6BB9B372">
      <w:pPr>
        <w:pStyle w:val="TableTitle"/>
      </w:pPr>
      <w:bookmarkStart w:id="17" w:name="_Toc524507003"/>
      <w:bookmarkStart w:id="18" w:name="_Toc58848381"/>
      <w:bookmarkStart w:id="19" w:name="_Toc133502234"/>
      <w:r w:rsidRPr="00973BF6">
        <w:t xml:space="preserve">Table </w:t>
      </w:r>
      <w:r>
        <w:fldChar w:fldCharType="begin"/>
      </w:r>
      <w:r>
        <w:instrText xml:space="preserve"> STYLEREF 1 \s </w:instrText>
      </w:r>
      <w:r>
        <w:fldChar w:fldCharType="separate"/>
      </w:r>
      <w:r w:rsidRPr="00973BF6">
        <w:t>B</w:t>
      </w:r>
      <w:r w:rsidRPr="00973BF6">
        <w:fldChar w:fldCharType="end"/>
      </w:r>
      <w:r w:rsidRPr="00973BF6">
        <w:t>1.</w:t>
      </w:r>
      <w:r>
        <w:t>2</w:t>
      </w:r>
      <w:r w:rsidRPr="00973BF6">
        <w:t>. Summary of Respondent Universe</w:t>
      </w:r>
      <w:r>
        <w:t xml:space="preserve"> </w:t>
      </w:r>
      <w:r w:rsidRPr="00973BF6">
        <w:t>and Expected and Prior Response Rates</w:t>
      </w:r>
      <w:bookmarkEnd w:id="17"/>
      <w:bookmarkEnd w:id="18"/>
      <w:bookmarkEnd w:id="19"/>
      <w:r w:rsidRPr="00973BF6">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72"/>
        <w:gridCol w:w="1061"/>
        <w:gridCol w:w="1217"/>
        <w:gridCol w:w="1172"/>
        <w:gridCol w:w="728"/>
        <w:gridCol w:w="728"/>
        <w:gridCol w:w="728"/>
        <w:gridCol w:w="888"/>
        <w:gridCol w:w="728"/>
        <w:gridCol w:w="728"/>
      </w:tblGrid>
      <w:tr w14:paraId="63B75F18" w14:textId="3E79B93B" w:rsidTr="004C265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blHeader/>
        </w:trPr>
        <w:tc>
          <w:tcPr>
            <w:tcW w:w="734" w:type="pct"/>
            <w:shd w:val="clear" w:color="auto" w:fill="6C6F70"/>
            <w:vAlign w:val="bottom"/>
            <w:hideMark/>
          </w:tcPr>
          <w:p w:rsidR="000C6438" w:rsidRPr="00973BF6" w:rsidP="00A83FFB" w14:paraId="19A36FB3" w14:textId="77777777">
            <w:pPr>
              <w:textboxTightWrap w:val="allLines"/>
              <w:spacing w:before="120" w:after="60" w:line="240" w:lineRule="auto"/>
              <w:jc w:val="center"/>
              <w:rPr>
                <w:rFonts w:ascii="Arial" w:eastAsia="Calibri" w:hAnsi="Arial" w:cs="Arial"/>
                <w:b/>
                <w:color w:val="FFFFFF" w:themeColor="background1"/>
                <w:sz w:val="20"/>
              </w:rPr>
            </w:pPr>
            <w:r w:rsidRPr="00973BF6">
              <w:rPr>
                <w:rFonts w:ascii="Arial" w:eastAsia="Calibri" w:hAnsi="Arial" w:cs="Arial"/>
                <w:b/>
                <w:color w:val="FFFFFF" w:themeColor="background1"/>
                <w:sz w:val="20"/>
              </w:rPr>
              <w:t>Respondent</w:t>
            </w:r>
          </w:p>
        </w:tc>
        <w:tc>
          <w:tcPr>
            <w:tcW w:w="567" w:type="pct"/>
            <w:shd w:val="clear" w:color="auto" w:fill="6C6F70"/>
            <w:vAlign w:val="bottom"/>
            <w:hideMark/>
          </w:tcPr>
          <w:p w:rsidR="000C6438" w:rsidRPr="00973BF6" w:rsidP="00A83FFB" w14:paraId="2E00E040" w14:textId="77777777">
            <w:pPr>
              <w:textboxTightWrap w:val="allLines"/>
              <w:spacing w:before="120" w:after="60" w:line="240" w:lineRule="auto"/>
              <w:jc w:val="center"/>
              <w:rPr>
                <w:rFonts w:ascii="Arial" w:eastAsia="Calibri" w:hAnsi="Arial" w:cs="Arial"/>
                <w:b/>
                <w:color w:val="FFFFFF" w:themeColor="background1"/>
                <w:sz w:val="20"/>
              </w:rPr>
            </w:pPr>
            <w:r w:rsidRPr="00973BF6">
              <w:rPr>
                <w:rFonts w:ascii="Arial" w:eastAsia="Calibri" w:hAnsi="Arial" w:cs="Arial"/>
                <w:b/>
                <w:color w:val="FFFFFF" w:themeColor="background1"/>
                <w:sz w:val="20"/>
              </w:rPr>
              <w:t>Universe</w:t>
            </w:r>
          </w:p>
        </w:tc>
        <w:tc>
          <w:tcPr>
            <w:tcW w:w="651" w:type="pct"/>
            <w:shd w:val="clear" w:color="auto" w:fill="6C6F70"/>
            <w:vAlign w:val="bottom"/>
            <w:hideMark/>
          </w:tcPr>
          <w:p w:rsidR="000C6438" w:rsidRPr="00973BF6" w:rsidP="00A83FFB" w14:paraId="72A7AFE5" w14:textId="77777777">
            <w:pPr>
              <w:textboxTightWrap w:val="allLines"/>
              <w:spacing w:before="120" w:after="60" w:line="240" w:lineRule="auto"/>
              <w:jc w:val="center"/>
              <w:rPr>
                <w:rFonts w:ascii="Arial" w:eastAsia="Calibri" w:hAnsi="Arial" w:cs="Arial"/>
                <w:b/>
                <w:color w:val="FFFFFF" w:themeColor="background1"/>
                <w:sz w:val="20"/>
              </w:rPr>
            </w:pPr>
            <w:r w:rsidRPr="00973BF6">
              <w:rPr>
                <w:rFonts w:ascii="Arial" w:eastAsia="Calibri" w:hAnsi="Arial" w:cs="Arial"/>
                <w:b/>
                <w:color w:val="FFFFFF" w:themeColor="background1"/>
                <w:sz w:val="20"/>
              </w:rPr>
              <w:t>Target completed cases</w:t>
            </w:r>
          </w:p>
        </w:tc>
        <w:tc>
          <w:tcPr>
            <w:tcW w:w="627" w:type="pct"/>
            <w:shd w:val="clear" w:color="auto" w:fill="6C6F70"/>
            <w:vAlign w:val="bottom"/>
            <w:hideMark/>
          </w:tcPr>
          <w:p w:rsidR="000C6438" w:rsidRPr="00973BF6" w:rsidP="00A83FFB" w14:paraId="2613CA52" w14:textId="77777777">
            <w:pPr>
              <w:textboxTightWrap w:val="allLines"/>
              <w:spacing w:before="120" w:after="60" w:line="240" w:lineRule="auto"/>
              <w:jc w:val="center"/>
              <w:rPr>
                <w:rFonts w:ascii="Arial" w:eastAsia="Calibri" w:hAnsi="Arial" w:cs="Arial"/>
                <w:b/>
                <w:color w:val="FFFFFF" w:themeColor="background1"/>
                <w:sz w:val="20"/>
              </w:rPr>
            </w:pPr>
            <w:r w:rsidRPr="00973BF6">
              <w:rPr>
                <w:rFonts w:ascii="Arial" w:eastAsia="Calibri" w:hAnsi="Arial" w:cs="Arial"/>
                <w:b/>
                <w:color w:val="FFFFFF" w:themeColor="background1"/>
                <w:sz w:val="20"/>
              </w:rPr>
              <w:t>Expected Response Rates</w:t>
            </w:r>
          </w:p>
        </w:tc>
        <w:tc>
          <w:tcPr>
            <w:tcW w:w="1168" w:type="pct"/>
            <w:gridSpan w:val="3"/>
            <w:shd w:val="clear" w:color="auto" w:fill="6C6F70"/>
            <w:vAlign w:val="bottom"/>
            <w:hideMark/>
          </w:tcPr>
          <w:p w:rsidR="000C6438" w:rsidRPr="00973BF6" w:rsidP="00A83FFB" w14:paraId="60457571" w14:textId="77777777">
            <w:pPr>
              <w:textboxTightWrap w:val="allLines"/>
              <w:spacing w:before="120" w:after="60" w:line="240" w:lineRule="auto"/>
              <w:jc w:val="center"/>
              <w:rPr>
                <w:rFonts w:ascii="Arial" w:eastAsia="Calibri" w:hAnsi="Arial" w:cs="Arial"/>
                <w:b/>
                <w:color w:val="FFFFFF" w:themeColor="background1"/>
                <w:sz w:val="20"/>
              </w:rPr>
            </w:pPr>
            <w:r w:rsidRPr="00973BF6">
              <w:rPr>
                <w:rFonts w:ascii="Arial" w:eastAsia="Calibri" w:hAnsi="Arial" w:cs="Arial"/>
                <w:b/>
                <w:color w:val="FFFFFF" w:themeColor="background1"/>
                <w:sz w:val="20"/>
              </w:rPr>
              <w:t>CN-OPS II Response Rates</w:t>
            </w:r>
          </w:p>
        </w:tc>
        <w:tc>
          <w:tcPr>
            <w:tcW w:w="1252" w:type="pct"/>
            <w:gridSpan w:val="3"/>
            <w:shd w:val="clear" w:color="auto" w:fill="6C6F70"/>
            <w:vAlign w:val="bottom"/>
          </w:tcPr>
          <w:p w:rsidR="000C6438" w:rsidP="00A83FFB" w14:paraId="5EC3E5F9" w14:textId="7CDB8B21">
            <w:pPr>
              <w:textboxTightWrap w:val="allLines"/>
              <w:spacing w:before="120" w:after="60" w:line="240" w:lineRule="auto"/>
              <w:jc w:val="center"/>
              <w:rPr>
                <w:rFonts w:ascii="Arial" w:eastAsia="Calibri" w:hAnsi="Arial" w:cs="Arial"/>
                <w:b/>
                <w:color w:val="FFFFFF" w:themeColor="background1"/>
                <w:sz w:val="20"/>
              </w:rPr>
            </w:pPr>
            <w:r>
              <w:rPr>
                <w:rFonts w:ascii="Arial" w:eastAsia="Calibri" w:hAnsi="Arial" w:cs="Arial"/>
                <w:b/>
                <w:color w:val="FFFFFF" w:themeColor="background1"/>
                <w:sz w:val="20"/>
              </w:rPr>
              <w:t>SMO</w:t>
            </w:r>
            <w:r w:rsidRPr="00973BF6">
              <w:rPr>
                <w:rFonts w:ascii="Arial" w:eastAsia="Calibri" w:hAnsi="Arial" w:cs="Arial"/>
                <w:b/>
                <w:color w:val="FFFFFF" w:themeColor="background1"/>
                <w:sz w:val="20"/>
              </w:rPr>
              <w:t xml:space="preserve"> Response Rates</w:t>
            </w:r>
          </w:p>
        </w:tc>
      </w:tr>
      <w:tr w14:paraId="4AB54AF2" w14:textId="1C5A5D9F" w:rsidTr="00F26871">
        <w:tblPrEx>
          <w:tblW w:w="5000" w:type="pct"/>
          <w:tblLook w:val="00A0"/>
        </w:tblPrEx>
        <w:trPr>
          <w:trHeight w:val="636"/>
        </w:trPr>
        <w:tc>
          <w:tcPr>
            <w:tcW w:w="734" w:type="pct"/>
            <w:vAlign w:val="center"/>
          </w:tcPr>
          <w:p w:rsidR="000C6438" w:rsidRPr="00973BF6" w:rsidP="00A83FFB" w14:paraId="0CC7FCE7" w14:textId="77777777">
            <w:pPr>
              <w:spacing w:before="40" w:after="40" w:line="240" w:lineRule="auto"/>
              <w:rPr>
                <w:rFonts w:ascii="Arial" w:eastAsia="Calibri" w:hAnsi="Arial" w:cs="Arial"/>
                <w:b/>
                <w:bCs/>
                <w:sz w:val="20"/>
              </w:rPr>
            </w:pPr>
          </w:p>
        </w:tc>
        <w:tc>
          <w:tcPr>
            <w:tcW w:w="567" w:type="pct"/>
            <w:vAlign w:val="center"/>
          </w:tcPr>
          <w:p w:rsidR="000C6438" w:rsidRPr="00973BF6" w:rsidP="00A83FFB" w14:paraId="6F3DF3F2" w14:textId="77777777">
            <w:pPr>
              <w:spacing w:before="40" w:after="40" w:line="240" w:lineRule="auto"/>
              <w:rPr>
                <w:rFonts w:ascii="Arial" w:eastAsia="Calibri" w:hAnsi="Arial" w:cs="Arial"/>
                <w:b/>
                <w:bCs/>
                <w:sz w:val="20"/>
              </w:rPr>
            </w:pPr>
          </w:p>
        </w:tc>
        <w:tc>
          <w:tcPr>
            <w:tcW w:w="651" w:type="pct"/>
            <w:vAlign w:val="center"/>
          </w:tcPr>
          <w:p w:rsidR="000C6438" w:rsidRPr="00973BF6" w:rsidP="00A83FFB" w14:paraId="36C47670" w14:textId="77777777">
            <w:pPr>
              <w:spacing w:before="40" w:after="40" w:line="240" w:lineRule="auto"/>
              <w:rPr>
                <w:rFonts w:ascii="Arial" w:eastAsia="Calibri" w:hAnsi="Arial" w:cs="Arial"/>
                <w:b/>
                <w:bCs/>
                <w:sz w:val="20"/>
              </w:rPr>
            </w:pPr>
          </w:p>
        </w:tc>
        <w:tc>
          <w:tcPr>
            <w:tcW w:w="627" w:type="pct"/>
            <w:vAlign w:val="center"/>
          </w:tcPr>
          <w:p w:rsidR="000C6438" w:rsidRPr="00973BF6" w:rsidP="00A83FFB" w14:paraId="2A007357" w14:textId="77777777">
            <w:pPr>
              <w:spacing w:before="40" w:after="40" w:line="240" w:lineRule="auto"/>
              <w:rPr>
                <w:rFonts w:ascii="Arial" w:eastAsia="Calibri" w:hAnsi="Arial" w:cs="Arial"/>
                <w:b/>
                <w:bCs/>
                <w:sz w:val="20"/>
              </w:rPr>
            </w:pPr>
          </w:p>
        </w:tc>
        <w:tc>
          <w:tcPr>
            <w:tcW w:w="389" w:type="pct"/>
            <w:vAlign w:val="center"/>
            <w:hideMark/>
          </w:tcPr>
          <w:p w:rsidR="000C6438" w:rsidRPr="00973BF6" w:rsidP="00570970" w14:paraId="666D551C" w14:textId="6742E0D7">
            <w:pPr>
              <w:spacing w:before="40" w:after="40" w:line="240" w:lineRule="auto"/>
              <w:jc w:val="center"/>
              <w:rPr>
                <w:rFonts w:ascii="Arial" w:eastAsia="Calibri" w:hAnsi="Arial" w:cs="Arial"/>
                <w:b/>
                <w:bCs/>
                <w:sz w:val="20"/>
              </w:rPr>
            </w:pPr>
            <w:r w:rsidRPr="005641B4">
              <w:rPr>
                <w:rFonts w:ascii="Arial" w:eastAsia="Calibri" w:hAnsi="Arial" w:cs="Arial"/>
                <w:b/>
                <w:bCs/>
                <w:sz w:val="20"/>
              </w:rPr>
              <w:t>SY</w:t>
            </w:r>
            <w:r>
              <w:rPr>
                <w:rFonts w:ascii="Arial" w:eastAsia="Calibri" w:hAnsi="Arial" w:cs="Arial"/>
                <w:b/>
                <w:bCs/>
                <w:sz w:val="20"/>
              </w:rPr>
              <w:br/>
            </w:r>
            <w:r w:rsidRPr="005641B4">
              <w:rPr>
                <w:rFonts w:ascii="Arial" w:eastAsia="Calibri" w:hAnsi="Arial" w:cs="Arial"/>
                <w:b/>
                <w:bCs/>
                <w:sz w:val="20"/>
              </w:rPr>
              <w:t>15-16</w:t>
            </w:r>
          </w:p>
        </w:tc>
        <w:tc>
          <w:tcPr>
            <w:tcW w:w="389" w:type="pct"/>
            <w:vAlign w:val="center"/>
            <w:hideMark/>
          </w:tcPr>
          <w:p w:rsidR="000C6438" w:rsidRPr="00973BF6" w:rsidP="00570970" w14:paraId="0C425CD8" w14:textId="42F1894B">
            <w:pPr>
              <w:spacing w:before="40" w:after="40" w:line="240" w:lineRule="auto"/>
              <w:jc w:val="center"/>
              <w:rPr>
                <w:rFonts w:ascii="Arial" w:eastAsia="Calibri" w:hAnsi="Arial" w:cs="Arial"/>
                <w:b/>
                <w:bCs/>
                <w:sz w:val="20"/>
              </w:rPr>
            </w:pPr>
            <w:r w:rsidRPr="005641B4">
              <w:rPr>
                <w:rFonts w:ascii="Arial" w:eastAsia="Calibri" w:hAnsi="Arial" w:cs="Arial"/>
                <w:b/>
                <w:bCs/>
                <w:sz w:val="20"/>
              </w:rPr>
              <w:t>SY</w:t>
            </w:r>
            <w:r>
              <w:rPr>
                <w:rFonts w:ascii="Arial" w:eastAsia="Calibri" w:hAnsi="Arial" w:cs="Arial"/>
                <w:b/>
                <w:bCs/>
                <w:sz w:val="20"/>
              </w:rPr>
              <w:br/>
            </w:r>
            <w:r w:rsidRPr="005641B4">
              <w:rPr>
                <w:rFonts w:ascii="Arial" w:eastAsia="Calibri" w:hAnsi="Arial" w:cs="Arial"/>
                <w:b/>
                <w:bCs/>
                <w:sz w:val="20"/>
              </w:rPr>
              <w:t>16-17</w:t>
            </w:r>
          </w:p>
        </w:tc>
        <w:tc>
          <w:tcPr>
            <w:tcW w:w="390" w:type="pct"/>
            <w:hideMark/>
          </w:tcPr>
          <w:p w:rsidR="000C6438" w:rsidRPr="00973BF6" w:rsidP="00570970" w14:paraId="6D787A72" w14:textId="4A32FF52">
            <w:pPr>
              <w:spacing w:before="40" w:after="40" w:line="240" w:lineRule="auto"/>
              <w:jc w:val="center"/>
              <w:rPr>
                <w:rFonts w:ascii="Arial" w:eastAsia="Calibri" w:hAnsi="Arial" w:cs="Arial"/>
                <w:b/>
                <w:bCs/>
                <w:sz w:val="20"/>
              </w:rPr>
            </w:pPr>
            <w:r w:rsidRPr="005641B4">
              <w:rPr>
                <w:rFonts w:ascii="Arial" w:eastAsia="Calibri" w:hAnsi="Arial" w:cs="Arial"/>
                <w:b/>
                <w:bCs/>
                <w:sz w:val="20"/>
              </w:rPr>
              <w:t>SY</w:t>
            </w:r>
            <w:r>
              <w:rPr>
                <w:rFonts w:ascii="Arial" w:eastAsia="Calibri" w:hAnsi="Arial" w:cs="Arial"/>
                <w:b/>
                <w:bCs/>
                <w:sz w:val="20"/>
              </w:rPr>
              <w:br/>
              <w:t>17</w:t>
            </w:r>
            <w:r w:rsidRPr="005641B4">
              <w:rPr>
                <w:rFonts w:ascii="Arial" w:eastAsia="Calibri" w:hAnsi="Arial" w:cs="Arial"/>
                <w:b/>
                <w:bCs/>
                <w:sz w:val="20"/>
              </w:rPr>
              <w:t>-</w:t>
            </w:r>
            <w:r>
              <w:rPr>
                <w:rFonts w:ascii="Arial" w:eastAsia="Calibri" w:hAnsi="Arial" w:cs="Arial"/>
                <w:b/>
                <w:bCs/>
                <w:sz w:val="20"/>
              </w:rPr>
              <w:t>18</w:t>
            </w:r>
          </w:p>
        </w:tc>
        <w:tc>
          <w:tcPr>
            <w:tcW w:w="627" w:type="pct"/>
          </w:tcPr>
          <w:p w:rsidR="000C6438" w:rsidRPr="005641B4" w:rsidP="00570970" w14:paraId="14798A26" w14:textId="01124610">
            <w:pPr>
              <w:spacing w:before="40" w:after="40" w:line="240" w:lineRule="auto"/>
              <w:jc w:val="center"/>
              <w:rPr>
                <w:rFonts w:ascii="Arial" w:eastAsia="Calibri" w:hAnsi="Arial" w:cs="Arial"/>
                <w:b/>
                <w:bCs/>
                <w:sz w:val="20"/>
              </w:rPr>
            </w:pPr>
            <w:r w:rsidRPr="005641B4">
              <w:rPr>
                <w:rFonts w:ascii="Arial" w:eastAsia="Calibri" w:hAnsi="Arial" w:cs="Arial"/>
                <w:b/>
                <w:bCs/>
                <w:sz w:val="20"/>
              </w:rPr>
              <w:t>SY</w:t>
            </w:r>
            <w:r>
              <w:rPr>
                <w:rFonts w:ascii="Arial" w:eastAsia="Calibri" w:hAnsi="Arial" w:cs="Arial"/>
                <w:b/>
                <w:bCs/>
                <w:sz w:val="20"/>
              </w:rPr>
              <w:br/>
              <w:t>20</w:t>
            </w:r>
            <w:r w:rsidRPr="005641B4">
              <w:rPr>
                <w:rFonts w:ascii="Arial" w:eastAsia="Calibri" w:hAnsi="Arial" w:cs="Arial"/>
                <w:b/>
                <w:bCs/>
                <w:sz w:val="20"/>
              </w:rPr>
              <w:t>-</w:t>
            </w:r>
            <w:r>
              <w:rPr>
                <w:rFonts w:ascii="Arial" w:eastAsia="Calibri" w:hAnsi="Arial" w:cs="Arial"/>
                <w:b/>
                <w:bCs/>
                <w:sz w:val="20"/>
              </w:rPr>
              <w:t>21</w:t>
            </w:r>
          </w:p>
        </w:tc>
        <w:tc>
          <w:tcPr>
            <w:tcW w:w="314" w:type="pct"/>
          </w:tcPr>
          <w:p w:rsidR="000C6438" w:rsidRPr="005641B4" w:rsidP="00570970" w14:paraId="74F2B70B" w14:textId="7E0B6B18">
            <w:pPr>
              <w:spacing w:before="40" w:after="40" w:line="240" w:lineRule="auto"/>
              <w:jc w:val="center"/>
              <w:rPr>
                <w:rFonts w:ascii="Arial" w:eastAsia="Calibri" w:hAnsi="Arial" w:cs="Arial"/>
                <w:b/>
                <w:bCs/>
                <w:sz w:val="20"/>
              </w:rPr>
            </w:pPr>
            <w:r>
              <w:rPr>
                <w:rFonts w:ascii="Arial" w:eastAsia="Calibri" w:hAnsi="Arial" w:cs="Arial"/>
                <w:b/>
                <w:bCs/>
                <w:sz w:val="20"/>
              </w:rPr>
              <w:t>SY 21-22</w:t>
            </w:r>
          </w:p>
        </w:tc>
        <w:tc>
          <w:tcPr>
            <w:tcW w:w="312" w:type="pct"/>
          </w:tcPr>
          <w:p w:rsidR="000C6438" w:rsidRPr="005641B4" w:rsidP="00570970" w14:paraId="51C66045" w14:textId="307CDABC">
            <w:pPr>
              <w:spacing w:before="40" w:after="40" w:line="240" w:lineRule="auto"/>
              <w:jc w:val="center"/>
              <w:rPr>
                <w:rFonts w:ascii="Arial" w:eastAsia="Calibri" w:hAnsi="Arial" w:cs="Arial"/>
                <w:b/>
                <w:bCs/>
                <w:sz w:val="20"/>
              </w:rPr>
            </w:pPr>
            <w:r>
              <w:rPr>
                <w:rFonts w:ascii="Arial" w:eastAsia="Calibri" w:hAnsi="Arial" w:cs="Arial"/>
                <w:b/>
                <w:bCs/>
                <w:sz w:val="20"/>
              </w:rPr>
              <w:t>SY 22-23**</w:t>
            </w:r>
          </w:p>
        </w:tc>
      </w:tr>
      <w:tr w14:paraId="73221E04" w14:textId="42682A28" w:rsidTr="00635F84">
        <w:tblPrEx>
          <w:tblW w:w="5000" w:type="pct"/>
          <w:tblLook w:val="00A0"/>
        </w:tblPrEx>
        <w:trPr>
          <w:trHeight w:val="288"/>
        </w:trPr>
        <w:tc>
          <w:tcPr>
            <w:tcW w:w="734" w:type="pct"/>
            <w:vAlign w:val="center"/>
            <w:hideMark/>
          </w:tcPr>
          <w:p w:rsidR="000C6438" w:rsidRPr="00635F84" w:rsidP="00635F84" w14:paraId="28090CF1" w14:textId="77777777">
            <w:pPr>
              <w:spacing w:before="40" w:after="40" w:line="240" w:lineRule="auto"/>
              <w:rPr>
                <w:rFonts w:eastAsia="Calibri" w:asciiTheme="majorHAnsi" w:hAnsiTheme="majorHAnsi" w:cstheme="majorHAnsi"/>
                <w:sz w:val="20"/>
              </w:rPr>
            </w:pPr>
            <w:r w:rsidRPr="00635F84">
              <w:rPr>
                <w:rFonts w:eastAsia="Calibri" w:asciiTheme="majorHAnsi" w:hAnsiTheme="majorHAnsi" w:cstheme="majorHAnsi"/>
                <w:sz w:val="20"/>
              </w:rPr>
              <w:t>State CN Agencies</w:t>
            </w:r>
          </w:p>
        </w:tc>
        <w:tc>
          <w:tcPr>
            <w:tcW w:w="567" w:type="pct"/>
            <w:vAlign w:val="center"/>
            <w:hideMark/>
          </w:tcPr>
          <w:p w:rsidR="000C6438" w:rsidRPr="00635F84" w:rsidP="00635F84" w14:paraId="7E424A05" w14:textId="4F865EA7">
            <w:pPr>
              <w:textboxTightWrap w:val="allLines"/>
              <w:framePr w:hSpace="187" w:vSpace="43" w:wrap="notBeside" w:vAnchor="text" w:hAnchor="margin" w:y="44"/>
              <w:tabs>
                <w:tab w:val="decimal" w:pos="716"/>
              </w:tabs>
              <w:spacing w:after="60" w:line="240" w:lineRule="auto"/>
              <w:jc w:val="right"/>
              <w:rPr>
                <w:rFonts w:eastAsia="Calibri" w:asciiTheme="majorHAnsi" w:hAnsiTheme="majorHAnsi" w:cstheme="majorHAnsi"/>
                <w:sz w:val="20"/>
              </w:rPr>
            </w:pPr>
            <w:r w:rsidRPr="00635F84">
              <w:rPr>
                <w:rFonts w:eastAsia="Calibri" w:asciiTheme="majorHAnsi" w:hAnsiTheme="majorHAnsi" w:cstheme="majorHAnsi"/>
                <w:sz w:val="20"/>
              </w:rPr>
              <w:t>68</w:t>
            </w:r>
          </w:p>
        </w:tc>
        <w:tc>
          <w:tcPr>
            <w:tcW w:w="651" w:type="pct"/>
            <w:vAlign w:val="center"/>
            <w:hideMark/>
          </w:tcPr>
          <w:p w:rsidR="000C6438" w:rsidRPr="00635F84" w:rsidP="00635F84" w14:paraId="501EA52A" w14:textId="70EA0754">
            <w:pPr>
              <w:textboxTightWrap w:val="allLines"/>
              <w:framePr w:hSpace="187" w:vSpace="43" w:wrap="notBeside" w:vAnchor="text" w:hAnchor="margin" w:y="44"/>
              <w:tabs>
                <w:tab w:val="decimal" w:pos="716"/>
              </w:tabs>
              <w:spacing w:after="60" w:line="240" w:lineRule="auto"/>
              <w:jc w:val="right"/>
              <w:rPr>
                <w:rFonts w:eastAsia="Calibri" w:asciiTheme="majorHAnsi" w:hAnsiTheme="majorHAnsi" w:cstheme="majorHAnsi"/>
                <w:sz w:val="20"/>
              </w:rPr>
            </w:pPr>
            <w:r w:rsidRPr="00635F84">
              <w:rPr>
                <w:rFonts w:eastAsia="Calibri" w:asciiTheme="majorHAnsi" w:hAnsiTheme="majorHAnsi" w:cstheme="majorHAnsi"/>
                <w:sz w:val="20"/>
              </w:rPr>
              <w:t>68</w:t>
            </w:r>
          </w:p>
        </w:tc>
        <w:tc>
          <w:tcPr>
            <w:tcW w:w="627" w:type="pct"/>
            <w:vAlign w:val="center"/>
            <w:hideMark/>
          </w:tcPr>
          <w:p w:rsidR="000C6438" w:rsidRPr="00635F84" w:rsidP="00635F84" w14:paraId="42B32622" w14:textId="77777777">
            <w:pPr>
              <w:textboxTightWrap w:val="allLines"/>
              <w:framePr w:hSpace="187" w:vSpace="43" w:wrap="notBeside" w:vAnchor="text" w:hAnchor="margin" w:y="44"/>
              <w:tabs>
                <w:tab w:val="decimal" w:pos="530"/>
                <w:tab w:val="decimal" w:pos="716"/>
              </w:tabs>
              <w:spacing w:after="60" w:line="240" w:lineRule="auto"/>
              <w:jc w:val="right"/>
              <w:rPr>
                <w:rFonts w:eastAsia="Calibri" w:asciiTheme="majorHAnsi" w:hAnsiTheme="majorHAnsi" w:cstheme="majorHAnsi"/>
                <w:sz w:val="20"/>
              </w:rPr>
            </w:pPr>
            <w:r w:rsidRPr="00635F84">
              <w:rPr>
                <w:rFonts w:eastAsia="Calibri" w:asciiTheme="majorHAnsi" w:hAnsiTheme="majorHAnsi" w:cstheme="majorHAnsi"/>
                <w:sz w:val="20"/>
              </w:rPr>
              <w:t>100%</w:t>
            </w:r>
          </w:p>
        </w:tc>
        <w:tc>
          <w:tcPr>
            <w:tcW w:w="389" w:type="pct"/>
            <w:vAlign w:val="center"/>
            <w:hideMark/>
          </w:tcPr>
          <w:p w:rsidR="000C6438" w:rsidRPr="00635F84" w:rsidP="00635F84" w14:paraId="6DCAB313" w14:textId="77777777">
            <w:pPr>
              <w:textboxTightWrap w:val="allLines"/>
              <w:framePr w:hSpace="187" w:vSpace="43" w:wrap="notBeside" w:vAnchor="text" w:hAnchor="margin" w:y="44"/>
              <w:tabs>
                <w:tab w:val="decimal" w:pos="530"/>
                <w:tab w:val="decimal" w:pos="716"/>
              </w:tabs>
              <w:spacing w:after="60" w:line="240" w:lineRule="auto"/>
              <w:jc w:val="right"/>
              <w:rPr>
                <w:rFonts w:eastAsia="Calibri" w:asciiTheme="majorHAnsi" w:hAnsiTheme="majorHAnsi" w:cstheme="majorHAnsi"/>
                <w:sz w:val="20"/>
              </w:rPr>
            </w:pPr>
            <w:r w:rsidRPr="00635F84">
              <w:rPr>
                <w:rFonts w:eastAsia="Calibri" w:asciiTheme="majorHAnsi" w:hAnsiTheme="majorHAnsi" w:cstheme="majorHAnsi"/>
                <w:sz w:val="20"/>
              </w:rPr>
              <w:t>100%</w:t>
            </w:r>
          </w:p>
        </w:tc>
        <w:tc>
          <w:tcPr>
            <w:tcW w:w="389" w:type="pct"/>
            <w:vAlign w:val="center"/>
            <w:hideMark/>
          </w:tcPr>
          <w:p w:rsidR="000C6438" w:rsidRPr="00635F84" w:rsidP="00635F84" w14:paraId="1444E01C" w14:textId="77777777">
            <w:pPr>
              <w:textboxTightWrap w:val="allLines"/>
              <w:framePr w:hSpace="187" w:vSpace="43" w:wrap="notBeside" w:vAnchor="text" w:hAnchor="margin" w:y="44"/>
              <w:tabs>
                <w:tab w:val="decimal" w:pos="530"/>
                <w:tab w:val="decimal" w:pos="716"/>
              </w:tabs>
              <w:spacing w:after="60" w:line="240" w:lineRule="auto"/>
              <w:jc w:val="right"/>
              <w:rPr>
                <w:rFonts w:eastAsia="Calibri" w:asciiTheme="majorHAnsi" w:hAnsiTheme="majorHAnsi" w:cstheme="majorHAnsi"/>
                <w:sz w:val="20"/>
              </w:rPr>
            </w:pPr>
            <w:r w:rsidRPr="00635F84">
              <w:rPr>
                <w:rFonts w:eastAsia="Calibri" w:asciiTheme="majorHAnsi" w:hAnsiTheme="majorHAnsi" w:cstheme="majorHAnsi"/>
                <w:sz w:val="20"/>
              </w:rPr>
              <w:t>100%</w:t>
            </w:r>
          </w:p>
        </w:tc>
        <w:tc>
          <w:tcPr>
            <w:tcW w:w="390" w:type="pct"/>
            <w:vAlign w:val="center"/>
            <w:hideMark/>
          </w:tcPr>
          <w:p w:rsidR="000C6438" w:rsidRPr="00635F84" w:rsidP="00635F84" w14:paraId="31563D8E" w14:textId="77777777">
            <w:pPr>
              <w:textboxTightWrap w:val="allLines"/>
              <w:framePr w:hSpace="187" w:vSpace="43" w:wrap="notBeside" w:vAnchor="text" w:hAnchor="margin" w:y="44"/>
              <w:tabs>
                <w:tab w:val="decimal" w:pos="530"/>
                <w:tab w:val="decimal" w:pos="716"/>
              </w:tabs>
              <w:spacing w:after="60" w:line="240" w:lineRule="auto"/>
              <w:jc w:val="right"/>
              <w:rPr>
                <w:rFonts w:eastAsia="Calibri" w:asciiTheme="majorHAnsi" w:hAnsiTheme="majorHAnsi" w:cstheme="majorHAnsi"/>
                <w:sz w:val="20"/>
              </w:rPr>
            </w:pPr>
            <w:r w:rsidRPr="00635F84">
              <w:rPr>
                <w:rFonts w:eastAsia="Calibri" w:asciiTheme="majorHAnsi" w:hAnsiTheme="majorHAnsi" w:cstheme="majorHAnsi"/>
                <w:sz w:val="20"/>
              </w:rPr>
              <w:t>100%</w:t>
            </w:r>
          </w:p>
        </w:tc>
        <w:tc>
          <w:tcPr>
            <w:tcW w:w="627" w:type="pct"/>
            <w:vAlign w:val="center"/>
          </w:tcPr>
          <w:p w:rsidR="000C6438" w:rsidRPr="00635F84" w:rsidP="00635F84" w14:paraId="6ED1B54F" w14:textId="12C3ED67">
            <w:pPr>
              <w:textboxTightWrap w:val="allLines"/>
              <w:framePr w:hSpace="187" w:vSpace="43" w:wrap="notBeside" w:vAnchor="text" w:hAnchor="margin" w:y="44"/>
              <w:tabs>
                <w:tab w:val="decimal" w:pos="530"/>
                <w:tab w:val="decimal" w:pos="716"/>
              </w:tabs>
              <w:spacing w:after="60" w:line="240" w:lineRule="auto"/>
              <w:jc w:val="right"/>
              <w:rPr>
                <w:rFonts w:eastAsia="Calibri" w:asciiTheme="majorHAnsi" w:hAnsiTheme="majorHAnsi" w:cstheme="majorHAnsi"/>
                <w:sz w:val="20"/>
              </w:rPr>
            </w:pPr>
            <w:r w:rsidRPr="00635F84">
              <w:rPr>
                <w:rFonts w:eastAsia="Calibri" w:asciiTheme="majorHAnsi" w:hAnsiTheme="majorHAnsi" w:cstheme="majorHAnsi"/>
                <w:sz w:val="20"/>
              </w:rPr>
              <w:t>100%</w:t>
            </w:r>
          </w:p>
        </w:tc>
        <w:tc>
          <w:tcPr>
            <w:tcW w:w="314" w:type="pct"/>
            <w:vAlign w:val="center"/>
          </w:tcPr>
          <w:p w:rsidR="000C6438" w:rsidRPr="00635F84" w:rsidP="00635F84" w14:paraId="249B629C" w14:textId="474A0286">
            <w:pPr>
              <w:textboxTightWrap w:val="allLines"/>
              <w:framePr w:hSpace="187" w:vSpace="43" w:wrap="notBeside" w:vAnchor="text" w:hAnchor="margin" w:y="44"/>
              <w:tabs>
                <w:tab w:val="decimal" w:pos="530"/>
                <w:tab w:val="decimal" w:pos="716"/>
              </w:tabs>
              <w:spacing w:after="60" w:line="240" w:lineRule="auto"/>
              <w:jc w:val="right"/>
              <w:rPr>
                <w:rFonts w:eastAsia="Calibri" w:asciiTheme="majorHAnsi" w:hAnsiTheme="majorHAnsi" w:cstheme="majorHAnsi"/>
                <w:sz w:val="20"/>
              </w:rPr>
            </w:pPr>
            <w:r w:rsidRPr="00635F84">
              <w:rPr>
                <w:rFonts w:eastAsia="Calibri" w:asciiTheme="majorHAnsi" w:hAnsiTheme="majorHAnsi" w:cstheme="majorHAnsi"/>
                <w:sz w:val="20"/>
              </w:rPr>
              <w:t>100%</w:t>
            </w:r>
          </w:p>
        </w:tc>
        <w:tc>
          <w:tcPr>
            <w:tcW w:w="312" w:type="pct"/>
            <w:vAlign w:val="center"/>
          </w:tcPr>
          <w:p w:rsidR="000C6438" w:rsidRPr="00635F84" w:rsidP="00635F84" w14:paraId="31261A5F" w14:textId="6B4A034F">
            <w:pPr>
              <w:textboxTightWrap w:val="allLines"/>
              <w:framePr w:hSpace="187" w:vSpace="43" w:wrap="notBeside" w:vAnchor="text" w:hAnchor="margin" w:y="44"/>
              <w:tabs>
                <w:tab w:val="decimal" w:pos="530"/>
                <w:tab w:val="decimal" w:pos="716"/>
              </w:tabs>
              <w:spacing w:after="60" w:line="240" w:lineRule="auto"/>
              <w:jc w:val="right"/>
              <w:rPr>
                <w:rFonts w:eastAsia="Calibri" w:asciiTheme="majorHAnsi" w:hAnsiTheme="majorHAnsi" w:cstheme="majorHAnsi"/>
                <w:sz w:val="20"/>
              </w:rPr>
            </w:pPr>
            <w:r w:rsidRPr="00635F84">
              <w:rPr>
                <w:rFonts w:eastAsia="Calibri" w:asciiTheme="majorHAnsi" w:hAnsiTheme="majorHAnsi" w:cstheme="majorHAnsi"/>
                <w:sz w:val="20"/>
              </w:rPr>
              <w:t>100%</w:t>
            </w:r>
          </w:p>
        </w:tc>
      </w:tr>
      <w:tr w14:paraId="1EEAD549" w14:textId="1DCE8030" w:rsidTr="00635F84">
        <w:tblPrEx>
          <w:tblW w:w="5000" w:type="pct"/>
          <w:tblLook w:val="00A0"/>
        </w:tblPrEx>
        <w:trPr>
          <w:trHeight w:val="288"/>
        </w:trPr>
        <w:tc>
          <w:tcPr>
            <w:tcW w:w="734" w:type="pct"/>
            <w:vAlign w:val="center"/>
          </w:tcPr>
          <w:p w:rsidR="000C6438" w:rsidRPr="00635F84" w:rsidP="00635F84" w14:paraId="72BEEADD" w14:textId="6F59A0AC">
            <w:pPr>
              <w:spacing w:before="40" w:after="40" w:line="240" w:lineRule="auto"/>
              <w:rPr>
                <w:rFonts w:eastAsia="Calibri" w:asciiTheme="majorHAnsi" w:hAnsiTheme="majorHAnsi" w:cstheme="majorHAnsi"/>
                <w:sz w:val="20"/>
              </w:rPr>
            </w:pPr>
            <w:r w:rsidRPr="00635F84">
              <w:rPr>
                <w:rFonts w:eastAsia="Calibri" w:asciiTheme="majorHAnsi" w:hAnsiTheme="majorHAnsi" w:cstheme="majorHAnsi"/>
                <w:sz w:val="20"/>
              </w:rPr>
              <w:t>School Food Authorities</w:t>
            </w:r>
          </w:p>
        </w:tc>
        <w:tc>
          <w:tcPr>
            <w:tcW w:w="567" w:type="pct"/>
            <w:vAlign w:val="center"/>
          </w:tcPr>
          <w:p w:rsidR="000C6438" w:rsidRPr="00635F84" w:rsidP="00635F84" w14:paraId="21451A58" w14:textId="5D281979">
            <w:pPr>
              <w:textboxTightWrap w:val="allLines"/>
              <w:framePr w:hSpace="187" w:vSpace="43" w:wrap="notBeside" w:vAnchor="text" w:hAnchor="margin" w:y="44"/>
              <w:tabs>
                <w:tab w:val="decimal" w:pos="716"/>
              </w:tabs>
              <w:spacing w:after="60" w:line="240" w:lineRule="auto"/>
              <w:jc w:val="right"/>
              <w:rPr>
                <w:rFonts w:eastAsia="Calibri" w:asciiTheme="majorHAnsi" w:hAnsiTheme="majorHAnsi" w:cstheme="majorHAnsi"/>
                <w:sz w:val="20"/>
              </w:rPr>
            </w:pPr>
            <w:r w:rsidRPr="00635F84">
              <w:rPr>
                <w:rFonts w:eastAsia="Calibri" w:asciiTheme="majorHAnsi" w:hAnsiTheme="majorHAnsi" w:cstheme="majorHAnsi"/>
                <w:sz w:val="20"/>
              </w:rPr>
              <w:t>18,821</w:t>
            </w:r>
          </w:p>
        </w:tc>
        <w:tc>
          <w:tcPr>
            <w:tcW w:w="651" w:type="pct"/>
            <w:vAlign w:val="center"/>
          </w:tcPr>
          <w:p w:rsidR="000C6438" w:rsidRPr="00635F84" w:rsidP="00635F84" w14:paraId="731077C2" w14:textId="179CC4FD">
            <w:pPr>
              <w:textboxTightWrap w:val="allLines"/>
              <w:framePr w:hSpace="187" w:vSpace="43" w:wrap="notBeside" w:vAnchor="text" w:hAnchor="margin" w:y="44"/>
              <w:tabs>
                <w:tab w:val="decimal" w:pos="716"/>
              </w:tabs>
              <w:spacing w:after="60" w:line="240" w:lineRule="auto"/>
              <w:jc w:val="right"/>
              <w:rPr>
                <w:rFonts w:eastAsia="Calibri" w:asciiTheme="majorHAnsi" w:hAnsiTheme="majorHAnsi" w:cstheme="majorHAnsi"/>
                <w:sz w:val="20"/>
              </w:rPr>
            </w:pPr>
            <w:r w:rsidRPr="00635F84">
              <w:rPr>
                <w:rFonts w:eastAsia="Calibri" w:asciiTheme="majorHAnsi" w:hAnsiTheme="majorHAnsi" w:cstheme="majorHAnsi"/>
                <w:sz w:val="20"/>
              </w:rPr>
              <w:t>1,012</w:t>
            </w:r>
          </w:p>
        </w:tc>
        <w:tc>
          <w:tcPr>
            <w:tcW w:w="627" w:type="pct"/>
            <w:vAlign w:val="center"/>
          </w:tcPr>
          <w:p w:rsidR="000C6438" w:rsidRPr="00635F84" w:rsidP="00635F84" w14:paraId="59CF4CDA" w14:textId="318D4772">
            <w:pPr>
              <w:textboxTightWrap w:val="allLines"/>
              <w:framePr w:hSpace="187" w:vSpace="43" w:wrap="notBeside" w:vAnchor="text" w:hAnchor="margin" w:y="44"/>
              <w:tabs>
                <w:tab w:val="decimal" w:pos="530"/>
                <w:tab w:val="decimal" w:pos="716"/>
              </w:tabs>
              <w:spacing w:after="60" w:line="240" w:lineRule="auto"/>
              <w:jc w:val="right"/>
              <w:rPr>
                <w:rFonts w:eastAsia="Calibri" w:asciiTheme="majorHAnsi" w:hAnsiTheme="majorHAnsi" w:cstheme="majorHAnsi"/>
                <w:sz w:val="20"/>
              </w:rPr>
            </w:pPr>
            <w:r w:rsidRPr="00635F84">
              <w:rPr>
                <w:rFonts w:eastAsia="Calibri" w:asciiTheme="majorHAnsi" w:hAnsiTheme="majorHAnsi" w:cstheme="majorHAnsi"/>
                <w:sz w:val="20"/>
              </w:rPr>
              <w:t>80%</w:t>
            </w:r>
          </w:p>
        </w:tc>
        <w:tc>
          <w:tcPr>
            <w:tcW w:w="389" w:type="pct"/>
            <w:tcBorders>
              <w:top w:val="single" w:sz="8" w:space="0" w:color="auto"/>
              <w:bottom w:val="single" w:sz="8" w:space="0" w:color="auto"/>
            </w:tcBorders>
            <w:shd w:val="clear" w:color="auto" w:fill="auto"/>
            <w:vAlign w:val="center"/>
          </w:tcPr>
          <w:p w:rsidR="000C6438" w:rsidRPr="00635F84" w:rsidP="00635F84" w14:paraId="00C43F4F" w14:textId="55A5B45A">
            <w:pPr>
              <w:textboxTightWrap w:val="allLines"/>
              <w:framePr w:hSpace="187" w:vSpace="43" w:wrap="notBeside" w:vAnchor="text" w:hAnchor="margin" w:y="44"/>
              <w:tabs>
                <w:tab w:val="decimal" w:pos="530"/>
                <w:tab w:val="decimal" w:pos="716"/>
              </w:tabs>
              <w:spacing w:after="60" w:line="240" w:lineRule="auto"/>
              <w:jc w:val="right"/>
              <w:rPr>
                <w:rFonts w:eastAsia="Calibri" w:asciiTheme="majorHAnsi" w:hAnsiTheme="majorHAnsi" w:cstheme="majorHAnsi"/>
                <w:sz w:val="20"/>
              </w:rPr>
            </w:pPr>
            <w:r w:rsidRPr="00635F84">
              <w:rPr>
                <w:rFonts w:asciiTheme="majorHAnsi" w:hAnsiTheme="majorHAnsi" w:cstheme="majorHAnsi"/>
                <w:sz w:val="20"/>
              </w:rPr>
              <w:t>82%</w:t>
            </w:r>
          </w:p>
        </w:tc>
        <w:tc>
          <w:tcPr>
            <w:tcW w:w="389" w:type="pct"/>
            <w:tcBorders>
              <w:top w:val="single" w:sz="8" w:space="0" w:color="auto"/>
              <w:bottom w:val="single" w:sz="8" w:space="0" w:color="auto"/>
            </w:tcBorders>
            <w:shd w:val="clear" w:color="auto" w:fill="auto"/>
            <w:vAlign w:val="center"/>
          </w:tcPr>
          <w:p w:rsidR="000C6438" w:rsidRPr="00635F84" w:rsidP="00635F84" w14:paraId="03BD73B3" w14:textId="5104C76C">
            <w:pPr>
              <w:textboxTightWrap w:val="allLines"/>
              <w:framePr w:hSpace="187" w:vSpace="43" w:wrap="notBeside" w:vAnchor="text" w:hAnchor="margin" w:y="44"/>
              <w:tabs>
                <w:tab w:val="decimal" w:pos="530"/>
                <w:tab w:val="decimal" w:pos="716"/>
              </w:tabs>
              <w:spacing w:after="60" w:line="240" w:lineRule="auto"/>
              <w:jc w:val="right"/>
              <w:rPr>
                <w:rFonts w:eastAsia="Calibri" w:asciiTheme="majorHAnsi" w:hAnsiTheme="majorHAnsi" w:cstheme="majorHAnsi"/>
                <w:sz w:val="20"/>
              </w:rPr>
            </w:pPr>
            <w:r w:rsidRPr="00635F84">
              <w:rPr>
                <w:rFonts w:asciiTheme="majorHAnsi" w:hAnsiTheme="majorHAnsi" w:cstheme="majorHAnsi"/>
                <w:sz w:val="20"/>
              </w:rPr>
              <w:t>77%</w:t>
            </w:r>
          </w:p>
        </w:tc>
        <w:tc>
          <w:tcPr>
            <w:tcW w:w="390" w:type="pct"/>
            <w:tcBorders>
              <w:top w:val="single" w:sz="8" w:space="0" w:color="auto"/>
              <w:bottom w:val="single" w:sz="8" w:space="0" w:color="auto"/>
            </w:tcBorders>
            <w:shd w:val="clear" w:color="auto" w:fill="auto"/>
            <w:vAlign w:val="center"/>
          </w:tcPr>
          <w:p w:rsidR="000C6438" w:rsidRPr="00635F84" w:rsidP="00635F84" w14:paraId="160C3DC6" w14:textId="3F635533">
            <w:pPr>
              <w:textboxTightWrap w:val="allLines"/>
              <w:framePr w:hSpace="187" w:vSpace="43" w:wrap="notBeside" w:vAnchor="text" w:hAnchor="margin" w:y="44"/>
              <w:tabs>
                <w:tab w:val="decimal" w:pos="530"/>
                <w:tab w:val="decimal" w:pos="716"/>
              </w:tabs>
              <w:spacing w:after="60" w:line="240" w:lineRule="auto"/>
              <w:jc w:val="right"/>
              <w:rPr>
                <w:rFonts w:eastAsia="Calibri" w:asciiTheme="majorHAnsi" w:hAnsiTheme="majorHAnsi" w:cstheme="majorHAnsi"/>
                <w:sz w:val="20"/>
              </w:rPr>
            </w:pPr>
            <w:r w:rsidRPr="00635F84">
              <w:rPr>
                <w:rFonts w:asciiTheme="majorHAnsi" w:hAnsiTheme="majorHAnsi" w:cstheme="majorHAnsi"/>
                <w:sz w:val="20"/>
              </w:rPr>
              <w:t>76%</w:t>
            </w:r>
          </w:p>
        </w:tc>
        <w:tc>
          <w:tcPr>
            <w:tcW w:w="627" w:type="pct"/>
            <w:vAlign w:val="center"/>
          </w:tcPr>
          <w:p w:rsidR="000C6438" w:rsidRPr="00635F84" w:rsidP="00635F84" w14:paraId="035E0960" w14:textId="41088715">
            <w:pPr>
              <w:textboxTightWrap w:val="allLines"/>
              <w:framePr w:hSpace="187" w:vSpace="43" w:wrap="notBeside" w:vAnchor="text" w:hAnchor="margin" w:y="44"/>
              <w:tabs>
                <w:tab w:val="decimal" w:pos="530"/>
                <w:tab w:val="decimal" w:pos="716"/>
              </w:tabs>
              <w:spacing w:after="60" w:line="240" w:lineRule="auto"/>
              <w:jc w:val="right"/>
              <w:rPr>
                <w:rFonts w:eastAsia="Calibri" w:asciiTheme="majorHAnsi" w:hAnsiTheme="majorHAnsi" w:cstheme="majorHAnsi"/>
                <w:sz w:val="20"/>
              </w:rPr>
            </w:pPr>
            <w:r w:rsidRPr="00635F84">
              <w:rPr>
                <w:rFonts w:eastAsia="Calibri" w:asciiTheme="majorHAnsi" w:hAnsiTheme="majorHAnsi" w:cstheme="majorHAnsi"/>
                <w:sz w:val="20"/>
              </w:rPr>
              <w:t>NA</w:t>
            </w:r>
          </w:p>
        </w:tc>
        <w:tc>
          <w:tcPr>
            <w:tcW w:w="314" w:type="pct"/>
            <w:vAlign w:val="center"/>
          </w:tcPr>
          <w:p w:rsidR="000C6438" w:rsidRPr="00635F84" w:rsidP="00635F84" w14:paraId="684B7946" w14:textId="66662FD0">
            <w:pPr>
              <w:textboxTightWrap w:val="allLines"/>
              <w:framePr w:hSpace="187" w:vSpace="43" w:wrap="notBeside" w:vAnchor="text" w:hAnchor="margin" w:y="44"/>
              <w:tabs>
                <w:tab w:val="decimal" w:pos="530"/>
                <w:tab w:val="decimal" w:pos="716"/>
              </w:tabs>
              <w:spacing w:after="60" w:line="240" w:lineRule="auto"/>
              <w:jc w:val="right"/>
              <w:rPr>
                <w:rFonts w:eastAsia="Calibri" w:asciiTheme="majorHAnsi" w:hAnsiTheme="majorHAnsi" w:cstheme="majorHAnsi"/>
                <w:sz w:val="20"/>
              </w:rPr>
            </w:pPr>
            <w:r w:rsidRPr="00635F84">
              <w:rPr>
                <w:rFonts w:eastAsia="Calibri" w:asciiTheme="majorHAnsi" w:hAnsiTheme="majorHAnsi" w:cstheme="majorHAnsi"/>
                <w:sz w:val="20"/>
              </w:rPr>
              <w:t>86</w:t>
            </w:r>
            <w:r w:rsidRPr="00635F84">
              <w:rPr>
                <w:rFonts w:eastAsia="Calibri" w:asciiTheme="majorHAnsi" w:hAnsiTheme="majorHAnsi" w:cstheme="majorHAnsi"/>
                <w:sz w:val="20"/>
              </w:rPr>
              <w:t>%</w:t>
            </w:r>
          </w:p>
        </w:tc>
        <w:tc>
          <w:tcPr>
            <w:tcW w:w="312" w:type="pct"/>
            <w:vAlign w:val="center"/>
          </w:tcPr>
          <w:p w:rsidR="000C6438" w:rsidRPr="00635F84" w:rsidP="00635F84" w14:paraId="16186477" w14:textId="324D0C94">
            <w:pPr>
              <w:textboxTightWrap w:val="allLines"/>
              <w:framePr w:hSpace="187" w:vSpace="43" w:wrap="notBeside" w:vAnchor="text" w:hAnchor="margin" w:y="44"/>
              <w:tabs>
                <w:tab w:val="decimal" w:pos="530"/>
                <w:tab w:val="decimal" w:pos="716"/>
              </w:tabs>
              <w:spacing w:after="60" w:line="240" w:lineRule="auto"/>
              <w:jc w:val="right"/>
              <w:rPr>
                <w:rFonts w:eastAsia="Calibri" w:asciiTheme="majorHAnsi" w:hAnsiTheme="majorHAnsi" w:cstheme="majorHAnsi"/>
                <w:sz w:val="20"/>
              </w:rPr>
            </w:pPr>
            <w:r w:rsidRPr="00635F84">
              <w:rPr>
                <w:rFonts w:eastAsia="Calibri" w:asciiTheme="majorHAnsi" w:hAnsiTheme="majorHAnsi" w:cstheme="majorHAnsi"/>
                <w:sz w:val="20"/>
              </w:rPr>
              <w:t>NA</w:t>
            </w:r>
          </w:p>
        </w:tc>
      </w:tr>
      <w:tr w14:paraId="1D417659" w14:textId="40D2F775" w:rsidTr="00635F84">
        <w:tblPrEx>
          <w:tblW w:w="5000" w:type="pct"/>
          <w:tblLook w:val="00A0"/>
        </w:tblPrEx>
        <w:trPr>
          <w:trHeight w:val="288"/>
        </w:trPr>
        <w:tc>
          <w:tcPr>
            <w:tcW w:w="734" w:type="pct"/>
            <w:vAlign w:val="center"/>
          </w:tcPr>
          <w:p w:rsidR="000C6438" w:rsidRPr="00635F84" w:rsidP="00635F84" w14:paraId="23BDA145" w14:textId="0F149053">
            <w:pPr>
              <w:spacing w:before="40" w:after="40" w:line="240" w:lineRule="auto"/>
              <w:rPr>
                <w:rFonts w:eastAsia="Calibri" w:asciiTheme="majorHAnsi" w:hAnsiTheme="majorHAnsi" w:cstheme="majorHAnsi"/>
                <w:sz w:val="20"/>
              </w:rPr>
            </w:pPr>
            <w:r w:rsidRPr="00635F84">
              <w:rPr>
                <w:rFonts w:eastAsia="Calibri" w:asciiTheme="majorHAnsi" w:hAnsiTheme="majorHAnsi" w:cstheme="majorHAnsi"/>
                <w:sz w:val="20"/>
              </w:rPr>
              <w:t>Total</w:t>
            </w:r>
          </w:p>
        </w:tc>
        <w:tc>
          <w:tcPr>
            <w:tcW w:w="567" w:type="pct"/>
            <w:vAlign w:val="center"/>
          </w:tcPr>
          <w:p w:rsidR="000C6438" w:rsidRPr="00635F84" w:rsidP="00635F84" w14:paraId="3CE08705" w14:textId="79453E3D">
            <w:pPr>
              <w:textboxTightWrap w:val="allLines"/>
              <w:framePr w:hSpace="187" w:vSpace="43" w:wrap="notBeside" w:vAnchor="text" w:hAnchor="margin" w:y="44"/>
              <w:tabs>
                <w:tab w:val="decimal" w:pos="716"/>
              </w:tabs>
              <w:spacing w:after="60" w:line="240" w:lineRule="auto"/>
              <w:jc w:val="right"/>
              <w:rPr>
                <w:rFonts w:eastAsia="Calibri" w:asciiTheme="majorHAnsi" w:hAnsiTheme="majorHAnsi" w:cstheme="majorHAnsi"/>
                <w:sz w:val="20"/>
              </w:rPr>
            </w:pPr>
            <w:r w:rsidRPr="00635F84">
              <w:rPr>
                <w:rFonts w:eastAsia="Calibri" w:asciiTheme="majorHAnsi" w:hAnsiTheme="majorHAnsi" w:cstheme="majorHAnsi"/>
                <w:sz w:val="20"/>
              </w:rPr>
              <w:t>18,8</w:t>
            </w:r>
            <w:r w:rsidRPr="00635F84" w:rsidR="008622A8">
              <w:rPr>
                <w:rFonts w:eastAsia="Calibri" w:asciiTheme="majorHAnsi" w:hAnsiTheme="majorHAnsi" w:cstheme="majorHAnsi"/>
                <w:sz w:val="20"/>
              </w:rPr>
              <w:t>89</w:t>
            </w:r>
          </w:p>
        </w:tc>
        <w:tc>
          <w:tcPr>
            <w:tcW w:w="651" w:type="pct"/>
            <w:vAlign w:val="center"/>
          </w:tcPr>
          <w:p w:rsidR="000C6438" w:rsidRPr="00635F84" w:rsidP="00635F84" w14:paraId="0CA89214" w14:textId="2A894B76">
            <w:pPr>
              <w:textboxTightWrap w:val="allLines"/>
              <w:framePr w:hSpace="187" w:vSpace="43" w:wrap="notBeside" w:vAnchor="text" w:hAnchor="margin" w:y="44"/>
              <w:tabs>
                <w:tab w:val="decimal" w:pos="716"/>
              </w:tabs>
              <w:spacing w:after="60" w:line="240" w:lineRule="auto"/>
              <w:jc w:val="right"/>
              <w:rPr>
                <w:rFonts w:eastAsia="Calibri" w:asciiTheme="majorHAnsi" w:hAnsiTheme="majorHAnsi" w:cstheme="majorHAnsi"/>
                <w:sz w:val="20"/>
              </w:rPr>
            </w:pPr>
            <w:r w:rsidRPr="00635F84">
              <w:rPr>
                <w:rFonts w:eastAsia="Calibri" w:asciiTheme="majorHAnsi" w:hAnsiTheme="majorHAnsi" w:cstheme="majorHAnsi"/>
                <w:sz w:val="20"/>
              </w:rPr>
              <w:t>1,079</w:t>
            </w:r>
          </w:p>
        </w:tc>
        <w:tc>
          <w:tcPr>
            <w:tcW w:w="627" w:type="pct"/>
            <w:vAlign w:val="center"/>
          </w:tcPr>
          <w:p w:rsidR="000C6438" w:rsidRPr="00635F84" w:rsidP="00635F84" w14:paraId="39F8B2C7" w14:textId="218F5838">
            <w:pPr>
              <w:textboxTightWrap w:val="allLines"/>
              <w:framePr w:hSpace="187" w:vSpace="43" w:wrap="notBeside" w:vAnchor="text" w:hAnchor="margin" w:y="44"/>
              <w:tabs>
                <w:tab w:val="decimal" w:pos="530"/>
                <w:tab w:val="decimal" w:pos="716"/>
              </w:tabs>
              <w:spacing w:after="60" w:line="240" w:lineRule="auto"/>
              <w:jc w:val="right"/>
              <w:rPr>
                <w:rFonts w:eastAsia="Calibri" w:asciiTheme="majorHAnsi" w:hAnsiTheme="majorHAnsi" w:cstheme="majorHAnsi"/>
                <w:sz w:val="20"/>
              </w:rPr>
            </w:pPr>
            <w:r w:rsidRPr="00635F84">
              <w:rPr>
                <w:rFonts w:eastAsia="Calibri" w:asciiTheme="majorHAnsi" w:hAnsiTheme="majorHAnsi" w:cstheme="majorHAnsi"/>
                <w:sz w:val="20"/>
              </w:rPr>
              <w:t>81%</w:t>
            </w:r>
          </w:p>
        </w:tc>
        <w:tc>
          <w:tcPr>
            <w:tcW w:w="389" w:type="pct"/>
            <w:tcBorders>
              <w:top w:val="single" w:sz="8" w:space="0" w:color="auto"/>
              <w:bottom w:val="single" w:sz="8" w:space="0" w:color="auto"/>
            </w:tcBorders>
            <w:shd w:val="clear" w:color="auto" w:fill="auto"/>
            <w:vAlign w:val="center"/>
          </w:tcPr>
          <w:p w:rsidR="000C6438" w:rsidRPr="00635F84" w:rsidP="00635F84" w14:paraId="14EF47E6" w14:textId="7B5FEEFA">
            <w:pPr>
              <w:textboxTightWrap w:val="allLines"/>
              <w:framePr w:hSpace="187" w:vSpace="43" w:wrap="notBeside" w:vAnchor="text" w:hAnchor="margin" w:y="44"/>
              <w:tabs>
                <w:tab w:val="decimal" w:pos="530"/>
                <w:tab w:val="decimal" w:pos="716"/>
              </w:tabs>
              <w:spacing w:after="60" w:line="240" w:lineRule="auto"/>
              <w:jc w:val="right"/>
              <w:rPr>
                <w:rFonts w:asciiTheme="majorHAnsi" w:hAnsiTheme="majorHAnsi" w:cstheme="majorHAnsi"/>
                <w:sz w:val="20"/>
              </w:rPr>
            </w:pPr>
            <w:r w:rsidRPr="00635F84">
              <w:rPr>
                <w:rFonts w:asciiTheme="majorHAnsi" w:hAnsiTheme="majorHAnsi" w:cstheme="majorHAnsi"/>
                <w:sz w:val="20"/>
              </w:rPr>
              <w:t>83%</w:t>
            </w:r>
          </w:p>
        </w:tc>
        <w:tc>
          <w:tcPr>
            <w:tcW w:w="389" w:type="pct"/>
            <w:tcBorders>
              <w:top w:val="single" w:sz="8" w:space="0" w:color="auto"/>
              <w:bottom w:val="single" w:sz="8" w:space="0" w:color="auto"/>
            </w:tcBorders>
            <w:shd w:val="clear" w:color="auto" w:fill="auto"/>
            <w:vAlign w:val="center"/>
          </w:tcPr>
          <w:p w:rsidR="000C6438" w:rsidRPr="00635F84" w:rsidP="00635F84" w14:paraId="3AA60099" w14:textId="108B30EF">
            <w:pPr>
              <w:textboxTightWrap w:val="allLines"/>
              <w:framePr w:hSpace="187" w:vSpace="43" w:wrap="notBeside" w:vAnchor="text" w:hAnchor="margin" w:y="44"/>
              <w:tabs>
                <w:tab w:val="decimal" w:pos="530"/>
                <w:tab w:val="decimal" w:pos="716"/>
              </w:tabs>
              <w:spacing w:after="60" w:line="240" w:lineRule="auto"/>
              <w:jc w:val="right"/>
              <w:rPr>
                <w:rFonts w:asciiTheme="majorHAnsi" w:hAnsiTheme="majorHAnsi" w:cstheme="majorHAnsi"/>
                <w:sz w:val="20"/>
              </w:rPr>
            </w:pPr>
            <w:r w:rsidRPr="00635F84">
              <w:rPr>
                <w:rFonts w:asciiTheme="majorHAnsi" w:hAnsiTheme="majorHAnsi" w:cstheme="majorHAnsi"/>
                <w:sz w:val="20"/>
              </w:rPr>
              <w:t>78%</w:t>
            </w:r>
          </w:p>
        </w:tc>
        <w:tc>
          <w:tcPr>
            <w:tcW w:w="390" w:type="pct"/>
            <w:tcBorders>
              <w:top w:val="single" w:sz="8" w:space="0" w:color="auto"/>
              <w:bottom w:val="single" w:sz="8" w:space="0" w:color="auto"/>
            </w:tcBorders>
            <w:shd w:val="clear" w:color="auto" w:fill="auto"/>
            <w:vAlign w:val="center"/>
          </w:tcPr>
          <w:p w:rsidR="000C6438" w:rsidRPr="00635F84" w:rsidP="00635F84" w14:paraId="0D71B059" w14:textId="0996D829">
            <w:pPr>
              <w:textboxTightWrap w:val="allLines"/>
              <w:framePr w:hSpace="187" w:vSpace="43" w:wrap="notBeside" w:vAnchor="text" w:hAnchor="margin" w:y="44"/>
              <w:tabs>
                <w:tab w:val="decimal" w:pos="530"/>
                <w:tab w:val="decimal" w:pos="716"/>
              </w:tabs>
              <w:spacing w:after="60" w:line="240" w:lineRule="auto"/>
              <w:jc w:val="right"/>
              <w:rPr>
                <w:rFonts w:asciiTheme="majorHAnsi" w:hAnsiTheme="majorHAnsi" w:cstheme="majorHAnsi"/>
                <w:sz w:val="20"/>
              </w:rPr>
            </w:pPr>
            <w:r w:rsidRPr="00635F84">
              <w:rPr>
                <w:rFonts w:asciiTheme="majorHAnsi" w:hAnsiTheme="majorHAnsi" w:cstheme="majorHAnsi"/>
                <w:sz w:val="20"/>
              </w:rPr>
              <w:t>77%</w:t>
            </w:r>
          </w:p>
        </w:tc>
        <w:tc>
          <w:tcPr>
            <w:tcW w:w="627" w:type="pct"/>
            <w:vAlign w:val="center"/>
          </w:tcPr>
          <w:p w:rsidR="000C6438" w:rsidRPr="00635F84" w:rsidP="00635F84" w14:paraId="5D86F3BD" w14:textId="2AE01AB8">
            <w:pPr>
              <w:textboxTightWrap w:val="allLines"/>
              <w:framePr w:hSpace="187" w:vSpace="43" w:wrap="notBeside" w:vAnchor="text" w:hAnchor="margin" w:y="44"/>
              <w:tabs>
                <w:tab w:val="decimal" w:pos="530"/>
                <w:tab w:val="decimal" w:pos="716"/>
              </w:tabs>
              <w:spacing w:after="60" w:line="240" w:lineRule="auto"/>
              <w:jc w:val="right"/>
              <w:rPr>
                <w:rFonts w:eastAsia="Calibri" w:asciiTheme="majorHAnsi" w:hAnsiTheme="majorHAnsi" w:cstheme="majorHAnsi"/>
                <w:sz w:val="20"/>
              </w:rPr>
            </w:pPr>
            <w:r w:rsidRPr="00635F84">
              <w:rPr>
                <w:rFonts w:eastAsia="Calibri" w:asciiTheme="majorHAnsi" w:hAnsiTheme="majorHAnsi" w:cstheme="majorHAnsi"/>
                <w:sz w:val="20"/>
              </w:rPr>
              <w:t>100%</w:t>
            </w:r>
          </w:p>
        </w:tc>
        <w:tc>
          <w:tcPr>
            <w:tcW w:w="314" w:type="pct"/>
            <w:vAlign w:val="center"/>
          </w:tcPr>
          <w:p w:rsidR="000C6438" w:rsidRPr="00635F84" w:rsidP="00635F84" w14:paraId="4D7734B4" w14:textId="2047217A">
            <w:pPr>
              <w:textboxTightWrap w:val="allLines"/>
              <w:framePr w:hSpace="187" w:vSpace="43" w:wrap="notBeside" w:vAnchor="text" w:hAnchor="margin" w:y="44"/>
              <w:tabs>
                <w:tab w:val="decimal" w:pos="530"/>
                <w:tab w:val="decimal" w:pos="716"/>
              </w:tabs>
              <w:spacing w:after="60" w:line="240" w:lineRule="auto"/>
              <w:jc w:val="right"/>
              <w:rPr>
                <w:rFonts w:eastAsia="Calibri" w:asciiTheme="majorHAnsi" w:hAnsiTheme="majorHAnsi" w:cstheme="majorHAnsi"/>
                <w:sz w:val="20"/>
              </w:rPr>
            </w:pPr>
            <w:r w:rsidRPr="00635F84">
              <w:rPr>
                <w:rFonts w:eastAsia="Calibri" w:asciiTheme="majorHAnsi" w:hAnsiTheme="majorHAnsi" w:cstheme="majorHAnsi"/>
                <w:sz w:val="20"/>
              </w:rPr>
              <w:t>100%</w:t>
            </w:r>
          </w:p>
        </w:tc>
        <w:tc>
          <w:tcPr>
            <w:tcW w:w="312" w:type="pct"/>
            <w:vAlign w:val="center"/>
          </w:tcPr>
          <w:p w:rsidR="000C6438" w:rsidRPr="00635F84" w:rsidP="00635F84" w14:paraId="786C0F41" w14:textId="707197C7">
            <w:pPr>
              <w:textboxTightWrap w:val="allLines"/>
              <w:framePr w:hSpace="187" w:vSpace="43" w:wrap="notBeside" w:vAnchor="text" w:hAnchor="margin" w:y="44"/>
              <w:tabs>
                <w:tab w:val="decimal" w:pos="530"/>
                <w:tab w:val="decimal" w:pos="716"/>
              </w:tabs>
              <w:spacing w:after="60" w:line="240" w:lineRule="auto"/>
              <w:jc w:val="right"/>
              <w:rPr>
                <w:rFonts w:eastAsia="Calibri" w:asciiTheme="majorHAnsi" w:hAnsiTheme="majorHAnsi" w:cstheme="majorHAnsi"/>
                <w:sz w:val="20"/>
              </w:rPr>
            </w:pPr>
            <w:r w:rsidRPr="00635F84">
              <w:rPr>
                <w:rFonts w:eastAsia="Calibri" w:asciiTheme="majorHAnsi" w:hAnsiTheme="majorHAnsi" w:cstheme="majorHAnsi"/>
                <w:sz w:val="20"/>
              </w:rPr>
              <w:t>100</w:t>
            </w:r>
            <w:r w:rsidRPr="00635F84">
              <w:rPr>
                <w:rFonts w:eastAsia="Calibri" w:asciiTheme="majorHAnsi" w:hAnsiTheme="majorHAnsi" w:cstheme="majorHAnsi"/>
                <w:sz w:val="20"/>
              </w:rPr>
              <w:t>%</w:t>
            </w:r>
          </w:p>
        </w:tc>
      </w:tr>
    </w:tbl>
    <w:p w:rsidR="00604E77" w:rsidRPr="00F26871" w:rsidP="00604E77" w14:paraId="7EE671F1" w14:textId="220943F5">
      <w:pPr>
        <w:pStyle w:val="TableFootnote"/>
      </w:pPr>
      <w:r w:rsidRPr="00F26871">
        <w:t xml:space="preserve">* The universe for CN-OPS II only included the 55 State CN agencies that oversee the NSLP and the SBP. Due to the unanticipated school closures related to COVID-19, other CN </w:t>
      </w:r>
      <w:r w:rsidRPr="00F26871" w:rsidR="00FF5155">
        <w:t>P</w:t>
      </w:r>
      <w:r w:rsidRPr="00F26871">
        <w:t xml:space="preserve">rograms, including the SFSP and the CACFP, were used to provide meals to children beginning in March 2020. Thus, the State agencies that oversee the SFSP and the CACFP </w:t>
      </w:r>
      <w:r w:rsidRPr="00F26871" w:rsidR="00660D80">
        <w:t>were</w:t>
      </w:r>
      <w:r w:rsidRPr="00F26871">
        <w:t xml:space="preserve"> added to the SY 2020-2021 universe, increasing the universe of State CN agencies to </w:t>
      </w:r>
      <w:r w:rsidRPr="00F26871" w:rsidR="00C33F2F">
        <w:t>68</w:t>
      </w:r>
      <w:r w:rsidRPr="00F26871">
        <w:t>.</w:t>
      </w:r>
    </w:p>
    <w:p w:rsidR="000C6438" w:rsidP="00604E77" w14:paraId="71A02FFF" w14:textId="36C03021">
      <w:pPr>
        <w:pStyle w:val="TableFootnote"/>
      </w:pPr>
      <w:r w:rsidRPr="00F26871">
        <w:t>**This is the response rate for the State CN agency survey as administrative data collection for SY 22-23 is not yet complete.</w:t>
      </w:r>
    </w:p>
    <w:p w:rsidR="00F26871" w:rsidP="00604E77" w14:paraId="060338E9" w14:textId="77777777">
      <w:pPr>
        <w:pStyle w:val="TableFootnote"/>
      </w:pPr>
    </w:p>
    <w:p w:rsidR="00A03D99" w:rsidP="007561D6" w14:paraId="02627506" w14:textId="7C05E90A">
      <w:pPr>
        <w:spacing w:after="0" w:line="480" w:lineRule="auto"/>
        <w:ind w:firstLine="432"/>
      </w:pPr>
      <w:r w:rsidRPr="008053BF">
        <w:t>T</w:t>
      </w:r>
      <w:r w:rsidRPr="008053BF">
        <w:t>he approach</w:t>
      </w:r>
      <w:r w:rsidRPr="001A718C">
        <w:rPr>
          <w:rFonts w:eastAsia="Calibri"/>
        </w:rPr>
        <w:t xml:space="preserve"> </w:t>
      </w:r>
      <w:r w:rsidR="00E5247B">
        <w:rPr>
          <w:rFonts w:eastAsia="Calibri"/>
        </w:rPr>
        <w:t xml:space="preserve">to achieving high response rates </w:t>
      </w:r>
      <w:r w:rsidRPr="001A718C">
        <w:rPr>
          <w:rFonts w:eastAsia="Calibri"/>
        </w:rPr>
        <w:t xml:space="preserve">builds on prior FNS </w:t>
      </w:r>
      <w:r w:rsidRPr="001A718C">
        <w:rPr>
          <w:rFonts w:eastAsia="Calibri"/>
        </w:rPr>
        <w:t>stud</w:t>
      </w:r>
      <w:r>
        <w:rPr>
          <w:rFonts w:eastAsia="Calibri"/>
        </w:rPr>
        <w:t>y experience</w:t>
      </w:r>
      <w:r w:rsidRPr="001A718C">
        <w:rPr>
          <w:rFonts w:eastAsia="Calibri"/>
        </w:rPr>
        <w:t>. The team develop</w:t>
      </w:r>
      <w:r w:rsidR="00AD7A8B">
        <w:rPr>
          <w:rFonts w:eastAsia="Calibri"/>
        </w:rPr>
        <w:t>ed</w:t>
      </w:r>
      <w:r w:rsidRPr="001A718C">
        <w:rPr>
          <w:rFonts w:eastAsia="Calibri"/>
        </w:rPr>
        <w:t xml:space="preserve"> engaging recruiting materials</w:t>
      </w:r>
      <w:r w:rsidR="004D02B2">
        <w:rPr>
          <w:rFonts w:eastAsia="Calibri"/>
        </w:rPr>
        <w:t xml:space="preserve">, listed in Appendices </w:t>
      </w:r>
      <w:r w:rsidR="00130536">
        <w:rPr>
          <w:rFonts w:eastAsia="Calibri"/>
        </w:rPr>
        <w:t>G</w:t>
      </w:r>
      <w:r w:rsidR="004D02B2">
        <w:rPr>
          <w:rFonts w:eastAsia="Calibri"/>
        </w:rPr>
        <w:t>.1-</w:t>
      </w:r>
      <w:r w:rsidR="00130536">
        <w:rPr>
          <w:rFonts w:eastAsia="Calibri"/>
        </w:rPr>
        <w:t>G</w:t>
      </w:r>
      <w:r w:rsidR="004D02B2">
        <w:rPr>
          <w:rFonts w:eastAsia="Calibri"/>
        </w:rPr>
        <w:t>.</w:t>
      </w:r>
      <w:r w:rsidR="00130536">
        <w:rPr>
          <w:rFonts w:eastAsia="Calibri"/>
        </w:rPr>
        <w:t>1</w:t>
      </w:r>
      <w:r w:rsidR="0091301D">
        <w:rPr>
          <w:rFonts w:eastAsia="Calibri"/>
        </w:rPr>
        <w:t>3</w:t>
      </w:r>
      <w:r w:rsidR="004D02B2">
        <w:rPr>
          <w:rFonts w:eastAsia="Calibri"/>
        </w:rPr>
        <w:t xml:space="preserve">, </w:t>
      </w:r>
      <w:r w:rsidRPr="001A718C">
        <w:rPr>
          <w:rFonts w:eastAsia="Calibri"/>
        </w:rPr>
        <w:t>to describe the study, including a variety of appeals to encourage participation.</w:t>
      </w:r>
      <w:r w:rsidRPr="0091301D" w:rsidR="0091301D">
        <w:t xml:space="preserve"> </w:t>
      </w:r>
      <w:r w:rsidRPr="0091301D" w:rsidR="0091301D">
        <w:rPr>
          <w:rFonts w:eastAsia="Calibri"/>
        </w:rPr>
        <w:t xml:space="preserve">FNS headquarters will send a notification to FNS Regional Offices (Appendix G.1) to introduce the SMO Study data collection activities </w:t>
      </w:r>
      <w:r w:rsidR="00A46153">
        <w:rPr>
          <w:rFonts w:eastAsia="Calibri"/>
        </w:rPr>
        <w:t>occurring in</w:t>
      </w:r>
      <w:r w:rsidRPr="0091301D" w:rsidR="00A46153">
        <w:rPr>
          <w:rFonts w:eastAsia="Calibri"/>
        </w:rPr>
        <w:t xml:space="preserve"> </w:t>
      </w:r>
      <w:r w:rsidRPr="0091301D" w:rsidR="0091301D">
        <w:rPr>
          <w:rFonts w:eastAsia="Calibri"/>
        </w:rPr>
        <w:t>SY 202</w:t>
      </w:r>
      <w:r w:rsidR="00620DEF">
        <w:rPr>
          <w:rFonts w:eastAsia="Calibri"/>
        </w:rPr>
        <w:t>3</w:t>
      </w:r>
      <w:r w:rsidRPr="0091301D" w:rsidR="0091301D">
        <w:rPr>
          <w:rFonts w:eastAsia="Calibri"/>
        </w:rPr>
        <w:t>-202</w:t>
      </w:r>
      <w:r w:rsidR="00620DEF">
        <w:rPr>
          <w:rFonts w:eastAsia="Calibri"/>
        </w:rPr>
        <w:t>4</w:t>
      </w:r>
      <w:r w:rsidR="00A46153">
        <w:rPr>
          <w:rFonts w:eastAsia="Calibri"/>
        </w:rPr>
        <w:t xml:space="preserve"> and focusing on SY 2022-2023</w:t>
      </w:r>
      <w:r w:rsidR="00597E2E">
        <w:rPr>
          <w:rFonts w:eastAsia="Calibri"/>
        </w:rPr>
        <w:t xml:space="preserve"> operations</w:t>
      </w:r>
      <w:r w:rsidR="00A46153">
        <w:rPr>
          <w:rFonts w:eastAsia="Calibri"/>
        </w:rPr>
        <w:t>,</w:t>
      </w:r>
      <w:r w:rsidRPr="0091301D" w:rsidR="0091301D">
        <w:rPr>
          <w:rFonts w:eastAsia="Calibri"/>
        </w:rPr>
        <w:t xml:space="preserve"> and ask FNS Regional Office staff to inform S</w:t>
      </w:r>
      <w:r w:rsidR="00925D01">
        <w:rPr>
          <w:rFonts w:eastAsia="Calibri"/>
        </w:rPr>
        <w:t>tate agencies</w:t>
      </w:r>
      <w:r w:rsidRPr="0091301D" w:rsidR="0091301D">
        <w:rPr>
          <w:rFonts w:eastAsia="Calibri"/>
        </w:rPr>
        <w:t xml:space="preserve"> about the upcoming data collections.</w:t>
      </w:r>
      <w:r>
        <w:rPr>
          <w:rFonts w:eastAsia="Calibri"/>
        </w:rPr>
        <w:t xml:space="preserve"> </w:t>
      </w:r>
      <w:r w:rsidR="00C2679B">
        <w:rPr>
          <w:rFonts w:eastAsia="Calibri"/>
        </w:rPr>
        <w:t xml:space="preserve">Before </w:t>
      </w:r>
      <w:r w:rsidR="00DF5A3E">
        <w:rPr>
          <w:rFonts w:eastAsia="Calibri"/>
        </w:rPr>
        <w:t xml:space="preserve">fielding the </w:t>
      </w:r>
      <w:r w:rsidR="00951239">
        <w:rPr>
          <w:rFonts w:eastAsia="Calibri"/>
        </w:rPr>
        <w:t xml:space="preserve">state-level </w:t>
      </w:r>
      <w:r w:rsidR="00C2679B">
        <w:rPr>
          <w:rFonts w:eastAsia="Calibri"/>
        </w:rPr>
        <w:t>survey</w:t>
      </w:r>
      <w:r w:rsidRPr="001A718C">
        <w:rPr>
          <w:rFonts w:eastAsia="Calibri"/>
        </w:rPr>
        <w:t xml:space="preserve">, </w:t>
      </w:r>
      <w:r w:rsidRPr="0046287A" w:rsidR="0046287A">
        <w:rPr>
          <w:rFonts w:eastAsia="Calibri"/>
        </w:rPr>
        <w:t xml:space="preserve">all FNS Regional Offices will send the Study Support Email from FNS </w:t>
      </w:r>
      <w:r w:rsidR="00951239">
        <w:rPr>
          <w:rFonts w:eastAsia="Calibri"/>
        </w:rPr>
        <w:t>R</w:t>
      </w:r>
      <w:r w:rsidR="00620DEF">
        <w:rPr>
          <w:rFonts w:eastAsia="Calibri"/>
        </w:rPr>
        <w:t>egional Offices</w:t>
      </w:r>
      <w:r w:rsidRPr="0046287A" w:rsidR="0046287A">
        <w:rPr>
          <w:rFonts w:eastAsia="Calibri"/>
        </w:rPr>
        <w:t xml:space="preserve"> to </w:t>
      </w:r>
      <w:r w:rsidR="00951239">
        <w:rPr>
          <w:rFonts w:eastAsia="Calibri"/>
        </w:rPr>
        <w:t>S</w:t>
      </w:r>
      <w:r w:rsidR="00620DEF">
        <w:rPr>
          <w:rFonts w:eastAsia="Calibri"/>
        </w:rPr>
        <w:t xml:space="preserve">tate </w:t>
      </w:r>
      <w:r w:rsidR="00951239">
        <w:rPr>
          <w:rFonts w:eastAsia="Calibri"/>
        </w:rPr>
        <w:t>A</w:t>
      </w:r>
      <w:r w:rsidR="00620DEF">
        <w:rPr>
          <w:rFonts w:eastAsia="Calibri"/>
        </w:rPr>
        <w:t>gencies</w:t>
      </w:r>
      <w:r w:rsidRPr="0046287A" w:rsidR="0046287A">
        <w:rPr>
          <w:rFonts w:eastAsia="Calibri"/>
        </w:rPr>
        <w:t xml:space="preserve"> (Appendix </w:t>
      </w:r>
      <w:r w:rsidR="00130536">
        <w:rPr>
          <w:rFonts w:eastAsia="Calibri"/>
        </w:rPr>
        <w:t>G</w:t>
      </w:r>
      <w:r w:rsidRPr="0046287A" w:rsidR="0046287A">
        <w:rPr>
          <w:rFonts w:eastAsia="Calibri"/>
        </w:rPr>
        <w:t>.</w:t>
      </w:r>
      <w:r w:rsidR="0091301D">
        <w:rPr>
          <w:rFonts w:eastAsia="Calibri"/>
        </w:rPr>
        <w:t>2</w:t>
      </w:r>
      <w:r w:rsidRPr="0046287A" w:rsidR="0046287A">
        <w:rPr>
          <w:rFonts w:eastAsia="Calibri"/>
        </w:rPr>
        <w:t xml:space="preserve">) </w:t>
      </w:r>
      <w:r w:rsidR="0046287A">
        <w:rPr>
          <w:rFonts w:eastAsia="Calibri"/>
        </w:rPr>
        <w:t>to</w:t>
      </w:r>
      <w:r w:rsidRPr="001A718C">
        <w:rPr>
          <w:rFonts w:eastAsia="Calibri"/>
        </w:rPr>
        <w:t xml:space="preserve"> build support for the study </w:t>
      </w:r>
      <w:r w:rsidR="00E6567B">
        <w:rPr>
          <w:rFonts w:eastAsia="Calibri"/>
        </w:rPr>
        <w:t>among State</w:t>
      </w:r>
      <w:r w:rsidR="0046287A">
        <w:rPr>
          <w:rFonts w:eastAsia="Calibri"/>
        </w:rPr>
        <w:t>s.</w:t>
      </w:r>
      <w:r w:rsidR="00E6567B">
        <w:rPr>
          <w:rFonts w:eastAsia="Calibri"/>
        </w:rPr>
        <w:t xml:space="preserve"> </w:t>
      </w:r>
      <w:r w:rsidR="00FF6C6D">
        <w:rPr>
          <w:rFonts w:eastAsia="Calibri"/>
        </w:rPr>
        <w:t>The study team will also provide information to S</w:t>
      </w:r>
      <w:r w:rsidR="00925D01">
        <w:rPr>
          <w:rFonts w:eastAsia="Calibri"/>
        </w:rPr>
        <w:t>tate agencies</w:t>
      </w:r>
      <w:r w:rsidR="00FF6C6D">
        <w:rPr>
          <w:rFonts w:eastAsia="Calibri"/>
        </w:rPr>
        <w:t xml:space="preserve"> on the various study components prior to </w:t>
      </w:r>
      <w:r w:rsidR="00C2679B">
        <w:rPr>
          <w:rFonts w:eastAsia="Calibri"/>
        </w:rPr>
        <w:t xml:space="preserve">each </w:t>
      </w:r>
      <w:r w:rsidR="00FF6C6D">
        <w:rPr>
          <w:rFonts w:eastAsia="Calibri"/>
        </w:rPr>
        <w:t xml:space="preserve">data collection using the </w:t>
      </w:r>
      <w:r w:rsidR="00202CF8">
        <w:rPr>
          <w:rFonts w:eastAsia="Calibri"/>
        </w:rPr>
        <w:t>S</w:t>
      </w:r>
      <w:r w:rsidR="00620DEF">
        <w:rPr>
          <w:rFonts w:eastAsia="Calibri"/>
        </w:rPr>
        <w:t xml:space="preserve">tate </w:t>
      </w:r>
      <w:r w:rsidR="00202CF8">
        <w:rPr>
          <w:rFonts w:eastAsia="Calibri"/>
        </w:rPr>
        <w:t>A</w:t>
      </w:r>
      <w:r w:rsidR="00620DEF">
        <w:rPr>
          <w:rFonts w:eastAsia="Calibri"/>
        </w:rPr>
        <w:t>gency</w:t>
      </w:r>
      <w:r w:rsidR="00FF6C6D">
        <w:rPr>
          <w:rFonts w:eastAsia="Calibri"/>
        </w:rPr>
        <w:t xml:space="preserve"> Advance Email (Appendix </w:t>
      </w:r>
      <w:r w:rsidR="00130536">
        <w:rPr>
          <w:rFonts w:eastAsia="Calibri"/>
        </w:rPr>
        <w:t>G</w:t>
      </w:r>
      <w:r w:rsidR="00FF6C6D">
        <w:rPr>
          <w:rFonts w:eastAsia="Calibri"/>
        </w:rPr>
        <w:t>.</w:t>
      </w:r>
      <w:r w:rsidR="00EE6E33">
        <w:rPr>
          <w:rFonts w:eastAsia="Calibri"/>
        </w:rPr>
        <w:t>3</w:t>
      </w:r>
      <w:r w:rsidR="00FF6C6D">
        <w:rPr>
          <w:rFonts w:eastAsia="Calibri"/>
        </w:rPr>
        <w:t>)</w:t>
      </w:r>
      <w:r w:rsidR="00DE6056">
        <w:rPr>
          <w:rFonts w:eastAsia="Calibri"/>
        </w:rPr>
        <w:t>, the study brochure (Appendix G.4),</w:t>
      </w:r>
      <w:r w:rsidR="00FF6C6D">
        <w:rPr>
          <w:rFonts w:eastAsia="Calibri"/>
        </w:rPr>
        <w:t xml:space="preserve"> and the Telephone Meeting</w:t>
      </w:r>
      <w:r w:rsidR="00E969F3">
        <w:rPr>
          <w:rFonts w:eastAsia="Calibri"/>
        </w:rPr>
        <w:t xml:space="preserve"> Advance Email and</w:t>
      </w:r>
      <w:r w:rsidR="00FF6C6D">
        <w:rPr>
          <w:rFonts w:eastAsia="Calibri"/>
        </w:rPr>
        <w:t xml:space="preserve"> </w:t>
      </w:r>
      <w:r w:rsidR="00620DEF">
        <w:rPr>
          <w:rFonts w:eastAsia="Calibri"/>
        </w:rPr>
        <w:t xml:space="preserve">Telephone </w:t>
      </w:r>
      <w:r w:rsidR="00527568">
        <w:rPr>
          <w:rFonts w:eastAsia="Calibri"/>
        </w:rPr>
        <w:t xml:space="preserve">Script </w:t>
      </w:r>
      <w:r w:rsidR="00FF6C6D">
        <w:rPr>
          <w:rFonts w:eastAsia="Calibri"/>
        </w:rPr>
        <w:t xml:space="preserve">(Appendix </w:t>
      </w:r>
      <w:r w:rsidR="00EE6E33">
        <w:rPr>
          <w:rFonts w:eastAsia="Calibri"/>
        </w:rPr>
        <w:t>G.5</w:t>
      </w:r>
      <w:r w:rsidR="00FF6C6D">
        <w:rPr>
          <w:rFonts w:eastAsia="Calibri"/>
        </w:rPr>
        <w:t xml:space="preserve">). </w:t>
      </w:r>
      <w:r w:rsidRPr="00EF50F1" w:rsidR="00EF50F1">
        <w:rPr>
          <w:rFonts w:eastAsia="Calibri"/>
        </w:rPr>
        <w:t xml:space="preserve">All State CN </w:t>
      </w:r>
      <w:r w:rsidR="000D5B9A">
        <w:rPr>
          <w:rFonts w:eastAsia="Calibri"/>
        </w:rPr>
        <w:t>D</w:t>
      </w:r>
      <w:r w:rsidRPr="00EF50F1" w:rsidR="00EF50F1">
        <w:rPr>
          <w:rFonts w:eastAsia="Calibri"/>
        </w:rPr>
        <w:t xml:space="preserve">irectors will be asked to send the Study Support Email from </w:t>
      </w:r>
      <w:r w:rsidR="00951239">
        <w:rPr>
          <w:rFonts w:eastAsia="Calibri"/>
        </w:rPr>
        <w:t>S</w:t>
      </w:r>
      <w:r w:rsidR="00620DEF">
        <w:rPr>
          <w:rFonts w:eastAsia="Calibri"/>
        </w:rPr>
        <w:t xml:space="preserve">tate </w:t>
      </w:r>
      <w:r w:rsidR="00951239">
        <w:rPr>
          <w:rFonts w:eastAsia="Calibri"/>
        </w:rPr>
        <w:t>A</w:t>
      </w:r>
      <w:r w:rsidR="00620DEF">
        <w:rPr>
          <w:rFonts w:eastAsia="Calibri"/>
        </w:rPr>
        <w:t>gencies</w:t>
      </w:r>
      <w:r w:rsidRPr="00EF50F1" w:rsidR="00EF50F1">
        <w:rPr>
          <w:rFonts w:eastAsia="Calibri"/>
        </w:rPr>
        <w:t xml:space="preserve"> to </w:t>
      </w:r>
      <w:r w:rsidR="00951239">
        <w:rPr>
          <w:rFonts w:eastAsia="Calibri"/>
        </w:rPr>
        <w:t>SFA</w:t>
      </w:r>
      <w:r w:rsidR="00620DEF">
        <w:rPr>
          <w:rFonts w:eastAsia="Calibri"/>
        </w:rPr>
        <w:t>s</w:t>
      </w:r>
      <w:r w:rsidRPr="00EF50F1" w:rsidR="00EF50F1">
        <w:rPr>
          <w:rFonts w:eastAsia="Calibri"/>
        </w:rPr>
        <w:t xml:space="preserve"> (Appendix G.</w:t>
      </w:r>
      <w:r w:rsidR="00EE6E33">
        <w:rPr>
          <w:rFonts w:eastAsia="Calibri"/>
        </w:rPr>
        <w:t>10</w:t>
      </w:r>
      <w:r w:rsidRPr="00EF50F1" w:rsidR="00EF50F1">
        <w:rPr>
          <w:rFonts w:eastAsia="Calibri"/>
        </w:rPr>
        <w:t xml:space="preserve">) to build study support among </w:t>
      </w:r>
      <w:r w:rsidRPr="00EF50F1" w:rsidR="00EF50F1">
        <w:rPr>
          <w:rFonts w:eastAsia="Calibri"/>
        </w:rPr>
        <w:t xml:space="preserve">sampled SFAs. </w:t>
      </w:r>
      <w:r w:rsidR="000C6600">
        <w:rPr>
          <w:rFonts w:eastAsia="Calibri"/>
        </w:rPr>
        <w:t xml:space="preserve">Prior to each survey, </w:t>
      </w:r>
      <w:r w:rsidRPr="00EF50F1" w:rsidR="00EF50F1">
        <w:rPr>
          <w:rFonts w:eastAsia="Calibri"/>
        </w:rPr>
        <w:t xml:space="preserve">State CN </w:t>
      </w:r>
      <w:r w:rsidR="000D5B9A">
        <w:rPr>
          <w:rFonts w:eastAsia="Calibri"/>
        </w:rPr>
        <w:t>D</w:t>
      </w:r>
      <w:r w:rsidRPr="00EF50F1" w:rsidR="00EF50F1">
        <w:rPr>
          <w:rFonts w:eastAsia="Calibri"/>
        </w:rPr>
        <w:t xml:space="preserve">irectors will be sent the </w:t>
      </w:r>
      <w:r w:rsidR="00951239">
        <w:rPr>
          <w:rFonts w:eastAsia="Calibri"/>
        </w:rPr>
        <w:t>S</w:t>
      </w:r>
      <w:r w:rsidR="00620DEF">
        <w:rPr>
          <w:rFonts w:eastAsia="Calibri"/>
        </w:rPr>
        <w:t>tate Agency</w:t>
      </w:r>
      <w:r w:rsidRPr="00EF50F1" w:rsidR="00EF50F1">
        <w:rPr>
          <w:rFonts w:eastAsia="Calibri"/>
        </w:rPr>
        <w:t xml:space="preserve"> Invitation Email (Appendix G.</w:t>
      </w:r>
      <w:r w:rsidR="00EE6E33">
        <w:rPr>
          <w:rFonts w:eastAsia="Calibri"/>
        </w:rPr>
        <w:t>6</w:t>
      </w:r>
      <w:r w:rsidRPr="00EF50F1" w:rsidR="00EF50F1">
        <w:rPr>
          <w:rFonts w:eastAsia="Calibri"/>
        </w:rPr>
        <w:t xml:space="preserve">) and SFA </w:t>
      </w:r>
      <w:r w:rsidR="000D5B9A">
        <w:rPr>
          <w:rFonts w:eastAsia="Calibri"/>
        </w:rPr>
        <w:t>D</w:t>
      </w:r>
      <w:r w:rsidRPr="00EF50F1" w:rsidR="00EF50F1">
        <w:rPr>
          <w:rFonts w:eastAsia="Calibri"/>
        </w:rPr>
        <w:t xml:space="preserve">irectors will be sent the </w:t>
      </w:r>
      <w:r w:rsidR="00951239">
        <w:rPr>
          <w:rFonts w:eastAsia="Calibri"/>
        </w:rPr>
        <w:t>SFA</w:t>
      </w:r>
      <w:r w:rsidRPr="00EF50F1" w:rsidR="00EF50F1">
        <w:rPr>
          <w:rFonts w:eastAsia="Calibri"/>
        </w:rPr>
        <w:t xml:space="preserve"> Invitation Email (Appendix G.1</w:t>
      </w:r>
      <w:r w:rsidR="00EE6E33">
        <w:rPr>
          <w:rFonts w:eastAsia="Calibri"/>
        </w:rPr>
        <w:t>2</w:t>
      </w:r>
      <w:r w:rsidRPr="00EF50F1" w:rsidR="00EF50F1">
        <w:rPr>
          <w:rFonts w:eastAsia="Calibri"/>
        </w:rPr>
        <w:t xml:space="preserve">) to request that each respondent use the unique enclosed link to access and complete the survey. </w:t>
      </w:r>
      <w:r w:rsidR="00951239">
        <w:t>To encourage survey completion</w:t>
      </w:r>
      <w:r w:rsidRPr="00607D17" w:rsidR="00E6567B">
        <w:t xml:space="preserve">, State CN </w:t>
      </w:r>
      <w:r w:rsidR="000D5B9A">
        <w:t>D</w:t>
      </w:r>
      <w:r w:rsidRPr="00607D17" w:rsidR="00A27D75">
        <w:t xml:space="preserve">irectors </w:t>
      </w:r>
      <w:r w:rsidR="000B157C">
        <w:t>will</w:t>
      </w:r>
      <w:r w:rsidRPr="00607D17" w:rsidR="00E6567B">
        <w:t xml:space="preserve"> receive</w:t>
      </w:r>
      <w:r w:rsidR="000B157C">
        <w:t xml:space="preserve"> the</w:t>
      </w:r>
      <w:r w:rsidRPr="00607D17" w:rsidR="00E6567B">
        <w:t xml:space="preserve"> </w:t>
      </w:r>
      <w:r w:rsidRPr="000B157C" w:rsidR="000B157C">
        <w:t xml:space="preserve">Reminder Email (Appendix </w:t>
      </w:r>
      <w:r w:rsidR="00130536">
        <w:t>G.</w:t>
      </w:r>
      <w:r w:rsidR="00EE6E33">
        <w:t>7</w:t>
      </w:r>
      <w:r w:rsidRPr="000B157C" w:rsidR="000B157C">
        <w:t xml:space="preserve">) </w:t>
      </w:r>
      <w:r w:rsidRPr="00DF5A3E" w:rsidR="00254B55">
        <w:t>every 2-3 weeks</w:t>
      </w:r>
      <w:r w:rsidR="00254B55">
        <w:t xml:space="preserve"> (</w:t>
      </w:r>
      <w:r w:rsidR="00DF5A3E">
        <w:t xml:space="preserve">estimate </w:t>
      </w:r>
      <w:r w:rsidR="00254B55">
        <w:t>two reminder emails total)</w:t>
      </w:r>
      <w:r w:rsidR="000B157C">
        <w:t xml:space="preserve">, </w:t>
      </w:r>
      <w:r w:rsidR="00254B55">
        <w:t xml:space="preserve">a </w:t>
      </w:r>
      <w:r w:rsidR="00DE58FD">
        <w:t>reminder call</w:t>
      </w:r>
      <w:r w:rsidR="00254B55">
        <w:t xml:space="preserve"> at </w:t>
      </w:r>
      <w:r w:rsidRPr="00DF5A3E" w:rsidR="00254B55">
        <w:t>7 weeks</w:t>
      </w:r>
      <w:r w:rsidRPr="000B157C" w:rsidR="000B157C">
        <w:t xml:space="preserve"> using the </w:t>
      </w:r>
      <w:r w:rsidR="00951239">
        <w:t xml:space="preserve">Telephone </w:t>
      </w:r>
      <w:r w:rsidRPr="000B157C" w:rsidR="000B157C">
        <w:t xml:space="preserve">Reminder Script (Appendix </w:t>
      </w:r>
      <w:r w:rsidR="00130536">
        <w:t>G.</w:t>
      </w:r>
      <w:r w:rsidR="00EE6E33">
        <w:t>8</w:t>
      </w:r>
      <w:r w:rsidRPr="000B157C" w:rsidR="000B157C">
        <w:t>)</w:t>
      </w:r>
      <w:r w:rsidR="000B157C">
        <w:t xml:space="preserve">, and </w:t>
      </w:r>
      <w:r w:rsidR="00240CF1">
        <w:t>the</w:t>
      </w:r>
      <w:r w:rsidR="000B157C">
        <w:rPr>
          <w:szCs w:val="24"/>
        </w:rPr>
        <w:t xml:space="preserve"> </w:t>
      </w:r>
      <w:r w:rsidR="00951239">
        <w:rPr>
          <w:szCs w:val="24"/>
        </w:rPr>
        <w:t>S</w:t>
      </w:r>
      <w:r w:rsidR="00620DEF">
        <w:rPr>
          <w:szCs w:val="24"/>
        </w:rPr>
        <w:t xml:space="preserve">tate </w:t>
      </w:r>
      <w:r w:rsidR="00951239">
        <w:rPr>
          <w:szCs w:val="24"/>
        </w:rPr>
        <w:t>A</w:t>
      </w:r>
      <w:r w:rsidR="00620DEF">
        <w:rPr>
          <w:szCs w:val="24"/>
        </w:rPr>
        <w:t>gency</w:t>
      </w:r>
      <w:r w:rsidR="000B157C">
        <w:rPr>
          <w:szCs w:val="24"/>
        </w:rPr>
        <w:t xml:space="preserve"> Last </w:t>
      </w:r>
      <w:r w:rsidRPr="00394953" w:rsidR="000B157C">
        <w:rPr>
          <w:szCs w:val="24"/>
        </w:rPr>
        <w:t>Chance Post</w:t>
      </w:r>
      <w:r w:rsidR="000B157C">
        <w:rPr>
          <w:szCs w:val="24"/>
        </w:rPr>
        <w:t xml:space="preserve"> C</w:t>
      </w:r>
      <w:r w:rsidRPr="00394953" w:rsidR="000B157C">
        <w:rPr>
          <w:szCs w:val="24"/>
        </w:rPr>
        <w:t xml:space="preserve">ard (Appendix </w:t>
      </w:r>
      <w:r w:rsidR="00130536">
        <w:rPr>
          <w:szCs w:val="24"/>
        </w:rPr>
        <w:t>G.</w:t>
      </w:r>
      <w:r w:rsidR="00EE6E33">
        <w:rPr>
          <w:szCs w:val="24"/>
        </w:rPr>
        <w:t>9</w:t>
      </w:r>
      <w:r w:rsidRPr="00394953" w:rsidR="000B157C">
        <w:rPr>
          <w:szCs w:val="24"/>
        </w:rPr>
        <w:t>)</w:t>
      </w:r>
      <w:r w:rsidR="000B157C">
        <w:rPr>
          <w:szCs w:val="24"/>
        </w:rPr>
        <w:t xml:space="preserve"> </w:t>
      </w:r>
      <w:r w:rsidRPr="00607D17" w:rsidR="00E6567B">
        <w:t xml:space="preserve">until the target of </w:t>
      </w:r>
      <w:r w:rsidR="00FD597A">
        <w:t>56</w:t>
      </w:r>
      <w:r w:rsidRPr="00607D17" w:rsidR="00FD597A">
        <w:t xml:space="preserve"> </w:t>
      </w:r>
      <w:r w:rsidRPr="00607D17" w:rsidR="00E6567B">
        <w:t>respondents is reached.</w:t>
      </w:r>
      <w:r w:rsidR="00254B55">
        <w:t xml:space="preserve"> </w:t>
      </w:r>
      <w:r w:rsidR="00EF50F1">
        <w:t xml:space="preserve">Similarly, </w:t>
      </w:r>
      <w:r w:rsidRPr="00EF50F1" w:rsidR="00EF50F1">
        <w:t xml:space="preserve">SFA </w:t>
      </w:r>
      <w:r w:rsidR="000D5B9A">
        <w:t>D</w:t>
      </w:r>
      <w:r w:rsidRPr="00EF50F1" w:rsidR="00EF50F1">
        <w:t xml:space="preserve">irectors who </w:t>
      </w:r>
      <w:r w:rsidR="00951239">
        <w:t>have</w:t>
      </w:r>
      <w:r w:rsidRPr="00EF50F1" w:rsidR="00951239">
        <w:t xml:space="preserve"> </w:t>
      </w:r>
      <w:r w:rsidRPr="00EF50F1" w:rsidR="00EF50F1">
        <w:t>not</w:t>
      </w:r>
      <w:r w:rsidR="00951239">
        <w:t xml:space="preserve"> yet</w:t>
      </w:r>
      <w:r w:rsidRPr="00EF50F1" w:rsidR="00EF50F1">
        <w:t xml:space="preserve"> </w:t>
      </w:r>
      <w:r w:rsidR="00727E46">
        <w:t>complete</w:t>
      </w:r>
      <w:r w:rsidR="00951239">
        <w:t>d</w:t>
      </w:r>
      <w:r w:rsidR="00727E46">
        <w:t xml:space="preserve"> the web survey </w:t>
      </w:r>
      <w:r w:rsidRPr="00EF50F1" w:rsidR="00EF50F1">
        <w:t xml:space="preserve">will receive the Reminder Email (Appendix </w:t>
      </w:r>
      <w:r w:rsidR="00130536">
        <w:t>G.</w:t>
      </w:r>
      <w:r w:rsidR="00EE6E33">
        <w:t>7</w:t>
      </w:r>
      <w:r w:rsidRPr="00EF50F1" w:rsidR="00EF50F1">
        <w:t xml:space="preserve">) every </w:t>
      </w:r>
      <w:r w:rsidRPr="00DF5A3E" w:rsidR="00EF50F1">
        <w:t>2-3 weeks</w:t>
      </w:r>
      <w:r w:rsidRPr="00EF50F1" w:rsidR="00EF50F1">
        <w:t xml:space="preserve"> (</w:t>
      </w:r>
      <w:r w:rsidR="00DF5A3E">
        <w:t xml:space="preserve">estimate </w:t>
      </w:r>
      <w:r w:rsidRPr="00EF50F1" w:rsidR="00EF50F1">
        <w:t xml:space="preserve">two reminder emails total), a reminder call at </w:t>
      </w:r>
      <w:r w:rsidRPr="00DF5A3E" w:rsidR="00EF50F1">
        <w:t>7 weeks</w:t>
      </w:r>
      <w:r w:rsidRPr="00EF50F1" w:rsidR="00EF50F1">
        <w:t xml:space="preserve"> using the </w:t>
      </w:r>
      <w:r w:rsidR="00951239">
        <w:t xml:space="preserve">Telephone </w:t>
      </w:r>
      <w:r w:rsidRPr="00EF50F1" w:rsidR="00EF50F1">
        <w:t xml:space="preserve">Reminder Script (Appendix </w:t>
      </w:r>
      <w:r w:rsidR="00130536">
        <w:t>G.</w:t>
      </w:r>
      <w:r w:rsidR="00EE6E33">
        <w:t>8</w:t>
      </w:r>
      <w:r w:rsidRPr="00EF50F1" w:rsidR="00EF50F1">
        <w:t>), and the</w:t>
      </w:r>
      <w:r w:rsidR="00EF50F1">
        <w:t xml:space="preserve"> </w:t>
      </w:r>
      <w:r w:rsidR="00951239">
        <w:t>SFA</w:t>
      </w:r>
      <w:r w:rsidRPr="00EF50F1" w:rsidR="00EF50F1">
        <w:t xml:space="preserve"> Last Chance Post Card (Appendix </w:t>
      </w:r>
      <w:r w:rsidR="00130536">
        <w:t>G.1</w:t>
      </w:r>
      <w:r w:rsidR="00EE6E33">
        <w:t>3</w:t>
      </w:r>
      <w:r w:rsidRPr="00EF50F1" w:rsidR="00EF50F1">
        <w:t xml:space="preserve">) until the target of </w:t>
      </w:r>
      <w:r w:rsidR="00EF50F1">
        <w:t>1,012</w:t>
      </w:r>
      <w:r w:rsidRPr="00EF50F1" w:rsidR="00EF50F1">
        <w:t xml:space="preserve"> respondents is reached</w:t>
      </w:r>
      <w:r w:rsidR="008909B4">
        <w:t>.</w:t>
      </w:r>
    </w:p>
    <w:p w:rsidR="00DB36E3" w:rsidP="008053BF" w14:paraId="7072829F" w14:textId="7ADACFC3">
      <w:pPr>
        <w:spacing w:after="0" w:line="480" w:lineRule="auto"/>
        <w:ind w:firstLine="432"/>
        <w:rPr>
          <w:rFonts w:cstheme="minorHAnsi"/>
          <w:szCs w:val="24"/>
        </w:rPr>
      </w:pPr>
      <w:r>
        <w:rPr>
          <w:rFonts w:cstheme="minorHAnsi"/>
          <w:szCs w:val="24"/>
        </w:rPr>
        <w:t>A professional</w:t>
      </w:r>
      <w:r w:rsidR="00E969F3">
        <w:rPr>
          <w:rFonts w:cstheme="minorHAnsi"/>
          <w:szCs w:val="24"/>
        </w:rPr>
        <w:t>, trained,</w:t>
      </w:r>
      <w:r>
        <w:rPr>
          <w:rFonts w:cstheme="minorHAnsi"/>
          <w:szCs w:val="24"/>
        </w:rPr>
        <w:t xml:space="preserve"> survey support specialist will be available to assist respondents by phone or email during business hours. Also, the web survey will allow respondents to save and exit the survey at any point, and then return to access and complete the survey later.</w:t>
      </w:r>
    </w:p>
    <w:p w:rsidR="00EF50F1" w:rsidRPr="00EF50F1" w:rsidP="00EF50F1" w14:paraId="4D3C5188" w14:textId="276A5F55">
      <w:pPr>
        <w:spacing w:after="0" w:line="480" w:lineRule="auto"/>
        <w:ind w:firstLine="432"/>
        <w:rPr>
          <w:rFonts w:cstheme="minorHAnsi"/>
          <w:szCs w:val="24"/>
        </w:rPr>
      </w:pPr>
      <w:r w:rsidRPr="00EF50F1">
        <w:rPr>
          <w:rFonts w:cstheme="minorHAnsi"/>
          <w:szCs w:val="24"/>
        </w:rPr>
        <w:t>The study team will calculate response rates using industry standards from the American Association of Public Opinion Research. Depending on item-completion patterns, the study team will classify partially completed surveys as either sufficiently completed to treat as a respondent, or insufficiently completed to treat as a nonrespondent. Response rates will be presented both unweighted and weighted by the release-adjusted sampling weights, and both overall and by key subgroups.</w:t>
      </w:r>
    </w:p>
    <w:p w:rsidR="00DB36E3" w:rsidRPr="0061603A" w:rsidP="00DB36E3" w14:paraId="252AE0FB" w14:textId="3C0E06EB">
      <w:pPr>
        <w:pStyle w:val="H1"/>
      </w:pPr>
      <w:bookmarkStart w:id="20" w:name="_Toc133502226"/>
      <w:r>
        <w:t>B2.</w:t>
      </w:r>
      <w:r>
        <w:tab/>
      </w:r>
      <w:r w:rsidRPr="00044E40">
        <w:t>Procedures for t</w:t>
      </w:r>
      <w:r>
        <w:t>he Collection of Information</w:t>
      </w:r>
      <w:bookmarkEnd w:id="20"/>
    </w:p>
    <w:p w:rsidR="00A03D99" w:rsidRPr="00FE6E00" w:rsidP="00590361" w14:paraId="6E776040" w14:textId="37AB0269">
      <w:pPr>
        <w:spacing w:line="240" w:lineRule="auto"/>
        <w:ind w:left="360" w:right="-20" w:hanging="360"/>
        <w:rPr>
          <w:rFonts w:ascii="Times New Roman" w:hAnsi="Times New Roman"/>
          <w:szCs w:val="24"/>
        </w:rPr>
      </w:pPr>
      <w:r w:rsidRPr="00FE6E00">
        <w:rPr>
          <w:rFonts w:ascii="Times New Roman" w:hAnsi="Times New Roman"/>
          <w:b/>
          <w:bCs/>
          <w:szCs w:val="24"/>
        </w:rPr>
        <w:t>Describe the procedures for the collection of information including:</w:t>
      </w:r>
    </w:p>
    <w:p w:rsidR="00A03D99" w:rsidRPr="00570970" w:rsidP="00570970" w14:paraId="74B46B9C" w14:textId="77777777">
      <w:pPr>
        <w:pStyle w:val="ListBullet"/>
        <w:rPr>
          <w:b/>
          <w:bCs/>
        </w:rPr>
      </w:pPr>
      <w:r w:rsidRPr="00570970">
        <w:rPr>
          <w:b/>
          <w:bCs/>
        </w:rPr>
        <w:t>Statistical methodology for stratification and sample selection;</w:t>
      </w:r>
    </w:p>
    <w:p w:rsidR="00A03D99" w:rsidRPr="00570970" w:rsidP="00570970" w14:paraId="48914352" w14:textId="77777777">
      <w:pPr>
        <w:pStyle w:val="ListBullet"/>
        <w:rPr>
          <w:b/>
          <w:bCs/>
        </w:rPr>
      </w:pPr>
      <w:r w:rsidRPr="00570970">
        <w:rPr>
          <w:b/>
          <w:bCs/>
        </w:rPr>
        <w:t>Estimation procedure;</w:t>
      </w:r>
    </w:p>
    <w:p w:rsidR="00A03D99" w:rsidRPr="00570970" w:rsidP="00570970" w14:paraId="07D0802D" w14:textId="77777777">
      <w:pPr>
        <w:pStyle w:val="ListBullet"/>
        <w:rPr>
          <w:b/>
          <w:bCs/>
        </w:rPr>
      </w:pPr>
      <w:r w:rsidRPr="00570970">
        <w:rPr>
          <w:b/>
          <w:bCs/>
        </w:rPr>
        <w:t>Degree of accuracy needed for the purpose described in the justification;</w:t>
      </w:r>
    </w:p>
    <w:p w:rsidR="00A03D99" w:rsidRPr="00570970" w:rsidP="00570970" w14:paraId="64D1FA97" w14:textId="77777777">
      <w:pPr>
        <w:pStyle w:val="ListBullet"/>
        <w:rPr>
          <w:b/>
          <w:bCs/>
        </w:rPr>
      </w:pPr>
      <w:r w:rsidRPr="00570970">
        <w:rPr>
          <w:b/>
          <w:bCs/>
        </w:rPr>
        <w:t>U</w:t>
      </w:r>
      <w:r w:rsidRPr="00570970">
        <w:rPr>
          <w:b/>
          <w:bCs/>
        </w:rPr>
        <w:t>nusual problems requiring speciali</w:t>
      </w:r>
      <w:r w:rsidRPr="00570970">
        <w:rPr>
          <w:b/>
          <w:bCs/>
          <w:spacing w:val="-2"/>
        </w:rPr>
        <w:t>z</w:t>
      </w:r>
      <w:r w:rsidRPr="00570970">
        <w:rPr>
          <w:b/>
          <w:bCs/>
        </w:rPr>
        <w:t>ed sampling procedures; and</w:t>
      </w:r>
    </w:p>
    <w:p w:rsidR="003C6248" w:rsidRPr="00570970" w:rsidP="00570970" w14:paraId="593BCECE" w14:textId="45EAAA28">
      <w:pPr>
        <w:pStyle w:val="ListBullet"/>
        <w:rPr>
          <w:b/>
          <w:bCs/>
        </w:rPr>
      </w:pPr>
      <w:r w:rsidRPr="00570970">
        <w:rPr>
          <w:b/>
          <w:bCs/>
        </w:rPr>
        <w:t>Any use of periodic (less frequent than annual) data collection cycles to reduce burden.</w:t>
      </w:r>
    </w:p>
    <w:p w:rsidR="00B201A1" w:rsidP="00942A6B" w14:paraId="036CF983" w14:textId="489992E5">
      <w:pPr>
        <w:pStyle w:val="ListParagraph"/>
        <w:spacing w:line="480" w:lineRule="auto"/>
        <w:ind w:left="0" w:firstLine="432"/>
      </w:pPr>
      <w:r>
        <w:t>As detailed in Part A, Question 2, i</w:t>
      </w:r>
      <w:r w:rsidRPr="00026F06" w:rsidR="00026F06">
        <w:t xml:space="preserve">nformation will be collected via web surveys of State CN </w:t>
      </w:r>
      <w:r w:rsidR="000D5B9A">
        <w:t>D</w:t>
      </w:r>
      <w:r w:rsidRPr="00026F06" w:rsidR="00026F06">
        <w:t xml:space="preserve">irectors and SFA </w:t>
      </w:r>
      <w:r w:rsidR="000D5B9A">
        <w:t>D</w:t>
      </w:r>
      <w:r w:rsidRPr="00026F06" w:rsidR="00026F06">
        <w:t>irectors</w:t>
      </w:r>
      <w:r w:rsidR="00CB78B6">
        <w:t xml:space="preserve"> and state-level administrative data collections</w:t>
      </w:r>
      <w:r w:rsidRPr="00026F06" w:rsidR="00026F06">
        <w:t xml:space="preserve">. The respondents will have </w:t>
      </w:r>
      <w:r w:rsidRPr="00D066E6" w:rsidR="00026F06">
        <w:t>1</w:t>
      </w:r>
      <w:r w:rsidRPr="00D066E6" w:rsidR="00133DF4">
        <w:t>0</w:t>
      </w:r>
      <w:r w:rsidRPr="00D066E6" w:rsidR="00026F06">
        <w:t xml:space="preserve"> weeks</w:t>
      </w:r>
      <w:r w:rsidRPr="00026F06" w:rsidR="00026F06">
        <w:t xml:space="preserve"> to complete </w:t>
      </w:r>
      <w:r w:rsidR="00CB78B6">
        <w:t>each</w:t>
      </w:r>
      <w:r w:rsidRPr="00026F06" w:rsidR="00026F06">
        <w:t xml:space="preserve"> survey</w:t>
      </w:r>
      <w:r w:rsidR="0099694E">
        <w:t xml:space="preserve"> and provide the administrative data</w:t>
      </w:r>
      <w:r w:rsidRPr="00026F06" w:rsidR="00026F06">
        <w:t xml:space="preserve">, which allows time to plan their approach </w:t>
      </w:r>
      <w:r w:rsidR="0099694E">
        <w:t>for completion</w:t>
      </w:r>
      <w:r w:rsidRPr="00026F06" w:rsidR="00026F06">
        <w:t xml:space="preserve">. </w:t>
      </w:r>
      <w:r w:rsidRPr="00B201A1">
        <w:t>Respondents will receive reminder emails and calls from trained survey support personnel</w:t>
      </w:r>
      <w:r w:rsidR="0099694E">
        <w:t xml:space="preserve"> and administrative data liaisons</w:t>
      </w:r>
      <w:r w:rsidRPr="00B201A1">
        <w:t>. Respondents may also call and/or email professional survey support specialists to request help in completing their survey or with technical issues.</w:t>
      </w:r>
    </w:p>
    <w:p w:rsidR="00755B3E" w:rsidP="000A1981" w14:paraId="5BBF7555" w14:textId="487CDB3F">
      <w:pPr>
        <w:pStyle w:val="H3"/>
        <w:ind w:left="0" w:firstLine="0"/>
      </w:pPr>
      <w:r w:rsidRPr="00EE6E33">
        <w:t xml:space="preserve">Statistical </w:t>
      </w:r>
      <w:r w:rsidR="00802D68">
        <w:t>M</w:t>
      </w:r>
      <w:r w:rsidRPr="00EE6E33">
        <w:t xml:space="preserve">ethodology for </w:t>
      </w:r>
      <w:r w:rsidR="00802D68">
        <w:t>S</w:t>
      </w:r>
      <w:r w:rsidRPr="00EE6E33">
        <w:t xml:space="preserve">tratification and </w:t>
      </w:r>
      <w:r w:rsidR="00802D68">
        <w:t>S</w:t>
      </w:r>
      <w:r w:rsidRPr="00EE6E33">
        <w:t xml:space="preserve">ample </w:t>
      </w:r>
      <w:r w:rsidR="00802D68">
        <w:t>S</w:t>
      </w:r>
      <w:r w:rsidRPr="00EE6E33">
        <w:t>election</w:t>
      </w:r>
      <w:r w:rsidR="001C2991">
        <w:t>.</w:t>
      </w:r>
    </w:p>
    <w:p w:rsidR="000A7E7C" w:rsidP="00CF22FB" w14:paraId="7CD8B320" w14:textId="516430E0">
      <w:pPr>
        <w:pStyle w:val="ListParagraph"/>
        <w:spacing w:line="480" w:lineRule="auto"/>
        <w:ind w:left="0" w:firstLine="432"/>
      </w:pPr>
      <w:r>
        <w:t>The SMO Study employs an efficient sample design</w:t>
      </w:r>
      <w:r w:rsidR="00CF22FB">
        <w:t xml:space="preserve"> </w:t>
      </w:r>
      <w:r w:rsidR="0006105B">
        <w:t xml:space="preserve">for the SFA survey </w:t>
      </w:r>
      <w:r w:rsidRPr="0046666B" w:rsidR="00CF22FB">
        <w:t>that will minimize the overall response burden</w:t>
      </w:r>
      <w:r w:rsidR="0006105B">
        <w:t xml:space="preserve"> for SFAs</w:t>
      </w:r>
      <w:r w:rsidRPr="0046666B" w:rsidR="00CF22FB">
        <w:t>. In comparison to the previously approved CNOPS-II approach, SMO includes reduced target sample sizes for SFAs</w:t>
      </w:r>
      <w:r w:rsidR="0046666B">
        <w:t>.</w:t>
      </w:r>
      <w:r w:rsidRPr="0046666B" w:rsidR="0046666B">
        <w:t xml:space="preserve"> </w:t>
      </w:r>
      <w:r w:rsidR="0046666B">
        <w:t>Overall, the SMO SFA sample is estimated to include 1,26</w:t>
      </w:r>
      <w:r w:rsidR="00F84CF2">
        <w:t>8</w:t>
      </w:r>
      <w:r w:rsidR="0046666B">
        <w:t xml:space="preserve"> SFAs, whereas the CN-OPS II sample included 2,188 SFAs</w:t>
      </w:r>
      <w:r w:rsidRPr="0046666B">
        <w:t>.</w:t>
      </w:r>
      <w:r>
        <w:t xml:space="preserve"> </w:t>
      </w:r>
      <w:r w:rsidRPr="00EF0825">
        <w:t xml:space="preserve">SFAs will be sampled with equal probability within each stratum. We plan to allocate the targeted sample size across strata disproportionately (relative to their population proportions) to allow for a sufficient number of SFAs in policy-relevant subgroups. </w:t>
      </w:r>
    </w:p>
    <w:p w:rsidR="000A7E7C" w:rsidRPr="00A366F4" w:rsidP="000A7E7C" w14:paraId="045972AD" w14:textId="3BB216EF">
      <w:pPr>
        <w:pStyle w:val="Paragraph"/>
        <w:spacing w:line="480" w:lineRule="auto"/>
        <w:ind w:firstLine="432"/>
      </w:pPr>
      <w:r>
        <w:t xml:space="preserve">This sample design meets the study’s required precision levels of </w:t>
      </w:r>
      <w:r w:rsidRPr="00E14AA1">
        <w:t>5 percentage points (pp) overall and 10 pp for key subgroups</w:t>
      </w:r>
      <w:r>
        <w:t xml:space="preserve">. See Table B2.3 for margins of error by subgroup. </w:t>
      </w:r>
      <w:r w:rsidR="00D306EB">
        <w:t>G</w:t>
      </w:r>
      <w:r w:rsidRPr="00A366F4">
        <w:t xml:space="preserve">iven the descriptive nature of this study, the SMO </w:t>
      </w:r>
      <w:r w:rsidR="00727E46">
        <w:t xml:space="preserve">Study’s </w:t>
      </w:r>
      <w:r w:rsidRPr="00A366F4">
        <w:t xml:space="preserve">sample design is structured to ensure the desired level of precision for national estimates and estimates of key subgroups. </w:t>
      </w:r>
    </w:p>
    <w:p w:rsidR="000A7E7C" w:rsidP="000A7E7C" w14:paraId="769102D4" w14:textId="0BB3F54B">
      <w:pPr>
        <w:pStyle w:val="ListParagraph"/>
        <w:spacing w:line="480" w:lineRule="auto"/>
        <w:ind w:left="0" w:firstLine="432"/>
      </w:pPr>
      <w:r>
        <w:t xml:space="preserve">As described in </w:t>
      </w:r>
      <w:r w:rsidR="005968E1">
        <w:t xml:space="preserve">Question </w:t>
      </w:r>
      <w:r>
        <w:t>B1, t</w:t>
      </w:r>
      <w:r w:rsidRPr="00F56247">
        <w:t>he team will stratify the sample by SFA size (based on student enrollment in five categories) and poverty level (based on the percentage of students approved for free or reduced-price meal benefits [F/RP]</w:t>
      </w:r>
      <w:r>
        <w:t xml:space="preserve">; </w:t>
      </w:r>
      <w:r w:rsidRPr="00F56247">
        <w:t>less than 60 percent F/RP or greater than or equal to 60 percent F/RP)</w:t>
      </w:r>
      <w:r>
        <w:t xml:space="preserve"> (Table </w:t>
      </w:r>
      <w:r w:rsidRPr="007E343D">
        <w:t>B1.1).</w:t>
      </w:r>
      <w:r w:rsidRPr="00F56247">
        <w:t xml:space="preserve"> Although the study team plans to sample SFAs with equal probability within each stratum, the targeted sample size across strata will be allocated disproportionately (relative to their population proportions) to allow for a sufficient number of SFAs in policy-relevant subgroups. </w:t>
      </w:r>
      <w:r>
        <w:t xml:space="preserve">The study team </w:t>
      </w:r>
      <w:r w:rsidRPr="00F56247">
        <w:t xml:space="preserve">will take a census of SFAs with 100,000 or more enrolled students (“certainty SFAs”) and sample enough other SFAs to obtain </w:t>
      </w:r>
      <w:r w:rsidRPr="00E14AA1">
        <w:t>12 to 300 completed SFA surveys per stratum</w:t>
      </w:r>
      <w:r w:rsidRPr="00F56247">
        <w:t xml:space="preserve">. </w:t>
      </w:r>
      <w:r w:rsidR="002325A5">
        <w:t>T</w:t>
      </w:r>
      <w:r w:rsidRPr="00F56247">
        <w:t xml:space="preserve">his </w:t>
      </w:r>
      <w:r w:rsidR="002325A5">
        <w:t xml:space="preserve">approach will produce an augmented </w:t>
      </w:r>
      <w:r w:rsidRPr="00F56247">
        <w:t>sample,</w:t>
      </w:r>
      <w:r w:rsidR="002325A5">
        <w:t xml:space="preserve"> from which</w:t>
      </w:r>
      <w:r w:rsidRPr="00F56247">
        <w:t xml:space="preserve"> the team will randomly subsample a first release </w:t>
      </w:r>
      <w:r w:rsidR="002C35AE">
        <w:t>of 1</w:t>
      </w:r>
      <w:r w:rsidR="005968E1">
        <w:t>,</w:t>
      </w:r>
      <w:r w:rsidR="002C35AE">
        <w:t>26</w:t>
      </w:r>
      <w:r w:rsidR="00F84CF2">
        <w:t>8</w:t>
      </w:r>
      <w:r w:rsidR="002C35AE">
        <w:t xml:space="preserve"> SFAs </w:t>
      </w:r>
      <w:r w:rsidRPr="00F56247">
        <w:t>that assumes an 80 percent response rate</w:t>
      </w:r>
      <w:r w:rsidR="00BF6FEF">
        <w:t>. A</w:t>
      </w:r>
      <w:r w:rsidRPr="00F56247">
        <w:t xml:space="preserve">ll remaining SFAs </w:t>
      </w:r>
      <w:r w:rsidR="00BF6FEF">
        <w:t xml:space="preserve">from the augmented sample </w:t>
      </w:r>
      <w:r>
        <w:t>will be</w:t>
      </w:r>
      <w:r w:rsidRPr="00F56247">
        <w:t xml:space="preserve"> held in reserve as backup SFAs. In each stratum, backup SFAs will be random</w:t>
      </w:r>
      <w:r>
        <w:t>ly</w:t>
      </w:r>
      <w:r w:rsidRPr="00F56247">
        <w:t xml:space="preserve"> ordered and released as needed to achieve the stratum’s target number of completes</w:t>
      </w:r>
      <w:r w:rsidR="005968E1">
        <w:t>, though the study team does not anticipate that this will be necessary</w:t>
      </w:r>
      <w:r w:rsidRPr="00F56247">
        <w:t>.</w:t>
      </w:r>
    </w:p>
    <w:p w:rsidR="005B405C" w:rsidP="005B405C" w14:paraId="75BFA7A4" w14:textId="77777777">
      <w:pPr>
        <w:spacing w:after="60" w:line="480" w:lineRule="auto"/>
        <w:ind w:firstLine="432"/>
      </w:pPr>
      <w:r w:rsidRPr="00F56247">
        <w:t xml:space="preserve">When the sample frame is final, </w:t>
      </w:r>
      <w:r>
        <w:t xml:space="preserve">the study team </w:t>
      </w:r>
      <w:r w:rsidRPr="00F56247">
        <w:t>will draw the sample. The stratum of “certainty” SFAs represents less than 1 percent of all SFAs but more than 15 percent of all students. The annual sample allocation for responding SFAs (aside from</w:t>
      </w:r>
      <w:r>
        <w:t xml:space="preserve"> “certainty” SFAs</w:t>
      </w:r>
      <w:r w:rsidRPr="00F56247">
        <w:t xml:space="preserve">) will be subject to the following restrictions: </w:t>
      </w:r>
      <w:r w:rsidRPr="00E14AA1">
        <w:t>(1) no more than 80 percent of one-quarter of the total number of SFAs in the stratum</w:t>
      </w:r>
      <w:r>
        <w:rPr>
          <w:rFonts w:eastAsia="Calibri"/>
          <w:vertAlign w:val="superscript"/>
        </w:rPr>
        <w:footnoteReference w:id="3"/>
      </w:r>
      <w:r w:rsidRPr="00E14AA1" w:rsidR="00D1508A">
        <w:rPr>
          <w:rFonts w:eastAsia="Calibri"/>
        </w:rPr>
        <w:t xml:space="preserve"> </w:t>
      </w:r>
      <w:r w:rsidRPr="00E14AA1">
        <w:t>and (2) a minimum of 115 SFAs for strata with more than 575 SFAs.</w:t>
      </w:r>
      <w:r>
        <w:rPr>
          <w:rStyle w:val="FootnoteReference"/>
        </w:rPr>
        <w:footnoteReference w:id="4"/>
      </w:r>
      <w:r w:rsidRPr="00F56247">
        <w:t xml:space="preserve"> The study team will implicitly stratify (that is, sort the frame within</w:t>
      </w:r>
      <w:r>
        <w:t xml:space="preserve"> the SFA size and </w:t>
      </w:r>
      <w:r>
        <w:t>poverty level strata</w:t>
      </w:r>
      <w:r w:rsidRPr="00F56247">
        <w:t xml:space="preserve"> before sampling) by characteristics including urbanicity, and charter-only status to help ensure proportional representation of SFAs with these characteristics in the sample, and then select SFAs with equal probability within stratum using sequential sampling. </w:t>
      </w:r>
      <w:r w:rsidRPr="00450373">
        <w:rPr>
          <w:rStyle w:val="Hyperlink"/>
          <w:color w:val="auto"/>
          <w:u w:val="none"/>
        </w:rPr>
        <w:t>Table B.2.</w:t>
      </w:r>
      <w:r>
        <w:rPr>
          <w:rStyle w:val="Hyperlink"/>
          <w:color w:val="auto"/>
          <w:u w:val="none"/>
        </w:rPr>
        <w:t>2</w:t>
      </w:r>
      <w:r w:rsidRPr="007A01F1">
        <w:t xml:space="preserve"> </w:t>
      </w:r>
      <w:r w:rsidRPr="004372F4">
        <w:t xml:space="preserve">provides SFA sample sizes for </w:t>
      </w:r>
      <w:r w:rsidR="00AF53B5">
        <w:t>SY</w:t>
      </w:r>
      <w:r w:rsidR="00862D42">
        <w:t xml:space="preserve"> 202</w:t>
      </w:r>
      <w:r w:rsidR="00B91992">
        <w:t>3</w:t>
      </w:r>
      <w:r w:rsidR="00862D42">
        <w:t>-202</w:t>
      </w:r>
      <w:r w:rsidR="00B91992">
        <w:t>4</w:t>
      </w:r>
      <w:r w:rsidR="00A46153">
        <w:t xml:space="preserve"> data collection, focusing on SY 2022-2023</w:t>
      </w:r>
      <w:r w:rsidR="00597E2E">
        <w:t xml:space="preserve"> operations</w:t>
      </w:r>
      <w:r>
        <w:t>.</w:t>
      </w:r>
      <w:r w:rsidRPr="004372F4">
        <w:t xml:space="preserve"> </w:t>
      </w:r>
      <w:bookmarkStart w:id="21" w:name="_Toc26188005"/>
      <w:bookmarkStart w:id="22" w:name="_Toc36800871"/>
    </w:p>
    <w:p w:rsidR="000A7E7C" w:rsidRPr="001A718C" w:rsidP="005B405C" w14:paraId="13B2B2B0" w14:textId="19D0AE69">
      <w:pPr>
        <w:pStyle w:val="TableTitle"/>
      </w:pPr>
      <w:bookmarkStart w:id="23" w:name="_Toc133502235"/>
      <w:r>
        <w:t>Table B2.2</w:t>
      </w:r>
      <w:r w:rsidRPr="001A718C">
        <w:t>. SFA sample size</w:t>
      </w:r>
      <w:r w:rsidR="00BF6FEF">
        <w:t xml:space="preserve"> for SY 202</w:t>
      </w:r>
      <w:r w:rsidR="00B91992">
        <w:t>3</w:t>
      </w:r>
      <w:r w:rsidR="00BF6FEF">
        <w:t>-202</w:t>
      </w:r>
      <w:r w:rsidR="00B91992">
        <w:t>4</w:t>
      </w:r>
      <w:r w:rsidR="00A46153">
        <w:t xml:space="preserve"> data collection</w:t>
      </w:r>
      <w:r w:rsidR="001078C6">
        <w:t>, focusing on SY 2022-2023</w:t>
      </w:r>
      <w:r w:rsidR="00597E2E">
        <w:t xml:space="preserve"> operations</w:t>
      </w:r>
      <w:r w:rsidRPr="001A718C">
        <w:t xml:space="preserve"> (selected, released, completes, </w:t>
      </w:r>
      <w:r w:rsidRPr="001A718C">
        <w:t>noncompletes</w:t>
      </w:r>
      <w:r w:rsidRPr="001A718C">
        <w:t>, and reserves)</w:t>
      </w:r>
      <w:bookmarkEnd w:id="21"/>
      <w:bookmarkEnd w:id="22"/>
      <w:bookmarkEnd w:id="23"/>
    </w:p>
    <w:tbl>
      <w:tblPr>
        <w:tblStyle w:val="TableGrid1"/>
        <w:tblW w:w="0" w:type="auto"/>
        <w:tblBorders>
          <w:top w:val="single" w:sz="2" w:space="0" w:color="auto"/>
          <w:left w:val="none" w:sz="0" w:space="0" w:color="auto"/>
          <w:bottom w:val="single" w:sz="2" w:space="0" w:color="auto"/>
          <w:right w:val="none" w:sz="0" w:space="0" w:color="auto"/>
          <w:insideH w:val="single" w:sz="2" w:space="0" w:color="auto"/>
          <w:insideV w:val="none" w:sz="0" w:space="0" w:color="auto"/>
        </w:tblBorders>
        <w:tblLook w:val="04A0"/>
      </w:tblPr>
      <w:tblGrid>
        <w:gridCol w:w="3060"/>
        <w:gridCol w:w="3060"/>
        <w:gridCol w:w="3060"/>
      </w:tblGrid>
      <w:tr w14:paraId="052CA725" w14:textId="77777777" w:rsidTr="004C265C">
        <w:tblPrEx>
          <w:tblW w:w="0" w:type="auto"/>
          <w:tblBorders>
            <w:top w:val="single" w:sz="2" w:space="0" w:color="auto"/>
            <w:left w:val="none" w:sz="0" w:space="0" w:color="auto"/>
            <w:bottom w:val="single" w:sz="2" w:space="0" w:color="auto"/>
            <w:right w:val="none" w:sz="0" w:space="0" w:color="auto"/>
            <w:insideH w:val="single" w:sz="2" w:space="0" w:color="auto"/>
            <w:insideV w:val="none" w:sz="0" w:space="0" w:color="auto"/>
          </w:tblBorders>
          <w:tblLook w:val="04A0"/>
        </w:tblPrEx>
        <w:trPr>
          <w:tblHeader/>
        </w:trPr>
        <w:tc>
          <w:tcPr>
            <w:tcW w:w="3060" w:type="dxa"/>
            <w:tcBorders>
              <w:top w:val="nil"/>
              <w:bottom w:val="nil"/>
            </w:tcBorders>
            <w:shd w:val="clear" w:color="auto" w:fill="6C6F70"/>
            <w:vAlign w:val="bottom"/>
          </w:tcPr>
          <w:p w:rsidR="00704577" w:rsidRPr="001A718C" w:rsidP="00496D67" w14:paraId="497DD457" w14:textId="77777777">
            <w:pPr>
              <w:pStyle w:val="TableHeaderCenter"/>
              <w:spacing w:before="60"/>
              <w:jc w:val="left"/>
              <w:rPr>
                <w:rFonts w:eastAsia="Calibri"/>
              </w:rPr>
            </w:pPr>
            <w:bookmarkStart w:id="24" w:name="_Hlk31015128"/>
            <w:r>
              <w:rPr>
                <w:rFonts w:eastAsia="Calibri"/>
              </w:rPr>
              <w:t>Sample type</w:t>
            </w:r>
          </w:p>
        </w:tc>
        <w:tc>
          <w:tcPr>
            <w:tcW w:w="3060" w:type="dxa"/>
            <w:tcBorders>
              <w:top w:val="nil"/>
              <w:bottom w:val="nil"/>
            </w:tcBorders>
            <w:shd w:val="clear" w:color="auto" w:fill="6C6F70"/>
            <w:vAlign w:val="bottom"/>
          </w:tcPr>
          <w:p w:rsidR="00704577" w:rsidRPr="001A718C" w:rsidP="005B6FDA" w14:paraId="7B47F59A" w14:textId="77777777">
            <w:pPr>
              <w:pStyle w:val="TableHeaderCenter"/>
              <w:spacing w:before="60"/>
              <w:rPr>
                <w:rFonts w:eastAsia="Calibri"/>
              </w:rPr>
            </w:pPr>
            <w:r>
              <w:rPr>
                <w:rFonts w:eastAsia="Calibri"/>
              </w:rPr>
              <w:t>SFA type</w:t>
            </w:r>
          </w:p>
        </w:tc>
        <w:tc>
          <w:tcPr>
            <w:tcW w:w="3060" w:type="dxa"/>
            <w:tcBorders>
              <w:top w:val="nil"/>
              <w:bottom w:val="nil"/>
            </w:tcBorders>
            <w:shd w:val="clear" w:color="auto" w:fill="6C6F70"/>
            <w:vAlign w:val="bottom"/>
          </w:tcPr>
          <w:p w:rsidR="00704577" w:rsidRPr="001A718C" w:rsidP="005B6FDA" w14:paraId="09329CCC" w14:textId="0AFED062">
            <w:pPr>
              <w:pStyle w:val="TableHeaderCenter"/>
              <w:spacing w:before="60"/>
              <w:rPr>
                <w:rFonts w:eastAsia="Calibri"/>
              </w:rPr>
            </w:pPr>
            <w:r>
              <w:rPr>
                <w:rFonts w:eastAsia="Calibri"/>
              </w:rPr>
              <w:t xml:space="preserve">School </w:t>
            </w:r>
            <w:r w:rsidRPr="001A718C">
              <w:rPr>
                <w:rFonts w:eastAsia="Calibri"/>
              </w:rPr>
              <w:t>Year 2</w:t>
            </w:r>
            <w:r>
              <w:rPr>
                <w:rFonts w:eastAsia="Calibri"/>
              </w:rPr>
              <w:t>02</w:t>
            </w:r>
            <w:r w:rsidR="00B91992">
              <w:rPr>
                <w:rFonts w:eastAsia="Calibri"/>
              </w:rPr>
              <w:t>3</w:t>
            </w:r>
            <w:r>
              <w:rPr>
                <w:rFonts w:eastAsia="Calibri"/>
              </w:rPr>
              <w:t>-202</w:t>
            </w:r>
            <w:r w:rsidR="00B91992">
              <w:rPr>
                <w:rFonts w:eastAsia="Calibri"/>
              </w:rPr>
              <w:t>4</w:t>
            </w:r>
            <w:r w:rsidR="00A46153">
              <w:rPr>
                <w:rFonts w:eastAsia="Calibri"/>
              </w:rPr>
              <w:t xml:space="preserve"> Data Collection</w:t>
            </w:r>
          </w:p>
        </w:tc>
      </w:tr>
      <w:tr w14:paraId="325868CF" w14:textId="59169466" w:rsidTr="00A95C6F">
        <w:tblPrEx>
          <w:tblW w:w="0" w:type="auto"/>
          <w:tblLook w:val="04A0"/>
        </w:tblPrEx>
        <w:tc>
          <w:tcPr>
            <w:tcW w:w="3060" w:type="dxa"/>
            <w:vMerge w:val="restart"/>
            <w:tcBorders>
              <w:top w:val="nil"/>
            </w:tcBorders>
            <w:shd w:val="clear" w:color="auto" w:fill="auto"/>
          </w:tcPr>
          <w:p w:rsidR="00704577" w:rsidRPr="00590361" w:rsidP="00496D67" w14:paraId="1D14D6D0" w14:textId="77777777">
            <w:pPr>
              <w:pStyle w:val="TableTextLeft"/>
              <w:spacing w:before="20" w:after="20"/>
              <w:rPr>
                <w:rFonts w:eastAsia="Calibri"/>
              </w:rPr>
            </w:pPr>
            <w:r w:rsidRPr="00590361">
              <w:rPr>
                <w:rFonts w:eastAsia="Calibri"/>
              </w:rPr>
              <w:t>Augmented sample selected</w:t>
            </w:r>
          </w:p>
        </w:tc>
        <w:tc>
          <w:tcPr>
            <w:tcW w:w="3060" w:type="dxa"/>
            <w:tcBorders>
              <w:top w:val="nil"/>
            </w:tcBorders>
            <w:shd w:val="clear" w:color="auto" w:fill="auto"/>
          </w:tcPr>
          <w:p w:rsidR="00704577" w:rsidRPr="00590361" w:rsidP="00496D67" w14:paraId="4381AF05" w14:textId="77777777">
            <w:pPr>
              <w:pStyle w:val="TableTextLeft"/>
              <w:spacing w:before="20" w:after="20"/>
              <w:rPr>
                <w:rFonts w:eastAsia="Calibri"/>
              </w:rPr>
            </w:pPr>
            <w:r w:rsidRPr="00590361">
              <w:rPr>
                <w:rFonts w:eastAsia="Calibri"/>
              </w:rPr>
              <w:t>All SFAs</w:t>
            </w:r>
          </w:p>
        </w:tc>
        <w:tc>
          <w:tcPr>
            <w:tcW w:w="3060" w:type="dxa"/>
            <w:tcBorders>
              <w:top w:val="nil"/>
            </w:tcBorders>
            <w:shd w:val="clear" w:color="auto" w:fill="auto"/>
          </w:tcPr>
          <w:p w:rsidR="00704577" w:rsidRPr="00A271FB" w:rsidP="00A95C6F" w14:paraId="4602817C" w14:textId="1E7C4174">
            <w:pPr>
              <w:pStyle w:val="TableTextLeft"/>
              <w:tabs>
                <w:tab w:val="decimal" w:pos="1698"/>
              </w:tabs>
              <w:spacing w:before="20" w:after="20"/>
              <w:rPr>
                <w:rFonts w:eastAsia="Calibri"/>
              </w:rPr>
            </w:pPr>
            <w:r w:rsidRPr="00A271FB">
              <w:rPr>
                <w:rFonts w:eastAsia="Calibri"/>
              </w:rPr>
              <w:t>1,559</w:t>
            </w:r>
          </w:p>
        </w:tc>
      </w:tr>
      <w:bookmarkEnd w:id="24"/>
      <w:tr w14:paraId="2FD3D05F" w14:textId="77777777" w:rsidTr="00A95C6F">
        <w:tblPrEx>
          <w:tblW w:w="0" w:type="auto"/>
          <w:tblLook w:val="04A0"/>
        </w:tblPrEx>
        <w:tc>
          <w:tcPr>
            <w:tcW w:w="3060" w:type="dxa"/>
            <w:vMerge/>
            <w:shd w:val="clear" w:color="auto" w:fill="auto"/>
          </w:tcPr>
          <w:p w:rsidR="00704577" w:rsidRPr="00590361" w:rsidP="00496D67" w14:paraId="04B9A34C" w14:textId="77777777">
            <w:pPr>
              <w:pStyle w:val="TableTextLeft"/>
              <w:spacing w:before="20" w:after="20"/>
              <w:rPr>
                <w:rFonts w:eastAsia="Calibri"/>
              </w:rPr>
            </w:pPr>
          </w:p>
        </w:tc>
        <w:tc>
          <w:tcPr>
            <w:tcW w:w="3060" w:type="dxa"/>
            <w:shd w:val="clear" w:color="auto" w:fill="auto"/>
          </w:tcPr>
          <w:p w:rsidR="00704577" w:rsidRPr="00590361" w:rsidP="00496D67" w14:paraId="60BA42C5" w14:textId="77777777">
            <w:pPr>
              <w:pStyle w:val="TableTextLeft"/>
              <w:spacing w:before="20" w:after="20"/>
              <w:ind w:left="171"/>
              <w:rPr>
                <w:rFonts w:eastAsia="Calibri"/>
              </w:rPr>
            </w:pPr>
            <w:r w:rsidRPr="00590361">
              <w:rPr>
                <w:rFonts w:eastAsia="Calibri"/>
              </w:rPr>
              <w:t>Certainty SFAs</w:t>
            </w:r>
          </w:p>
        </w:tc>
        <w:tc>
          <w:tcPr>
            <w:tcW w:w="3060" w:type="dxa"/>
            <w:shd w:val="clear" w:color="auto" w:fill="auto"/>
          </w:tcPr>
          <w:p w:rsidR="00704577" w:rsidRPr="00A271FB" w:rsidP="00A95C6F" w14:paraId="78A3A4A7" w14:textId="62563F55">
            <w:pPr>
              <w:pStyle w:val="TableTextLeft"/>
              <w:tabs>
                <w:tab w:val="decimal" w:pos="1698"/>
              </w:tabs>
              <w:spacing w:before="20" w:after="20"/>
              <w:rPr>
                <w:rFonts w:eastAsia="Calibri"/>
              </w:rPr>
            </w:pPr>
            <w:r w:rsidRPr="00A271FB">
              <w:rPr>
                <w:rFonts w:eastAsia="Calibri"/>
              </w:rPr>
              <w:t>27</w:t>
            </w:r>
          </w:p>
        </w:tc>
      </w:tr>
      <w:tr w14:paraId="36E46334" w14:textId="77777777" w:rsidTr="00A95C6F">
        <w:tblPrEx>
          <w:tblW w:w="0" w:type="auto"/>
          <w:tblLook w:val="04A0"/>
        </w:tblPrEx>
        <w:tc>
          <w:tcPr>
            <w:tcW w:w="3060" w:type="dxa"/>
            <w:vMerge/>
            <w:shd w:val="clear" w:color="auto" w:fill="auto"/>
          </w:tcPr>
          <w:p w:rsidR="00704577" w:rsidRPr="00590361" w:rsidP="00496D67" w14:paraId="6BED9AF6" w14:textId="77777777">
            <w:pPr>
              <w:pStyle w:val="TableTextLeft"/>
              <w:spacing w:before="20" w:after="20"/>
              <w:rPr>
                <w:rFonts w:eastAsia="Calibri"/>
              </w:rPr>
            </w:pPr>
          </w:p>
        </w:tc>
        <w:tc>
          <w:tcPr>
            <w:tcW w:w="3060" w:type="dxa"/>
            <w:shd w:val="clear" w:color="auto" w:fill="auto"/>
          </w:tcPr>
          <w:p w:rsidR="00704577" w:rsidRPr="00590361" w:rsidP="00496D67" w14:paraId="155EC708" w14:textId="77777777">
            <w:pPr>
              <w:pStyle w:val="TableTextLeft"/>
              <w:spacing w:before="20" w:after="20"/>
              <w:ind w:left="171"/>
              <w:rPr>
                <w:rFonts w:eastAsia="Calibri"/>
              </w:rPr>
            </w:pPr>
            <w:r w:rsidRPr="00590361">
              <w:rPr>
                <w:rFonts w:eastAsia="Calibri"/>
              </w:rPr>
              <w:t>Non-certainty SFAs</w:t>
            </w:r>
          </w:p>
        </w:tc>
        <w:tc>
          <w:tcPr>
            <w:tcW w:w="3060" w:type="dxa"/>
            <w:shd w:val="clear" w:color="auto" w:fill="auto"/>
          </w:tcPr>
          <w:p w:rsidR="00704577" w:rsidRPr="00A271FB" w:rsidP="00A95C6F" w14:paraId="391A08D8" w14:textId="77777777">
            <w:pPr>
              <w:pStyle w:val="TableTextLeft"/>
              <w:tabs>
                <w:tab w:val="decimal" w:pos="1698"/>
              </w:tabs>
              <w:spacing w:before="20" w:after="20"/>
              <w:rPr>
                <w:rFonts w:eastAsia="Calibri"/>
              </w:rPr>
            </w:pPr>
            <w:r w:rsidRPr="00A271FB">
              <w:rPr>
                <w:rFonts w:eastAsia="Calibri"/>
              </w:rPr>
              <w:t>1,532</w:t>
            </w:r>
          </w:p>
        </w:tc>
      </w:tr>
      <w:tr w14:paraId="6812CB35" w14:textId="77777777" w:rsidTr="00A95C6F">
        <w:tblPrEx>
          <w:tblW w:w="0" w:type="auto"/>
          <w:tblLook w:val="04A0"/>
        </w:tblPrEx>
        <w:tc>
          <w:tcPr>
            <w:tcW w:w="3060" w:type="dxa"/>
            <w:vMerge w:val="restart"/>
            <w:shd w:val="clear" w:color="auto" w:fill="auto"/>
          </w:tcPr>
          <w:p w:rsidR="00704577" w:rsidRPr="00590361" w:rsidP="00496D67" w14:paraId="72BE9ECD" w14:textId="77777777">
            <w:pPr>
              <w:pStyle w:val="TableTextLeft"/>
              <w:spacing w:before="20" w:after="20"/>
              <w:rPr>
                <w:rFonts w:eastAsia="Calibri"/>
              </w:rPr>
            </w:pPr>
            <w:r w:rsidRPr="00590361">
              <w:rPr>
                <w:rFonts w:eastAsia="Calibri"/>
              </w:rPr>
              <w:t>Initially released sample</w:t>
            </w:r>
          </w:p>
        </w:tc>
        <w:tc>
          <w:tcPr>
            <w:tcW w:w="3060" w:type="dxa"/>
            <w:shd w:val="clear" w:color="auto" w:fill="auto"/>
          </w:tcPr>
          <w:p w:rsidR="00704577" w:rsidRPr="00590361" w:rsidP="00496D67" w14:paraId="15DF014E" w14:textId="77777777">
            <w:pPr>
              <w:pStyle w:val="TableTextLeft"/>
              <w:spacing w:before="20" w:after="20"/>
              <w:rPr>
                <w:rFonts w:eastAsia="Calibri"/>
              </w:rPr>
            </w:pPr>
            <w:r w:rsidRPr="00590361">
              <w:rPr>
                <w:rFonts w:eastAsia="Calibri"/>
              </w:rPr>
              <w:t>All SFAs</w:t>
            </w:r>
          </w:p>
        </w:tc>
        <w:tc>
          <w:tcPr>
            <w:tcW w:w="3060" w:type="dxa"/>
            <w:shd w:val="clear" w:color="auto" w:fill="auto"/>
          </w:tcPr>
          <w:p w:rsidR="00704577" w:rsidRPr="00F84CF2" w:rsidP="00A95C6F" w14:paraId="23ED1670" w14:textId="1C8E3DA6">
            <w:pPr>
              <w:pStyle w:val="TableTextLeft"/>
              <w:tabs>
                <w:tab w:val="decimal" w:pos="1698"/>
              </w:tabs>
              <w:spacing w:before="20" w:after="20"/>
              <w:rPr>
                <w:rFonts w:eastAsia="Calibri"/>
              </w:rPr>
            </w:pPr>
            <w:r w:rsidRPr="00F84CF2">
              <w:rPr>
                <w:rFonts w:eastAsia="Calibri"/>
              </w:rPr>
              <w:t>1,26</w:t>
            </w:r>
            <w:r w:rsidRPr="00F84CF2" w:rsidR="00F84CF2">
              <w:rPr>
                <w:rFonts w:eastAsia="Calibri"/>
              </w:rPr>
              <w:t>8</w:t>
            </w:r>
          </w:p>
        </w:tc>
      </w:tr>
      <w:tr w14:paraId="0826A8E0" w14:textId="77777777" w:rsidTr="00A95C6F">
        <w:tblPrEx>
          <w:tblW w:w="0" w:type="auto"/>
          <w:tblLook w:val="04A0"/>
        </w:tblPrEx>
        <w:tc>
          <w:tcPr>
            <w:tcW w:w="3060" w:type="dxa"/>
            <w:vMerge/>
            <w:shd w:val="clear" w:color="auto" w:fill="auto"/>
          </w:tcPr>
          <w:p w:rsidR="00704577" w:rsidRPr="00590361" w:rsidP="00496D67" w14:paraId="340A9D81" w14:textId="77777777">
            <w:pPr>
              <w:pStyle w:val="TableTextLeft"/>
              <w:spacing w:before="20" w:after="20"/>
              <w:rPr>
                <w:rFonts w:eastAsia="Calibri"/>
              </w:rPr>
            </w:pPr>
          </w:p>
        </w:tc>
        <w:tc>
          <w:tcPr>
            <w:tcW w:w="3060" w:type="dxa"/>
            <w:shd w:val="clear" w:color="auto" w:fill="auto"/>
          </w:tcPr>
          <w:p w:rsidR="00704577" w:rsidRPr="00590361" w:rsidP="00496D67" w14:paraId="164921E7" w14:textId="77777777">
            <w:pPr>
              <w:pStyle w:val="TableTextLeft"/>
              <w:spacing w:before="20" w:after="20"/>
              <w:ind w:left="171"/>
              <w:rPr>
                <w:rFonts w:eastAsia="Calibri"/>
              </w:rPr>
            </w:pPr>
            <w:r w:rsidRPr="00590361">
              <w:rPr>
                <w:rFonts w:eastAsia="Calibri"/>
              </w:rPr>
              <w:t>Certainty SFAs</w:t>
            </w:r>
          </w:p>
        </w:tc>
        <w:tc>
          <w:tcPr>
            <w:tcW w:w="3060" w:type="dxa"/>
            <w:shd w:val="clear" w:color="auto" w:fill="auto"/>
          </w:tcPr>
          <w:p w:rsidR="00704577" w:rsidRPr="00F84CF2" w:rsidP="00A95C6F" w14:paraId="1CB2CF05" w14:textId="21C89405">
            <w:pPr>
              <w:pStyle w:val="TableTextLeft"/>
              <w:tabs>
                <w:tab w:val="decimal" w:pos="1698"/>
              </w:tabs>
              <w:spacing w:before="20" w:after="20"/>
              <w:rPr>
                <w:rFonts w:eastAsia="Calibri"/>
              </w:rPr>
            </w:pPr>
            <w:r w:rsidRPr="00F84CF2">
              <w:rPr>
                <w:rFonts w:eastAsia="Calibri"/>
              </w:rPr>
              <w:t>27</w:t>
            </w:r>
          </w:p>
        </w:tc>
      </w:tr>
      <w:tr w14:paraId="3C95A7AF" w14:textId="77777777" w:rsidTr="00A95C6F">
        <w:tblPrEx>
          <w:tblW w:w="0" w:type="auto"/>
          <w:tblLook w:val="04A0"/>
        </w:tblPrEx>
        <w:tc>
          <w:tcPr>
            <w:tcW w:w="3060" w:type="dxa"/>
            <w:vMerge/>
            <w:shd w:val="clear" w:color="auto" w:fill="auto"/>
          </w:tcPr>
          <w:p w:rsidR="00704577" w:rsidRPr="00590361" w:rsidP="00496D67" w14:paraId="4E294BF3" w14:textId="77777777">
            <w:pPr>
              <w:pStyle w:val="TableTextLeft"/>
              <w:spacing w:before="20" w:after="20"/>
              <w:rPr>
                <w:rFonts w:eastAsia="Calibri"/>
              </w:rPr>
            </w:pPr>
          </w:p>
        </w:tc>
        <w:tc>
          <w:tcPr>
            <w:tcW w:w="3060" w:type="dxa"/>
            <w:shd w:val="clear" w:color="auto" w:fill="auto"/>
          </w:tcPr>
          <w:p w:rsidR="00704577" w:rsidRPr="00590361" w:rsidP="00496D67" w14:paraId="21539A6C" w14:textId="77777777">
            <w:pPr>
              <w:pStyle w:val="TableTextLeft"/>
              <w:spacing w:before="20" w:after="20"/>
              <w:ind w:left="171"/>
              <w:rPr>
                <w:rFonts w:eastAsia="Calibri"/>
              </w:rPr>
            </w:pPr>
            <w:r w:rsidRPr="00590361">
              <w:rPr>
                <w:rFonts w:eastAsia="Calibri"/>
              </w:rPr>
              <w:t>Non-certainty SFAs</w:t>
            </w:r>
          </w:p>
        </w:tc>
        <w:tc>
          <w:tcPr>
            <w:tcW w:w="3060" w:type="dxa"/>
            <w:shd w:val="clear" w:color="auto" w:fill="auto"/>
          </w:tcPr>
          <w:p w:rsidR="00704577" w:rsidRPr="00F84CF2" w:rsidP="00A95C6F" w14:paraId="0920496E" w14:textId="088934D9">
            <w:pPr>
              <w:pStyle w:val="TableTextLeft"/>
              <w:tabs>
                <w:tab w:val="decimal" w:pos="1698"/>
              </w:tabs>
              <w:spacing w:before="20" w:after="20"/>
              <w:rPr>
                <w:rFonts w:eastAsia="Calibri"/>
              </w:rPr>
            </w:pPr>
            <w:r w:rsidRPr="00F84CF2">
              <w:rPr>
                <w:rFonts w:eastAsia="Calibri"/>
              </w:rPr>
              <w:t>1,2</w:t>
            </w:r>
            <w:r w:rsidR="00880C1B">
              <w:rPr>
                <w:rFonts w:eastAsia="Calibri"/>
              </w:rPr>
              <w:t>41</w:t>
            </w:r>
          </w:p>
        </w:tc>
      </w:tr>
      <w:tr w14:paraId="7C1D4EB4" w14:textId="77777777" w:rsidTr="00A95C6F">
        <w:tblPrEx>
          <w:tblW w:w="0" w:type="auto"/>
          <w:tblLook w:val="04A0"/>
        </w:tblPrEx>
        <w:tc>
          <w:tcPr>
            <w:tcW w:w="3060" w:type="dxa"/>
            <w:vMerge w:val="restart"/>
            <w:shd w:val="clear" w:color="auto" w:fill="auto"/>
          </w:tcPr>
          <w:p w:rsidR="00704577" w:rsidRPr="00590361" w:rsidP="00496D67" w14:paraId="544EA636" w14:textId="77777777">
            <w:pPr>
              <w:pStyle w:val="TableTextLeft"/>
              <w:spacing w:before="20" w:after="20"/>
              <w:rPr>
                <w:rFonts w:eastAsia="Calibri"/>
              </w:rPr>
            </w:pPr>
            <w:r w:rsidRPr="00590361">
              <w:rPr>
                <w:rFonts w:eastAsia="Calibri"/>
              </w:rPr>
              <w:t>Expected survey completes (80%)</w:t>
            </w:r>
          </w:p>
        </w:tc>
        <w:tc>
          <w:tcPr>
            <w:tcW w:w="3060" w:type="dxa"/>
            <w:shd w:val="clear" w:color="auto" w:fill="auto"/>
          </w:tcPr>
          <w:p w:rsidR="00704577" w:rsidRPr="00590361" w:rsidP="00496D67" w14:paraId="684B43F3" w14:textId="77777777">
            <w:pPr>
              <w:pStyle w:val="TableTextLeft"/>
              <w:spacing w:before="20" w:after="20"/>
              <w:rPr>
                <w:rFonts w:eastAsia="Calibri"/>
              </w:rPr>
            </w:pPr>
            <w:r w:rsidRPr="00590361">
              <w:rPr>
                <w:rFonts w:eastAsia="Calibri"/>
              </w:rPr>
              <w:t>All SFAs</w:t>
            </w:r>
          </w:p>
        </w:tc>
        <w:tc>
          <w:tcPr>
            <w:tcW w:w="3060" w:type="dxa"/>
            <w:shd w:val="clear" w:color="auto" w:fill="auto"/>
          </w:tcPr>
          <w:p w:rsidR="00704577" w:rsidRPr="00A271FB" w:rsidP="00A95C6F" w14:paraId="408E922D" w14:textId="77777777">
            <w:pPr>
              <w:pStyle w:val="TableTextLeft"/>
              <w:tabs>
                <w:tab w:val="decimal" w:pos="1698"/>
              </w:tabs>
              <w:spacing w:before="20" w:after="20"/>
              <w:rPr>
                <w:rFonts w:eastAsia="Calibri"/>
              </w:rPr>
            </w:pPr>
            <w:r w:rsidRPr="00A271FB">
              <w:rPr>
                <w:rFonts w:eastAsia="Calibri"/>
              </w:rPr>
              <w:t>1,012</w:t>
            </w:r>
          </w:p>
        </w:tc>
      </w:tr>
      <w:tr w14:paraId="6C5A63B7" w14:textId="77777777" w:rsidTr="00A95C6F">
        <w:tblPrEx>
          <w:tblW w:w="0" w:type="auto"/>
          <w:tblLook w:val="04A0"/>
        </w:tblPrEx>
        <w:tc>
          <w:tcPr>
            <w:tcW w:w="3060" w:type="dxa"/>
            <w:vMerge/>
            <w:shd w:val="clear" w:color="auto" w:fill="auto"/>
          </w:tcPr>
          <w:p w:rsidR="00704577" w:rsidRPr="00590361" w:rsidP="00496D67" w14:paraId="0B6153F1" w14:textId="77777777">
            <w:pPr>
              <w:pStyle w:val="TableTextLeft"/>
              <w:spacing w:before="20" w:after="20"/>
              <w:rPr>
                <w:rFonts w:eastAsia="Calibri"/>
              </w:rPr>
            </w:pPr>
          </w:p>
        </w:tc>
        <w:tc>
          <w:tcPr>
            <w:tcW w:w="3060" w:type="dxa"/>
            <w:shd w:val="clear" w:color="auto" w:fill="auto"/>
          </w:tcPr>
          <w:p w:rsidR="00704577" w:rsidRPr="00590361" w:rsidP="00496D67" w14:paraId="2FDE0477" w14:textId="77777777">
            <w:pPr>
              <w:pStyle w:val="TableTextLeft"/>
              <w:spacing w:before="20" w:after="20"/>
              <w:ind w:left="171"/>
              <w:rPr>
                <w:rFonts w:eastAsia="Calibri"/>
              </w:rPr>
            </w:pPr>
            <w:r w:rsidRPr="00590361">
              <w:rPr>
                <w:rFonts w:eastAsia="Calibri"/>
              </w:rPr>
              <w:t>Certainty SFAs</w:t>
            </w:r>
          </w:p>
        </w:tc>
        <w:tc>
          <w:tcPr>
            <w:tcW w:w="3060" w:type="dxa"/>
            <w:shd w:val="clear" w:color="auto" w:fill="auto"/>
          </w:tcPr>
          <w:p w:rsidR="00704577" w:rsidRPr="00A271FB" w:rsidP="00A95C6F" w14:paraId="7D1B1F37" w14:textId="77777777">
            <w:pPr>
              <w:pStyle w:val="TableTextLeft"/>
              <w:tabs>
                <w:tab w:val="decimal" w:pos="1698"/>
              </w:tabs>
              <w:spacing w:before="20" w:after="20"/>
              <w:rPr>
                <w:rFonts w:eastAsia="Calibri"/>
              </w:rPr>
            </w:pPr>
            <w:r w:rsidRPr="00A271FB">
              <w:rPr>
                <w:rFonts w:eastAsia="Calibri"/>
              </w:rPr>
              <w:t>22</w:t>
            </w:r>
          </w:p>
        </w:tc>
      </w:tr>
      <w:tr w14:paraId="10F6F79C" w14:textId="77777777" w:rsidTr="00A95C6F">
        <w:tblPrEx>
          <w:tblW w:w="0" w:type="auto"/>
          <w:tblLook w:val="04A0"/>
        </w:tblPrEx>
        <w:tc>
          <w:tcPr>
            <w:tcW w:w="3060" w:type="dxa"/>
            <w:vMerge/>
            <w:shd w:val="clear" w:color="auto" w:fill="auto"/>
          </w:tcPr>
          <w:p w:rsidR="00704577" w:rsidRPr="00590361" w:rsidP="00496D67" w14:paraId="62B044CF" w14:textId="77777777">
            <w:pPr>
              <w:pStyle w:val="TableTextLeft"/>
              <w:spacing w:before="20" w:after="20"/>
              <w:rPr>
                <w:rFonts w:eastAsia="Calibri"/>
              </w:rPr>
            </w:pPr>
          </w:p>
        </w:tc>
        <w:tc>
          <w:tcPr>
            <w:tcW w:w="3060" w:type="dxa"/>
            <w:shd w:val="clear" w:color="auto" w:fill="auto"/>
          </w:tcPr>
          <w:p w:rsidR="00704577" w:rsidRPr="00590361" w:rsidP="00496D67" w14:paraId="1F4CB79B" w14:textId="77777777">
            <w:pPr>
              <w:pStyle w:val="TableTextLeft"/>
              <w:spacing w:before="20" w:after="20"/>
              <w:ind w:left="171"/>
              <w:rPr>
                <w:rFonts w:eastAsia="Calibri"/>
              </w:rPr>
            </w:pPr>
            <w:r w:rsidRPr="00590361">
              <w:rPr>
                <w:rFonts w:eastAsia="Calibri"/>
              </w:rPr>
              <w:t>Non-certainty SFAs</w:t>
            </w:r>
          </w:p>
        </w:tc>
        <w:tc>
          <w:tcPr>
            <w:tcW w:w="3060" w:type="dxa"/>
            <w:shd w:val="clear" w:color="auto" w:fill="auto"/>
          </w:tcPr>
          <w:p w:rsidR="00704577" w:rsidRPr="00A271FB" w:rsidP="00A95C6F" w14:paraId="0E323C5F" w14:textId="77777777">
            <w:pPr>
              <w:pStyle w:val="TableTextLeft"/>
              <w:tabs>
                <w:tab w:val="decimal" w:pos="1698"/>
              </w:tabs>
              <w:spacing w:before="20" w:after="20"/>
              <w:rPr>
                <w:rFonts w:eastAsia="Calibri"/>
              </w:rPr>
            </w:pPr>
            <w:r w:rsidRPr="00A271FB">
              <w:rPr>
                <w:rFonts w:eastAsia="Calibri"/>
              </w:rPr>
              <w:t>990</w:t>
            </w:r>
          </w:p>
        </w:tc>
      </w:tr>
      <w:tr w14:paraId="62D8D2EE" w14:textId="77777777" w:rsidTr="00A95C6F">
        <w:tblPrEx>
          <w:tblW w:w="0" w:type="auto"/>
          <w:tblLook w:val="04A0"/>
        </w:tblPrEx>
        <w:tc>
          <w:tcPr>
            <w:tcW w:w="3060" w:type="dxa"/>
            <w:vMerge w:val="restart"/>
            <w:shd w:val="clear" w:color="auto" w:fill="auto"/>
          </w:tcPr>
          <w:p w:rsidR="00704577" w:rsidRPr="00590361" w:rsidP="00496D67" w14:paraId="6D85CFBF" w14:textId="77777777">
            <w:pPr>
              <w:pStyle w:val="TableTextLeft"/>
              <w:spacing w:before="20" w:after="20"/>
              <w:rPr>
                <w:rFonts w:eastAsia="Calibri"/>
              </w:rPr>
            </w:pPr>
            <w:r w:rsidRPr="00590361">
              <w:rPr>
                <w:rFonts w:eastAsia="Calibri"/>
              </w:rPr>
              <w:t xml:space="preserve">Expected survey </w:t>
            </w:r>
            <w:r w:rsidRPr="00590361">
              <w:rPr>
                <w:rFonts w:eastAsia="Calibri"/>
              </w:rPr>
              <w:t>noncompletes</w:t>
            </w:r>
            <w:r w:rsidRPr="00590361">
              <w:rPr>
                <w:rFonts w:eastAsia="Calibri"/>
              </w:rPr>
              <w:t xml:space="preserve"> (20%)</w:t>
            </w:r>
          </w:p>
        </w:tc>
        <w:tc>
          <w:tcPr>
            <w:tcW w:w="3060" w:type="dxa"/>
            <w:shd w:val="clear" w:color="auto" w:fill="auto"/>
          </w:tcPr>
          <w:p w:rsidR="00704577" w:rsidRPr="00590361" w:rsidP="00496D67" w14:paraId="417FB571" w14:textId="77777777">
            <w:pPr>
              <w:pStyle w:val="TableTextLeft"/>
              <w:spacing w:before="20" w:after="20"/>
              <w:rPr>
                <w:rFonts w:eastAsia="Calibri"/>
              </w:rPr>
            </w:pPr>
            <w:r w:rsidRPr="00590361">
              <w:rPr>
                <w:rFonts w:eastAsia="Calibri"/>
              </w:rPr>
              <w:t>All SFAs</w:t>
            </w:r>
          </w:p>
        </w:tc>
        <w:tc>
          <w:tcPr>
            <w:tcW w:w="3060" w:type="dxa"/>
            <w:shd w:val="clear" w:color="auto" w:fill="auto"/>
          </w:tcPr>
          <w:p w:rsidR="00704577" w:rsidRPr="00A271FB" w:rsidP="00A95C6F" w14:paraId="225A38B5" w14:textId="77777777">
            <w:pPr>
              <w:pStyle w:val="TableTextLeft"/>
              <w:tabs>
                <w:tab w:val="decimal" w:pos="1698"/>
              </w:tabs>
              <w:spacing w:before="20" w:after="20"/>
              <w:rPr>
                <w:rFonts w:eastAsia="Calibri"/>
              </w:rPr>
            </w:pPr>
            <w:r w:rsidRPr="00A271FB">
              <w:rPr>
                <w:rFonts w:eastAsia="Calibri"/>
              </w:rPr>
              <w:t>254</w:t>
            </w:r>
          </w:p>
        </w:tc>
      </w:tr>
      <w:tr w14:paraId="396F06E1" w14:textId="77777777" w:rsidTr="00A95C6F">
        <w:tblPrEx>
          <w:tblW w:w="0" w:type="auto"/>
          <w:tblLook w:val="04A0"/>
        </w:tblPrEx>
        <w:tc>
          <w:tcPr>
            <w:tcW w:w="3060" w:type="dxa"/>
            <w:vMerge/>
            <w:shd w:val="clear" w:color="auto" w:fill="auto"/>
          </w:tcPr>
          <w:p w:rsidR="00704577" w:rsidRPr="00590361" w:rsidP="00496D67" w14:paraId="3320D2B9" w14:textId="77777777">
            <w:pPr>
              <w:pStyle w:val="TableTextLeft"/>
              <w:spacing w:before="20" w:after="20"/>
              <w:rPr>
                <w:rFonts w:eastAsia="Calibri"/>
              </w:rPr>
            </w:pPr>
          </w:p>
        </w:tc>
        <w:tc>
          <w:tcPr>
            <w:tcW w:w="3060" w:type="dxa"/>
            <w:shd w:val="clear" w:color="auto" w:fill="auto"/>
          </w:tcPr>
          <w:p w:rsidR="00704577" w:rsidRPr="00590361" w:rsidP="00496D67" w14:paraId="0D40CA05" w14:textId="77777777">
            <w:pPr>
              <w:pStyle w:val="TableTextLeft"/>
              <w:spacing w:before="20" w:after="20"/>
              <w:ind w:left="171"/>
              <w:rPr>
                <w:rFonts w:eastAsia="Calibri"/>
              </w:rPr>
            </w:pPr>
            <w:r w:rsidRPr="00590361">
              <w:rPr>
                <w:rFonts w:eastAsia="Calibri"/>
              </w:rPr>
              <w:t>Certainty SFAs</w:t>
            </w:r>
          </w:p>
        </w:tc>
        <w:tc>
          <w:tcPr>
            <w:tcW w:w="3060" w:type="dxa"/>
            <w:shd w:val="clear" w:color="auto" w:fill="auto"/>
          </w:tcPr>
          <w:p w:rsidR="00704577" w:rsidRPr="00A271FB" w:rsidP="00A95C6F" w14:paraId="5F0AE711" w14:textId="77777777">
            <w:pPr>
              <w:pStyle w:val="TableTextLeft"/>
              <w:tabs>
                <w:tab w:val="decimal" w:pos="1698"/>
              </w:tabs>
              <w:spacing w:before="20" w:after="20"/>
              <w:rPr>
                <w:rFonts w:eastAsia="Calibri"/>
              </w:rPr>
            </w:pPr>
            <w:r w:rsidRPr="00A271FB">
              <w:rPr>
                <w:rFonts w:eastAsia="Calibri"/>
              </w:rPr>
              <w:t>5</w:t>
            </w:r>
          </w:p>
        </w:tc>
      </w:tr>
      <w:tr w14:paraId="6BFAEB57" w14:textId="77777777" w:rsidTr="00A95C6F">
        <w:tblPrEx>
          <w:tblW w:w="0" w:type="auto"/>
          <w:tblLook w:val="04A0"/>
        </w:tblPrEx>
        <w:tc>
          <w:tcPr>
            <w:tcW w:w="3060" w:type="dxa"/>
            <w:vMerge/>
            <w:shd w:val="clear" w:color="auto" w:fill="auto"/>
          </w:tcPr>
          <w:p w:rsidR="00704577" w:rsidRPr="00590361" w:rsidP="00496D67" w14:paraId="7367B72F" w14:textId="77777777">
            <w:pPr>
              <w:pStyle w:val="TableTextLeft"/>
              <w:spacing w:before="20" w:after="20"/>
              <w:rPr>
                <w:rFonts w:eastAsia="Calibri"/>
              </w:rPr>
            </w:pPr>
          </w:p>
        </w:tc>
        <w:tc>
          <w:tcPr>
            <w:tcW w:w="3060" w:type="dxa"/>
            <w:shd w:val="clear" w:color="auto" w:fill="auto"/>
          </w:tcPr>
          <w:p w:rsidR="00704577" w:rsidRPr="00590361" w:rsidP="00496D67" w14:paraId="6CEB70EB" w14:textId="77777777">
            <w:pPr>
              <w:pStyle w:val="TableTextLeft"/>
              <w:spacing w:before="20" w:after="20"/>
              <w:ind w:left="171"/>
              <w:rPr>
                <w:rFonts w:eastAsia="Calibri"/>
              </w:rPr>
            </w:pPr>
            <w:r w:rsidRPr="00590361">
              <w:rPr>
                <w:rFonts w:eastAsia="Calibri"/>
              </w:rPr>
              <w:t>Non-certainty SFAs</w:t>
            </w:r>
          </w:p>
        </w:tc>
        <w:tc>
          <w:tcPr>
            <w:tcW w:w="3060" w:type="dxa"/>
            <w:shd w:val="clear" w:color="auto" w:fill="auto"/>
          </w:tcPr>
          <w:p w:rsidR="00704577" w:rsidRPr="00A271FB" w:rsidP="00A95C6F" w14:paraId="0A7E429A" w14:textId="77777777">
            <w:pPr>
              <w:pStyle w:val="TableTextLeft"/>
              <w:tabs>
                <w:tab w:val="decimal" w:pos="1698"/>
              </w:tabs>
              <w:spacing w:before="20" w:after="20"/>
              <w:rPr>
                <w:rFonts w:eastAsia="Calibri"/>
              </w:rPr>
            </w:pPr>
            <w:r w:rsidRPr="00A271FB">
              <w:rPr>
                <w:rFonts w:eastAsia="Calibri"/>
              </w:rPr>
              <w:t>249</w:t>
            </w:r>
          </w:p>
        </w:tc>
      </w:tr>
      <w:tr w14:paraId="6F187050" w14:textId="77777777" w:rsidTr="00A95C6F">
        <w:tblPrEx>
          <w:tblW w:w="0" w:type="auto"/>
          <w:tblLook w:val="04A0"/>
        </w:tblPrEx>
        <w:tc>
          <w:tcPr>
            <w:tcW w:w="3060" w:type="dxa"/>
            <w:vMerge w:val="restart"/>
            <w:shd w:val="clear" w:color="auto" w:fill="auto"/>
          </w:tcPr>
          <w:p w:rsidR="00704577" w:rsidRPr="00590361" w:rsidP="00496D67" w14:paraId="14234658" w14:textId="77777777">
            <w:pPr>
              <w:pStyle w:val="TableTextLeft"/>
              <w:spacing w:before="20" w:after="20"/>
              <w:rPr>
                <w:rFonts w:eastAsia="Calibri"/>
              </w:rPr>
            </w:pPr>
            <w:r w:rsidRPr="00590361">
              <w:rPr>
                <w:rFonts w:eastAsia="Calibri"/>
              </w:rPr>
              <w:t>Reserve sample</w:t>
            </w:r>
          </w:p>
        </w:tc>
        <w:tc>
          <w:tcPr>
            <w:tcW w:w="3060" w:type="dxa"/>
            <w:shd w:val="clear" w:color="auto" w:fill="auto"/>
          </w:tcPr>
          <w:p w:rsidR="00704577" w:rsidRPr="00590361" w:rsidP="00496D67" w14:paraId="284E5A70" w14:textId="77777777">
            <w:pPr>
              <w:pStyle w:val="TableTextLeft"/>
              <w:spacing w:before="20" w:after="20"/>
              <w:rPr>
                <w:rFonts w:eastAsia="Calibri"/>
              </w:rPr>
            </w:pPr>
            <w:r w:rsidRPr="00590361">
              <w:rPr>
                <w:rFonts w:eastAsia="Calibri"/>
              </w:rPr>
              <w:t>All SFAs</w:t>
            </w:r>
          </w:p>
        </w:tc>
        <w:tc>
          <w:tcPr>
            <w:tcW w:w="3060" w:type="dxa"/>
            <w:shd w:val="clear" w:color="auto" w:fill="auto"/>
          </w:tcPr>
          <w:p w:rsidR="00704577" w:rsidRPr="00A271FB" w:rsidP="00A95C6F" w14:paraId="7C834C42" w14:textId="77777777">
            <w:pPr>
              <w:pStyle w:val="TableTextLeft"/>
              <w:tabs>
                <w:tab w:val="decimal" w:pos="1698"/>
              </w:tabs>
              <w:spacing w:before="20" w:after="20"/>
              <w:rPr>
                <w:rFonts w:eastAsia="Calibri"/>
              </w:rPr>
            </w:pPr>
            <w:r w:rsidRPr="00A271FB">
              <w:rPr>
                <w:rFonts w:eastAsia="Calibri"/>
              </w:rPr>
              <w:t>293</w:t>
            </w:r>
          </w:p>
        </w:tc>
      </w:tr>
      <w:tr w14:paraId="671EFA43" w14:textId="77777777" w:rsidTr="00A95C6F">
        <w:tblPrEx>
          <w:tblW w:w="0" w:type="auto"/>
          <w:tblLook w:val="04A0"/>
        </w:tblPrEx>
        <w:tc>
          <w:tcPr>
            <w:tcW w:w="3060" w:type="dxa"/>
            <w:vMerge/>
            <w:shd w:val="clear" w:color="auto" w:fill="auto"/>
          </w:tcPr>
          <w:p w:rsidR="00704577" w:rsidRPr="00590361" w:rsidP="00496D67" w14:paraId="1799AEEB" w14:textId="77777777">
            <w:pPr>
              <w:pStyle w:val="TableTextLeft"/>
              <w:spacing w:before="20" w:after="20"/>
              <w:rPr>
                <w:rFonts w:eastAsia="Calibri"/>
              </w:rPr>
            </w:pPr>
          </w:p>
        </w:tc>
        <w:tc>
          <w:tcPr>
            <w:tcW w:w="3060" w:type="dxa"/>
            <w:shd w:val="clear" w:color="auto" w:fill="auto"/>
          </w:tcPr>
          <w:p w:rsidR="00704577" w:rsidRPr="00590361" w:rsidP="00496D67" w14:paraId="7DD8189A" w14:textId="77777777">
            <w:pPr>
              <w:pStyle w:val="TableTextLeft"/>
              <w:spacing w:before="20" w:after="20"/>
              <w:ind w:left="171"/>
              <w:rPr>
                <w:rFonts w:eastAsia="Calibri"/>
              </w:rPr>
            </w:pPr>
            <w:r w:rsidRPr="00590361">
              <w:rPr>
                <w:rFonts w:eastAsia="Calibri"/>
              </w:rPr>
              <w:t>Certainty SFAs</w:t>
            </w:r>
          </w:p>
        </w:tc>
        <w:tc>
          <w:tcPr>
            <w:tcW w:w="3060" w:type="dxa"/>
            <w:shd w:val="clear" w:color="auto" w:fill="auto"/>
          </w:tcPr>
          <w:p w:rsidR="00704577" w:rsidRPr="00A271FB" w:rsidP="00A95C6F" w14:paraId="116C0C48" w14:textId="77777777">
            <w:pPr>
              <w:pStyle w:val="TableTextLeft"/>
              <w:tabs>
                <w:tab w:val="decimal" w:pos="1698"/>
              </w:tabs>
              <w:spacing w:before="20" w:after="20"/>
              <w:rPr>
                <w:rFonts w:eastAsia="Calibri"/>
              </w:rPr>
            </w:pPr>
            <w:r w:rsidRPr="00A271FB">
              <w:rPr>
                <w:rFonts w:eastAsia="Calibri"/>
              </w:rPr>
              <w:t>0</w:t>
            </w:r>
          </w:p>
        </w:tc>
      </w:tr>
      <w:tr w14:paraId="5B4D415B" w14:textId="77777777" w:rsidTr="00A95C6F">
        <w:tblPrEx>
          <w:tblW w:w="0" w:type="auto"/>
          <w:tblLook w:val="04A0"/>
        </w:tblPrEx>
        <w:tc>
          <w:tcPr>
            <w:tcW w:w="3060" w:type="dxa"/>
            <w:vMerge/>
            <w:shd w:val="clear" w:color="auto" w:fill="auto"/>
          </w:tcPr>
          <w:p w:rsidR="00704577" w:rsidRPr="00590361" w:rsidP="00496D67" w14:paraId="2A73DC52" w14:textId="77777777">
            <w:pPr>
              <w:pStyle w:val="TableTextLeft"/>
              <w:spacing w:before="20" w:after="20"/>
              <w:rPr>
                <w:rFonts w:eastAsia="Calibri"/>
              </w:rPr>
            </w:pPr>
          </w:p>
        </w:tc>
        <w:tc>
          <w:tcPr>
            <w:tcW w:w="3060" w:type="dxa"/>
            <w:shd w:val="clear" w:color="auto" w:fill="auto"/>
          </w:tcPr>
          <w:p w:rsidR="00704577" w:rsidRPr="00590361" w:rsidP="00496D67" w14:paraId="39D7F28E" w14:textId="77777777">
            <w:pPr>
              <w:pStyle w:val="TableTextLeft"/>
              <w:spacing w:before="20" w:after="20"/>
              <w:ind w:left="171"/>
              <w:rPr>
                <w:rFonts w:eastAsia="Calibri"/>
              </w:rPr>
            </w:pPr>
            <w:r w:rsidRPr="00590361">
              <w:rPr>
                <w:rFonts w:eastAsia="Calibri"/>
              </w:rPr>
              <w:t>Non-certainty SFAs</w:t>
            </w:r>
          </w:p>
        </w:tc>
        <w:tc>
          <w:tcPr>
            <w:tcW w:w="3060" w:type="dxa"/>
            <w:shd w:val="clear" w:color="auto" w:fill="auto"/>
          </w:tcPr>
          <w:p w:rsidR="00704577" w:rsidRPr="00A271FB" w:rsidP="00A95C6F" w14:paraId="6F6931B4" w14:textId="77777777">
            <w:pPr>
              <w:pStyle w:val="TableTextLeft"/>
              <w:tabs>
                <w:tab w:val="decimal" w:pos="1698"/>
              </w:tabs>
              <w:spacing w:before="20" w:after="20"/>
              <w:rPr>
                <w:rFonts w:eastAsia="Calibri"/>
              </w:rPr>
            </w:pPr>
            <w:r w:rsidRPr="00A271FB">
              <w:rPr>
                <w:rFonts w:eastAsia="Calibri"/>
              </w:rPr>
              <w:t>293</w:t>
            </w:r>
          </w:p>
        </w:tc>
      </w:tr>
    </w:tbl>
    <w:p w:rsidR="00496D67" w:rsidRPr="00E64049" w:rsidP="00E64049" w14:paraId="7C5D5512" w14:textId="561ABB4F">
      <w:pPr>
        <w:pStyle w:val="ListParagraph"/>
        <w:spacing w:before="120" w:line="480" w:lineRule="auto"/>
        <w:ind w:left="0" w:firstLine="0"/>
        <w:rPr>
          <w:rFonts w:ascii="Arial" w:eastAsia="Calibri" w:hAnsi="Arial" w:cs="Arial"/>
          <w:sz w:val="20"/>
        </w:rPr>
      </w:pPr>
    </w:p>
    <w:p w:rsidR="00026F06" w:rsidP="00216789" w14:paraId="186FA9F2" w14:textId="2B630774">
      <w:pPr>
        <w:spacing w:after="0" w:line="480" w:lineRule="auto"/>
        <w:ind w:firstLine="432"/>
      </w:pPr>
      <w:r w:rsidRPr="004372F4">
        <w:t>After sampling, the study team will conduct a thorough quality control (QC) review to check that unweighted counts match those in the sample design, overall and by stratum, and that counts weighted by the sampling weights (which differ from analysis weights and account for only the probability of selection) match those in the sample frame, overall and by stratum.</w:t>
      </w:r>
    </w:p>
    <w:p w:rsidR="00FD1C08" w:rsidP="000B0E99" w14:paraId="1AA173FD" w14:textId="19F3F443">
      <w:pPr>
        <w:pStyle w:val="ListParagraph"/>
        <w:spacing w:before="0" w:after="0" w:line="480" w:lineRule="auto"/>
        <w:ind w:left="0" w:firstLine="432"/>
      </w:pPr>
      <w:r>
        <w:t>T</w:t>
      </w:r>
      <w:r w:rsidR="00B8384A">
        <w:t>h</w:t>
      </w:r>
      <w:r w:rsidR="00D21F5C">
        <w:t xml:space="preserve">e web survey of State CN Directors </w:t>
      </w:r>
      <w:r w:rsidR="00634FEA">
        <w:t xml:space="preserve">and the disaggregated administrative data collection will be </w:t>
      </w:r>
      <w:r w:rsidR="00B8384A">
        <w:t>conducted with</w:t>
      </w:r>
      <w:r w:rsidR="007277CD">
        <w:t xml:space="preserve"> a census of</w:t>
      </w:r>
      <w:r w:rsidRPr="003C6248" w:rsidR="007277CD">
        <w:t xml:space="preserve"> </w:t>
      </w:r>
      <w:r w:rsidR="00443B73">
        <w:t xml:space="preserve">State CN </w:t>
      </w:r>
      <w:r w:rsidR="000D5B9A">
        <w:t>D</w:t>
      </w:r>
      <w:r w:rsidRPr="003C6248" w:rsidR="007277CD">
        <w:t>irectors</w:t>
      </w:r>
      <w:r w:rsidR="00296090">
        <w:t>.</w:t>
      </w:r>
      <w:r w:rsidRPr="009613D1" w:rsidR="009613D1">
        <w:t xml:space="preserve"> </w:t>
      </w:r>
      <w:r w:rsidR="00634FEA">
        <w:t>Because this study involves a census of S</w:t>
      </w:r>
      <w:r w:rsidR="00925D01">
        <w:t>tate agencies</w:t>
      </w:r>
      <w:r w:rsidR="00634FEA">
        <w:t xml:space="preserve"> and a </w:t>
      </w:r>
      <w:r w:rsidRPr="00D066E6" w:rsidR="00634FEA">
        <w:t>100 percent response rate is expected</w:t>
      </w:r>
      <w:r w:rsidRPr="002B24F2" w:rsidR="00634FEA">
        <w:t xml:space="preserve">, there is no need for </w:t>
      </w:r>
      <w:r w:rsidR="00634FEA">
        <w:t xml:space="preserve">sampling, </w:t>
      </w:r>
      <w:r w:rsidR="00634FEA">
        <w:t xml:space="preserve">weighting or </w:t>
      </w:r>
      <w:r w:rsidRPr="002B24F2" w:rsidR="00634FEA">
        <w:t>nonresponse adjustments</w:t>
      </w:r>
      <w:r w:rsidR="007078DA">
        <w:t xml:space="preserve"> at the state level</w:t>
      </w:r>
      <w:r w:rsidRPr="003C6248" w:rsidR="00634FEA">
        <w:t xml:space="preserve">. </w:t>
      </w:r>
      <w:r w:rsidR="00634FEA">
        <w:rPr>
          <w:rFonts w:cstheme="minorHAnsi"/>
        </w:rPr>
        <w:t>Rather,</w:t>
      </w:r>
      <w:r w:rsidRPr="0009346C" w:rsidR="00634FEA">
        <w:rPr>
          <w:rFonts w:cstheme="minorHAnsi"/>
        </w:rPr>
        <w:t xml:space="preserve"> the</w:t>
      </w:r>
      <w:r w:rsidR="007078DA">
        <w:rPr>
          <w:rFonts w:cstheme="minorHAnsi"/>
        </w:rPr>
        <w:t xml:space="preserve"> state-level</w:t>
      </w:r>
      <w:r w:rsidRPr="0009346C" w:rsidR="00634FEA">
        <w:rPr>
          <w:rFonts w:cstheme="minorHAnsi"/>
        </w:rPr>
        <w:t xml:space="preserve"> data will provide reliable answers to the study’s research questions that represent the full population</w:t>
      </w:r>
      <w:r w:rsidR="00634FEA">
        <w:rPr>
          <w:rFonts w:cstheme="minorHAnsi"/>
        </w:rPr>
        <w:t>.</w:t>
      </w:r>
    </w:p>
    <w:p w:rsidR="00730F61" w:rsidP="00216789" w14:paraId="04784704" w14:textId="45899428">
      <w:pPr>
        <w:spacing w:after="0" w:line="480" w:lineRule="auto"/>
        <w:rPr>
          <w:b/>
        </w:rPr>
      </w:pPr>
      <w:r>
        <w:rPr>
          <w:b/>
        </w:rPr>
        <w:t xml:space="preserve">Estimation Procedure. </w:t>
      </w:r>
    </w:p>
    <w:p w:rsidR="00730F61" w:rsidP="00216789" w14:paraId="327ADC5D" w14:textId="32E25A9D">
      <w:pPr>
        <w:pStyle w:val="Paragraph"/>
        <w:spacing w:after="0" w:line="480" w:lineRule="auto"/>
        <w:ind w:firstLine="432"/>
        <w:rPr>
          <w:b/>
        </w:rPr>
      </w:pPr>
      <w:r w:rsidRPr="00FD49B0">
        <w:t xml:space="preserve">After data collection is complete, </w:t>
      </w:r>
      <w:r>
        <w:t>the study team</w:t>
      </w:r>
      <w:r w:rsidRPr="00FD49B0">
        <w:t xml:space="preserve"> will construct analysis weights</w:t>
      </w:r>
      <w:r w:rsidR="003F5810">
        <w:t xml:space="preserve"> for the SFA sample</w:t>
      </w:r>
      <w:r w:rsidRPr="00FD49B0">
        <w:t xml:space="preserve">. The first step is to update the </w:t>
      </w:r>
      <w:r w:rsidRPr="0046666B" w:rsidR="00E9469C">
        <w:t xml:space="preserve">initial </w:t>
      </w:r>
      <w:r w:rsidRPr="0046666B">
        <w:t>sampling weight with final backup release information</w:t>
      </w:r>
      <w:r w:rsidRPr="0046666B" w:rsidR="00E9469C">
        <w:t xml:space="preserve"> (as indicated in </w:t>
      </w:r>
      <w:r w:rsidR="0046666B">
        <w:t>Part</w:t>
      </w:r>
      <w:r w:rsidRPr="0046666B" w:rsidR="00E9469C">
        <w:t xml:space="preserve"> B</w:t>
      </w:r>
      <w:r w:rsidR="0046666B">
        <w:t xml:space="preserve">, Question </w:t>
      </w:r>
      <w:r w:rsidRPr="0046666B" w:rsidR="00E9469C">
        <w:t>1)</w:t>
      </w:r>
      <w:r w:rsidRPr="0046666B">
        <w:t>.</w:t>
      </w:r>
      <w:r w:rsidRPr="00FD49B0">
        <w:t xml:space="preserve"> The study team will again check that the sample counts using the final release-adjusted sampling weights match the sample frame counts, overall and by stratum. To adjust the responding sample for differential nonresponse patterns, the team will look at SFA characteristics that are (1) available for both respondent and nonrespondent SFAs (that is, available in the FNS-742 or </w:t>
      </w:r>
      <w:r w:rsidR="0006105B">
        <w:t>NCES</w:t>
      </w:r>
      <w:r w:rsidRPr="00FD49B0">
        <w:t xml:space="preserve"> and (2) expected to be correlated with key outcomes. Using logistic regression with stepwise procedures, the team will develop a parsimonious but well-fitting model of the propensity for an SFA to respond and use the inverse of the resulting propensity scores to adjust the sampling weights of respondents. The team will then benchmark the weight sums to the sampling frame and compare to other external sources of SFA counts. The team will use calibration techniques (such as post-stratification or raking) to bring the weights in line with </w:t>
      </w:r>
      <w:r>
        <w:t xml:space="preserve">target </w:t>
      </w:r>
      <w:r w:rsidRPr="00FD49B0">
        <w:t xml:space="preserve">SFA totals by key subgroups. Finally, the team will examine the weights for outliers and trim weights, if needed. As with the sampling process, the development of analysis weights will undergo rigorous QC review. During analysis, the team will account for design effects on the variance of estimates caused by unequal weighting by using the Taylor </w:t>
      </w:r>
      <w:r>
        <w:t>s</w:t>
      </w:r>
      <w:r w:rsidRPr="00FD49B0">
        <w:t xml:space="preserve">eries </w:t>
      </w:r>
      <w:r>
        <w:t>l</w:t>
      </w:r>
      <w:r w:rsidRPr="00FD49B0">
        <w:t>inearization method, which uses the analysis weights described above, or by producing replicate weights.</w:t>
      </w:r>
      <w:r>
        <w:t xml:space="preserve"> </w:t>
      </w:r>
    </w:p>
    <w:p w:rsidR="00B8384A" w:rsidRPr="00523E1E" w:rsidP="00216789" w14:paraId="4BA479D2" w14:textId="70572722">
      <w:pPr>
        <w:spacing w:after="0" w:line="480" w:lineRule="auto"/>
        <w:ind w:firstLine="432"/>
      </w:pPr>
      <w:r>
        <w:t xml:space="preserve">Because </w:t>
      </w:r>
      <w:r w:rsidR="007078DA">
        <w:t xml:space="preserve">state-level </w:t>
      </w:r>
      <w:r>
        <w:t>data will be collected from a census of State CN agencies, no estimation procedures are necessary for th</w:t>
      </w:r>
      <w:r w:rsidR="007078DA">
        <w:t>e state-level</w:t>
      </w:r>
      <w:r>
        <w:t xml:space="preserve"> collection</w:t>
      </w:r>
      <w:r w:rsidR="00AD1F3A">
        <w:t xml:space="preserve"> component</w:t>
      </w:r>
      <w:r w:rsidR="007078DA">
        <w:t>s</w:t>
      </w:r>
      <w:r>
        <w:t>.</w:t>
      </w:r>
    </w:p>
    <w:p w:rsidR="00AD1F3A" w:rsidP="00216789" w14:paraId="6069BE54" w14:textId="28965AE6">
      <w:pPr>
        <w:pStyle w:val="Paragraph"/>
        <w:spacing w:after="0" w:line="480" w:lineRule="auto"/>
        <w:rPr>
          <w:rFonts w:eastAsia="Calibri" w:cs="Calibri"/>
          <w:color w:val="000000"/>
        </w:rPr>
      </w:pPr>
      <w:r w:rsidRPr="00523E1E">
        <w:rPr>
          <w:b/>
        </w:rPr>
        <w:t xml:space="preserve">Degree of Accuracy </w:t>
      </w:r>
      <w:r w:rsidR="009C055E">
        <w:rPr>
          <w:b/>
        </w:rPr>
        <w:t>Needed for the Purpose Described in the Justification</w:t>
      </w:r>
      <w:r w:rsidR="001C2991">
        <w:t>.</w:t>
      </w:r>
      <w:r w:rsidRPr="00523E1E">
        <w:t xml:space="preserve"> </w:t>
      </w:r>
    </w:p>
    <w:p w:rsidR="00AD1F3A" w:rsidP="00216789" w14:paraId="3995CD74" w14:textId="37635EC6">
      <w:pPr>
        <w:pStyle w:val="Paragraph"/>
        <w:spacing w:after="0" w:line="480" w:lineRule="auto"/>
        <w:ind w:firstLine="432"/>
        <w:rPr>
          <w:rFonts w:eastAsia="Calibri" w:cs="Calibri"/>
          <w:color w:val="000000"/>
        </w:rPr>
      </w:pPr>
      <w:r w:rsidRPr="001A718C">
        <w:rPr>
          <w:rFonts w:eastAsia="Calibri" w:cs="Calibri"/>
          <w:color w:val="000000"/>
        </w:rPr>
        <w:t xml:space="preserve">When using probability sampling methods and selecting from a frame with full coverage of the national population, the resulting sample (of a sufficiently large size) will be nationally representative and will provide unbiased estimates of the population after applying the corresponding sampling weights (adjusted for nonresponse). Similarly, estimates for key subgroups from that sample will be unbiased, in expectation, after applying weights. For the SFA survey, </w:t>
      </w:r>
      <w:r>
        <w:rPr>
          <w:rFonts w:eastAsia="Calibri" w:cs="Calibri"/>
          <w:color w:val="000000"/>
        </w:rPr>
        <w:t xml:space="preserve">the </w:t>
      </w:r>
      <w:r w:rsidRPr="001A718C">
        <w:rPr>
          <w:rFonts w:eastAsia="Calibri" w:cs="Calibri"/>
          <w:color w:val="000000"/>
        </w:rPr>
        <w:t xml:space="preserve">sample size and the sample design affect the precision of these representative estimates. </w:t>
      </w:r>
      <w:r>
        <w:rPr>
          <w:rFonts w:eastAsia="Calibri" w:cs="Calibri"/>
          <w:color w:val="000000"/>
        </w:rPr>
        <w:t>W</w:t>
      </w:r>
      <w:r w:rsidRPr="001A718C">
        <w:rPr>
          <w:rFonts w:eastAsia="Calibri" w:cs="Calibri"/>
          <w:color w:val="000000"/>
        </w:rPr>
        <w:t xml:space="preserve">ith 1,012 completed SFA surveys, margins of error (half-widths of 95 percent confidence intervals) of </w:t>
      </w:r>
      <w:r w:rsidRPr="00A271FB">
        <w:rPr>
          <w:rFonts w:eastAsia="Calibri" w:cs="Calibri"/>
          <w:color w:val="000000"/>
        </w:rPr>
        <w:t>+/– 3.2</w:t>
      </w:r>
      <w:r w:rsidRPr="001A718C">
        <w:rPr>
          <w:rFonts w:eastAsia="Calibri" w:cs="Calibri"/>
          <w:color w:val="000000"/>
        </w:rPr>
        <w:t xml:space="preserve"> </w:t>
      </w:r>
      <w:r>
        <w:rPr>
          <w:rFonts w:eastAsia="Calibri" w:cs="Calibri"/>
          <w:color w:val="000000"/>
        </w:rPr>
        <w:t>percentage points (</w:t>
      </w:r>
      <w:r w:rsidRPr="001A718C">
        <w:rPr>
          <w:rFonts w:eastAsia="Calibri" w:cs="Calibri"/>
          <w:color w:val="000000"/>
        </w:rPr>
        <w:t>pp</w:t>
      </w:r>
      <w:r>
        <w:rPr>
          <w:rFonts w:eastAsia="Calibri" w:cs="Calibri"/>
          <w:color w:val="000000"/>
        </w:rPr>
        <w:t>)</w:t>
      </w:r>
      <w:r w:rsidRPr="001A718C">
        <w:rPr>
          <w:rFonts w:eastAsia="Calibri" w:cs="Calibri"/>
          <w:color w:val="000000"/>
        </w:rPr>
        <w:t xml:space="preserve"> </w:t>
      </w:r>
      <w:r>
        <w:rPr>
          <w:rFonts w:eastAsia="Calibri" w:cs="Calibri"/>
          <w:color w:val="000000"/>
        </w:rPr>
        <w:t xml:space="preserve">are estimated </w:t>
      </w:r>
      <w:r w:rsidRPr="001A718C">
        <w:rPr>
          <w:rFonts w:eastAsia="Calibri" w:cs="Calibri"/>
          <w:color w:val="000000"/>
        </w:rPr>
        <w:t>around a 50 percent outcome, after accounting for design effects due to unequal weighting</w:t>
      </w:r>
      <w:r>
        <w:rPr>
          <w:rFonts w:eastAsia="Calibri" w:cs="Calibri"/>
          <w:color w:val="000000"/>
        </w:rPr>
        <w:t xml:space="preserve"> (</w:t>
      </w:r>
      <w:r w:rsidRPr="00D73753">
        <w:rPr>
          <w:rFonts w:eastAsia="Calibri" w:cs="Calibri"/>
          <w:color w:val="000000"/>
        </w:rPr>
        <w:t>Table B2.3).</w:t>
      </w:r>
      <w:r w:rsidRPr="001A718C">
        <w:rPr>
          <w:rFonts w:eastAsia="Calibri" w:cs="Calibri"/>
          <w:color w:val="000000"/>
        </w:rPr>
        <w:t xml:space="preserve"> Outcomes closer to 0 or 100 percent will have even better precision. For </w:t>
      </w:r>
      <w:r w:rsidR="0006105B">
        <w:rPr>
          <w:rFonts w:eastAsia="Calibri" w:cs="Calibri"/>
          <w:color w:val="000000"/>
        </w:rPr>
        <w:t xml:space="preserve">the </w:t>
      </w:r>
      <w:r w:rsidRPr="001A718C">
        <w:rPr>
          <w:rFonts w:eastAsia="Calibri" w:cs="Calibri"/>
          <w:color w:val="000000"/>
        </w:rPr>
        <w:t xml:space="preserve">key </w:t>
      </w:r>
      <w:r w:rsidRPr="0046666B">
        <w:rPr>
          <w:rFonts w:eastAsia="Calibri" w:cs="Calibri"/>
          <w:color w:val="000000"/>
        </w:rPr>
        <w:t>subgroups</w:t>
      </w:r>
      <w:r w:rsidR="0006105B">
        <w:rPr>
          <w:rFonts w:eastAsia="Calibri" w:cs="Calibri"/>
          <w:color w:val="000000"/>
        </w:rPr>
        <w:t xml:space="preserve"> of</w:t>
      </w:r>
      <w:r w:rsidR="00E247FE">
        <w:rPr>
          <w:rFonts w:eastAsia="Calibri" w:cs="Calibri"/>
          <w:color w:val="000000"/>
        </w:rPr>
        <w:t xml:space="preserve"> </w:t>
      </w:r>
      <w:r w:rsidRPr="0046666B">
        <w:rPr>
          <w:rFonts w:eastAsia="Calibri" w:cs="Calibri"/>
          <w:color w:val="000000"/>
        </w:rPr>
        <w:t>SFA size</w:t>
      </w:r>
      <w:r w:rsidRPr="0046666B" w:rsidR="00023DD4">
        <w:rPr>
          <w:rFonts w:eastAsia="Calibri" w:cs="Calibri"/>
          <w:color w:val="000000"/>
        </w:rPr>
        <w:t xml:space="preserve"> and</w:t>
      </w:r>
      <w:r w:rsidRPr="0046666B">
        <w:rPr>
          <w:rFonts w:eastAsia="Calibri" w:cs="Calibri"/>
          <w:color w:val="000000"/>
        </w:rPr>
        <w:t xml:space="preserve"> percentage of students approved for F/RP meals</w:t>
      </w:r>
      <w:r w:rsidRPr="0046666B" w:rsidR="00E32C2E">
        <w:rPr>
          <w:rFonts w:eastAsia="Calibri" w:cs="Calibri"/>
          <w:color w:val="000000"/>
        </w:rPr>
        <w:t>,</w:t>
      </w:r>
      <w:r w:rsidR="00106413">
        <w:rPr>
          <w:rFonts w:eastAsia="Calibri" w:cs="Calibri"/>
          <w:color w:val="000000"/>
        </w:rPr>
        <w:t xml:space="preserve"> </w:t>
      </w:r>
      <w:r w:rsidRPr="0046666B">
        <w:rPr>
          <w:rFonts w:eastAsia="Calibri" w:cs="Calibri"/>
          <w:color w:val="000000"/>
        </w:rPr>
        <w:t xml:space="preserve">margins of error </w:t>
      </w:r>
      <w:r w:rsidRPr="0046666B" w:rsidR="00023DD4">
        <w:rPr>
          <w:rFonts w:eastAsia="Calibri" w:cs="Calibri"/>
          <w:color w:val="000000"/>
        </w:rPr>
        <w:t xml:space="preserve">are estimated to </w:t>
      </w:r>
      <w:r w:rsidRPr="0046666B">
        <w:rPr>
          <w:rFonts w:eastAsia="Calibri" w:cs="Calibri"/>
          <w:color w:val="000000"/>
        </w:rPr>
        <w:t>rang</w:t>
      </w:r>
      <w:r w:rsidRPr="0046666B" w:rsidR="00023DD4">
        <w:rPr>
          <w:rFonts w:eastAsia="Calibri" w:cs="Calibri"/>
          <w:color w:val="000000"/>
        </w:rPr>
        <w:t>e</w:t>
      </w:r>
      <w:r w:rsidRPr="0046666B">
        <w:rPr>
          <w:rFonts w:eastAsia="Calibri" w:cs="Calibri"/>
          <w:color w:val="000000"/>
        </w:rPr>
        <w:t xml:space="preserve"> from </w:t>
      </w:r>
      <w:r w:rsidRPr="00A271FB">
        <w:rPr>
          <w:rFonts w:eastAsia="Calibri" w:cs="Calibri"/>
          <w:color w:val="000000"/>
        </w:rPr>
        <w:t xml:space="preserve">+/– </w:t>
      </w:r>
      <w:r w:rsidRPr="00A271FB" w:rsidR="00E32C2E">
        <w:rPr>
          <w:rFonts w:eastAsia="Calibri" w:cs="Calibri"/>
          <w:color w:val="000000"/>
        </w:rPr>
        <w:t>4</w:t>
      </w:r>
      <w:r w:rsidRPr="00A271FB" w:rsidR="00023DD4">
        <w:rPr>
          <w:rFonts w:eastAsia="Calibri" w:cs="Calibri"/>
          <w:color w:val="000000"/>
        </w:rPr>
        <w:t>.9</w:t>
      </w:r>
      <w:r w:rsidRPr="00A271FB">
        <w:rPr>
          <w:rFonts w:eastAsia="Calibri" w:cs="Calibri"/>
          <w:color w:val="000000"/>
        </w:rPr>
        <w:t xml:space="preserve"> pp for </w:t>
      </w:r>
      <w:r w:rsidRPr="00A271FB" w:rsidR="00023DD4">
        <w:rPr>
          <w:rFonts w:eastAsia="Calibri" w:cs="Calibri"/>
          <w:color w:val="000000"/>
        </w:rPr>
        <w:t xml:space="preserve">small </w:t>
      </w:r>
      <w:r w:rsidRPr="00A271FB">
        <w:rPr>
          <w:rFonts w:eastAsia="Calibri" w:cs="Calibri"/>
          <w:color w:val="000000"/>
        </w:rPr>
        <w:t>SFAs to 8.9 pp for medium SFAs</w:t>
      </w:r>
      <w:r w:rsidRPr="0046666B">
        <w:rPr>
          <w:rFonts w:eastAsia="Calibri" w:cs="Calibri"/>
          <w:color w:val="000000"/>
        </w:rPr>
        <w:t xml:space="preserve">. </w:t>
      </w:r>
      <w:r w:rsidRPr="0046666B" w:rsidR="00023DD4">
        <w:t>Other subgroups of interest will also be included in the sample, including urbanicity and charter status, and based on our preliminary analysis, we anticipate that the margins of error for those strata will be approximately within this range.</w:t>
      </w:r>
      <w:r>
        <w:rPr>
          <w:rStyle w:val="FootnoteReference"/>
        </w:rPr>
        <w:footnoteReference w:id="5"/>
      </w:r>
    </w:p>
    <w:p w:rsidR="00AD1F3A" w:rsidP="00AD1F3A" w14:paraId="42F7B0EF" w14:textId="12DC410A">
      <w:pPr>
        <w:pStyle w:val="TableTitle"/>
        <w:spacing w:before="0"/>
      </w:pPr>
      <w:bookmarkStart w:id="25" w:name="_Toc26188006"/>
      <w:bookmarkStart w:id="26" w:name="_Toc36800872"/>
      <w:bookmarkStart w:id="27" w:name="_Toc133502236"/>
      <w:r w:rsidRPr="00DB300F">
        <w:t>Table B2</w:t>
      </w:r>
      <w:r w:rsidRPr="00773A41">
        <w:t>.</w:t>
      </w:r>
      <w:r>
        <w:t>3.</w:t>
      </w:r>
      <w:r w:rsidRPr="001A718C">
        <w:t xml:space="preserve"> Sample size estimates and expected margins of error for SFA sample and key subgroups</w:t>
      </w:r>
      <w:bookmarkEnd w:id="25"/>
      <w:bookmarkEnd w:id="26"/>
      <w:bookmarkEnd w:id="27"/>
    </w:p>
    <w:tbl>
      <w:tblPr>
        <w:tblStyle w:val="TableGrid1"/>
        <w:tblW w:w="0" w:type="auto"/>
        <w:tblBorders>
          <w:top w:val="none" w:sz="0" w:space="0" w:color="auto"/>
          <w:left w:val="none" w:sz="0" w:space="0" w:color="auto"/>
          <w:bottom w:val="single" w:sz="2" w:space="0" w:color="046B5C"/>
          <w:right w:val="none" w:sz="0" w:space="0" w:color="auto"/>
          <w:insideH w:val="none" w:sz="0" w:space="0" w:color="auto"/>
          <w:insideV w:val="none" w:sz="0" w:space="0" w:color="auto"/>
        </w:tblBorders>
        <w:tblLook w:val="04A0"/>
      </w:tblPr>
      <w:tblGrid>
        <w:gridCol w:w="4452"/>
        <w:gridCol w:w="1619"/>
        <w:gridCol w:w="1486"/>
        <w:gridCol w:w="1803"/>
      </w:tblGrid>
      <w:tr w14:paraId="46E7554D" w14:textId="77777777" w:rsidTr="00106413">
        <w:tblPrEx>
          <w:tblW w:w="0" w:type="auto"/>
          <w:tblBorders>
            <w:top w:val="none" w:sz="0" w:space="0" w:color="auto"/>
            <w:left w:val="none" w:sz="0" w:space="0" w:color="auto"/>
            <w:bottom w:val="single" w:sz="2" w:space="0" w:color="046B5C"/>
            <w:right w:val="none" w:sz="0" w:space="0" w:color="auto"/>
            <w:insideH w:val="none" w:sz="0" w:space="0" w:color="auto"/>
            <w:insideV w:val="none" w:sz="0" w:space="0" w:color="auto"/>
          </w:tblBorders>
          <w:tblLook w:val="04A0"/>
        </w:tblPrEx>
        <w:tc>
          <w:tcPr>
            <w:tcW w:w="4452" w:type="dxa"/>
            <w:tcBorders>
              <w:bottom w:val="nil"/>
            </w:tcBorders>
            <w:shd w:val="clear" w:color="auto" w:fill="6C6F70"/>
            <w:vAlign w:val="bottom"/>
          </w:tcPr>
          <w:p w:rsidR="006701A1" w:rsidRPr="007B1399" w:rsidP="005B6FDA" w14:paraId="282DE4BE" w14:textId="77777777">
            <w:pPr>
              <w:pStyle w:val="TableHeaderLeft"/>
            </w:pPr>
            <w:bookmarkStart w:id="28" w:name="_Hlk43469879"/>
            <w:r w:rsidRPr="007B1399">
              <w:t>Group</w:t>
            </w:r>
          </w:p>
        </w:tc>
        <w:tc>
          <w:tcPr>
            <w:tcW w:w="1619" w:type="dxa"/>
            <w:tcBorders>
              <w:bottom w:val="nil"/>
            </w:tcBorders>
            <w:shd w:val="clear" w:color="auto" w:fill="6C6F70"/>
            <w:vAlign w:val="bottom"/>
          </w:tcPr>
          <w:p w:rsidR="006701A1" w:rsidRPr="007B1399" w:rsidP="005B6FDA" w14:paraId="03AD23AF" w14:textId="77777777">
            <w:pPr>
              <w:pStyle w:val="TableHeaderCenter"/>
            </w:pPr>
            <w:r w:rsidRPr="007B1399">
              <w:t>Population size</w:t>
            </w:r>
          </w:p>
        </w:tc>
        <w:tc>
          <w:tcPr>
            <w:tcW w:w="1486" w:type="dxa"/>
            <w:tcBorders>
              <w:bottom w:val="nil"/>
            </w:tcBorders>
            <w:shd w:val="clear" w:color="auto" w:fill="6C6F70"/>
            <w:vAlign w:val="bottom"/>
          </w:tcPr>
          <w:p w:rsidR="006701A1" w:rsidRPr="007B1399" w:rsidP="005B6FDA" w14:paraId="243E9375" w14:textId="77777777">
            <w:pPr>
              <w:pStyle w:val="TableHeaderCenter"/>
            </w:pPr>
            <w:r w:rsidRPr="007B1399">
              <w:t xml:space="preserve">Sample </w:t>
            </w:r>
            <w:r w:rsidRPr="007B1399">
              <w:t>size</w:t>
            </w:r>
            <w:r w:rsidRPr="007B1399">
              <w:rPr>
                <w:vertAlign w:val="superscript"/>
              </w:rPr>
              <w:t>a</w:t>
            </w:r>
          </w:p>
        </w:tc>
        <w:tc>
          <w:tcPr>
            <w:tcW w:w="1803" w:type="dxa"/>
            <w:tcBorders>
              <w:bottom w:val="nil"/>
            </w:tcBorders>
            <w:shd w:val="clear" w:color="auto" w:fill="6C6F70"/>
            <w:vAlign w:val="bottom"/>
          </w:tcPr>
          <w:p w:rsidR="006701A1" w:rsidRPr="007B1399" w:rsidP="005B6FDA" w14:paraId="0FABA50B" w14:textId="77777777">
            <w:pPr>
              <w:pStyle w:val="TableHeaderCenter"/>
            </w:pPr>
            <w:r w:rsidRPr="007B1399">
              <w:t xml:space="preserve">Margin of </w:t>
            </w:r>
            <w:r w:rsidRPr="007B1399">
              <w:t>error</w:t>
            </w:r>
            <w:r w:rsidRPr="007B1399">
              <w:rPr>
                <w:vertAlign w:val="superscript"/>
              </w:rPr>
              <w:t>b</w:t>
            </w:r>
            <w:r w:rsidRPr="007B1399">
              <w:t xml:space="preserve"> (percentage points)</w:t>
            </w:r>
          </w:p>
        </w:tc>
      </w:tr>
      <w:bookmarkEnd w:id="28"/>
      <w:tr w14:paraId="52CC8EFA" w14:textId="77777777" w:rsidTr="00106413">
        <w:tblPrEx>
          <w:tblW w:w="0" w:type="auto"/>
          <w:tblLook w:val="04A0"/>
        </w:tblPrEx>
        <w:tc>
          <w:tcPr>
            <w:tcW w:w="4452" w:type="dxa"/>
            <w:tcBorders>
              <w:bottom w:val="single" w:sz="2" w:space="0" w:color="auto"/>
            </w:tcBorders>
            <w:shd w:val="clear" w:color="auto" w:fill="auto"/>
          </w:tcPr>
          <w:p w:rsidR="006701A1" w:rsidRPr="0046666B" w:rsidP="005B6FDA" w14:paraId="33C032F1" w14:textId="77777777">
            <w:pPr>
              <w:pStyle w:val="TableTextLeft"/>
              <w:spacing w:before="20" w:after="20"/>
              <w:rPr>
                <w:rFonts w:eastAsia="Calibri"/>
                <w:b/>
              </w:rPr>
            </w:pPr>
            <w:r w:rsidRPr="0046666B">
              <w:rPr>
                <w:rFonts w:eastAsia="Calibri"/>
                <w:b/>
              </w:rPr>
              <w:t>Total (national estimates)</w:t>
            </w:r>
          </w:p>
        </w:tc>
        <w:tc>
          <w:tcPr>
            <w:tcW w:w="1619" w:type="dxa"/>
            <w:tcBorders>
              <w:bottom w:val="single" w:sz="2" w:space="0" w:color="auto"/>
            </w:tcBorders>
            <w:shd w:val="clear" w:color="auto" w:fill="auto"/>
          </w:tcPr>
          <w:p w:rsidR="006701A1" w:rsidRPr="00A271FB" w:rsidP="005B6FDA" w14:paraId="6F6F201D" w14:textId="1FC7CF86">
            <w:pPr>
              <w:pStyle w:val="TableTextLeft"/>
              <w:tabs>
                <w:tab w:val="decimal" w:pos="878"/>
              </w:tabs>
              <w:spacing w:before="20" w:after="20"/>
              <w:rPr>
                <w:rFonts w:eastAsia="Calibri"/>
              </w:rPr>
            </w:pPr>
            <w:r w:rsidRPr="00A271FB">
              <w:rPr>
                <w:rFonts w:eastAsia="Calibri"/>
              </w:rPr>
              <w:t>18,821</w:t>
            </w:r>
          </w:p>
        </w:tc>
        <w:tc>
          <w:tcPr>
            <w:tcW w:w="1486" w:type="dxa"/>
            <w:tcBorders>
              <w:bottom w:val="single" w:sz="2" w:space="0" w:color="auto"/>
            </w:tcBorders>
            <w:shd w:val="clear" w:color="auto" w:fill="auto"/>
          </w:tcPr>
          <w:p w:rsidR="006701A1" w:rsidRPr="0046666B" w:rsidP="005B6FDA" w14:paraId="152FED34" w14:textId="77777777">
            <w:pPr>
              <w:pStyle w:val="TableTextLeft"/>
              <w:tabs>
                <w:tab w:val="decimal" w:pos="745"/>
              </w:tabs>
              <w:spacing w:before="20" w:after="20"/>
              <w:rPr>
                <w:rFonts w:eastAsia="Calibri"/>
              </w:rPr>
            </w:pPr>
            <w:r w:rsidRPr="00A271FB">
              <w:rPr>
                <w:rFonts w:eastAsia="Calibri"/>
              </w:rPr>
              <w:t>1,012</w:t>
            </w:r>
          </w:p>
        </w:tc>
        <w:tc>
          <w:tcPr>
            <w:tcW w:w="1803" w:type="dxa"/>
            <w:tcBorders>
              <w:bottom w:val="single" w:sz="2" w:space="0" w:color="auto"/>
            </w:tcBorders>
            <w:shd w:val="clear" w:color="auto" w:fill="auto"/>
          </w:tcPr>
          <w:p w:rsidR="006701A1" w:rsidRPr="0046666B" w:rsidP="005B6FDA" w14:paraId="6AAB9052" w14:textId="77777777">
            <w:pPr>
              <w:pStyle w:val="TableTextLeft"/>
              <w:tabs>
                <w:tab w:val="decimal" w:pos="741"/>
              </w:tabs>
              <w:spacing w:before="20" w:after="20"/>
              <w:rPr>
                <w:rFonts w:eastAsia="Calibri"/>
              </w:rPr>
            </w:pPr>
            <w:r w:rsidRPr="00A271FB">
              <w:rPr>
                <w:rFonts w:eastAsia="Calibri"/>
              </w:rPr>
              <w:t>3.2</w:t>
            </w:r>
          </w:p>
        </w:tc>
      </w:tr>
      <w:tr w14:paraId="2B725FD7" w14:textId="77777777" w:rsidTr="00106413">
        <w:tblPrEx>
          <w:tblW w:w="0" w:type="auto"/>
          <w:tblLook w:val="04A0"/>
        </w:tblPrEx>
        <w:tc>
          <w:tcPr>
            <w:tcW w:w="4452" w:type="dxa"/>
            <w:tcBorders>
              <w:top w:val="single" w:sz="2" w:space="0" w:color="auto"/>
              <w:bottom w:val="single" w:sz="2" w:space="0" w:color="auto"/>
            </w:tcBorders>
            <w:shd w:val="clear" w:color="auto" w:fill="auto"/>
          </w:tcPr>
          <w:p w:rsidR="006701A1" w:rsidRPr="0046666B" w:rsidP="005B6FDA" w14:paraId="58669A08" w14:textId="77777777">
            <w:pPr>
              <w:pStyle w:val="TableTextLeft"/>
              <w:spacing w:before="20" w:after="20"/>
              <w:rPr>
                <w:rFonts w:eastAsia="Calibri"/>
                <w:b/>
              </w:rPr>
            </w:pPr>
            <w:r w:rsidRPr="0046666B">
              <w:rPr>
                <w:rFonts w:eastAsia="Calibri"/>
                <w:b/>
              </w:rPr>
              <w:t>SFA size (student enrollment)</w:t>
            </w:r>
          </w:p>
        </w:tc>
        <w:tc>
          <w:tcPr>
            <w:tcW w:w="1619" w:type="dxa"/>
            <w:tcBorders>
              <w:top w:val="single" w:sz="2" w:space="0" w:color="auto"/>
              <w:bottom w:val="single" w:sz="2" w:space="0" w:color="auto"/>
            </w:tcBorders>
            <w:shd w:val="clear" w:color="auto" w:fill="auto"/>
          </w:tcPr>
          <w:p w:rsidR="006701A1" w:rsidRPr="00A271FB" w:rsidP="005B6FDA" w14:paraId="732FFFB7" w14:textId="77777777">
            <w:pPr>
              <w:pStyle w:val="TableTextLeft"/>
              <w:tabs>
                <w:tab w:val="decimal" w:pos="878"/>
              </w:tabs>
              <w:spacing w:before="20" w:after="20"/>
              <w:rPr>
                <w:rFonts w:eastAsia="Calibri"/>
                <w:b/>
              </w:rPr>
            </w:pPr>
          </w:p>
        </w:tc>
        <w:tc>
          <w:tcPr>
            <w:tcW w:w="1486" w:type="dxa"/>
            <w:tcBorders>
              <w:top w:val="single" w:sz="2" w:space="0" w:color="auto"/>
              <w:bottom w:val="single" w:sz="2" w:space="0" w:color="auto"/>
            </w:tcBorders>
            <w:shd w:val="clear" w:color="auto" w:fill="auto"/>
          </w:tcPr>
          <w:p w:rsidR="006701A1" w:rsidRPr="0046666B" w:rsidP="005B6FDA" w14:paraId="13721561" w14:textId="77777777">
            <w:pPr>
              <w:pStyle w:val="TableTextLeft"/>
              <w:tabs>
                <w:tab w:val="decimal" w:pos="745"/>
              </w:tabs>
              <w:spacing w:before="20" w:after="20"/>
              <w:rPr>
                <w:rFonts w:eastAsia="Calibri"/>
                <w:b/>
              </w:rPr>
            </w:pPr>
          </w:p>
        </w:tc>
        <w:tc>
          <w:tcPr>
            <w:tcW w:w="1803" w:type="dxa"/>
            <w:tcBorders>
              <w:top w:val="single" w:sz="2" w:space="0" w:color="auto"/>
              <w:bottom w:val="single" w:sz="2" w:space="0" w:color="auto"/>
            </w:tcBorders>
            <w:shd w:val="clear" w:color="auto" w:fill="auto"/>
          </w:tcPr>
          <w:p w:rsidR="006701A1" w:rsidRPr="0046666B" w:rsidP="005B6FDA" w14:paraId="1AAAF47F" w14:textId="77777777">
            <w:pPr>
              <w:pStyle w:val="TableTextLeft"/>
              <w:tabs>
                <w:tab w:val="decimal" w:pos="741"/>
              </w:tabs>
              <w:spacing w:before="20" w:after="20"/>
              <w:rPr>
                <w:rFonts w:eastAsia="Calibri"/>
                <w:b/>
              </w:rPr>
            </w:pPr>
          </w:p>
        </w:tc>
      </w:tr>
      <w:tr w14:paraId="475E8E12" w14:textId="77777777" w:rsidTr="00106413">
        <w:tblPrEx>
          <w:tblW w:w="0" w:type="auto"/>
          <w:tblLook w:val="04A0"/>
        </w:tblPrEx>
        <w:tc>
          <w:tcPr>
            <w:tcW w:w="4452" w:type="dxa"/>
            <w:tcBorders>
              <w:top w:val="single" w:sz="2" w:space="0" w:color="auto"/>
              <w:bottom w:val="single" w:sz="2" w:space="0" w:color="auto"/>
            </w:tcBorders>
            <w:shd w:val="clear" w:color="auto" w:fill="auto"/>
          </w:tcPr>
          <w:p w:rsidR="006701A1" w:rsidRPr="0046666B" w:rsidP="005B6FDA" w14:paraId="5DD37B51" w14:textId="77777777">
            <w:pPr>
              <w:pStyle w:val="TableTextLeft"/>
              <w:spacing w:before="20" w:after="20"/>
              <w:ind w:left="253"/>
              <w:rPr>
                <w:rFonts w:eastAsia="Calibri"/>
              </w:rPr>
            </w:pPr>
            <w:r w:rsidRPr="0046666B">
              <w:rPr>
                <w:rFonts w:eastAsia="Calibri"/>
              </w:rPr>
              <w:t>Very small (1–499)</w:t>
            </w:r>
          </w:p>
        </w:tc>
        <w:tc>
          <w:tcPr>
            <w:tcW w:w="1619" w:type="dxa"/>
            <w:tcBorders>
              <w:top w:val="single" w:sz="2" w:space="0" w:color="auto"/>
              <w:bottom w:val="single" w:sz="2" w:space="0" w:color="auto"/>
            </w:tcBorders>
            <w:shd w:val="clear" w:color="auto" w:fill="auto"/>
          </w:tcPr>
          <w:p w:rsidR="006701A1" w:rsidRPr="00A271FB" w:rsidP="005B6FDA" w14:paraId="152EC5D1" w14:textId="4F7104E5">
            <w:pPr>
              <w:pStyle w:val="TableTextLeft"/>
              <w:tabs>
                <w:tab w:val="decimal" w:pos="878"/>
              </w:tabs>
              <w:spacing w:before="20" w:after="20"/>
              <w:rPr>
                <w:rFonts w:eastAsia="Calibri"/>
              </w:rPr>
            </w:pPr>
            <w:r w:rsidRPr="00A271FB">
              <w:rPr>
                <w:rFonts w:eastAsia="Calibri"/>
              </w:rPr>
              <w:t>8,</w:t>
            </w:r>
            <w:r w:rsidRPr="00A271FB" w:rsidR="007C47F5">
              <w:rPr>
                <w:rFonts w:eastAsia="Calibri"/>
              </w:rPr>
              <w:t>4</w:t>
            </w:r>
            <w:r w:rsidRPr="00A271FB" w:rsidR="008622A8">
              <w:rPr>
                <w:rFonts w:eastAsia="Calibri"/>
              </w:rPr>
              <w:t>27</w:t>
            </w:r>
          </w:p>
        </w:tc>
        <w:tc>
          <w:tcPr>
            <w:tcW w:w="1486" w:type="dxa"/>
            <w:tcBorders>
              <w:top w:val="single" w:sz="2" w:space="0" w:color="auto"/>
              <w:bottom w:val="single" w:sz="2" w:space="0" w:color="auto"/>
            </w:tcBorders>
            <w:shd w:val="clear" w:color="auto" w:fill="auto"/>
          </w:tcPr>
          <w:p w:rsidR="006701A1" w:rsidRPr="00A271FB" w:rsidP="005B6FDA" w14:paraId="3E67B246" w14:textId="6F7F5938">
            <w:pPr>
              <w:pStyle w:val="TableTextLeft"/>
              <w:tabs>
                <w:tab w:val="decimal" w:pos="745"/>
              </w:tabs>
              <w:spacing w:before="20" w:after="20"/>
              <w:rPr>
                <w:rFonts w:eastAsia="Calibri"/>
              </w:rPr>
            </w:pPr>
            <w:r w:rsidRPr="00A271FB">
              <w:rPr>
                <w:rFonts w:eastAsia="Calibri"/>
              </w:rPr>
              <w:t>319</w:t>
            </w:r>
          </w:p>
        </w:tc>
        <w:tc>
          <w:tcPr>
            <w:tcW w:w="1803" w:type="dxa"/>
            <w:tcBorders>
              <w:top w:val="single" w:sz="2" w:space="0" w:color="auto"/>
              <w:bottom w:val="single" w:sz="2" w:space="0" w:color="auto"/>
            </w:tcBorders>
            <w:shd w:val="clear" w:color="auto" w:fill="auto"/>
          </w:tcPr>
          <w:p w:rsidR="006701A1" w:rsidRPr="00A271FB" w:rsidP="005B6FDA" w14:paraId="2B2F0EFB" w14:textId="77777777">
            <w:pPr>
              <w:pStyle w:val="TableTextLeft"/>
              <w:tabs>
                <w:tab w:val="decimal" w:pos="741"/>
              </w:tabs>
              <w:spacing w:before="20" w:after="20"/>
              <w:rPr>
                <w:rFonts w:eastAsia="Calibri"/>
              </w:rPr>
            </w:pPr>
            <w:r w:rsidRPr="00A271FB">
              <w:rPr>
                <w:rFonts w:eastAsia="Calibri"/>
              </w:rPr>
              <w:t>5.6</w:t>
            </w:r>
          </w:p>
        </w:tc>
      </w:tr>
      <w:tr w14:paraId="35209440" w14:textId="77777777" w:rsidTr="00106413">
        <w:tblPrEx>
          <w:tblW w:w="0" w:type="auto"/>
          <w:tblLook w:val="04A0"/>
        </w:tblPrEx>
        <w:tc>
          <w:tcPr>
            <w:tcW w:w="4452" w:type="dxa"/>
            <w:tcBorders>
              <w:top w:val="single" w:sz="2" w:space="0" w:color="auto"/>
              <w:bottom w:val="single" w:sz="2" w:space="0" w:color="auto"/>
            </w:tcBorders>
            <w:shd w:val="clear" w:color="auto" w:fill="auto"/>
          </w:tcPr>
          <w:p w:rsidR="006701A1" w:rsidRPr="0046666B" w:rsidP="005B6FDA" w14:paraId="117D2F0B" w14:textId="77777777">
            <w:pPr>
              <w:pStyle w:val="TableTextLeft"/>
              <w:spacing w:before="20" w:after="20"/>
              <w:ind w:left="253"/>
              <w:rPr>
                <w:rFonts w:eastAsia="Calibri"/>
              </w:rPr>
            </w:pPr>
            <w:r w:rsidRPr="0046666B">
              <w:rPr>
                <w:rFonts w:eastAsia="Calibri"/>
              </w:rPr>
              <w:t>Small (500–2,499)</w:t>
            </w:r>
          </w:p>
        </w:tc>
        <w:tc>
          <w:tcPr>
            <w:tcW w:w="1619" w:type="dxa"/>
            <w:tcBorders>
              <w:top w:val="single" w:sz="2" w:space="0" w:color="auto"/>
              <w:bottom w:val="single" w:sz="2" w:space="0" w:color="auto"/>
            </w:tcBorders>
            <w:shd w:val="clear" w:color="auto" w:fill="auto"/>
          </w:tcPr>
          <w:p w:rsidR="006701A1" w:rsidRPr="00A271FB" w:rsidP="005B6FDA" w14:paraId="0A827F0F" w14:textId="3DD5AE64">
            <w:pPr>
              <w:pStyle w:val="TableTextLeft"/>
              <w:tabs>
                <w:tab w:val="decimal" w:pos="878"/>
              </w:tabs>
              <w:spacing w:before="20" w:after="20"/>
              <w:rPr>
                <w:rFonts w:eastAsia="Calibri"/>
              </w:rPr>
            </w:pPr>
            <w:r w:rsidRPr="00A271FB">
              <w:rPr>
                <w:rFonts w:eastAsia="Calibri"/>
              </w:rPr>
              <w:t>6</w:t>
            </w:r>
            <w:r w:rsidRPr="00A271FB" w:rsidR="00B80314">
              <w:rPr>
                <w:rFonts w:eastAsia="Calibri"/>
              </w:rPr>
              <w:t>,6</w:t>
            </w:r>
            <w:r w:rsidRPr="00A271FB" w:rsidR="00574EDD">
              <w:rPr>
                <w:rFonts w:eastAsia="Calibri"/>
              </w:rPr>
              <w:t>1</w:t>
            </w:r>
            <w:r w:rsidRPr="00A271FB" w:rsidR="008622A8">
              <w:rPr>
                <w:rFonts w:eastAsia="Calibri"/>
              </w:rPr>
              <w:t>8</w:t>
            </w:r>
          </w:p>
        </w:tc>
        <w:tc>
          <w:tcPr>
            <w:tcW w:w="1486" w:type="dxa"/>
            <w:tcBorders>
              <w:top w:val="single" w:sz="2" w:space="0" w:color="auto"/>
              <w:bottom w:val="single" w:sz="2" w:space="0" w:color="auto"/>
            </w:tcBorders>
            <w:shd w:val="clear" w:color="auto" w:fill="auto"/>
          </w:tcPr>
          <w:p w:rsidR="006701A1" w:rsidRPr="00A271FB" w:rsidP="005B6FDA" w14:paraId="4B510F8E" w14:textId="07B1211B">
            <w:pPr>
              <w:pStyle w:val="TableTextLeft"/>
              <w:tabs>
                <w:tab w:val="decimal" w:pos="745"/>
              </w:tabs>
              <w:spacing w:before="20" w:after="20"/>
              <w:rPr>
                <w:rFonts w:eastAsia="Calibri"/>
              </w:rPr>
            </w:pPr>
            <w:r w:rsidRPr="00A271FB">
              <w:rPr>
                <w:rFonts w:eastAsia="Calibri"/>
              </w:rPr>
              <w:t>415</w:t>
            </w:r>
          </w:p>
        </w:tc>
        <w:tc>
          <w:tcPr>
            <w:tcW w:w="1803" w:type="dxa"/>
            <w:tcBorders>
              <w:top w:val="single" w:sz="2" w:space="0" w:color="auto"/>
              <w:bottom w:val="single" w:sz="2" w:space="0" w:color="auto"/>
            </w:tcBorders>
            <w:shd w:val="clear" w:color="auto" w:fill="auto"/>
          </w:tcPr>
          <w:p w:rsidR="006701A1" w:rsidRPr="00A271FB" w:rsidP="005B6FDA" w14:paraId="7FCEA1C2" w14:textId="77777777">
            <w:pPr>
              <w:pStyle w:val="TableTextLeft"/>
              <w:tabs>
                <w:tab w:val="decimal" w:pos="741"/>
              </w:tabs>
              <w:spacing w:before="20" w:after="20"/>
              <w:rPr>
                <w:rFonts w:eastAsia="Calibri"/>
              </w:rPr>
            </w:pPr>
            <w:r w:rsidRPr="00A271FB">
              <w:rPr>
                <w:rFonts w:eastAsia="Calibri"/>
              </w:rPr>
              <w:t>4.9</w:t>
            </w:r>
          </w:p>
        </w:tc>
      </w:tr>
      <w:tr w14:paraId="0CA99242" w14:textId="77777777" w:rsidTr="00106413">
        <w:tblPrEx>
          <w:tblW w:w="0" w:type="auto"/>
          <w:tblLook w:val="04A0"/>
        </w:tblPrEx>
        <w:tc>
          <w:tcPr>
            <w:tcW w:w="4452" w:type="dxa"/>
            <w:tcBorders>
              <w:top w:val="single" w:sz="2" w:space="0" w:color="auto"/>
              <w:bottom w:val="single" w:sz="2" w:space="0" w:color="auto"/>
            </w:tcBorders>
            <w:shd w:val="clear" w:color="auto" w:fill="auto"/>
          </w:tcPr>
          <w:p w:rsidR="006701A1" w:rsidRPr="0046666B" w:rsidP="005B6FDA" w14:paraId="3DE42FFF" w14:textId="77777777">
            <w:pPr>
              <w:pStyle w:val="TableTextLeft"/>
              <w:spacing w:before="20" w:after="20"/>
              <w:ind w:left="253"/>
              <w:rPr>
                <w:rFonts w:eastAsia="Calibri"/>
              </w:rPr>
            </w:pPr>
            <w:r w:rsidRPr="0046666B">
              <w:rPr>
                <w:rFonts w:eastAsia="Calibri"/>
              </w:rPr>
              <w:t>Medium (2,500–4,999)</w:t>
            </w:r>
          </w:p>
        </w:tc>
        <w:tc>
          <w:tcPr>
            <w:tcW w:w="1619" w:type="dxa"/>
            <w:tcBorders>
              <w:top w:val="single" w:sz="2" w:space="0" w:color="auto"/>
              <w:bottom w:val="single" w:sz="2" w:space="0" w:color="auto"/>
            </w:tcBorders>
            <w:shd w:val="clear" w:color="auto" w:fill="auto"/>
          </w:tcPr>
          <w:p w:rsidR="006701A1" w:rsidRPr="00A271FB" w:rsidP="005B6FDA" w14:paraId="76120DD2" w14:textId="49900D11">
            <w:pPr>
              <w:pStyle w:val="TableTextLeft"/>
              <w:tabs>
                <w:tab w:val="decimal" w:pos="878"/>
              </w:tabs>
              <w:spacing w:before="20" w:after="20"/>
              <w:rPr>
                <w:rFonts w:eastAsia="Calibri"/>
              </w:rPr>
            </w:pPr>
            <w:r w:rsidRPr="00A271FB">
              <w:rPr>
                <w:rFonts w:eastAsia="Calibri"/>
              </w:rPr>
              <w:t>1,8</w:t>
            </w:r>
            <w:r w:rsidRPr="00A271FB" w:rsidR="00574EDD">
              <w:rPr>
                <w:rFonts w:eastAsia="Calibri"/>
              </w:rPr>
              <w:t>5</w:t>
            </w:r>
            <w:r w:rsidRPr="00A271FB" w:rsidR="008622A8">
              <w:rPr>
                <w:rFonts w:eastAsia="Calibri"/>
              </w:rPr>
              <w:t>0</w:t>
            </w:r>
          </w:p>
        </w:tc>
        <w:tc>
          <w:tcPr>
            <w:tcW w:w="1486" w:type="dxa"/>
            <w:tcBorders>
              <w:top w:val="single" w:sz="2" w:space="0" w:color="auto"/>
              <w:bottom w:val="single" w:sz="2" w:space="0" w:color="auto"/>
            </w:tcBorders>
            <w:shd w:val="clear" w:color="auto" w:fill="auto"/>
          </w:tcPr>
          <w:p w:rsidR="006701A1" w:rsidRPr="00A271FB" w:rsidP="005B6FDA" w14:paraId="2DA9165E" w14:textId="004EF7B7">
            <w:pPr>
              <w:pStyle w:val="TableTextLeft"/>
              <w:tabs>
                <w:tab w:val="decimal" w:pos="745"/>
              </w:tabs>
              <w:spacing w:before="20" w:after="20"/>
              <w:rPr>
                <w:rFonts w:eastAsia="Calibri"/>
              </w:rPr>
            </w:pPr>
            <w:r w:rsidRPr="00A271FB">
              <w:rPr>
                <w:rFonts w:eastAsia="Calibri"/>
              </w:rPr>
              <w:t>127</w:t>
            </w:r>
          </w:p>
        </w:tc>
        <w:tc>
          <w:tcPr>
            <w:tcW w:w="1803" w:type="dxa"/>
            <w:tcBorders>
              <w:top w:val="single" w:sz="2" w:space="0" w:color="auto"/>
              <w:bottom w:val="single" w:sz="2" w:space="0" w:color="auto"/>
            </w:tcBorders>
            <w:shd w:val="clear" w:color="auto" w:fill="auto"/>
          </w:tcPr>
          <w:p w:rsidR="006701A1" w:rsidRPr="00A271FB" w:rsidP="005B6FDA" w14:paraId="4ACBEF56" w14:textId="77777777">
            <w:pPr>
              <w:pStyle w:val="TableTextLeft"/>
              <w:tabs>
                <w:tab w:val="decimal" w:pos="741"/>
              </w:tabs>
              <w:spacing w:before="20" w:after="20"/>
              <w:rPr>
                <w:rFonts w:eastAsia="Calibri"/>
              </w:rPr>
            </w:pPr>
            <w:r w:rsidRPr="00A271FB">
              <w:rPr>
                <w:rFonts w:eastAsia="Calibri"/>
              </w:rPr>
              <w:t>8.9</w:t>
            </w:r>
          </w:p>
        </w:tc>
      </w:tr>
      <w:tr w14:paraId="130158BC" w14:textId="77777777" w:rsidTr="00106413">
        <w:tblPrEx>
          <w:tblW w:w="0" w:type="auto"/>
          <w:tblLook w:val="04A0"/>
        </w:tblPrEx>
        <w:tc>
          <w:tcPr>
            <w:tcW w:w="4452" w:type="dxa"/>
            <w:tcBorders>
              <w:top w:val="single" w:sz="2" w:space="0" w:color="auto"/>
              <w:bottom w:val="single" w:sz="2" w:space="0" w:color="auto"/>
            </w:tcBorders>
            <w:shd w:val="clear" w:color="auto" w:fill="auto"/>
          </w:tcPr>
          <w:p w:rsidR="006701A1" w:rsidRPr="0046666B" w:rsidP="005B6FDA" w14:paraId="605CA38C" w14:textId="77777777">
            <w:pPr>
              <w:pStyle w:val="TableTextLeft"/>
              <w:spacing w:before="20" w:after="20"/>
              <w:ind w:left="253"/>
              <w:rPr>
                <w:rFonts w:eastAsia="Calibri"/>
              </w:rPr>
            </w:pPr>
            <w:r w:rsidRPr="0046666B">
              <w:rPr>
                <w:rFonts w:eastAsia="Calibri"/>
              </w:rPr>
              <w:t>Large (5,000–99,999)</w:t>
            </w:r>
          </w:p>
        </w:tc>
        <w:tc>
          <w:tcPr>
            <w:tcW w:w="1619" w:type="dxa"/>
            <w:tcBorders>
              <w:top w:val="single" w:sz="2" w:space="0" w:color="auto"/>
              <w:bottom w:val="single" w:sz="2" w:space="0" w:color="auto"/>
            </w:tcBorders>
            <w:shd w:val="clear" w:color="auto" w:fill="auto"/>
          </w:tcPr>
          <w:p w:rsidR="006701A1" w:rsidRPr="00A271FB" w:rsidP="005B6FDA" w14:paraId="5CFB2D31" w14:textId="620AF868">
            <w:pPr>
              <w:pStyle w:val="TableTextLeft"/>
              <w:tabs>
                <w:tab w:val="decimal" w:pos="878"/>
              </w:tabs>
              <w:spacing w:before="20" w:after="20"/>
              <w:rPr>
                <w:rFonts w:eastAsia="Calibri"/>
              </w:rPr>
            </w:pPr>
            <w:r w:rsidRPr="00A271FB">
              <w:rPr>
                <w:rFonts w:eastAsia="Calibri"/>
              </w:rPr>
              <w:t>1,</w:t>
            </w:r>
            <w:r w:rsidRPr="00A271FB" w:rsidR="00574EDD">
              <w:rPr>
                <w:rFonts w:eastAsia="Calibri"/>
              </w:rPr>
              <w:t>899</w:t>
            </w:r>
          </w:p>
        </w:tc>
        <w:tc>
          <w:tcPr>
            <w:tcW w:w="1486" w:type="dxa"/>
            <w:tcBorders>
              <w:top w:val="single" w:sz="2" w:space="0" w:color="auto"/>
              <w:bottom w:val="single" w:sz="2" w:space="0" w:color="auto"/>
            </w:tcBorders>
            <w:shd w:val="clear" w:color="auto" w:fill="auto"/>
          </w:tcPr>
          <w:p w:rsidR="006701A1" w:rsidRPr="00A271FB" w:rsidP="005B6FDA" w14:paraId="2B0189E4" w14:textId="42895601">
            <w:pPr>
              <w:pStyle w:val="TableTextLeft"/>
              <w:tabs>
                <w:tab w:val="decimal" w:pos="745"/>
              </w:tabs>
              <w:spacing w:before="20" w:after="20"/>
              <w:rPr>
                <w:rFonts w:eastAsia="Calibri"/>
              </w:rPr>
            </w:pPr>
            <w:r w:rsidRPr="00A271FB">
              <w:rPr>
                <w:rFonts w:eastAsia="Calibri"/>
              </w:rPr>
              <w:t>129</w:t>
            </w:r>
          </w:p>
        </w:tc>
        <w:tc>
          <w:tcPr>
            <w:tcW w:w="1803" w:type="dxa"/>
            <w:tcBorders>
              <w:top w:val="single" w:sz="2" w:space="0" w:color="auto"/>
              <w:bottom w:val="single" w:sz="2" w:space="0" w:color="auto"/>
            </w:tcBorders>
            <w:shd w:val="clear" w:color="auto" w:fill="auto"/>
          </w:tcPr>
          <w:p w:rsidR="006701A1" w:rsidRPr="00A271FB" w:rsidP="005B6FDA" w14:paraId="7513C88A" w14:textId="77777777">
            <w:pPr>
              <w:pStyle w:val="TableTextLeft"/>
              <w:tabs>
                <w:tab w:val="decimal" w:pos="741"/>
              </w:tabs>
              <w:spacing w:before="20" w:after="20"/>
              <w:rPr>
                <w:rFonts w:eastAsia="Calibri"/>
              </w:rPr>
            </w:pPr>
            <w:r w:rsidRPr="00A271FB">
              <w:rPr>
                <w:rFonts w:eastAsia="Calibri"/>
              </w:rPr>
              <w:t>8.1</w:t>
            </w:r>
          </w:p>
        </w:tc>
      </w:tr>
      <w:tr w14:paraId="08DD3F00" w14:textId="77777777" w:rsidTr="00106413">
        <w:tblPrEx>
          <w:tblW w:w="0" w:type="auto"/>
          <w:tblLook w:val="04A0"/>
        </w:tblPrEx>
        <w:tc>
          <w:tcPr>
            <w:tcW w:w="4452" w:type="dxa"/>
            <w:tcBorders>
              <w:top w:val="single" w:sz="2" w:space="0" w:color="auto"/>
              <w:bottom w:val="single" w:sz="2" w:space="0" w:color="auto"/>
            </w:tcBorders>
            <w:shd w:val="clear" w:color="auto" w:fill="auto"/>
          </w:tcPr>
          <w:p w:rsidR="006701A1" w:rsidRPr="0046666B" w:rsidP="005B6FDA" w14:paraId="35B5EEDA" w14:textId="77777777">
            <w:pPr>
              <w:pStyle w:val="TableTextLeft"/>
              <w:spacing w:before="20" w:after="20"/>
              <w:ind w:left="253"/>
              <w:rPr>
                <w:rFonts w:eastAsia="Calibri"/>
              </w:rPr>
            </w:pPr>
            <w:r w:rsidRPr="0046666B">
              <w:rPr>
                <w:rFonts w:eastAsia="Calibri"/>
              </w:rPr>
              <w:t>Certainty (100,000+)</w:t>
            </w:r>
          </w:p>
        </w:tc>
        <w:tc>
          <w:tcPr>
            <w:tcW w:w="1619" w:type="dxa"/>
            <w:tcBorders>
              <w:top w:val="single" w:sz="2" w:space="0" w:color="auto"/>
              <w:bottom w:val="single" w:sz="2" w:space="0" w:color="auto"/>
            </w:tcBorders>
            <w:shd w:val="clear" w:color="auto" w:fill="auto"/>
          </w:tcPr>
          <w:p w:rsidR="006701A1" w:rsidRPr="00A271FB" w:rsidP="005B6FDA" w14:paraId="1F98F0C5" w14:textId="2F800FB0">
            <w:pPr>
              <w:pStyle w:val="TableTextLeft"/>
              <w:tabs>
                <w:tab w:val="decimal" w:pos="878"/>
              </w:tabs>
              <w:spacing w:before="20" w:after="20"/>
              <w:rPr>
                <w:rFonts w:eastAsia="Calibri"/>
              </w:rPr>
            </w:pPr>
            <w:r w:rsidRPr="00A271FB">
              <w:rPr>
                <w:rFonts w:eastAsia="Calibri"/>
              </w:rPr>
              <w:t>2</w:t>
            </w:r>
            <w:r w:rsidRPr="00A271FB" w:rsidR="007C47F5">
              <w:rPr>
                <w:rFonts w:eastAsia="Calibri"/>
              </w:rPr>
              <w:t>7</w:t>
            </w:r>
          </w:p>
        </w:tc>
        <w:tc>
          <w:tcPr>
            <w:tcW w:w="1486" w:type="dxa"/>
            <w:tcBorders>
              <w:top w:val="single" w:sz="2" w:space="0" w:color="auto"/>
              <w:bottom w:val="single" w:sz="2" w:space="0" w:color="auto"/>
            </w:tcBorders>
            <w:shd w:val="clear" w:color="auto" w:fill="auto"/>
          </w:tcPr>
          <w:p w:rsidR="006701A1" w:rsidRPr="00A271FB" w:rsidP="005B6FDA" w14:paraId="49598BA9" w14:textId="4D877BAB">
            <w:pPr>
              <w:pStyle w:val="TableTextLeft"/>
              <w:tabs>
                <w:tab w:val="decimal" w:pos="745"/>
              </w:tabs>
              <w:spacing w:before="20" w:after="20"/>
              <w:rPr>
                <w:rFonts w:eastAsia="Calibri"/>
              </w:rPr>
            </w:pPr>
            <w:r w:rsidRPr="00A271FB">
              <w:rPr>
                <w:rFonts w:eastAsia="Calibri"/>
              </w:rPr>
              <w:t>2</w:t>
            </w:r>
            <w:r w:rsidRPr="00A271FB" w:rsidR="006D600E">
              <w:rPr>
                <w:rFonts w:eastAsia="Calibri"/>
              </w:rPr>
              <w:t>2</w:t>
            </w:r>
          </w:p>
        </w:tc>
        <w:tc>
          <w:tcPr>
            <w:tcW w:w="1803" w:type="dxa"/>
            <w:tcBorders>
              <w:top w:val="single" w:sz="2" w:space="0" w:color="auto"/>
              <w:bottom w:val="single" w:sz="2" w:space="0" w:color="auto"/>
            </w:tcBorders>
            <w:shd w:val="clear" w:color="auto" w:fill="auto"/>
          </w:tcPr>
          <w:p w:rsidR="006701A1" w:rsidRPr="00A271FB" w:rsidP="005B6FDA" w14:paraId="0B4FA0EC" w14:textId="77777777">
            <w:pPr>
              <w:pStyle w:val="TableTextLeft"/>
              <w:tabs>
                <w:tab w:val="decimal" w:pos="741"/>
              </w:tabs>
              <w:spacing w:before="20" w:after="20"/>
              <w:rPr>
                <w:rFonts w:eastAsia="Calibri"/>
              </w:rPr>
            </w:pPr>
            <w:r w:rsidRPr="00A271FB">
              <w:rPr>
                <w:rFonts w:eastAsia="Calibri"/>
              </w:rPr>
              <w:t>0</w:t>
            </w:r>
          </w:p>
        </w:tc>
      </w:tr>
      <w:tr w14:paraId="347A42C8" w14:textId="77777777" w:rsidTr="00106413">
        <w:tblPrEx>
          <w:tblW w:w="0" w:type="auto"/>
          <w:tblLook w:val="04A0"/>
        </w:tblPrEx>
        <w:tc>
          <w:tcPr>
            <w:tcW w:w="4452" w:type="dxa"/>
            <w:tcBorders>
              <w:top w:val="single" w:sz="2" w:space="0" w:color="auto"/>
              <w:bottom w:val="single" w:sz="2" w:space="0" w:color="auto"/>
            </w:tcBorders>
            <w:shd w:val="clear" w:color="auto" w:fill="auto"/>
          </w:tcPr>
          <w:p w:rsidR="006701A1" w:rsidRPr="0046666B" w:rsidP="005B6FDA" w14:paraId="2AC69E7F" w14:textId="77777777">
            <w:pPr>
              <w:pStyle w:val="TableTextLeft"/>
              <w:spacing w:before="20" w:after="20"/>
              <w:rPr>
                <w:rFonts w:eastAsia="Calibri"/>
                <w:b/>
              </w:rPr>
            </w:pPr>
            <w:r w:rsidRPr="0046666B">
              <w:rPr>
                <w:rFonts w:eastAsia="Calibri"/>
                <w:b/>
              </w:rPr>
              <w:t>Percentage of students approved for free or reduced-price meals</w:t>
            </w:r>
          </w:p>
        </w:tc>
        <w:tc>
          <w:tcPr>
            <w:tcW w:w="1619" w:type="dxa"/>
            <w:tcBorders>
              <w:top w:val="single" w:sz="2" w:space="0" w:color="auto"/>
              <w:bottom w:val="single" w:sz="2" w:space="0" w:color="auto"/>
            </w:tcBorders>
            <w:shd w:val="clear" w:color="auto" w:fill="auto"/>
          </w:tcPr>
          <w:p w:rsidR="006701A1" w:rsidRPr="00A271FB" w:rsidP="005B6FDA" w14:paraId="20BB2A28" w14:textId="77777777">
            <w:pPr>
              <w:pStyle w:val="TableTextLeft"/>
              <w:tabs>
                <w:tab w:val="decimal" w:pos="878"/>
              </w:tabs>
              <w:spacing w:before="20" w:after="20"/>
              <w:rPr>
                <w:rFonts w:eastAsia="Calibri"/>
              </w:rPr>
            </w:pPr>
          </w:p>
        </w:tc>
        <w:tc>
          <w:tcPr>
            <w:tcW w:w="1486" w:type="dxa"/>
            <w:tcBorders>
              <w:top w:val="single" w:sz="2" w:space="0" w:color="auto"/>
              <w:bottom w:val="single" w:sz="2" w:space="0" w:color="auto"/>
            </w:tcBorders>
            <w:shd w:val="clear" w:color="auto" w:fill="auto"/>
          </w:tcPr>
          <w:p w:rsidR="006701A1" w:rsidRPr="00A271FB" w:rsidP="005B6FDA" w14:paraId="474D06F7" w14:textId="77777777">
            <w:pPr>
              <w:pStyle w:val="TableTextLeft"/>
              <w:tabs>
                <w:tab w:val="decimal" w:pos="745"/>
              </w:tabs>
              <w:spacing w:before="20" w:after="20"/>
              <w:rPr>
                <w:rFonts w:eastAsia="Calibri"/>
              </w:rPr>
            </w:pPr>
          </w:p>
        </w:tc>
        <w:tc>
          <w:tcPr>
            <w:tcW w:w="1803" w:type="dxa"/>
            <w:tcBorders>
              <w:top w:val="single" w:sz="2" w:space="0" w:color="auto"/>
              <w:bottom w:val="single" w:sz="2" w:space="0" w:color="auto"/>
            </w:tcBorders>
            <w:shd w:val="clear" w:color="auto" w:fill="auto"/>
          </w:tcPr>
          <w:p w:rsidR="006701A1" w:rsidRPr="00A271FB" w:rsidP="005B6FDA" w14:paraId="711101AD" w14:textId="77777777">
            <w:pPr>
              <w:pStyle w:val="TableTextLeft"/>
              <w:tabs>
                <w:tab w:val="decimal" w:pos="741"/>
              </w:tabs>
              <w:spacing w:before="20" w:after="20"/>
              <w:rPr>
                <w:rFonts w:eastAsia="Calibri"/>
              </w:rPr>
            </w:pPr>
          </w:p>
        </w:tc>
      </w:tr>
      <w:tr w14:paraId="014C63DB" w14:textId="77777777" w:rsidTr="00106413">
        <w:tblPrEx>
          <w:tblW w:w="0" w:type="auto"/>
          <w:tblLook w:val="04A0"/>
        </w:tblPrEx>
        <w:tc>
          <w:tcPr>
            <w:tcW w:w="4452" w:type="dxa"/>
            <w:tcBorders>
              <w:top w:val="single" w:sz="2" w:space="0" w:color="auto"/>
              <w:bottom w:val="single" w:sz="2" w:space="0" w:color="auto"/>
            </w:tcBorders>
            <w:shd w:val="clear" w:color="auto" w:fill="auto"/>
          </w:tcPr>
          <w:p w:rsidR="006701A1" w:rsidRPr="0046666B" w:rsidP="005B6FDA" w14:paraId="5160D317" w14:textId="77777777">
            <w:pPr>
              <w:pStyle w:val="TableTextLeft"/>
              <w:spacing w:before="20" w:after="20"/>
              <w:ind w:left="253"/>
              <w:rPr>
                <w:rFonts w:eastAsia="Calibri"/>
              </w:rPr>
            </w:pPr>
            <w:r w:rsidRPr="0046666B">
              <w:rPr>
                <w:rFonts w:eastAsia="Calibri"/>
              </w:rPr>
              <w:t>Less than 40%</w:t>
            </w:r>
          </w:p>
        </w:tc>
        <w:tc>
          <w:tcPr>
            <w:tcW w:w="1619" w:type="dxa"/>
            <w:tcBorders>
              <w:top w:val="single" w:sz="2" w:space="0" w:color="auto"/>
              <w:bottom w:val="single" w:sz="2" w:space="0" w:color="auto"/>
            </w:tcBorders>
            <w:shd w:val="clear" w:color="auto" w:fill="auto"/>
          </w:tcPr>
          <w:p w:rsidR="006701A1" w:rsidRPr="00A271FB" w:rsidP="005B6FDA" w14:paraId="0A8EEA6E" w14:textId="36521DBE">
            <w:pPr>
              <w:pStyle w:val="TableTextLeft"/>
              <w:tabs>
                <w:tab w:val="decimal" w:pos="878"/>
              </w:tabs>
              <w:spacing w:before="20" w:after="20"/>
              <w:rPr>
                <w:rFonts w:eastAsia="Calibri"/>
              </w:rPr>
            </w:pPr>
            <w:r w:rsidRPr="00A271FB">
              <w:rPr>
                <w:rFonts w:eastAsia="Calibri"/>
              </w:rPr>
              <w:t>8,</w:t>
            </w:r>
            <w:r w:rsidRPr="00A271FB" w:rsidR="007C47F5">
              <w:rPr>
                <w:rFonts w:eastAsia="Calibri"/>
              </w:rPr>
              <w:t>67</w:t>
            </w:r>
            <w:r w:rsidRPr="00A271FB" w:rsidR="008622A8">
              <w:rPr>
                <w:rFonts w:eastAsia="Calibri"/>
              </w:rPr>
              <w:t>0</w:t>
            </w:r>
          </w:p>
        </w:tc>
        <w:tc>
          <w:tcPr>
            <w:tcW w:w="1486" w:type="dxa"/>
            <w:tcBorders>
              <w:top w:val="single" w:sz="2" w:space="0" w:color="auto"/>
              <w:bottom w:val="single" w:sz="2" w:space="0" w:color="auto"/>
            </w:tcBorders>
            <w:shd w:val="clear" w:color="auto" w:fill="auto"/>
          </w:tcPr>
          <w:p w:rsidR="006701A1" w:rsidRPr="00A271FB" w:rsidP="005B6FDA" w14:paraId="27C445F8" w14:textId="57C588AC">
            <w:pPr>
              <w:pStyle w:val="TableTextLeft"/>
              <w:tabs>
                <w:tab w:val="decimal" w:pos="745"/>
              </w:tabs>
              <w:spacing w:before="20" w:after="20"/>
              <w:rPr>
                <w:rFonts w:eastAsia="Calibri"/>
              </w:rPr>
            </w:pPr>
            <w:r w:rsidRPr="00A271FB">
              <w:rPr>
                <w:rFonts w:eastAsia="Calibri"/>
              </w:rPr>
              <w:t>408</w:t>
            </w:r>
          </w:p>
        </w:tc>
        <w:tc>
          <w:tcPr>
            <w:tcW w:w="1803" w:type="dxa"/>
            <w:tcBorders>
              <w:top w:val="single" w:sz="2" w:space="0" w:color="auto"/>
              <w:bottom w:val="single" w:sz="2" w:space="0" w:color="auto"/>
            </w:tcBorders>
            <w:shd w:val="clear" w:color="auto" w:fill="auto"/>
          </w:tcPr>
          <w:p w:rsidR="006701A1" w:rsidRPr="00A271FB" w:rsidP="005B6FDA" w14:paraId="2FBD03ED" w14:textId="77777777">
            <w:pPr>
              <w:pStyle w:val="TableTextLeft"/>
              <w:tabs>
                <w:tab w:val="decimal" w:pos="741"/>
              </w:tabs>
              <w:spacing w:before="20" w:after="20"/>
              <w:rPr>
                <w:rFonts w:eastAsia="Calibri"/>
              </w:rPr>
            </w:pPr>
            <w:r w:rsidRPr="00A271FB">
              <w:rPr>
                <w:rFonts w:eastAsia="Calibri"/>
              </w:rPr>
              <w:t>5.0</w:t>
            </w:r>
          </w:p>
        </w:tc>
      </w:tr>
      <w:tr w14:paraId="0F2629CC" w14:textId="77777777" w:rsidTr="00106413">
        <w:tblPrEx>
          <w:tblW w:w="0" w:type="auto"/>
          <w:tblLook w:val="04A0"/>
        </w:tblPrEx>
        <w:tc>
          <w:tcPr>
            <w:tcW w:w="4452" w:type="dxa"/>
            <w:tcBorders>
              <w:top w:val="single" w:sz="2" w:space="0" w:color="auto"/>
              <w:bottom w:val="single" w:sz="2" w:space="0" w:color="auto"/>
            </w:tcBorders>
            <w:shd w:val="clear" w:color="auto" w:fill="auto"/>
          </w:tcPr>
          <w:p w:rsidR="006701A1" w:rsidRPr="0046666B" w:rsidP="005B6FDA" w14:paraId="6A9F8A58" w14:textId="77777777">
            <w:pPr>
              <w:pStyle w:val="TableTextLeft"/>
              <w:spacing w:before="20" w:after="20"/>
              <w:ind w:left="253"/>
              <w:rPr>
                <w:rFonts w:eastAsia="Calibri"/>
              </w:rPr>
            </w:pPr>
            <w:r w:rsidRPr="0046666B">
              <w:rPr>
                <w:rFonts w:eastAsia="Calibri"/>
              </w:rPr>
              <w:t xml:space="preserve">40-59% </w:t>
            </w:r>
          </w:p>
        </w:tc>
        <w:tc>
          <w:tcPr>
            <w:tcW w:w="1619" w:type="dxa"/>
            <w:tcBorders>
              <w:top w:val="single" w:sz="2" w:space="0" w:color="auto"/>
              <w:bottom w:val="single" w:sz="2" w:space="0" w:color="auto"/>
            </w:tcBorders>
            <w:shd w:val="clear" w:color="auto" w:fill="auto"/>
          </w:tcPr>
          <w:p w:rsidR="006701A1" w:rsidRPr="00A271FB" w:rsidP="005B6FDA" w14:paraId="058B3E3F" w14:textId="074BD054">
            <w:pPr>
              <w:pStyle w:val="TableTextLeft"/>
              <w:tabs>
                <w:tab w:val="decimal" w:pos="878"/>
              </w:tabs>
              <w:spacing w:before="20" w:after="20"/>
              <w:rPr>
                <w:rFonts w:eastAsia="Calibri"/>
              </w:rPr>
            </w:pPr>
            <w:r w:rsidRPr="00A271FB">
              <w:rPr>
                <w:rFonts w:eastAsia="Calibri"/>
              </w:rPr>
              <w:t>3,8</w:t>
            </w:r>
            <w:r w:rsidRPr="00A271FB" w:rsidR="008622A8">
              <w:rPr>
                <w:rFonts w:eastAsia="Calibri"/>
              </w:rPr>
              <w:t>57</w:t>
            </w:r>
          </w:p>
        </w:tc>
        <w:tc>
          <w:tcPr>
            <w:tcW w:w="1486" w:type="dxa"/>
            <w:tcBorders>
              <w:top w:val="single" w:sz="2" w:space="0" w:color="auto"/>
              <w:bottom w:val="single" w:sz="2" w:space="0" w:color="auto"/>
            </w:tcBorders>
            <w:shd w:val="clear" w:color="auto" w:fill="auto"/>
          </w:tcPr>
          <w:p w:rsidR="006701A1" w:rsidRPr="00A271FB" w:rsidP="005B6FDA" w14:paraId="49DFA185" w14:textId="6687DDF0">
            <w:pPr>
              <w:pStyle w:val="TableTextLeft"/>
              <w:tabs>
                <w:tab w:val="decimal" w:pos="745"/>
              </w:tabs>
              <w:spacing w:before="20" w:after="20"/>
              <w:rPr>
                <w:rFonts w:eastAsia="Calibri"/>
              </w:rPr>
            </w:pPr>
            <w:r w:rsidRPr="00A271FB">
              <w:rPr>
                <w:rFonts w:eastAsia="Calibri"/>
              </w:rPr>
              <w:t>257</w:t>
            </w:r>
          </w:p>
        </w:tc>
        <w:tc>
          <w:tcPr>
            <w:tcW w:w="1803" w:type="dxa"/>
            <w:tcBorders>
              <w:top w:val="single" w:sz="2" w:space="0" w:color="auto"/>
              <w:bottom w:val="single" w:sz="2" w:space="0" w:color="auto"/>
            </w:tcBorders>
            <w:shd w:val="clear" w:color="auto" w:fill="auto"/>
          </w:tcPr>
          <w:p w:rsidR="006701A1" w:rsidRPr="00A271FB" w:rsidP="005B6FDA" w14:paraId="234452B8" w14:textId="77777777">
            <w:pPr>
              <w:pStyle w:val="TableTextLeft"/>
              <w:tabs>
                <w:tab w:val="decimal" w:pos="741"/>
              </w:tabs>
              <w:spacing w:before="20" w:after="20"/>
              <w:rPr>
                <w:rFonts w:eastAsia="Calibri"/>
              </w:rPr>
            </w:pPr>
            <w:r w:rsidRPr="00A271FB">
              <w:rPr>
                <w:rFonts w:eastAsia="Calibri"/>
              </w:rPr>
              <w:t>6.3</w:t>
            </w:r>
          </w:p>
        </w:tc>
      </w:tr>
      <w:tr w14:paraId="6922251B" w14:textId="77777777" w:rsidTr="00106413">
        <w:tblPrEx>
          <w:tblW w:w="0" w:type="auto"/>
          <w:tblLook w:val="04A0"/>
        </w:tblPrEx>
        <w:tc>
          <w:tcPr>
            <w:tcW w:w="4452" w:type="dxa"/>
            <w:tcBorders>
              <w:top w:val="single" w:sz="2" w:space="0" w:color="auto"/>
              <w:bottom w:val="single" w:sz="2" w:space="0" w:color="auto"/>
            </w:tcBorders>
            <w:shd w:val="clear" w:color="auto" w:fill="auto"/>
          </w:tcPr>
          <w:p w:rsidR="006701A1" w:rsidRPr="0046666B" w:rsidP="005B6FDA" w14:paraId="461E3F7D" w14:textId="77777777">
            <w:pPr>
              <w:pStyle w:val="TableTextLeft"/>
              <w:spacing w:before="20" w:after="20"/>
              <w:ind w:left="253"/>
              <w:rPr>
                <w:rFonts w:eastAsia="Calibri"/>
              </w:rPr>
            </w:pPr>
            <w:r w:rsidRPr="0046666B">
              <w:rPr>
                <w:rFonts w:eastAsia="Calibri"/>
              </w:rPr>
              <w:t>60% or more</w:t>
            </w:r>
          </w:p>
        </w:tc>
        <w:tc>
          <w:tcPr>
            <w:tcW w:w="1619" w:type="dxa"/>
            <w:tcBorders>
              <w:top w:val="single" w:sz="2" w:space="0" w:color="auto"/>
              <w:bottom w:val="single" w:sz="2" w:space="0" w:color="auto"/>
            </w:tcBorders>
            <w:shd w:val="clear" w:color="auto" w:fill="auto"/>
          </w:tcPr>
          <w:p w:rsidR="006701A1" w:rsidRPr="00A271FB" w:rsidP="005B6FDA" w14:paraId="11768A16" w14:textId="0283D2E1">
            <w:pPr>
              <w:pStyle w:val="TableTextLeft"/>
              <w:tabs>
                <w:tab w:val="decimal" w:pos="878"/>
              </w:tabs>
              <w:spacing w:before="20" w:after="20"/>
              <w:rPr>
                <w:rFonts w:eastAsia="Calibri"/>
              </w:rPr>
            </w:pPr>
            <w:r w:rsidRPr="00A271FB">
              <w:rPr>
                <w:rFonts w:eastAsia="Calibri"/>
              </w:rPr>
              <w:t>6,</w:t>
            </w:r>
            <w:r w:rsidRPr="00A271FB" w:rsidR="007C47F5">
              <w:rPr>
                <w:rFonts w:eastAsia="Calibri"/>
              </w:rPr>
              <w:t>29</w:t>
            </w:r>
            <w:r w:rsidRPr="00A271FB" w:rsidR="008622A8">
              <w:rPr>
                <w:rFonts w:eastAsia="Calibri"/>
              </w:rPr>
              <w:t>4</w:t>
            </w:r>
          </w:p>
        </w:tc>
        <w:tc>
          <w:tcPr>
            <w:tcW w:w="1486" w:type="dxa"/>
            <w:tcBorders>
              <w:top w:val="single" w:sz="2" w:space="0" w:color="auto"/>
              <w:bottom w:val="single" w:sz="2" w:space="0" w:color="auto"/>
            </w:tcBorders>
            <w:shd w:val="clear" w:color="auto" w:fill="auto"/>
          </w:tcPr>
          <w:p w:rsidR="006701A1" w:rsidRPr="00A271FB" w:rsidP="005B6FDA" w14:paraId="0B9C2225" w14:textId="159FFD90">
            <w:pPr>
              <w:pStyle w:val="TableTextLeft"/>
              <w:tabs>
                <w:tab w:val="decimal" w:pos="745"/>
              </w:tabs>
              <w:spacing w:before="20" w:after="20"/>
              <w:rPr>
                <w:rFonts w:eastAsia="Calibri"/>
              </w:rPr>
            </w:pPr>
            <w:r w:rsidRPr="00A271FB">
              <w:rPr>
                <w:rFonts w:eastAsia="Calibri"/>
              </w:rPr>
              <w:t>347</w:t>
            </w:r>
          </w:p>
        </w:tc>
        <w:tc>
          <w:tcPr>
            <w:tcW w:w="1803" w:type="dxa"/>
            <w:tcBorders>
              <w:top w:val="single" w:sz="2" w:space="0" w:color="auto"/>
              <w:bottom w:val="single" w:sz="2" w:space="0" w:color="auto"/>
            </w:tcBorders>
            <w:shd w:val="clear" w:color="auto" w:fill="auto"/>
          </w:tcPr>
          <w:p w:rsidR="006701A1" w:rsidRPr="00A271FB" w:rsidP="005B6FDA" w14:paraId="7FD6A919" w14:textId="77777777">
            <w:pPr>
              <w:pStyle w:val="TableTextLeft"/>
              <w:tabs>
                <w:tab w:val="decimal" w:pos="741"/>
              </w:tabs>
              <w:spacing w:before="20" w:after="20"/>
              <w:rPr>
                <w:rFonts w:eastAsia="Calibri"/>
              </w:rPr>
            </w:pPr>
            <w:r w:rsidRPr="00A271FB">
              <w:rPr>
                <w:rFonts w:eastAsia="Calibri"/>
              </w:rPr>
              <w:t>5.4</w:t>
            </w:r>
          </w:p>
        </w:tc>
      </w:tr>
    </w:tbl>
    <w:p w:rsidR="006701A1" w:rsidRPr="00ED7730" w:rsidP="00AD1F3A" w14:paraId="4BBA6DCB" w14:textId="5523A886">
      <w:pPr>
        <w:pStyle w:val="TableFootnote"/>
        <w:rPr>
          <w:rFonts w:eastAsia="Calibri"/>
        </w:rPr>
      </w:pPr>
      <w:r w:rsidRPr="001A718C">
        <w:rPr>
          <w:rFonts w:eastAsia="Calibri"/>
          <w:vertAlign w:val="superscript"/>
        </w:rPr>
        <w:t>a</w:t>
      </w:r>
      <w:r>
        <w:rPr>
          <w:rFonts w:eastAsia="Calibri"/>
          <w:vertAlign w:val="superscript"/>
        </w:rPr>
        <w:t xml:space="preserve"> </w:t>
      </w:r>
      <w:r w:rsidRPr="001A718C">
        <w:rPr>
          <w:rFonts w:eastAsia="Calibri"/>
        </w:rPr>
        <w:t xml:space="preserve">Target completes per </w:t>
      </w:r>
      <w:r>
        <w:rPr>
          <w:rFonts w:eastAsia="Calibri"/>
        </w:rPr>
        <w:t>period</w:t>
      </w:r>
      <w:r w:rsidRPr="001A718C">
        <w:rPr>
          <w:rFonts w:eastAsia="Calibri"/>
        </w:rPr>
        <w:t xml:space="preserve">. </w:t>
      </w:r>
    </w:p>
    <w:p w:rsidR="00AD1F3A" w:rsidRPr="001A718C" w:rsidP="00AD1F3A" w14:paraId="61DCC2A5" w14:textId="00E39DD1">
      <w:pPr>
        <w:pStyle w:val="TableFootnote"/>
        <w:rPr>
          <w:rFonts w:eastAsia="Calibri"/>
        </w:rPr>
      </w:pPr>
      <w:r>
        <w:rPr>
          <w:rFonts w:eastAsia="Calibri"/>
          <w:vertAlign w:val="superscript"/>
        </w:rPr>
        <w:t>b</w:t>
      </w:r>
      <w:r>
        <w:rPr>
          <w:rFonts w:eastAsia="Calibri"/>
          <w:vertAlign w:val="superscript"/>
        </w:rPr>
        <w:t xml:space="preserve"> </w:t>
      </w:r>
      <w:r w:rsidRPr="001A718C">
        <w:rPr>
          <w:rFonts w:eastAsia="Calibri"/>
        </w:rPr>
        <w:t>Incorporates a finite population correction factor and a design effect due to nonresponse adjustments of 1.1, plus design effects due to disproportionate sampling across strata (also about 1.1, for overall estimates; varying for different subgroups).</w:t>
      </w:r>
    </w:p>
    <w:p w:rsidR="007663B2" w:rsidRPr="008F0408" w:rsidP="00F632C9" w14:paraId="0B1D4425" w14:textId="6D33F951">
      <w:pPr>
        <w:spacing w:before="360" w:after="0" w:line="480" w:lineRule="auto"/>
        <w:ind w:firstLine="432"/>
      </w:pPr>
      <w:r>
        <w:rPr>
          <w:rFonts w:eastAsia="Calibri"/>
        </w:rPr>
        <w:t>T</w:t>
      </w:r>
      <w:r w:rsidRPr="001A718C">
        <w:rPr>
          <w:rFonts w:eastAsia="Calibri"/>
        </w:rPr>
        <w:t xml:space="preserve">he study team expects to be able to detect as significant (with α = 0.05 and 80 percent power) underlying differences of </w:t>
      </w:r>
      <w:r w:rsidRPr="00A271FB">
        <w:rPr>
          <w:rFonts w:eastAsia="Calibri"/>
        </w:rPr>
        <w:t>10 to 12 pp</w:t>
      </w:r>
      <w:r w:rsidRPr="001A718C">
        <w:rPr>
          <w:rFonts w:eastAsia="Calibri"/>
        </w:rPr>
        <w:t xml:space="preserve"> between SFA subgroups of </w:t>
      </w:r>
      <w:r w:rsidRPr="0006105B">
        <w:rPr>
          <w:rFonts w:eastAsia="Calibri"/>
        </w:rPr>
        <w:t xml:space="preserve">different sizes </w:t>
      </w:r>
      <w:r w:rsidRPr="0006105B" w:rsidR="00023DD4">
        <w:rPr>
          <w:rFonts w:eastAsia="Calibri"/>
        </w:rPr>
        <w:t xml:space="preserve">and </w:t>
      </w:r>
      <w:r w:rsidRPr="0006105B">
        <w:rPr>
          <w:rFonts w:eastAsia="Calibri"/>
        </w:rPr>
        <w:t>a difference of 10 pp between SFAs with above/below 60 percent F/RP enrollment. When comparing</w:t>
      </w:r>
      <w:r w:rsidRPr="001A718C">
        <w:rPr>
          <w:rFonts w:eastAsia="Calibri"/>
        </w:rPr>
        <w:t xml:space="preserve"> estimates from all SFAs between one study year and another, the </w:t>
      </w:r>
      <w:r>
        <w:rPr>
          <w:rFonts w:eastAsia="Calibri"/>
        </w:rPr>
        <w:t>study</w:t>
      </w:r>
      <w:r w:rsidRPr="001A718C">
        <w:rPr>
          <w:rFonts w:eastAsia="Calibri"/>
        </w:rPr>
        <w:t xml:space="preserve"> should have sufficient power with this design to detect differences as small as </w:t>
      </w:r>
      <w:r w:rsidRPr="00A271FB">
        <w:rPr>
          <w:rFonts w:eastAsia="Calibri"/>
        </w:rPr>
        <w:t>7.8 pp.</w:t>
      </w:r>
      <w:r>
        <w:rPr>
          <w:rFonts w:eastAsia="Calibri"/>
        </w:rPr>
        <w:t xml:space="preserve"> </w:t>
      </w:r>
    </w:p>
    <w:p w:rsidR="007663B2" w:rsidP="005B6FDA" w14:paraId="5F806227" w14:textId="7F2D625F">
      <w:pPr>
        <w:keepNext/>
        <w:spacing w:after="0" w:line="480" w:lineRule="auto"/>
      </w:pPr>
      <w:r w:rsidRPr="00523E1E">
        <w:rPr>
          <w:b/>
        </w:rPr>
        <w:t>Unusual Problems Requiring Specialized Sampling Procedures</w:t>
      </w:r>
      <w:r>
        <w:rPr>
          <w:b/>
        </w:rPr>
        <w:t>.</w:t>
      </w:r>
      <w:r w:rsidRPr="00523E1E">
        <w:t xml:space="preserve"> </w:t>
      </w:r>
    </w:p>
    <w:p w:rsidR="007277CD" w:rsidRPr="008F0408" w:rsidP="000C667C" w14:paraId="5A2A8E91" w14:textId="5398AB57">
      <w:pPr>
        <w:spacing w:line="480" w:lineRule="auto"/>
        <w:ind w:firstLine="432"/>
      </w:pPr>
      <w:r w:rsidRPr="00AD1F3A">
        <w:t>We do not anticipate any unusual problems requiring any specialized sampling procedures.</w:t>
      </w:r>
    </w:p>
    <w:p w:rsidR="007663B2" w:rsidP="00216789" w14:paraId="4328B2B9" w14:textId="5A85256E">
      <w:pPr>
        <w:pStyle w:val="ListParagraph"/>
        <w:spacing w:before="0" w:after="0" w:line="480" w:lineRule="auto"/>
        <w:ind w:left="0" w:firstLine="0"/>
        <w:rPr>
          <w:b/>
        </w:rPr>
      </w:pPr>
      <w:r>
        <w:rPr>
          <w:b/>
        </w:rPr>
        <w:t>Any u</w:t>
      </w:r>
      <w:r w:rsidRPr="00523E1E" w:rsidR="007277CD">
        <w:rPr>
          <w:b/>
        </w:rPr>
        <w:t>se of Periodic</w:t>
      </w:r>
      <w:r w:rsidR="009C055E">
        <w:rPr>
          <w:b/>
        </w:rPr>
        <w:t xml:space="preserve"> (Less Frequent than Annual)</w:t>
      </w:r>
      <w:r w:rsidRPr="00523E1E" w:rsidR="007277CD">
        <w:rPr>
          <w:b/>
        </w:rPr>
        <w:t xml:space="preserve"> Data Collection Cycles to Reduce Burden</w:t>
      </w:r>
      <w:r w:rsidR="007277CD">
        <w:rPr>
          <w:b/>
        </w:rPr>
        <w:t xml:space="preserve">. </w:t>
      </w:r>
    </w:p>
    <w:p w:rsidR="009375F2" w:rsidRPr="00942A6B" w:rsidP="000C667C" w14:paraId="5702112C" w14:textId="1D790974">
      <w:pPr>
        <w:spacing w:line="480" w:lineRule="auto"/>
        <w:ind w:firstLine="432"/>
      </w:pPr>
      <w:r>
        <w:rPr>
          <w:rFonts w:eastAsia="Calibri"/>
        </w:rPr>
        <w:t xml:space="preserve">In </w:t>
      </w:r>
      <w:r w:rsidR="00AF53B5">
        <w:rPr>
          <w:rFonts w:eastAsia="Calibri"/>
        </w:rPr>
        <w:t>SY</w:t>
      </w:r>
      <w:r>
        <w:rPr>
          <w:rFonts w:eastAsia="Calibri"/>
        </w:rPr>
        <w:t xml:space="preserve"> 202</w:t>
      </w:r>
      <w:r w:rsidR="00BC5109">
        <w:rPr>
          <w:rFonts w:eastAsia="Calibri"/>
        </w:rPr>
        <w:t>3</w:t>
      </w:r>
      <w:r>
        <w:rPr>
          <w:rFonts w:eastAsia="Calibri"/>
        </w:rPr>
        <w:t>-202</w:t>
      </w:r>
      <w:r w:rsidR="00BC5109">
        <w:rPr>
          <w:rFonts w:eastAsia="Calibri"/>
        </w:rPr>
        <w:t>4</w:t>
      </w:r>
      <w:r>
        <w:rPr>
          <w:rFonts w:eastAsia="Calibri"/>
        </w:rPr>
        <w:t>, t</w:t>
      </w:r>
      <w:r w:rsidRPr="00C272E3" w:rsidR="000F2DBA">
        <w:rPr>
          <w:rFonts w:eastAsia="Calibri"/>
        </w:rPr>
        <w:t xml:space="preserve">he </w:t>
      </w:r>
      <w:r w:rsidR="00D41269">
        <w:rPr>
          <w:rFonts w:eastAsia="Calibri"/>
        </w:rPr>
        <w:t xml:space="preserve">State </w:t>
      </w:r>
      <w:r>
        <w:rPr>
          <w:rFonts w:eastAsia="Calibri"/>
        </w:rPr>
        <w:t xml:space="preserve">survey </w:t>
      </w:r>
      <w:r w:rsidRPr="000C667C" w:rsidR="000F2DBA">
        <w:rPr>
          <w:rFonts w:cstheme="minorHAnsi"/>
        </w:rPr>
        <w:t>data</w:t>
      </w:r>
      <w:r w:rsidRPr="00C272E3" w:rsidR="000F2DBA">
        <w:rPr>
          <w:rFonts w:eastAsia="Calibri"/>
        </w:rPr>
        <w:t xml:space="preserve"> collection procedure will be </w:t>
      </w:r>
      <w:r w:rsidRPr="00C272E3">
        <w:rPr>
          <w:rFonts w:eastAsia="Calibri"/>
        </w:rPr>
        <w:t>conducted</w:t>
      </w:r>
      <w:r>
        <w:rPr>
          <w:rFonts w:eastAsia="Calibri"/>
        </w:rPr>
        <w:t xml:space="preserve"> </w:t>
      </w:r>
      <w:r w:rsidR="00BC5109">
        <w:rPr>
          <w:rFonts w:eastAsia="Calibri"/>
        </w:rPr>
        <w:t xml:space="preserve">in </w:t>
      </w:r>
      <w:r>
        <w:rPr>
          <w:rFonts w:eastAsia="Calibri"/>
        </w:rPr>
        <w:t>fall 202</w:t>
      </w:r>
      <w:r w:rsidR="00BC5109">
        <w:rPr>
          <w:rFonts w:eastAsia="Calibri"/>
        </w:rPr>
        <w:t>3</w:t>
      </w:r>
      <w:r w:rsidR="00A46153">
        <w:rPr>
          <w:rFonts w:eastAsia="Calibri"/>
        </w:rPr>
        <w:t xml:space="preserve"> and focus on SY 2022-2023</w:t>
      </w:r>
      <w:r w:rsidR="00597E2E">
        <w:rPr>
          <w:rFonts w:eastAsia="Calibri"/>
        </w:rPr>
        <w:t xml:space="preserve"> operations</w:t>
      </w:r>
      <w:r w:rsidR="00A46153">
        <w:rPr>
          <w:rFonts w:eastAsia="Calibri"/>
        </w:rPr>
        <w:t>. T</w:t>
      </w:r>
      <w:r w:rsidR="00D41269">
        <w:rPr>
          <w:rFonts w:eastAsia="Calibri"/>
        </w:rPr>
        <w:t>he administrative data collection procedure</w:t>
      </w:r>
      <w:r w:rsidR="007A1932">
        <w:rPr>
          <w:rFonts w:eastAsia="Calibri"/>
        </w:rPr>
        <w:t>s</w:t>
      </w:r>
      <w:r w:rsidR="00D41269">
        <w:rPr>
          <w:rFonts w:eastAsia="Calibri"/>
        </w:rPr>
        <w:t xml:space="preserve"> will be conducted</w:t>
      </w:r>
      <w:r w:rsidR="00A7388E">
        <w:rPr>
          <w:rFonts w:eastAsia="Calibri"/>
        </w:rPr>
        <w:t xml:space="preserve"> in spring</w:t>
      </w:r>
      <w:r w:rsidR="00D41269">
        <w:rPr>
          <w:rFonts w:eastAsia="Calibri"/>
        </w:rPr>
        <w:t xml:space="preserve"> 202</w:t>
      </w:r>
      <w:r w:rsidR="00BC5109">
        <w:rPr>
          <w:rFonts w:eastAsia="Calibri"/>
        </w:rPr>
        <w:t>4</w:t>
      </w:r>
      <w:r w:rsidR="00A46153">
        <w:rPr>
          <w:rFonts w:eastAsia="Calibri"/>
        </w:rPr>
        <w:t xml:space="preserve"> and </w:t>
      </w:r>
      <w:r w:rsidR="005A2417">
        <w:rPr>
          <w:rFonts w:eastAsia="Calibri"/>
        </w:rPr>
        <w:t xml:space="preserve">cover FY </w:t>
      </w:r>
      <w:r w:rsidR="00D70AD1">
        <w:rPr>
          <w:rFonts w:eastAsia="Calibri"/>
        </w:rPr>
        <w:t>20</w:t>
      </w:r>
      <w:r w:rsidR="005A2417">
        <w:rPr>
          <w:rFonts w:eastAsia="Calibri"/>
        </w:rPr>
        <w:t>2</w:t>
      </w:r>
      <w:r w:rsidR="00BC5109">
        <w:rPr>
          <w:rFonts w:eastAsia="Calibri"/>
        </w:rPr>
        <w:t>3</w:t>
      </w:r>
      <w:r w:rsidR="00D41269">
        <w:rPr>
          <w:rFonts w:eastAsia="Calibri"/>
        </w:rPr>
        <w:t xml:space="preserve">. </w:t>
      </w:r>
      <w:r w:rsidR="009818AB">
        <w:rPr>
          <w:rFonts w:eastAsia="Calibri"/>
        </w:rPr>
        <w:t>Also,</w:t>
      </w:r>
      <w:r w:rsidR="007A1932">
        <w:rPr>
          <w:rFonts w:eastAsia="Calibri"/>
        </w:rPr>
        <w:t xml:space="preserve"> </w:t>
      </w:r>
      <w:r w:rsidR="00D41269">
        <w:rPr>
          <w:rFonts w:eastAsia="Calibri"/>
        </w:rPr>
        <w:t>t</w:t>
      </w:r>
      <w:r>
        <w:rPr>
          <w:rFonts w:eastAsia="Calibri"/>
        </w:rPr>
        <w:t>he SFA survey data collection procedure</w:t>
      </w:r>
      <w:r w:rsidR="007A1932">
        <w:rPr>
          <w:rFonts w:eastAsia="Calibri"/>
        </w:rPr>
        <w:t>s</w:t>
      </w:r>
      <w:r>
        <w:rPr>
          <w:rFonts w:eastAsia="Calibri"/>
        </w:rPr>
        <w:t xml:space="preserve"> will be conducted in </w:t>
      </w:r>
      <w:r w:rsidR="00D066E6">
        <w:rPr>
          <w:rFonts w:eastAsia="Calibri"/>
        </w:rPr>
        <w:t>SY 2023-2024</w:t>
      </w:r>
      <w:r w:rsidR="00A7388E">
        <w:rPr>
          <w:rFonts w:eastAsia="Calibri"/>
        </w:rPr>
        <w:t xml:space="preserve"> and</w:t>
      </w:r>
      <w:r w:rsidR="00A46153">
        <w:rPr>
          <w:rFonts w:eastAsia="Calibri"/>
        </w:rPr>
        <w:t xml:space="preserve"> focus on SY 2022-2023</w:t>
      </w:r>
      <w:r w:rsidR="00597E2E">
        <w:rPr>
          <w:rFonts w:eastAsia="Calibri"/>
        </w:rPr>
        <w:t xml:space="preserve"> operations</w:t>
      </w:r>
      <w:r w:rsidRPr="00205E46" w:rsidR="00205E46">
        <w:rPr>
          <w:rFonts w:eastAsia="Calibri"/>
        </w:rPr>
        <w:t xml:space="preserve">. </w:t>
      </w:r>
      <w:r w:rsidRPr="00C272E3" w:rsidR="00C95122">
        <w:rPr>
          <w:rFonts w:eastAsia="Calibri"/>
        </w:rPr>
        <w:t xml:space="preserve">Concern regarding the periodicity of data collection cycles is </w:t>
      </w:r>
      <w:r w:rsidR="007A1932">
        <w:rPr>
          <w:rFonts w:eastAsia="Calibri"/>
        </w:rPr>
        <w:t xml:space="preserve">generally </w:t>
      </w:r>
      <w:r w:rsidRPr="00C272E3" w:rsidR="00C95122">
        <w:rPr>
          <w:rFonts w:eastAsia="Calibri"/>
        </w:rPr>
        <w:t>not applicable</w:t>
      </w:r>
      <w:r w:rsidR="00581F85">
        <w:rPr>
          <w:rFonts w:eastAsia="Calibri"/>
        </w:rPr>
        <w:t xml:space="preserve">. </w:t>
      </w:r>
    </w:p>
    <w:p w:rsidR="00DB36E3" w:rsidRPr="00DB36E3" w:rsidP="00DB36E3" w14:paraId="6262CDD4" w14:textId="423ED8AF">
      <w:pPr>
        <w:pStyle w:val="H1"/>
        <w:tabs>
          <w:tab w:val="clear" w:pos="432"/>
          <w:tab w:val="left" w:pos="540"/>
        </w:tabs>
        <w:ind w:left="540" w:hanging="540"/>
        <w:rPr>
          <w:rFonts w:eastAsia="Calibri"/>
        </w:rPr>
      </w:pPr>
      <w:bookmarkStart w:id="29" w:name="_Toc133502227"/>
      <w:r>
        <w:t>B3.</w:t>
      </w:r>
      <w:r>
        <w:tab/>
      </w:r>
      <w:r w:rsidRPr="00DB36E3">
        <w:t>Methods to Maximize the Response Rates and to Deal with Nonresponse</w:t>
      </w:r>
      <w:bookmarkEnd w:id="29"/>
    </w:p>
    <w:p w:rsidR="00AB343E" w:rsidRPr="00173986" w:rsidP="00DA5BC3" w14:paraId="559FE069" w14:textId="17439657">
      <w:pPr>
        <w:spacing w:line="240" w:lineRule="auto"/>
        <w:ind w:right="-20"/>
        <w:rPr>
          <w:rFonts w:cstheme="minorHAnsi"/>
          <w:b/>
          <w:bCs/>
          <w:szCs w:val="24"/>
        </w:rPr>
      </w:pPr>
      <w:r w:rsidRPr="00DB300F">
        <w:rPr>
          <w:rFonts w:cstheme="minorHAnsi"/>
          <w:b/>
          <w:bCs/>
          <w:szCs w:val="24"/>
        </w:rPr>
        <w:t xml:space="preserve">Describe methods to maximize response rates and to deal with issues of non-response. The accuracy and reliability of information collected must be shown to be adequate for intended </w:t>
      </w:r>
      <w:r w:rsidRPr="00DB300F">
        <w:rPr>
          <w:rFonts w:cstheme="minorHAnsi"/>
          <w:b/>
          <w:bCs/>
          <w:szCs w:val="24"/>
        </w:rPr>
        <w:t xml:space="preserve">uses. For collections based on sampling, a special justification must be provided for any collection that will not yield "reliable" data that can be generalized to the universe studied. </w:t>
      </w:r>
    </w:p>
    <w:p w:rsidR="00AB343E" w:rsidRPr="0050075C" w:rsidP="00DB300F" w14:paraId="7170F349" w14:textId="53753C05">
      <w:pPr>
        <w:spacing w:line="480" w:lineRule="auto"/>
        <w:ind w:firstLine="432"/>
        <w:rPr>
          <w:rFonts w:cstheme="minorHAnsi"/>
        </w:rPr>
      </w:pPr>
      <w:r w:rsidRPr="0009346C">
        <w:rPr>
          <w:rFonts w:cstheme="minorHAnsi"/>
        </w:rPr>
        <w:t xml:space="preserve">The study is expected to achieve an </w:t>
      </w:r>
      <w:r w:rsidRPr="00D066E6">
        <w:rPr>
          <w:rFonts w:cstheme="minorHAnsi"/>
        </w:rPr>
        <w:t>80</w:t>
      </w:r>
      <w:r w:rsidRPr="0009346C">
        <w:rPr>
          <w:rFonts w:cstheme="minorHAnsi"/>
        </w:rPr>
        <w:t xml:space="preserve"> percent response rate for the SFA web survey and 100 percent for the SA web survey and administrative data request. </w:t>
      </w:r>
      <w:r w:rsidRPr="0067604C" w:rsidR="0067604C">
        <w:rPr>
          <w:rFonts w:cstheme="minorHAnsi"/>
        </w:rPr>
        <w:t>This means that the data collected</w:t>
      </w:r>
      <w:r w:rsidR="0067604C">
        <w:rPr>
          <w:rFonts w:cstheme="minorHAnsi"/>
        </w:rPr>
        <w:t xml:space="preserve"> from States</w:t>
      </w:r>
      <w:r w:rsidRPr="0067604C" w:rsidR="0067604C">
        <w:rPr>
          <w:rFonts w:cstheme="minorHAnsi"/>
        </w:rPr>
        <w:t xml:space="preserve"> will represent the entire universe of State CN Directors</w:t>
      </w:r>
      <w:r w:rsidR="00581F85">
        <w:rPr>
          <w:rFonts w:cstheme="minorHAnsi"/>
        </w:rPr>
        <w:t>,</w:t>
      </w:r>
      <w:r w:rsidRPr="0067604C" w:rsidR="0067604C">
        <w:rPr>
          <w:rFonts w:cstheme="minorHAnsi"/>
        </w:rPr>
        <w:t xml:space="preserve"> and rather than providing estimates to answer the research questions, we will be able to provide actual population totals. Thus, these data will provide reliable answers to the study’s research questions that represent the full population</w:t>
      </w:r>
      <w:r w:rsidR="00AF53B5">
        <w:rPr>
          <w:rFonts w:cstheme="minorHAnsi"/>
        </w:rPr>
        <w:t xml:space="preserve">. </w:t>
      </w:r>
      <w:r w:rsidRPr="002774E2" w:rsidR="002774E2">
        <w:rPr>
          <w:rFonts w:cstheme="minorHAnsi"/>
        </w:rPr>
        <w:t>Achieving the specified response rate involves contacting the States</w:t>
      </w:r>
      <w:r w:rsidRPr="0009346C">
        <w:t xml:space="preserve"> </w:t>
      </w:r>
      <w:r w:rsidRPr="0009346C">
        <w:rPr>
          <w:rFonts w:cstheme="minorHAnsi"/>
        </w:rPr>
        <w:t>and selected SFAs</w:t>
      </w:r>
      <w:r w:rsidRPr="002774E2" w:rsidR="002774E2">
        <w:rPr>
          <w:rFonts w:cstheme="minorHAnsi"/>
        </w:rPr>
        <w:t xml:space="preserve">, securing their participation in the </w:t>
      </w:r>
      <w:r w:rsidR="00422CCB">
        <w:rPr>
          <w:rFonts w:cstheme="minorHAnsi"/>
        </w:rPr>
        <w:t>study</w:t>
      </w:r>
      <w:r w:rsidRPr="002774E2" w:rsidR="002774E2">
        <w:rPr>
          <w:rFonts w:cstheme="minorHAnsi"/>
        </w:rPr>
        <w:t>, and then offering support and completion reminders.</w:t>
      </w:r>
      <w:r w:rsidR="00422CCB">
        <w:rPr>
          <w:rFonts w:cstheme="minorHAnsi"/>
        </w:rPr>
        <w:t xml:space="preserve"> </w:t>
      </w:r>
      <w:r w:rsidR="00A663A2">
        <w:rPr>
          <w:rFonts w:cstheme="minorHAnsi"/>
        </w:rPr>
        <w:t xml:space="preserve">The study team will use </w:t>
      </w:r>
      <w:r w:rsidR="00422CCB">
        <w:rPr>
          <w:rFonts w:cstheme="minorHAnsi"/>
        </w:rPr>
        <w:t xml:space="preserve">the following </w:t>
      </w:r>
      <w:r w:rsidRPr="0050075C">
        <w:rPr>
          <w:rFonts w:cstheme="minorHAnsi"/>
        </w:rPr>
        <w:t>methods to maximize participation and reduce nonresponse</w:t>
      </w:r>
      <w:r w:rsidR="005B74CE">
        <w:rPr>
          <w:rFonts w:cstheme="minorHAnsi"/>
        </w:rPr>
        <w:t>:</w:t>
      </w:r>
    </w:p>
    <w:p w:rsidR="00AF53B5" w:rsidP="00570970" w14:paraId="31DEA945" w14:textId="0353FC26">
      <w:pPr>
        <w:pStyle w:val="ListBullet"/>
        <w:spacing w:line="480" w:lineRule="auto"/>
      </w:pPr>
      <w:bookmarkStart w:id="30" w:name="_Hlk30081070"/>
      <w:r w:rsidRPr="00AF53B5">
        <w:t xml:space="preserve">FNS headquarters will </w:t>
      </w:r>
      <w:r>
        <w:t>notify</w:t>
      </w:r>
      <w:r w:rsidR="00BC1E99">
        <w:t xml:space="preserve"> (Appendix G.1)</w:t>
      </w:r>
      <w:r>
        <w:t xml:space="preserve"> the</w:t>
      </w:r>
      <w:r w:rsidRPr="00AF53B5">
        <w:t xml:space="preserve"> FNS Regional Offices </w:t>
      </w:r>
      <w:r>
        <w:t xml:space="preserve">about </w:t>
      </w:r>
      <w:r w:rsidRPr="00AF53B5">
        <w:t xml:space="preserve">SMO data collection activities </w:t>
      </w:r>
      <w:r w:rsidR="001078C6">
        <w:t>during</w:t>
      </w:r>
      <w:r w:rsidRPr="00AF53B5" w:rsidR="001078C6">
        <w:t xml:space="preserve"> </w:t>
      </w:r>
      <w:r>
        <w:t>SY</w:t>
      </w:r>
      <w:r w:rsidRPr="00AF53B5">
        <w:t xml:space="preserve"> 202</w:t>
      </w:r>
      <w:r w:rsidR="00BC5109">
        <w:t>3</w:t>
      </w:r>
      <w:r w:rsidRPr="00AF53B5">
        <w:t>-202</w:t>
      </w:r>
      <w:r w:rsidR="00BC5109">
        <w:t>4</w:t>
      </w:r>
      <w:r w:rsidR="001078C6">
        <w:t>, focusing on SY 2022-2023</w:t>
      </w:r>
      <w:r w:rsidR="00597E2E">
        <w:t xml:space="preserve"> operations</w:t>
      </w:r>
      <w:r w:rsidR="001078C6">
        <w:t>,</w:t>
      </w:r>
      <w:r w:rsidRPr="00AF53B5">
        <w:t xml:space="preserve"> and ask FNS Regional Office staff to inform S</w:t>
      </w:r>
      <w:r w:rsidR="00925D01">
        <w:t>tate agencies</w:t>
      </w:r>
      <w:r w:rsidRPr="00AF53B5">
        <w:t xml:space="preserve"> about the upcoming data collections.</w:t>
      </w:r>
    </w:p>
    <w:p w:rsidR="00B2765B" w:rsidP="00570970" w14:paraId="5AF75682" w14:textId="5BFEE1D0">
      <w:pPr>
        <w:pStyle w:val="ListBullet"/>
        <w:spacing w:line="480" w:lineRule="auto"/>
      </w:pPr>
      <w:r>
        <w:t>A</w:t>
      </w:r>
      <w:r w:rsidRPr="00CA4264">
        <w:t xml:space="preserve">ll FNS Regional Offices will send the Study Support Email from FNS </w:t>
      </w:r>
      <w:r w:rsidR="00CC3A47">
        <w:t>R</w:t>
      </w:r>
      <w:r w:rsidR="00BC5109">
        <w:t xml:space="preserve">egional </w:t>
      </w:r>
      <w:r w:rsidR="00CC3A47">
        <w:t>O</w:t>
      </w:r>
      <w:r w:rsidR="00BC5109">
        <w:t>ffices</w:t>
      </w:r>
      <w:r w:rsidRPr="00CA4264">
        <w:t xml:space="preserve"> to </w:t>
      </w:r>
      <w:r w:rsidR="00CC3A47">
        <w:t>S</w:t>
      </w:r>
      <w:r w:rsidR="00BC5109">
        <w:t xml:space="preserve">tate </w:t>
      </w:r>
      <w:r w:rsidR="00CC3A47">
        <w:t>A</w:t>
      </w:r>
      <w:r w:rsidR="00BC5109">
        <w:t>gencies</w:t>
      </w:r>
      <w:r w:rsidRPr="00CA4264">
        <w:t xml:space="preserve"> (Appendix </w:t>
      </w:r>
      <w:r w:rsidR="00D95EDE">
        <w:t>G.</w:t>
      </w:r>
      <w:r w:rsidR="00BC1E99">
        <w:t>2</w:t>
      </w:r>
      <w:r w:rsidRPr="00CA4264">
        <w:t>)</w:t>
      </w:r>
      <w:r w:rsidRPr="00B2765B">
        <w:t xml:space="preserve"> to </w:t>
      </w:r>
      <w:r w:rsidR="000A2A1C">
        <w:t xml:space="preserve">CN </w:t>
      </w:r>
      <w:r w:rsidR="00FF5155">
        <w:t>D</w:t>
      </w:r>
      <w:r w:rsidR="000A2A1C">
        <w:t>irectors</w:t>
      </w:r>
      <w:r>
        <w:t xml:space="preserve"> to encourage participation in the study</w:t>
      </w:r>
      <w:r w:rsidRPr="00B2765B">
        <w:t xml:space="preserve">. </w:t>
      </w:r>
      <w:r w:rsidR="00D669A3">
        <w:t xml:space="preserve">Also, the </w:t>
      </w:r>
      <w:r w:rsidR="00610C92">
        <w:t xml:space="preserve">study </w:t>
      </w:r>
      <w:r w:rsidR="00D669A3">
        <w:t>team will copy the Regional Offices on communications with the S</w:t>
      </w:r>
      <w:r w:rsidR="00925D01">
        <w:t>tate agencies</w:t>
      </w:r>
      <w:r w:rsidR="00D669A3">
        <w:t xml:space="preserve"> to promote participation and response. </w:t>
      </w:r>
    </w:p>
    <w:p w:rsidR="000A2A1C" w:rsidP="00570970" w14:paraId="5F9D687E" w14:textId="5BAB28D7">
      <w:pPr>
        <w:pStyle w:val="ListBullet"/>
        <w:spacing w:line="480" w:lineRule="auto"/>
      </w:pPr>
      <w:r>
        <w:t xml:space="preserve">The study team will </w:t>
      </w:r>
      <w:r w:rsidR="008A1C97">
        <w:t>send</w:t>
      </w:r>
      <w:r>
        <w:t xml:space="preserve"> a</w:t>
      </w:r>
      <w:r w:rsidRPr="00610C92">
        <w:t xml:space="preserve">ll State CN </w:t>
      </w:r>
      <w:r w:rsidR="00FF5155">
        <w:t>D</w:t>
      </w:r>
      <w:r w:rsidRPr="00610C92">
        <w:t xml:space="preserve">irectors the </w:t>
      </w:r>
      <w:r w:rsidR="00CC3A47">
        <w:t>S</w:t>
      </w:r>
      <w:r w:rsidR="00BC5109">
        <w:t xml:space="preserve">tate </w:t>
      </w:r>
      <w:r w:rsidR="00CC3A47">
        <w:t>A</w:t>
      </w:r>
      <w:r w:rsidR="00BC5109">
        <w:t>gency</w:t>
      </w:r>
      <w:r w:rsidRPr="00610C92">
        <w:t xml:space="preserve"> Advance </w:t>
      </w:r>
      <w:r w:rsidR="001326FC">
        <w:t>email</w:t>
      </w:r>
      <w:r w:rsidRPr="00610C92" w:rsidR="001326FC">
        <w:t xml:space="preserve"> </w:t>
      </w:r>
      <w:r w:rsidRPr="00610C92">
        <w:t xml:space="preserve">(Appendix </w:t>
      </w:r>
      <w:r w:rsidR="00D95EDE">
        <w:t>G</w:t>
      </w:r>
      <w:r w:rsidRPr="00610C92">
        <w:t>.</w:t>
      </w:r>
      <w:r w:rsidR="00BC1E99">
        <w:t>3</w:t>
      </w:r>
      <w:r w:rsidRPr="00610C92">
        <w:t>) and Brochure (</w:t>
      </w:r>
      <w:r w:rsidR="00D24BD5">
        <w:t xml:space="preserve">Appendix </w:t>
      </w:r>
      <w:r w:rsidR="00D95EDE">
        <w:t>G</w:t>
      </w:r>
      <w:r w:rsidRPr="00610C92">
        <w:t>.</w:t>
      </w:r>
      <w:r w:rsidR="00BC1E99">
        <w:t>4</w:t>
      </w:r>
      <w:r w:rsidRPr="00610C92">
        <w:t>)</w:t>
      </w:r>
      <w:r w:rsidR="00694A45">
        <w:t xml:space="preserve"> prior to </w:t>
      </w:r>
      <w:r w:rsidR="00A01F42">
        <w:t xml:space="preserve">fielding the </w:t>
      </w:r>
      <w:r w:rsidR="00694A45">
        <w:t>survey</w:t>
      </w:r>
      <w:r w:rsidR="0084073D">
        <w:t>,</w:t>
      </w:r>
      <w:r w:rsidRPr="00610C92">
        <w:t xml:space="preserve"> </w:t>
      </w:r>
      <w:r w:rsidR="00C27C4A">
        <w:t>which</w:t>
      </w:r>
      <w:r w:rsidRPr="00610C92" w:rsidR="00C27C4A">
        <w:t xml:space="preserve"> </w:t>
      </w:r>
      <w:r w:rsidRPr="00610C92">
        <w:t>explain the purpose of the study and describe study activities</w:t>
      </w:r>
      <w:r w:rsidR="009E40F4">
        <w:t xml:space="preserve">. </w:t>
      </w:r>
      <w:r w:rsidR="00D0000C">
        <w:t xml:space="preserve">The </w:t>
      </w:r>
      <w:r w:rsidR="009E40F4">
        <w:t xml:space="preserve">email </w:t>
      </w:r>
      <w:r w:rsidR="00E856AF">
        <w:t>will</w:t>
      </w:r>
      <w:r w:rsidR="0084073D">
        <w:t xml:space="preserve"> provide </w:t>
      </w:r>
      <w:r w:rsidRPr="000F3CF4" w:rsidR="000F3CF4">
        <w:t xml:space="preserve">State CN </w:t>
      </w:r>
      <w:r w:rsidR="00FF5155">
        <w:t>D</w:t>
      </w:r>
      <w:r w:rsidRPr="000F3CF4" w:rsidR="000F3CF4">
        <w:t>irectors</w:t>
      </w:r>
      <w:r w:rsidRPr="0084073D" w:rsidR="0084073D">
        <w:t xml:space="preserve"> with notice </w:t>
      </w:r>
      <w:r w:rsidR="0084073D">
        <w:t xml:space="preserve">that </w:t>
      </w:r>
      <w:r w:rsidR="002F7E12">
        <w:t>they will be invited to respond to a survey</w:t>
      </w:r>
      <w:r w:rsidR="004E520C">
        <w:t xml:space="preserve"> and provide administrative data</w:t>
      </w:r>
      <w:r w:rsidR="00BC1E99">
        <w:t xml:space="preserve"> in order to fulfill their statutory reporting requirements on the nationwide FFCRA waivers</w:t>
      </w:r>
      <w:r w:rsidRPr="00610C92">
        <w:t>.</w:t>
      </w:r>
      <w:r w:rsidRPr="001326FC" w:rsidR="001326FC">
        <w:t xml:space="preserve"> </w:t>
      </w:r>
      <w:r w:rsidR="00866C06">
        <w:t xml:space="preserve">In addition, </w:t>
      </w:r>
      <w:r w:rsidR="00866C06">
        <w:t>t</w:t>
      </w:r>
      <w:r w:rsidR="00E856AF">
        <w:t>he email sent p</w:t>
      </w:r>
      <w:r w:rsidR="009E40F4">
        <w:t xml:space="preserve">rior to the </w:t>
      </w:r>
      <w:r w:rsidR="00A46153">
        <w:t>SFA survey</w:t>
      </w:r>
      <w:r w:rsidR="001078C6">
        <w:t>,</w:t>
      </w:r>
      <w:r w:rsidR="00E856AF">
        <w:t xml:space="preserve"> </w:t>
      </w:r>
      <w:r w:rsidR="00D0000C">
        <w:t>will in</w:t>
      </w:r>
      <w:r w:rsidR="00E856AF">
        <w:t>dicate</w:t>
      </w:r>
      <w:r w:rsidR="00D0000C">
        <w:t xml:space="preserve"> </w:t>
      </w:r>
      <w:r w:rsidRPr="001326FC" w:rsidR="001326FC">
        <w:t>that the study team will soon contact selected SFAs and</w:t>
      </w:r>
      <w:r w:rsidR="00E856AF">
        <w:t xml:space="preserve"> will</w:t>
      </w:r>
      <w:r w:rsidRPr="001326FC" w:rsidR="001326FC">
        <w:t xml:space="preserve"> </w:t>
      </w:r>
      <w:r w:rsidR="00C451B3">
        <w:t>ask</w:t>
      </w:r>
      <w:r w:rsidR="00D0000C">
        <w:t xml:space="preserve"> </w:t>
      </w:r>
      <w:r w:rsidR="00E856AF">
        <w:t xml:space="preserve">State CN </w:t>
      </w:r>
      <w:r w:rsidR="00FF5155">
        <w:t>D</w:t>
      </w:r>
      <w:r w:rsidR="00E856AF">
        <w:t xml:space="preserve">irectors </w:t>
      </w:r>
      <w:r w:rsidR="00C451B3">
        <w:t>to</w:t>
      </w:r>
      <w:r w:rsidRPr="001326FC" w:rsidR="001326FC">
        <w:t xml:space="preserve"> promote cooperation by sending the Study Support Email from </w:t>
      </w:r>
      <w:r w:rsidR="00DB58AB">
        <w:t>S</w:t>
      </w:r>
      <w:r w:rsidR="00BC5109">
        <w:t xml:space="preserve">tate </w:t>
      </w:r>
      <w:r w:rsidR="00DB58AB">
        <w:t>A</w:t>
      </w:r>
      <w:r w:rsidR="00BC5109">
        <w:t>gencies</w:t>
      </w:r>
      <w:r w:rsidRPr="001326FC" w:rsidR="001326FC">
        <w:t xml:space="preserve"> to </w:t>
      </w:r>
      <w:r w:rsidR="00DB58AB">
        <w:t>SFA</w:t>
      </w:r>
      <w:r w:rsidR="00BC5109">
        <w:t>s</w:t>
      </w:r>
      <w:r w:rsidRPr="001326FC" w:rsidR="001326FC">
        <w:t xml:space="preserve"> (Appendix G.</w:t>
      </w:r>
      <w:r w:rsidR="00BC1E99">
        <w:t>10</w:t>
      </w:r>
      <w:r w:rsidRPr="001326FC" w:rsidR="001326FC">
        <w:t xml:space="preserve">) to SFA </w:t>
      </w:r>
      <w:r w:rsidR="00FF5155">
        <w:t>D</w:t>
      </w:r>
      <w:r w:rsidRPr="001326FC" w:rsidR="001326FC">
        <w:t>irectors</w:t>
      </w:r>
      <w:r w:rsidR="00C451B3">
        <w:t>.</w:t>
      </w:r>
    </w:p>
    <w:p w:rsidR="00944DA3" w:rsidRPr="00ED7730" w:rsidP="00570970" w14:paraId="72132E3A" w14:textId="3491F987">
      <w:pPr>
        <w:pStyle w:val="ListBullet"/>
        <w:spacing w:line="480" w:lineRule="auto"/>
      </w:pPr>
      <w:r>
        <w:t>The study team will hold telephone meetings with S</w:t>
      </w:r>
      <w:r w:rsidR="00925D01">
        <w:t>tate agencies</w:t>
      </w:r>
      <w:r w:rsidR="000419DA">
        <w:t xml:space="preserve"> </w:t>
      </w:r>
      <w:r w:rsidR="00581F85">
        <w:t xml:space="preserve">to </w:t>
      </w:r>
      <w:r w:rsidR="00FA377E">
        <w:t>discuss the administrative data requests (Appendices E.1-E.3)</w:t>
      </w:r>
      <w:r>
        <w:t xml:space="preserve"> using the Telephone Meeting </w:t>
      </w:r>
      <w:r w:rsidR="00BF0C54">
        <w:t xml:space="preserve">Advance Email and </w:t>
      </w:r>
      <w:r w:rsidR="009A06FA">
        <w:t xml:space="preserve">Telephone </w:t>
      </w:r>
      <w:r>
        <w:t xml:space="preserve">Script (Appendix </w:t>
      </w:r>
      <w:r w:rsidR="00BC1E99">
        <w:t>G.5</w:t>
      </w:r>
      <w:r>
        <w:t>)</w:t>
      </w:r>
      <w:r w:rsidR="00532E90">
        <w:t xml:space="preserve">. </w:t>
      </w:r>
      <w:r w:rsidR="00532E90">
        <w:rPr>
          <w:szCs w:val="24"/>
        </w:rPr>
        <w:t xml:space="preserve">Because the </w:t>
      </w:r>
      <w:r w:rsidR="00081E39">
        <w:rPr>
          <w:szCs w:val="24"/>
        </w:rPr>
        <w:t xml:space="preserve">FY </w:t>
      </w:r>
      <w:r w:rsidR="00532E90">
        <w:rPr>
          <w:szCs w:val="24"/>
        </w:rPr>
        <w:t>202</w:t>
      </w:r>
      <w:r w:rsidR="009A06FA">
        <w:rPr>
          <w:szCs w:val="24"/>
        </w:rPr>
        <w:t>3</w:t>
      </w:r>
      <w:r w:rsidR="00081E39">
        <w:rPr>
          <w:szCs w:val="24"/>
        </w:rPr>
        <w:t xml:space="preserve">administrative </w:t>
      </w:r>
      <w:r w:rsidR="00532E90">
        <w:rPr>
          <w:szCs w:val="24"/>
        </w:rPr>
        <w:t xml:space="preserve">data requests will be generally the same as the </w:t>
      </w:r>
      <w:r w:rsidR="00597E2E">
        <w:rPr>
          <w:szCs w:val="24"/>
        </w:rPr>
        <w:t>most recent data collection</w:t>
      </w:r>
      <w:r w:rsidR="00532E90">
        <w:rPr>
          <w:szCs w:val="24"/>
        </w:rPr>
        <w:t>,</w:t>
      </w:r>
      <w:r w:rsidRPr="000419DA" w:rsidR="000419DA">
        <w:t xml:space="preserve"> </w:t>
      </w:r>
      <w:r w:rsidRPr="000419DA" w:rsidR="000419DA">
        <w:rPr>
          <w:szCs w:val="24"/>
        </w:rPr>
        <w:t>it is expected that S</w:t>
      </w:r>
      <w:r w:rsidR="00925D01">
        <w:rPr>
          <w:szCs w:val="24"/>
        </w:rPr>
        <w:t>tate agencies</w:t>
      </w:r>
      <w:r w:rsidRPr="000419DA" w:rsidR="000419DA">
        <w:rPr>
          <w:szCs w:val="24"/>
        </w:rPr>
        <w:t xml:space="preserve"> will be familiar with the request</w:t>
      </w:r>
      <w:r w:rsidR="000419DA">
        <w:rPr>
          <w:szCs w:val="24"/>
        </w:rPr>
        <w:t>.</w:t>
      </w:r>
    </w:p>
    <w:p w:rsidR="00944DA3" w:rsidRPr="00944DA3" w:rsidP="00570970" w14:paraId="3B7DC211" w14:textId="27663C13">
      <w:pPr>
        <w:pStyle w:val="ListBullet"/>
        <w:spacing w:line="480" w:lineRule="auto"/>
      </w:pPr>
      <w:r>
        <w:t>The study team will send sampled</w:t>
      </w:r>
      <w:r w:rsidRPr="002F7E12">
        <w:t xml:space="preserve"> SFA </w:t>
      </w:r>
      <w:r w:rsidR="00FF5155">
        <w:t>D</w:t>
      </w:r>
      <w:r w:rsidRPr="002F7E12">
        <w:t xml:space="preserve">irectors the </w:t>
      </w:r>
      <w:r w:rsidR="00DB58AB">
        <w:t>SFA</w:t>
      </w:r>
      <w:r w:rsidRPr="002F7E12">
        <w:t xml:space="preserve"> Advance </w:t>
      </w:r>
      <w:r w:rsidR="000D5B9A">
        <w:t xml:space="preserve">Email </w:t>
      </w:r>
      <w:r w:rsidRPr="002F7E12">
        <w:t>(Appendix G.</w:t>
      </w:r>
      <w:r w:rsidR="00FA377E">
        <w:t>11</w:t>
      </w:r>
      <w:r w:rsidRPr="002F7E12">
        <w:t>) and Brochure (</w:t>
      </w:r>
      <w:r>
        <w:t xml:space="preserve">Appendix </w:t>
      </w:r>
      <w:r w:rsidRPr="002F7E12">
        <w:t>G.</w:t>
      </w:r>
      <w:r w:rsidR="00FA377E">
        <w:t>4</w:t>
      </w:r>
      <w:r w:rsidRPr="002F7E12">
        <w:t>)</w:t>
      </w:r>
      <w:r>
        <w:t>, which</w:t>
      </w:r>
      <w:r w:rsidRPr="000F3CF4">
        <w:t xml:space="preserve"> explain the purpose of the study and describe study activities, to provide SFA </w:t>
      </w:r>
      <w:r w:rsidR="00FF5155">
        <w:t>D</w:t>
      </w:r>
      <w:r w:rsidRPr="000F3CF4">
        <w:t>irectors with notice that they will be invited to respond to a survey.</w:t>
      </w:r>
    </w:p>
    <w:p w:rsidR="002F7E12" w:rsidP="00570970" w14:paraId="792883AA" w14:textId="181B675E">
      <w:pPr>
        <w:pStyle w:val="ListBullet"/>
        <w:spacing w:line="480" w:lineRule="auto"/>
      </w:pPr>
      <w:r w:rsidRPr="002F7E12">
        <w:t xml:space="preserve">The study team will </w:t>
      </w:r>
      <w:r w:rsidR="00BE7AFD">
        <w:t>send</w:t>
      </w:r>
      <w:r w:rsidRPr="002F7E12">
        <w:t xml:space="preserve"> all State CN </w:t>
      </w:r>
      <w:r w:rsidR="00FF5155">
        <w:t>D</w:t>
      </w:r>
      <w:r w:rsidRPr="002F7E12">
        <w:t>irectors</w:t>
      </w:r>
      <w:r w:rsidRPr="00610C92" w:rsidR="00610C92">
        <w:t xml:space="preserve"> the </w:t>
      </w:r>
      <w:r w:rsidR="00DB58AB">
        <w:t>S</w:t>
      </w:r>
      <w:r w:rsidR="009A06FA">
        <w:t xml:space="preserve">tate </w:t>
      </w:r>
      <w:r w:rsidR="00DB58AB">
        <w:t>A</w:t>
      </w:r>
      <w:r w:rsidR="009A06FA">
        <w:t>gency</w:t>
      </w:r>
      <w:r w:rsidRPr="00610C92" w:rsidR="00610C92">
        <w:t xml:space="preserve"> </w:t>
      </w:r>
      <w:r w:rsidR="008A1C97">
        <w:t>Invitation</w:t>
      </w:r>
      <w:r w:rsidRPr="00610C92" w:rsidR="00610C92">
        <w:t xml:space="preserve"> Email (Appendix </w:t>
      </w:r>
      <w:r w:rsidR="003D1980">
        <w:t>G.</w:t>
      </w:r>
      <w:r w:rsidR="00FA377E">
        <w:t>6</w:t>
      </w:r>
      <w:r w:rsidRPr="00610C92" w:rsidR="00610C92">
        <w:t>)</w:t>
      </w:r>
      <w:r w:rsidR="00694A45">
        <w:t xml:space="preserve"> prior to each survey</w:t>
      </w:r>
      <w:r w:rsidRPr="00610C92" w:rsidR="00610C92">
        <w:t xml:space="preserve"> to </w:t>
      </w:r>
      <w:r w:rsidR="008A1C97">
        <w:t>invite</w:t>
      </w:r>
      <w:r w:rsidRPr="00610C92" w:rsidR="00610C92">
        <w:t xml:space="preserve"> the</w:t>
      </w:r>
      <w:r w:rsidR="00A2430D">
        <w:t>m</w:t>
      </w:r>
      <w:r w:rsidRPr="00610C92" w:rsidR="00610C92">
        <w:t xml:space="preserve"> </w:t>
      </w:r>
      <w:r w:rsidR="008A1C97">
        <w:t>to complete</w:t>
      </w:r>
      <w:r w:rsidR="00A2430D">
        <w:t xml:space="preserve"> the survey</w:t>
      </w:r>
      <w:r w:rsidRPr="00610C92" w:rsidR="00610C92">
        <w:t xml:space="preserve">. </w:t>
      </w:r>
    </w:p>
    <w:p w:rsidR="00944DA3" w:rsidRPr="00944DA3" w:rsidP="00570970" w14:paraId="0D51A45B" w14:textId="6E59390B">
      <w:pPr>
        <w:pStyle w:val="ListBullet"/>
        <w:spacing w:line="480" w:lineRule="auto"/>
      </w:pPr>
      <w:r w:rsidRPr="002F7E12">
        <w:t xml:space="preserve">The study team will </w:t>
      </w:r>
      <w:r>
        <w:t>send</w:t>
      </w:r>
      <w:r w:rsidRPr="002F7E12">
        <w:t xml:space="preserve"> all </w:t>
      </w:r>
      <w:r>
        <w:t>SFA</w:t>
      </w:r>
      <w:r w:rsidRPr="002F7E12">
        <w:t xml:space="preserve"> </w:t>
      </w:r>
      <w:r w:rsidR="00FF5155">
        <w:t>D</w:t>
      </w:r>
      <w:r w:rsidRPr="002F7E12">
        <w:t>irectors</w:t>
      </w:r>
      <w:r w:rsidRPr="00610C92">
        <w:t xml:space="preserve"> the </w:t>
      </w:r>
      <w:r w:rsidR="00DB58AB">
        <w:t>SFA</w:t>
      </w:r>
      <w:r w:rsidRPr="00610C92">
        <w:t xml:space="preserve"> </w:t>
      </w:r>
      <w:r>
        <w:t>Invitation</w:t>
      </w:r>
      <w:r w:rsidRPr="00610C92">
        <w:t xml:space="preserve"> Email (Appendix </w:t>
      </w:r>
      <w:r w:rsidR="0035632B">
        <w:t>G.1</w:t>
      </w:r>
      <w:r w:rsidR="00FA377E">
        <w:t>2</w:t>
      </w:r>
      <w:r w:rsidRPr="00610C92">
        <w:t>)</w:t>
      </w:r>
      <w:r w:rsidR="00694A45">
        <w:t xml:space="preserve"> </w:t>
      </w:r>
      <w:r w:rsidRPr="00610C92">
        <w:t xml:space="preserve">to </w:t>
      </w:r>
      <w:r>
        <w:t>invite</w:t>
      </w:r>
      <w:r w:rsidRPr="00610C92">
        <w:t xml:space="preserve"> the</w:t>
      </w:r>
      <w:r>
        <w:t>m</w:t>
      </w:r>
      <w:r w:rsidRPr="00610C92">
        <w:t xml:space="preserve"> </w:t>
      </w:r>
      <w:r>
        <w:t>to complete the survey</w:t>
      </w:r>
      <w:r w:rsidRPr="00610C92">
        <w:t xml:space="preserve">. </w:t>
      </w:r>
    </w:p>
    <w:p w:rsidR="00F704DE" w:rsidP="00570970" w14:paraId="7877C782" w14:textId="287BE4B6">
      <w:pPr>
        <w:pStyle w:val="ListBullet"/>
        <w:spacing w:line="480" w:lineRule="auto"/>
      </w:pPr>
      <w:r>
        <w:t>Recruiting</w:t>
      </w:r>
      <w:r w:rsidR="002C100C">
        <w:t xml:space="preserve"> materials</w:t>
      </w:r>
      <w:r w:rsidR="002C72C2">
        <w:t xml:space="preserve"> </w:t>
      </w:r>
      <w:r w:rsidRPr="00720ACE" w:rsidR="00720ACE">
        <w:t xml:space="preserve">were carefully developed to </w:t>
      </w:r>
      <w:r>
        <w:t>emphasize the follow</w:t>
      </w:r>
      <w:r w:rsidR="000E18D0">
        <w:t>ing</w:t>
      </w:r>
      <w:r>
        <w:t xml:space="preserve"> points</w:t>
      </w:r>
      <w:r w:rsidR="000E18D0">
        <w:t>, which may resonate with respondents</w:t>
      </w:r>
      <w:r w:rsidR="0020114B">
        <w:t>:</w:t>
      </w:r>
    </w:p>
    <w:p w:rsidR="006A23ED" w:rsidP="00570970" w14:paraId="57293770" w14:textId="0D04C49A">
      <w:pPr>
        <w:pStyle w:val="ListBullet2"/>
        <w:spacing w:line="480" w:lineRule="auto"/>
      </w:pPr>
      <w:r>
        <w:t>T</w:t>
      </w:r>
      <w:r w:rsidRPr="00505103">
        <w:t>he SY 2023-2024 SMO data collections</w:t>
      </w:r>
      <w:r w:rsidR="00A46153">
        <w:t>, focusing on SY 2022-2023</w:t>
      </w:r>
      <w:r w:rsidR="00597E2E">
        <w:t xml:space="preserve"> operations</w:t>
      </w:r>
      <w:r w:rsidR="00A46153">
        <w:t>,</w:t>
      </w:r>
      <w:r w:rsidRPr="00505103">
        <w:t xml:space="preserve"> will address research questions in five primary topic areas: (1) school and site participation, (2) child participation, (3) program operations, and (4) financial management, and (5) the nationwide CN COVID-19 Waiver to Allow Fiscal Action Flexibility for Meal Pattern </w:t>
      </w:r>
      <w:r w:rsidRPr="00505103">
        <w:t>Violations Related to COVID-19 Supply Chain Disruptions Impacting School Meals in School Year 2022-23.</w:t>
      </w:r>
    </w:p>
    <w:p w:rsidR="00505103" w:rsidRPr="0030179B" w:rsidP="00505103" w14:paraId="30EF1BCC" w14:textId="77777777">
      <w:pPr>
        <w:pStyle w:val="ListBullet2"/>
        <w:spacing w:line="480" w:lineRule="auto"/>
      </w:pPr>
      <w:r w:rsidRPr="0030179B">
        <w:t xml:space="preserve">Having updated information about CN </w:t>
      </w:r>
      <w:r>
        <w:t>P</w:t>
      </w:r>
      <w:r w:rsidRPr="0030179B">
        <w:t>rogram</w:t>
      </w:r>
      <w:r>
        <w:t xml:space="preserve"> operation</w:t>
      </w:r>
      <w:r w:rsidRPr="0030179B">
        <w:t>s</w:t>
      </w:r>
      <w:r>
        <w:t xml:space="preserve"> at the state and local levels</w:t>
      </w:r>
      <w:r w:rsidRPr="0030179B">
        <w:t xml:space="preserve"> will help FNS inform policy and budget decisions, future training and technical assistance</w:t>
      </w:r>
      <w:r>
        <w:t>, and future nationwide waivers offered during emergencies</w:t>
      </w:r>
      <w:r w:rsidRPr="0030179B">
        <w:t>.</w:t>
      </w:r>
    </w:p>
    <w:p w:rsidR="00FA377E" w14:paraId="316B8246" w14:textId="194E203F">
      <w:pPr>
        <w:pStyle w:val="ListBullet2"/>
        <w:spacing w:line="480" w:lineRule="auto"/>
      </w:pPr>
      <w:r w:rsidRPr="00FA377E">
        <w:t xml:space="preserve">The </w:t>
      </w:r>
      <w:r w:rsidR="00532E90">
        <w:t xml:space="preserve">SA </w:t>
      </w:r>
      <w:r w:rsidRPr="00FA377E">
        <w:t xml:space="preserve">data collection is designed to gather information on statutory reporting requirements for the </w:t>
      </w:r>
      <w:r w:rsidR="00532E90">
        <w:t xml:space="preserve">nationwide </w:t>
      </w:r>
      <w:r w:rsidRPr="006A23ED" w:rsidR="006A23ED">
        <w:t xml:space="preserve">CN COVID-19 Waiver to Allow Fiscal Action Flexibility for Meal Pattern Violations Related to COVID-19 Supply Chain Disruptions Impacting School Meals in School Year 2022-23. </w:t>
      </w:r>
      <w:r>
        <w:t>State agencies’ f</w:t>
      </w:r>
      <w:r w:rsidRPr="00FA377E">
        <w:t>ull participation in the study will satisfy the</w:t>
      </w:r>
      <w:r w:rsidR="00DB58AB">
        <w:t>ir</w:t>
      </w:r>
      <w:r w:rsidRPr="00FA377E">
        <w:t xml:space="preserve"> statutory reporting requirements. </w:t>
      </w:r>
    </w:p>
    <w:p w:rsidR="0030179B" w:rsidRPr="0030179B" w:rsidP="00570970" w14:paraId="2ABC1EDC" w14:textId="5EFE0AC8">
      <w:pPr>
        <w:pStyle w:val="ListBullet2"/>
        <w:spacing w:line="480" w:lineRule="auto"/>
      </w:pPr>
      <w:r w:rsidRPr="0030179B">
        <w:t>SMO has been designed to reduce participant burden by limiting the sample to the smallest possible number of SFAs needed to support the research and relying on administrative data whenever possible to avoid redundant information requests.</w:t>
      </w:r>
    </w:p>
    <w:p w:rsidR="0030179B" w:rsidRPr="0030179B" w:rsidP="00570970" w14:paraId="502DEEE6" w14:textId="5F0B2A68">
      <w:pPr>
        <w:pStyle w:val="ListBullet2"/>
        <w:spacing w:line="480" w:lineRule="auto"/>
      </w:pPr>
      <w:r>
        <w:t xml:space="preserve">SFAs </w:t>
      </w:r>
      <w:r w:rsidRPr="00315D77">
        <w:t xml:space="preserve">have been selected to participate as part of a nationally representative sample, which means that </w:t>
      </w:r>
      <w:r>
        <w:t>each SFA</w:t>
      </w:r>
      <w:r w:rsidRPr="00315D77">
        <w:t xml:space="preserve"> response </w:t>
      </w:r>
      <w:r w:rsidRPr="0030179B">
        <w:t>will speak for many SFAs.</w:t>
      </w:r>
    </w:p>
    <w:p w:rsidR="00720ACE" w:rsidRPr="00720ACE" w:rsidP="00570970" w14:paraId="3D62C6D5" w14:textId="51819EA2">
      <w:pPr>
        <w:pStyle w:val="ListBullet"/>
        <w:spacing w:line="480" w:lineRule="auto"/>
      </w:pPr>
      <w:r w:rsidRPr="00720ACE">
        <w:t xml:space="preserve">Designated FNS regional staff will serve as regional study liaisons and will be kept closely informed about the project so that they will be able to answer questions from </w:t>
      </w:r>
      <w:r w:rsidR="008837AC">
        <w:t xml:space="preserve">CN </w:t>
      </w:r>
      <w:r w:rsidR="000D5B9A">
        <w:t>D</w:t>
      </w:r>
      <w:r w:rsidRPr="00720ACE">
        <w:t>irectors and encourage participation.</w:t>
      </w:r>
    </w:p>
    <w:p w:rsidR="00720ACE" w:rsidRPr="00720ACE" w:rsidP="00570970" w14:paraId="1172A8E2" w14:textId="0E7B52B5">
      <w:pPr>
        <w:pStyle w:val="ListBullet"/>
        <w:spacing w:line="480" w:lineRule="auto"/>
      </w:pPr>
      <w:r w:rsidRPr="00720ACE">
        <w:t>A toll-free number and study email address will be provided to all participants so that CN</w:t>
      </w:r>
      <w:r w:rsidR="008837AC">
        <w:t xml:space="preserve"> </w:t>
      </w:r>
      <w:r w:rsidR="00FF5155">
        <w:t>D</w:t>
      </w:r>
      <w:r w:rsidRPr="00720ACE">
        <w:t xml:space="preserve">irectors </w:t>
      </w:r>
      <w:r w:rsidRPr="00D45C33" w:rsidR="00D45C33">
        <w:t xml:space="preserve">and SFA </w:t>
      </w:r>
      <w:r w:rsidR="000D5B9A">
        <w:t>D</w:t>
      </w:r>
      <w:r w:rsidRPr="00D45C33" w:rsidR="00D45C33">
        <w:t xml:space="preserve">irectors </w:t>
      </w:r>
      <w:r w:rsidRPr="00720ACE">
        <w:t>can receive assistance with the study.</w:t>
      </w:r>
      <w:r w:rsidRPr="00D3358E" w:rsidR="00D3358E">
        <w:t xml:space="preserve"> Staff will be readily available to clarify survey questions and work with participants to resolve technical issues, such as difficulty logging on or advancing past pages. Personalized assistance bolsters the </w:t>
      </w:r>
      <w:r w:rsidRPr="00D3358E" w:rsidR="00D3358E">
        <w:t>perceived legitimacy of the study and will encourage respondents to persist in completing the survey.</w:t>
      </w:r>
    </w:p>
    <w:p w:rsidR="00720ACE" w:rsidRPr="00720ACE" w:rsidP="00570970" w14:paraId="140686EF" w14:textId="7A25B323">
      <w:pPr>
        <w:pStyle w:val="ListBullet"/>
        <w:spacing w:line="480" w:lineRule="auto"/>
      </w:pPr>
      <w:bookmarkStart w:id="31" w:name="_Hlk36587150"/>
      <w:r>
        <w:t>For each survey, t</w:t>
      </w:r>
      <w:r w:rsidRPr="006027A2" w:rsidR="006027A2">
        <w:t xml:space="preserve">he Reminder Email (Appendix </w:t>
      </w:r>
      <w:r w:rsidR="0035632B">
        <w:t>G.</w:t>
      </w:r>
      <w:r w:rsidR="00315D77">
        <w:t>7</w:t>
      </w:r>
      <w:r w:rsidRPr="006027A2" w:rsidR="006027A2">
        <w:t xml:space="preserve">) </w:t>
      </w:r>
      <w:bookmarkEnd w:id="31"/>
      <w:r w:rsidRPr="00720ACE">
        <w:t xml:space="preserve">will be sent to </w:t>
      </w:r>
      <w:r w:rsidR="009A7433">
        <w:t xml:space="preserve">State </w:t>
      </w:r>
      <w:r w:rsidR="00C67CEF">
        <w:t xml:space="preserve">CN </w:t>
      </w:r>
      <w:r w:rsidR="000D5B9A">
        <w:t>D</w:t>
      </w:r>
      <w:r w:rsidRPr="00720ACE">
        <w:t>irectors</w:t>
      </w:r>
      <w:r w:rsidRPr="00D45C33" w:rsidR="00D45C33">
        <w:t xml:space="preserve"> and SFA </w:t>
      </w:r>
      <w:r w:rsidR="000D5B9A">
        <w:t>D</w:t>
      </w:r>
      <w:r w:rsidRPr="00D45C33" w:rsidR="00D45C33">
        <w:t>irectors</w:t>
      </w:r>
      <w:r w:rsidRPr="00720ACE">
        <w:t xml:space="preserve"> </w:t>
      </w:r>
      <w:r w:rsidR="00F43EA2">
        <w:t xml:space="preserve">every </w:t>
      </w:r>
      <w:r w:rsidRPr="00571878" w:rsidR="00F43EA2">
        <w:t>2-3 weeks</w:t>
      </w:r>
      <w:r w:rsidR="00F43EA2">
        <w:t xml:space="preserve"> for a total of two reminder emails before the reminder phone call (Appendix </w:t>
      </w:r>
      <w:r w:rsidR="0035632B">
        <w:t>G.</w:t>
      </w:r>
      <w:r w:rsidR="00315D77">
        <w:t>8</w:t>
      </w:r>
      <w:r w:rsidR="00F43EA2">
        <w:t xml:space="preserve">) at </w:t>
      </w:r>
      <w:r w:rsidRPr="00571878" w:rsidR="00F43EA2">
        <w:t>week 7</w:t>
      </w:r>
      <w:r w:rsidRPr="00720ACE">
        <w:t>.</w:t>
      </w:r>
    </w:p>
    <w:p w:rsidR="00720ACE" w:rsidRPr="00720ACE" w:rsidP="00570970" w14:paraId="59733FC9" w14:textId="6EE4E434">
      <w:pPr>
        <w:pStyle w:val="ListBullet"/>
        <w:spacing w:line="480" w:lineRule="auto"/>
      </w:pPr>
      <w:r>
        <w:t xml:space="preserve">The study team </w:t>
      </w:r>
      <w:r w:rsidRPr="00720ACE">
        <w:t xml:space="preserve">will follow up by telephone with all </w:t>
      </w:r>
      <w:r w:rsidR="00C67CEF">
        <w:t xml:space="preserve">CN </w:t>
      </w:r>
      <w:r w:rsidR="000D5B9A">
        <w:t>D</w:t>
      </w:r>
      <w:r w:rsidRPr="00720ACE">
        <w:t>irectors</w:t>
      </w:r>
      <w:r w:rsidRPr="00D45C33" w:rsidR="00D45C33">
        <w:t xml:space="preserve"> and SFA </w:t>
      </w:r>
      <w:r w:rsidR="000D5B9A">
        <w:t>D</w:t>
      </w:r>
      <w:r w:rsidRPr="00D45C33" w:rsidR="00D45C33">
        <w:t>irectors</w:t>
      </w:r>
      <w:r w:rsidRPr="00720ACE">
        <w:t xml:space="preserve"> who do not complete the survey and urge them to complete the survey. </w:t>
      </w:r>
    </w:p>
    <w:p w:rsidR="00720ACE" w:rsidP="00570970" w14:paraId="3562EE5E" w14:textId="1E2642EB">
      <w:pPr>
        <w:pStyle w:val="ListBullet"/>
        <w:spacing w:line="480" w:lineRule="auto"/>
      </w:pPr>
      <w:r>
        <w:t xml:space="preserve">The study team </w:t>
      </w:r>
      <w:r w:rsidRPr="00720ACE">
        <w:t>will use call scheduling procedures that are designed to call numbers at different times of the day (between 8am and 6pm) and days of the week (Monday through Friday) to improve the chances of finding a respondent at work.</w:t>
      </w:r>
    </w:p>
    <w:p w:rsidR="00841BA5" w:rsidP="00570970" w14:paraId="77E58339" w14:textId="6E0DA1B4">
      <w:pPr>
        <w:pStyle w:val="ListBullet"/>
        <w:spacing w:line="480" w:lineRule="auto"/>
      </w:pPr>
      <w:r w:rsidRPr="006027A2">
        <w:t>Toward the end of the field period</w:t>
      </w:r>
      <w:r w:rsidR="00694A45">
        <w:t xml:space="preserve"> for each survey</w:t>
      </w:r>
      <w:r w:rsidRPr="006027A2">
        <w:t>, all S</w:t>
      </w:r>
      <w:r w:rsidR="00925D01">
        <w:t>tate agencies</w:t>
      </w:r>
      <w:r w:rsidRPr="006027A2">
        <w:t xml:space="preserve"> </w:t>
      </w:r>
      <w:r w:rsidR="00DB58AB">
        <w:t>or SFAs who have yet to submit their surveys</w:t>
      </w:r>
      <w:r w:rsidRPr="006027A2">
        <w:t xml:space="preserve"> will be mailed the </w:t>
      </w:r>
      <w:r w:rsidR="00DB58AB">
        <w:t>S</w:t>
      </w:r>
      <w:r w:rsidR="009A06FA">
        <w:t xml:space="preserve">tate </w:t>
      </w:r>
      <w:r w:rsidR="00DB58AB">
        <w:t>A</w:t>
      </w:r>
      <w:r w:rsidR="009A06FA">
        <w:t>gency</w:t>
      </w:r>
      <w:r w:rsidRPr="006027A2">
        <w:t xml:space="preserve"> </w:t>
      </w:r>
      <w:r w:rsidR="00DB58AB">
        <w:t xml:space="preserve">or SFA </w:t>
      </w:r>
      <w:r w:rsidRPr="006027A2">
        <w:t>Last Chance Post Card (Appendi</w:t>
      </w:r>
      <w:r w:rsidR="00DB58AB">
        <w:t>ces</w:t>
      </w:r>
      <w:r w:rsidRPr="006027A2">
        <w:t xml:space="preserve"> </w:t>
      </w:r>
      <w:r w:rsidR="0035632B">
        <w:t>G.</w:t>
      </w:r>
      <w:r w:rsidR="00315D77">
        <w:t>9</w:t>
      </w:r>
      <w:r w:rsidR="00DB58AB">
        <w:t xml:space="preserve"> and G.13, respectively)</w:t>
      </w:r>
      <w:r w:rsidRPr="00390C31" w:rsidR="00390C31">
        <w:t>.</w:t>
      </w:r>
    </w:p>
    <w:p w:rsidR="00390C31" w:rsidRPr="00390C31" w:rsidP="00570970" w14:paraId="1142DF02" w14:textId="25509623">
      <w:pPr>
        <w:spacing w:line="480" w:lineRule="auto"/>
      </w:pPr>
      <w:r>
        <w:t xml:space="preserve">Although the team anticipates a </w:t>
      </w:r>
      <w:r w:rsidRPr="00A01F42">
        <w:t>100% response rate for S</w:t>
      </w:r>
      <w:r w:rsidR="00925D01">
        <w:t>tate agencies</w:t>
      </w:r>
      <w:r>
        <w:t xml:space="preserve">, because an </w:t>
      </w:r>
      <w:r w:rsidRPr="00A01F42">
        <w:t>80% response rate is anticipated for SFAs</w:t>
      </w:r>
      <w:r>
        <w:t>, a</w:t>
      </w:r>
      <w:r w:rsidRPr="00841BA5">
        <w:t xml:space="preserve"> nonresponse bias analysis will be conducted</w:t>
      </w:r>
      <w:r w:rsidRPr="003E0CEA" w:rsidR="003E0CEA">
        <w:t xml:space="preserve"> to assess whether weighting appears to have mitigated the risk for nonresponse bias. Although nonresponse bias can rarely be measured directly, the study team plans to look at the set of available SFA characteristics to assess the risk for nonresponse bias. </w:t>
      </w:r>
      <w:bookmarkStart w:id="32" w:name="_Hlk81323248"/>
      <w:r w:rsidRPr="00D37247" w:rsidR="00DE363A">
        <w:t>These characteristics include variables available on the FNS-742 file, such as size measures (number of schools and number of students)</w:t>
      </w:r>
      <w:r w:rsidR="00D37247">
        <w:t xml:space="preserve"> and</w:t>
      </w:r>
      <w:r w:rsidRPr="00D37247" w:rsidR="00DE363A">
        <w:t xml:space="preserve"> percent of students with free or reduced-price lunch. We will also include variables about the associated school district from the </w:t>
      </w:r>
      <w:r w:rsidR="00D37247">
        <w:t>NCES</w:t>
      </w:r>
      <w:r w:rsidRPr="00D37247" w:rsidR="00DE363A">
        <w:t xml:space="preserve"> file</w:t>
      </w:r>
      <w:r w:rsidR="00D37247">
        <w:t>s</w:t>
      </w:r>
      <w:r w:rsidRPr="00D37247" w:rsidR="00DE363A">
        <w:t xml:space="preserve">, such as charter school status, </w:t>
      </w:r>
      <w:r w:rsidRPr="00D37247" w:rsidR="00D37247">
        <w:t>geographic characteristics</w:t>
      </w:r>
      <w:r w:rsidR="00D37247">
        <w:t>,</w:t>
      </w:r>
      <w:r w:rsidRPr="00D37247" w:rsidR="00D37247">
        <w:t xml:space="preserve"> </w:t>
      </w:r>
      <w:r w:rsidRPr="00D37247" w:rsidR="00DE363A">
        <w:t xml:space="preserve">number of each type of school in the district (elementary, middle, and/or high) </w:t>
      </w:r>
      <w:r w:rsidRPr="00D37247" w:rsidR="00DE363A">
        <w:t>and grades offered in the district.</w:t>
      </w:r>
      <w:r w:rsidR="00DE363A">
        <w:t xml:space="preserve"> </w:t>
      </w:r>
      <w:bookmarkEnd w:id="32"/>
      <w:r w:rsidRPr="003E0CEA" w:rsidR="003E0CEA">
        <w:t>The team will show frequency distributions for these variables for (1) the frame, (2) the sample (weighted by the release-adjusted sampling weight), (3) the respondents (weighted by the release-adjusted sampling weight), and (4) the respondents with their full nonresponse-adjusted weights. However, recognizing the limitations of the available data on SFA characteristics for analyzing nonresponse bias, the team will also conduct analyses comparing early responders to late responders, and both to nonrespondents, to assess the value of using this information when calculating nonresponse adjustments to the weights.</w:t>
      </w:r>
    </w:p>
    <w:p w:rsidR="00E601A8" w:rsidRPr="00841BA5" w:rsidP="00DB36E3" w14:paraId="468C1775" w14:textId="6DBFCE26">
      <w:pPr>
        <w:pStyle w:val="H1"/>
        <w:rPr>
          <w:rFonts w:cstheme="minorHAnsi"/>
        </w:rPr>
      </w:pPr>
      <w:bookmarkStart w:id="33" w:name="_Toc133502228"/>
      <w:bookmarkEnd w:id="30"/>
      <w:r>
        <w:t>B4.</w:t>
      </w:r>
      <w:r>
        <w:tab/>
      </w:r>
      <w:r w:rsidRPr="009F6520">
        <w:t>Test of Procedures or Methods to be Undertaken</w:t>
      </w:r>
      <w:bookmarkEnd w:id="33"/>
    </w:p>
    <w:p w:rsidR="00815C77" w:rsidRPr="009474A2" w:rsidP="00DA5BC3" w14:paraId="19B6C18B" w14:textId="2C821448">
      <w:pPr>
        <w:spacing w:line="240" w:lineRule="auto"/>
        <w:ind w:right="-20"/>
        <w:rPr>
          <w:rFonts w:cstheme="minorHAnsi"/>
          <w:szCs w:val="24"/>
        </w:rPr>
      </w:pPr>
      <w:r w:rsidRPr="00DB300F">
        <w:rPr>
          <w:rFonts w:cstheme="minorHAnsi"/>
          <w:b/>
          <w:bCs/>
          <w:szCs w:val="24"/>
        </w:rPr>
        <w:t>Describe any tests of procedures or methods to be undertaken.</w:t>
      </w:r>
      <w:r w:rsidR="00934E17">
        <w:rPr>
          <w:rFonts w:cstheme="minorHAnsi"/>
          <w:b/>
          <w:bCs/>
          <w:szCs w:val="24"/>
        </w:rPr>
        <w:t xml:space="preserve"> </w:t>
      </w:r>
      <w:r w:rsidRPr="00DB300F">
        <w:rPr>
          <w:rFonts w:cstheme="minorHAnsi"/>
          <w:b/>
          <w:bCs/>
          <w:szCs w:val="24"/>
        </w:rPr>
        <w:t>Testing is encouraged as an effective means of refining collections of information to minimize burden and improve utility.</w:t>
      </w:r>
      <w:r w:rsidR="00934E17">
        <w:rPr>
          <w:rFonts w:cstheme="minorHAnsi"/>
          <w:b/>
          <w:bCs/>
          <w:szCs w:val="24"/>
        </w:rPr>
        <w:t xml:space="preserve"> </w:t>
      </w:r>
      <w:r w:rsidRPr="00DB300F">
        <w:rPr>
          <w:rFonts w:cstheme="minorHAnsi"/>
          <w:b/>
          <w:bCs/>
          <w:szCs w:val="24"/>
        </w:rPr>
        <w:t>Tests must be approved if they call for answers to identical questions from 10 or more respondents. A proposed test or set of tests may be submitted for approval separately or in combination with the main collection of information</w:t>
      </w:r>
      <w:r w:rsidRPr="00DB300F">
        <w:rPr>
          <w:rFonts w:cstheme="minorHAnsi"/>
          <w:szCs w:val="24"/>
        </w:rPr>
        <w:t>.</w:t>
      </w:r>
      <w:r w:rsidRPr="00173986">
        <w:rPr>
          <w:rFonts w:cstheme="minorHAnsi"/>
          <w:szCs w:val="24"/>
        </w:rPr>
        <w:t xml:space="preserve"> </w:t>
      </w:r>
    </w:p>
    <w:p w:rsidR="00367F27" w:rsidP="00367F27" w14:paraId="2361B19B" w14:textId="4867394E">
      <w:pPr>
        <w:spacing w:line="480" w:lineRule="auto"/>
        <w:ind w:firstLine="432"/>
        <w:rPr>
          <w:rFonts w:cstheme="minorHAnsi"/>
        </w:rPr>
      </w:pPr>
      <w:r w:rsidRPr="00D37247">
        <w:rPr>
          <w:rFonts w:cstheme="minorHAnsi"/>
        </w:rPr>
        <w:t xml:space="preserve">The study team pretested </w:t>
      </w:r>
      <w:r w:rsidRPr="00D37247" w:rsidR="008C136E">
        <w:rPr>
          <w:rFonts w:cstheme="minorHAnsi"/>
        </w:rPr>
        <w:t xml:space="preserve">the </w:t>
      </w:r>
      <w:r w:rsidRPr="00D37247" w:rsidR="0014445B">
        <w:rPr>
          <w:rFonts w:cstheme="minorHAnsi"/>
        </w:rPr>
        <w:t xml:space="preserve">State </w:t>
      </w:r>
      <w:r w:rsidRPr="00D37247" w:rsidR="005E78C4">
        <w:rPr>
          <w:rFonts w:cstheme="minorHAnsi"/>
        </w:rPr>
        <w:t xml:space="preserve">and SFA </w:t>
      </w:r>
      <w:r w:rsidRPr="00D37247" w:rsidR="0014445B">
        <w:rPr>
          <w:rFonts w:cstheme="minorHAnsi"/>
        </w:rPr>
        <w:t xml:space="preserve">CN </w:t>
      </w:r>
      <w:r w:rsidRPr="00D37247" w:rsidR="00F36E0C">
        <w:rPr>
          <w:rFonts w:cstheme="minorHAnsi"/>
        </w:rPr>
        <w:t xml:space="preserve">Director </w:t>
      </w:r>
      <w:r w:rsidRPr="00D37247" w:rsidR="0014445B">
        <w:rPr>
          <w:rFonts w:cstheme="minorHAnsi"/>
        </w:rPr>
        <w:t>survey</w:t>
      </w:r>
      <w:r w:rsidRPr="00D37247" w:rsidR="00F36E0C">
        <w:rPr>
          <w:rFonts w:cstheme="minorHAnsi"/>
        </w:rPr>
        <w:t>s</w:t>
      </w:r>
      <w:r w:rsidRPr="00D37247" w:rsidR="0014445B">
        <w:rPr>
          <w:rFonts w:cstheme="minorHAnsi"/>
        </w:rPr>
        <w:t xml:space="preserve"> in</w:t>
      </w:r>
      <w:r w:rsidRPr="00D37247" w:rsidR="00881FB4">
        <w:rPr>
          <w:rFonts w:cstheme="minorHAnsi"/>
        </w:rPr>
        <w:t xml:space="preserve"> </w:t>
      </w:r>
      <w:r w:rsidR="002F6C75">
        <w:rPr>
          <w:rFonts w:cstheme="minorHAnsi"/>
        </w:rPr>
        <w:t>March 2023</w:t>
      </w:r>
      <w:r w:rsidRPr="00D37247" w:rsidR="0014445B">
        <w:rPr>
          <w:rFonts w:cstheme="minorHAnsi"/>
        </w:rPr>
        <w:t xml:space="preserve">. </w:t>
      </w:r>
      <w:r w:rsidRPr="00D37247" w:rsidR="005E78C4">
        <w:rPr>
          <w:rFonts w:cstheme="minorHAnsi"/>
        </w:rPr>
        <w:t xml:space="preserve">The pretest of the SA web survey was </w:t>
      </w:r>
      <w:r w:rsidRPr="00571878" w:rsidR="005E78C4">
        <w:rPr>
          <w:rFonts w:cstheme="minorHAnsi"/>
        </w:rPr>
        <w:t xml:space="preserve">conducted with </w:t>
      </w:r>
      <w:r w:rsidR="002F6C75">
        <w:rPr>
          <w:rFonts w:cstheme="minorHAnsi"/>
        </w:rPr>
        <w:t>three</w:t>
      </w:r>
      <w:r w:rsidRPr="00571878" w:rsidR="005E78C4">
        <w:rPr>
          <w:rFonts w:cstheme="minorHAnsi"/>
        </w:rPr>
        <w:t xml:space="preserve"> S</w:t>
      </w:r>
      <w:r w:rsidRPr="00571878" w:rsidR="00925D01">
        <w:rPr>
          <w:rFonts w:cstheme="minorHAnsi"/>
        </w:rPr>
        <w:t>tate agencies</w:t>
      </w:r>
      <w:r w:rsidRPr="00571878" w:rsidR="005E78C4">
        <w:rPr>
          <w:rFonts w:cstheme="minorHAnsi"/>
        </w:rPr>
        <w:t xml:space="preserve"> </w:t>
      </w:r>
      <w:r w:rsidRPr="00571878" w:rsidR="005E78C4">
        <w:rPr>
          <w:rFonts w:cstheme="minorHAnsi"/>
        </w:rPr>
        <w:t>who</w:t>
      </w:r>
      <w:r w:rsidRPr="00D37247" w:rsidR="005E78C4">
        <w:rPr>
          <w:rFonts w:cstheme="minorHAnsi"/>
        </w:rPr>
        <w:t xml:space="preserve"> volunteered to participate in the pretests. These SAs varied across </w:t>
      </w:r>
      <w:r w:rsidRPr="00D37247" w:rsidR="0026333A">
        <w:rPr>
          <w:rFonts w:cstheme="minorHAnsi"/>
        </w:rPr>
        <w:t>relevant</w:t>
      </w:r>
      <w:r w:rsidRPr="00D37247" w:rsidR="005E78C4">
        <w:rPr>
          <w:rFonts w:cstheme="minorHAnsi"/>
        </w:rPr>
        <w:t xml:space="preserve"> characteristics, including</w:t>
      </w:r>
      <w:r w:rsidRPr="00D37247" w:rsidR="0026333A">
        <w:rPr>
          <w:rFonts w:cstheme="minorHAnsi"/>
        </w:rPr>
        <w:t xml:space="preserve"> </w:t>
      </w:r>
      <w:r w:rsidR="002F6C75">
        <w:rPr>
          <w:rFonts w:cstheme="minorHAnsi"/>
        </w:rPr>
        <w:t>implementation of State-provided universal free meals</w:t>
      </w:r>
      <w:r w:rsidRPr="00D37247" w:rsidR="00F33609">
        <w:rPr>
          <w:rFonts w:cstheme="minorHAnsi"/>
        </w:rPr>
        <w:t xml:space="preserve">. </w:t>
      </w:r>
      <w:r w:rsidRPr="00D37247" w:rsidR="00C91942">
        <w:rPr>
          <w:rFonts w:cstheme="minorHAnsi"/>
        </w:rPr>
        <w:t xml:space="preserve">The pretest of the SFA survey was conducted with </w:t>
      </w:r>
      <w:r w:rsidR="002F6C75">
        <w:rPr>
          <w:rFonts w:cstheme="minorHAnsi"/>
        </w:rPr>
        <w:t>six</w:t>
      </w:r>
      <w:r w:rsidRPr="00571878" w:rsidR="0014445B">
        <w:rPr>
          <w:rFonts w:cstheme="minorHAnsi"/>
        </w:rPr>
        <w:t xml:space="preserve"> </w:t>
      </w:r>
      <w:r w:rsidRPr="00571878">
        <w:rPr>
          <w:rFonts w:cstheme="minorHAnsi"/>
        </w:rPr>
        <w:t>S</w:t>
      </w:r>
      <w:r w:rsidRPr="00571878" w:rsidR="008C136E">
        <w:rPr>
          <w:rFonts w:cstheme="minorHAnsi"/>
        </w:rPr>
        <w:t>F</w:t>
      </w:r>
      <w:r w:rsidRPr="00571878">
        <w:rPr>
          <w:rFonts w:cstheme="minorHAnsi"/>
        </w:rPr>
        <w:t>As</w:t>
      </w:r>
      <w:r w:rsidRPr="00D37247" w:rsidR="00F33609">
        <w:rPr>
          <w:rFonts w:cstheme="minorHAnsi"/>
        </w:rPr>
        <w:t xml:space="preserve"> that operate in </w:t>
      </w:r>
      <w:r w:rsidR="002F6C75">
        <w:rPr>
          <w:rFonts w:cstheme="minorHAnsi"/>
        </w:rPr>
        <w:t>four</w:t>
      </w:r>
      <w:r w:rsidRPr="00571878" w:rsidR="00F33609">
        <w:rPr>
          <w:rFonts w:cstheme="minorHAnsi"/>
        </w:rPr>
        <w:t xml:space="preserve"> States</w:t>
      </w:r>
      <w:r w:rsidRPr="00D37247" w:rsidR="00F33609">
        <w:rPr>
          <w:rFonts w:cstheme="minorHAnsi"/>
        </w:rPr>
        <w:t xml:space="preserve"> and </w:t>
      </w:r>
      <w:r w:rsidRPr="00D37247" w:rsidR="00C91942">
        <w:rPr>
          <w:rFonts w:cstheme="minorHAnsi"/>
        </w:rPr>
        <w:t xml:space="preserve">were </w:t>
      </w:r>
      <w:r w:rsidRPr="00D37247" w:rsidR="00DA7802">
        <w:rPr>
          <w:rFonts w:cstheme="minorHAnsi"/>
        </w:rPr>
        <w:t>availab</w:t>
      </w:r>
      <w:r w:rsidRPr="00D37247" w:rsidR="00CF7103">
        <w:rPr>
          <w:rFonts w:cstheme="minorHAnsi"/>
        </w:rPr>
        <w:t>le</w:t>
      </w:r>
      <w:r w:rsidRPr="00D37247" w:rsidR="00DA7802">
        <w:rPr>
          <w:rFonts w:cstheme="minorHAnsi"/>
        </w:rPr>
        <w:t xml:space="preserve"> to participate within the pretest timeframe</w:t>
      </w:r>
      <w:r w:rsidRPr="00D37247">
        <w:rPr>
          <w:rFonts w:cstheme="minorHAnsi"/>
        </w:rPr>
        <w:t>.</w:t>
      </w:r>
      <w:r w:rsidRPr="00D37247" w:rsidR="00F33609">
        <w:rPr>
          <w:rFonts w:cstheme="minorHAnsi"/>
        </w:rPr>
        <w:t xml:space="preserve"> These SFAs were selected to provide variation across key sub-groups of interest, including </w:t>
      </w:r>
      <w:r w:rsidRPr="00D37247" w:rsidR="00014CF2">
        <w:rPr>
          <w:rFonts w:cstheme="minorHAnsi"/>
        </w:rPr>
        <w:t>size (number of schools served)</w:t>
      </w:r>
      <w:r w:rsidR="008E637D">
        <w:rPr>
          <w:rFonts w:cstheme="minorHAnsi"/>
        </w:rPr>
        <w:t xml:space="preserve"> and</w:t>
      </w:r>
      <w:r w:rsidR="00D0046E">
        <w:rPr>
          <w:rFonts w:cstheme="minorHAnsi"/>
        </w:rPr>
        <w:t xml:space="preserve"> </w:t>
      </w:r>
      <w:r w:rsidRPr="00D37247" w:rsidR="00014CF2">
        <w:rPr>
          <w:rFonts w:cstheme="minorHAnsi"/>
        </w:rPr>
        <w:t>urbanicity.</w:t>
      </w:r>
      <w:r w:rsidR="00014CF2">
        <w:rPr>
          <w:rFonts w:cstheme="minorHAnsi"/>
        </w:rPr>
        <w:t xml:space="preserve"> </w:t>
      </w:r>
      <w:r w:rsidR="00091B8D">
        <w:rPr>
          <w:rFonts w:cstheme="minorHAnsi"/>
        </w:rPr>
        <w:t>B</w:t>
      </w:r>
      <w:r w:rsidRPr="008C136E" w:rsidR="008C136E">
        <w:rPr>
          <w:rFonts w:cstheme="minorHAnsi"/>
        </w:rPr>
        <w:t xml:space="preserve">ecause the SMO administrative data collection </w:t>
      </w:r>
      <w:r w:rsidR="00762E57">
        <w:rPr>
          <w:rFonts w:cstheme="minorHAnsi"/>
        </w:rPr>
        <w:t>during</w:t>
      </w:r>
      <w:r w:rsidR="009D1A7A">
        <w:rPr>
          <w:rFonts w:cstheme="minorHAnsi"/>
        </w:rPr>
        <w:t xml:space="preserve"> the first three years of the study</w:t>
      </w:r>
      <w:r w:rsidRPr="008C136E" w:rsidR="008C136E">
        <w:rPr>
          <w:rFonts w:cstheme="minorHAnsi"/>
        </w:rPr>
        <w:t xml:space="preserve"> </w:t>
      </w:r>
      <w:r w:rsidR="009D1A7A">
        <w:rPr>
          <w:rFonts w:cstheme="minorHAnsi"/>
        </w:rPr>
        <w:t>(</w:t>
      </w:r>
      <w:r w:rsidR="00AF53B5">
        <w:rPr>
          <w:rFonts w:cstheme="minorHAnsi"/>
        </w:rPr>
        <w:t>SY</w:t>
      </w:r>
      <w:r w:rsidR="009D1A7A">
        <w:rPr>
          <w:rFonts w:cstheme="minorHAnsi"/>
        </w:rPr>
        <w:t>s</w:t>
      </w:r>
      <w:r w:rsidRPr="008C136E" w:rsidR="008C136E">
        <w:rPr>
          <w:rFonts w:cstheme="minorHAnsi"/>
        </w:rPr>
        <w:t xml:space="preserve"> 2020-2021</w:t>
      </w:r>
      <w:r w:rsidR="009D1A7A">
        <w:rPr>
          <w:rFonts w:cstheme="minorHAnsi"/>
        </w:rPr>
        <w:t>, 2021-2022, and 2022-2023)</w:t>
      </w:r>
      <w:r w:rsidRPr="008C136E" w:rsidR="008C136E">
        <w:rPr>
          <w:rFonts w:cstheme="minorHAnsi"/>
        </w:rPr>
        <w:t xml:space="preserve"> involved the same data collection instruments </w:t>
      </w:r>
      <w:r w:rsidR="0014445B">
        <w:rPr>
          <w:rFonts w:cstheme="minorHAnsi"/>
        </w:rPr>
        <w:t>that will be</w:t>
      </w:r>
      <w:r w:rsidRPr="008C136E" w:rsidR="008C136E">
        <w:rPr>
          <w:rFonts w:cstheme="minorHAnsi"/>
        </w:rPr>
        <w:t xml:space="preserve"> used </w:t>
      </w:r>
      <w:r w:rsidR="00762E57">
        <w:rPr>
          <w:rFonts w:cstheme="minorHAnsi"/>
        </w:rPr>
        <w:t>during</w:t>
      </w:r>
      <w:r w:rsidRPr="008C136E" w:rsidR="008C136E">
        <w:rPr>
          <w:rFonts w:cstheme="minorHAnsi"/>
        </w:rPr>
        <w:t xml:space="preserve"> </w:t>
      </w:r>
      <w:r w:rsidR="00AF53B5">
        <w:rPr>
          <w:rFonts w:cstheme="minorHAnsi"/>
        </w:rPr>
        <w:t>SY</w:t>
      </w:r>
      <w:r w:rsidRPr="008C136E" w:rsidR="008C136E">
        <w:rPr>
          <w:rFonts w:cstheme="minorHAnsi"/>
        </w:rPr>
        <w:t xml:space="preserve"> 202</w:t>
      </w:r>
      <w:r w:rsidR="009D1A7A">
        <w:rPr>
          <w:rFonts w:cstheme="minorHAnsi"/>
        </w:rPr>
        <w:t>3</w:t>
      </w:r>
      <w:r w:rsidRPr="008C136E" w:rsidR="008C136E">
        <w:rPr>
          <w:rFonts w:cstheme="minorHAnsi"/>
        </w:rPr>
        <w:t>-202</w:t>
      </w:r>
      <w:r w:rsidR="009D1A7A">
        <w:rPr>
          <w:rFonts w:cstheme="minorHAnsi"/>
        </w:rPr>
        <w:t>4</w:t>
      </w:r>
      <w:r w:rsidR="00762E57">
        <w:rPr>
          <w:rFonts w:cstheme="minorHAnsi"/>
        </w:rPr>
        <w:t xml:space="preserve">, </w:t>
      </w:r>
      <w:r w:rsidR="00DF2001">
        <w:rPr>
          <w:rFonts w:cstheme="minorHAnsi"/>
        </w:rPr>
        <w:t>covering FY 2023</w:t>
      </w:r>
      <w:r w:rsidRPr="008C136E" w:rsidR="008C136E">
        <w:rPr>
          <w:rFonts w:cstheme="minorHAnsi"/>
        </w:rPr>
        <w:t xml:space="preserve">, pretesting of those instruments was not </w:t>
      </w:r>
      <w:r w:rsidR="00935937">
        <w:rPr>
          <w:rFonts w:cstheme="minorHAnsi"/>
        </w:rPr>
        <w:t>conducted</w:t>
      </w:r>
      <w:r w:rsidRPr="008C136E" w:rsidR="008C136E">
        <w:rPr>
          <w:rFonts w:cstheme="minorHAnsi"/>
        </w:rPr>
        <w:t>.</w:t>
      </w:r>
    </w:p>
    <w:p w:rsidR="00367F27" w:rsidP="00367F27" w14:paraId="15B0001F" w14:textId="3B0E2F97">
      <w:pPr>
        <w:spacing w:line="480" w:lineRule="auto"/>
        <w:ind w:firstLine="432"/>
        <w:rPr>
          <w:rFonts w:cstheme="minorHAnsi"/>
        </w:rPr>
      </w:pPr>
      <w:bookmarkStart w:id="34" w:name="_Hlk35601248"/>
      <w:r>
        <w:rPr>
          <w:rFonts w:cstheme="minorHAnsi"/>
        </w:rPr>
        <w:t>The study team</w:t>
      </w:r>
      <w:r w:rsidRPr="00815C77">
        <w:rPr>
          <w:rFonts w:cstheme="minorHAnsi"/>
        </w:rPr>
        <w:t xml:space="preserve"> conducted </w:t>
      </w:r>
      <w:r w:rsidR="00D0046E">
        <w:rPr>
          <w:rFonts w:cstheme="minorHAnsi"/>
        </w:rPr>
        <w:t>30</w:t>
      </w:r>
      <w:r w:rsidRPr="00571878" w:rsidR="00091B8D">
        <w:rPr>
          <w:rFonts w:cstheme="minorHAnsi"/>
        </w:rPr>
        <w:t>-</w:t>
      </w:r>
      <w:r w:rsidRPr="00571878">
        <w:rPr>
          <w:rFonts w:cstheme="minorHAnsi"/>
        </w:rPr>
        <w:t>minute telephone</w:t>
      </w:r>
      <w:r>
        <w:rPr>
          <w:rFonts w:cstheme="minorHAnsi"/>
        </w:rPr>
        <w:t xml:space="preserve"> </w:t>
      </w:r>
      <w:r w:rsidRPr="00815C77">
        <w:rPr>
          <w:rFonts w:cstheme="minorHAnsi"/>
        </w:rPr>
        <w:t>debriefing interviews with each pretest respondent to solicit feedback</w:t>
      </w:r>
      <w:r>
        <w:rPr>
          <w:rFonts w:cstheme="minorHAnsi"/>
        </w:rPr>
        <w:t xml:space="preserve"> on the </w:t>
      </w:r>
      <w:bookmarkEnd w:id="34"/>
      <w:r>
        <w:rPr>
          <w:rFonts w:cstheme="minorHAnsi"/>
        </w:rPr>
        <w:t>survey</w:t>
      </w:r>
      <w:r w:rsidRPr="0050075C">
        <w:rPr>
          <w:rFonts w:cstheme="minorHAnsi"/>
        </w:rPr>
        <w:t xml:space="preserve">. </w:t>
      </w:r>
      <w:r>
        <w:rPr>
          <w:rFonts w:cstheme="minorHAnsi"/>
        </w:rPr>
        <w:t>The interviews focused on</w:t>
      </w:r>
      <w:r w:rsidRPr="0050075C">
        <w:rPr>
          <w:rFonts w:cstheme="minorHAnsi"/>
        </w:rPr>
        <w:t xml:space="preserve"> ask</w:t>
      </w:r>
      <w:r>
        <w:rPr>
          <w:rFonts w:cstheme="minorHAnsi"/>
        </w:rPr>
        <w:t>ing</w:t>
      </w:r>
      <w:r w:rsidRPr="0050075C">
        <w:rPr>
          <w:rFonts w:cstheme="minorHAnsi"/>
        </w:rPr>
        <w:t xml:space="preserve"> respondents to</w:t>
      </w:r>
      <w:r>
        <w:rPr>
          <w:rFonts w:cstheme="minorHAnsi"/>
        </w:rPr>
        <w:t xml:space="preserve"> </w:t>
      </w:r>
      <w:r>
        <w:rPr>
          <w:rFonts w:cstheme="minorHAnsi"/>
        </w:rPr>
        <w:t>identify and</w:t>
      </w:r>
      <w:r w:rsidRPr="0050075C">
        <w:rPr>
          <w:rFonts w:cstheme="minorHAnsi"/>
        </w:rPr>
        <w:t xml:space="preserve"> share concerns about unclear questions</w:t>
      </w:r>
      <w:r>
        <w:rPr>
          <w:rFonts w:cstheme="minorHAnsi"/>
        </w:rPr>
        <w:t xml:space="preserve"> or response options, questions that took too long to answer</w:t>
      </w:r>
      <w:r w:rsidRPr="0050075C">
        <w:rPr>
          <w:rFonts w:cstheme="minorHAnsi"/>
        </w:rPr>
        <w:t>, burden, and the flow of the survey. The team use</w:t>
      </w:r>
      <w:r>
        <w:rPr>
          <w:rFonts w:cstheme="minorHAnsi"/>
        </w:rPr>
        <w:t>d</w:t>
      </w:r>
      <w:r w:rsidRPr="0050075C">
        <w:rPr>
          <w:rFonts w:cstheme="minorHAnsi"/>
        </w:rPr>
        <w:t xml:space="preserve"> cognitive methods to gauge respondents’ understanding of the intent of questions and response options, focusing on new</w:t>
      </w:r>
      <w:r>
        <w:rPr>
          <w:rFonts w:cstheme="minorHAnsi"/>
        </w:rPr>
        <w:t>ly crafted</w:t>
      </w:r>
      <w:r w:rsidRPr="0050075C">
        <w:rPr>
          <w:rFonts w:cstheme="minorHAnsi"/>
        </w:rPr>
        <w:t xml:space="preserve"> or </w:t>
      </w:r>
      <w:r>
        <w:rPr>
          <w:rFonts w:cstheme="minorHAnsi"/>
        </w:rPr>
        <w:t xml:space="preserve">significantly </w:t>
      </w:r>
      <w:r w:rsidRPr="0050075C">
        <w:rPr>
          <w:rFonts w:cstheme="minorHAnsi"/>
        </w:rPr>
        <w:t>revised survey items</w:t>
      </w:r>
      <w:r>
        <w:rPr>
          <w:rFonts w:cstheme="minorHAnsi"/>
        </w:rPr>
        <w:t>,</w:t>
      </w:r>
      <w:r w:rsidRPr="0050075C">
        <w:rPr>
          <w:rFonts w:cstheme="minorHAnsi"/>
        </w:rPr>
        <w:t xml:space="preserve"> or those that ask</w:t>
      </w:r>
      <w:r>
        <w:rPr>
          <w:rFonts w:cstheme="minorHAnsi"/>
        </w:rPr>
        <w:t>ed</w:t>
      </w:r>
      <w:r w:rsidRPr="0050075C">
        <w:rPr>
          <w:rFonts w:cstheme="minorHAnsi"/>
        </w:rPr>
        <w:t xml:space="preserve"> about topics that are complex or difficult to measure.</w:t>
      </w:r>
      <w:r w:rsidRPr="00CE6DF9" w:rsidR="00CE6DF9">
        <w:t xml:space="preserve"> </w:t>
      </w:r>
      <w:bookmarkStart w:id="35" w:name="_Hlk63768819"/>
      <w:r w:rsidR="0034036E">
        <w:t xml:space="preserve">Pretest findings are summarized in the </w:t>
      </w:r>
      <w:r w:rsidRPr="00F36E0C" w:rsidR="00F36E0C">
        <w:t xml:space="preserve">SMO Option Period </w:t>
      </w:r>
      <w:r w:rsidR="00E21121">
        <w:t>2</w:t>
      </w:r>
      <w:r w:rsidRPr="00F36E0C" w:rsidR="00F36E0C">
        <w:t xml:space="preserve"> Pre-test Findings Memo</w:t>
      </w:r>
      <w:r w:rsidRPr="00F36E0C" w:rsidR="00F36E0C">
        <w:t xml:space="preserve"> </w:t>
      </w:r>
      <w:r w:rsidR="0034036E">
        <w:t xml:space="preserve">(Appendix M). </w:t>
      </w:r>
      <w:r w:rsidR="00CE6DF9">
        <w:t>Table B4.1</w:t>
      </w:r>
      <w:r w:rsidR="0012547F">
        <w:t xml:space="preserve"> and B4.2</w:t>
      </w:r>
      <w:r w:rsidR="00CE6DF9">
        <w:t xml:space="preserve"> </w:t>
      </w:r>
      <w:r w:rsidR="00CF7103">
        <w:t>summarize</w:t>
      </w:r>
      <w:r w:rsidRPr="00CE6DF9" w:rsidR="00CE6DF9">
        <w:rPr>
          <w:rFonts w:cstheme="minorHAnsi"/>
        </w:rPr>
        <w:t xml:space="preserve"> respondent feedback and the changes made to the </w:t>
      </w:r>
      <w:r w:rsidR="00CE6DF9">
        <w:rPr>
          <w:rFonts w:cstheme="minorHAnsi"/>
        </w:rPr>
        <w:t>surveys based on the pretest findings</w:t>
      </w:r>
      <w:r w:rsidRPr="00CE6DF9" w:rsidR="00CE6DF9">
        <w:rPr>
          <w:rFonts w:cstheme="minorHAnsi"/>
        </w:rPr>
        <w:t>.</w:t>
      </w:r>
    </w:p>
    <w:p w:rsidR="00CE6DF9" w:rsidP="00CE6DF9" w14:paraId="37F0194E" w14:textId="239E3F0C">
      <w:pPr>
        <w:pStyle w:val="TableTitle"/>
      </w:pPr>
      <w:bookmarkStart w:id="36" w:name="_Toc133502237"/>
      <w:bookmarkEnd w:id="35"/>
      <w:r w:rsidRPr="0012547F">
        <w:t>Table B4.</w:t>
      </w:r>
      <w:r w:rsidR="0012547F">
        <w:t>1</w:t>
      </w:r>
      <w:r w:rsidRPr="0012547F">
        <w:t>. Changes to State CN Director Survey based on respondent feedback</w:t>
      </w:r>
      <w:bookmarkEnd w:id="36"/>
    </w:p>
    <w:tbl>
      <w:tblPr>
        <w:tblStyle w:val="MathUBaseTable"/>
        <w:tblW w:w="9360" w:type="dxa"/>
        <w:tblLook w:val="04A0"/>
      </w:tblPr>
      <w:tblGrid>
        <w:gridCol w:w="1094"/>
        <w:gridCol w:w="4403"/>
        <w:gridCol w:w="3863"/>
      </w:tblGrid>
      <w:tr w14:paraId="489A7C1B" w14:textId="77777777" w:rsidTr="008E637D">
        <w:tblPrEx>
          <w:tblW w:w="9360" w:type="dxa"/>
          <w:tblLook w:val="04A0"/>
        </w:tblPrEx>
        <w:tc>
          <w:tcPr>
            <w:tcW w:w="1080" w:type="dxa"/>
          </w:tcPr>
          <w:p w:rsidR="008E637D" w:rsidRPr="00F55451" w:rsidP="00442305" w14:paraId="666BD69D" w14:textId="77777777">
            <w:pPr>
              <w:spacing w:before="120" w:line="240" w:lineRule="auto"/>
              <w:rPr>
                <w:rFonts w:asciiTheme="majorHAnsi" w:hAnsiTheme="majorHAnsi" w:cstheme="majorHAnsi"/>
                <w:color w:val="FFFFFF"/>
                <w:sz w:val="20"/>
              </w:rPr>
            </w:pPr>
            <w:r w:rsidRPr="00F55451">
              <w:rPr>
                <w:rFonts w:asciiTheme="majorHAnsi" w:hAnsiTheme="majorHAnsi" w:cstheme="majorHAnsi"/>
                <w:color w:val="FFFFFF"/>
                <w:sz w:val="20"/>
              </w:rPr>
              <w:t>Questions</w:t>
            </w:r>
          </w:p>
        </w:tc>
        <w:tc>
          <w:tcPr>
            <w:tcW w:w="4410" w:type="dxa"/>
          </w:tcPr>
          <w:p w:rsidR="008E637D" w:rsidRPr="00F55451" w:rsidP="00442305" w14:paraId="52153C18" w14:textId="77777777">
            <w:pPr>
              <w:textboxTightWrap w:val="allLines"/>
              <w:spacing w:before="120" w:line="240" w:lineRule="auto"/>
              <w:jc w:val="center"/>
              <w:rPr>
                <w:rFonts w:asciiTheme="majorHAnsi" w:hAnsiTheme="majorHAnsi" w:cstheme="majorHAnsi"/>
                <w:color w:val="FFFFFF"/>
                <w:sz w:val="20"/>
              </w:rPr>
            </w:pPr>
            <w:r w:rsidRPr="00F55451">
              <w:rPr>
                <w:rFonts w:asciiTheme="majorHAnsi" w:hAnsiTheme="majorHAnsi" w:cstheme="majorHAnsi"/>
                <w:color w:val="FFFFFF"/>
                <w:sz w:val="20"/>
              </w:rPr>
              <w:t>Respondents’ feedback</w:t>
            </w:r>
          </w:p>
        </w:tc>
        <w:tc>
          <w:tcPr>
            <w:tcW w:w="3870" w:type="dxa"/>
          </w:tcPr>
          <w:p w:rsidR="008E637D" w:rsidRPr="00F55451" w:rsidP="00442305" w14:paraId="13AF569D" w14:textId="77777777">
            <w:pPr>
              <w:textboxTightWrap w:val="allLines"/>
              <w:spacing w:before="120" w:line="240" w:lineRule="auto"/>
              <w:jc w:val="center"/>
              <w:rPr>
                <w:rFonts w:asciiTheme="majorHAnsi" w:hAnsiTheme="majorHAnsi" w:cstheme="majorHAnsi"/>
                <w:color w:val="FFFFFF"/>
                <w:sz w:val="20"/>
              </w:rPr>
            </w:pPr>
            <w:r w:rsidRPr="00F55451">
              <w:rPr>
                <w:rFonts w:asciiTheme="majorHAnsi" w:hAnsiTheme="majorHAnsi" w:cstheme="majorHAnsi"/>
                <w:color w:val="FFFFFF"/>
                <w:sz w:val="20"/>
              </w:rPr>
              <w:t>Survey changes</w:t>
            </w:r>
          </w:p>
        </w:tc>
      </w:tr>
      <w:tr w14:paraId="64F5C85B" w14:textId="77777777" w:rsidTr="008E637D">
        <w:tblPrEx>
          <w:tblW w:w="9360" w:type="dxa"/>
          <w:tblLook w:val="04A0"/>
        </w:tblPrEx>
        <w:tc>
          <w:tcPr>
            <w:tcW w:w="1080" w:type="dxa"/>
          </w:tcPr>
          <w:p w:rsidR="008E637D" w:rsidRPr="00F55451" w:rsidP="00442305" w14:paraId="6998050D" w14:textId="77777777">
            <w:pPr>
              <w:spacing w:line="240" w:lineRule="auto"/>
              <w:rPr>
                <w:rFonts w:asciiTheme="majorHAnsi" w:hAnsiTheme="majorHAnsi" w:cstheme="majorHAnsi"/>
                <w:sz w:val="20"/>
              </w:rPr>
            </w:pPr>
            <w:r w:rsidRPr="00F55451">
              <w:rPr>
                <w:rFonts w:asciiTheme="majorHAnsi" w:hAnsiTheme="majorHAnsi" w:cstheme="majorHAnsi"/>
                <w:sz w:val="20"/>
              </w:rPr>
              <w:t>C1, C2, C3</w:t>
            </w:r>
          </w:p>
        </w:tc>
        <w:tc>
          <w:tcPr>
            <w:tcW w:w="4410" w:type="dxa"/>
          </w:tcPr>
          <w:p w:rsidR="008E637D" w:rsidRPr="00F55451" w:rsidP="00442305" w14:paraId="0806BD7C" w14:textId="77777777">
            <w:pPr>
              <w:spacing w:line="240" w:lineRule="auto"/>
              <w:rPr>
                <w:rFonts w:asciiTheme="majorHAnsi" w:hAnsiTheme="majorHAnsi" w:cstheme="majorHAnsi"/>
                <w:bCs/>
                <w:sz w:val="20"/>
              </w:rPr>
            </w:pPr>
            <w:r w:rsidRPr="00F55451">
              <w:rPr>
                <w:rFonts w:asciiTheme="majorHAnsi" w:hAnsiTheme="majorHAnsi" w:cstheme="majorHAnsi"/>
                <w:sz w:val="20"/>
              </w:rPr>
              <w:t>One respondent noted that they could not easily access information for these questions but said the preparation note in the introduction will be helpful when they complete the survey in the fall.</w:t>
            </w:r>
          </w:p>
        </w:tc>
        <w:tc>
          <w:tcPr>
            <w:tcW w:w="3870" w:type="dxa"/>
          </w:tcPr>
          <w:p w:rsidR="008E637D" w:rsidRPr="00F55451" w:rsidP="00442305" w14:paraId="059FF7E5" w14:textId="77777777">
            <w:pPr>
              <w:spacing w:line="240" w:lineRule="auto"/>
              <w:rPr>
                <w:rFonts w:asciiTheme="majorHAnsi" w:hAnsiTheme="majorHAnsi" w:cstheme="majorHAnsi"/>
                <w:bCs/>
                <w:sz w:val="20"/>
              </w:rPr>
            </w:pPr>
            <w:r w:rsidRPr="00F55451">
              <w:rPr>
                <w:rFonts w:asciiTheme="majorHAnsi" w:hAnsiTheme="majorHAnsi" w:cstheme="majorHAnsi"/>
                <w:sz w:val="20"/>
              </w:rPr>
              <w:t xml:space="preserve">No change. The preparation note indicates respondents will need to gather this data for the survey. The questions also include a “Don’t know” response option for respondents who cannot access the data or do not know how to respond.  </w:t>
            </w:r>
          </w:p>
        </w:tc>
      </w:tr>
      <w:tr w14:paraId="40D52D1B" w14:textId="77777777" w:rsidTr="008E637D">
        <w:tblPrEx>
          <w:tblW w:w="9360" w:type="dxa"/>
          <w:tblLook w:val="04A0"/>
        </w:tblPrEx>
        <w:tc>
          <w:tcPr>
            <w:tcW w:w="1080" w:type="dxa"/>
          </w:tcPr>
          <w:p w:rsidR="008E637D" w:rsidRPr="00F55451" w:rsidP="00442305" w14:paraId="441445CB" w14:textId="77777777">
            <w:pPr>
              <w:spacing w:line="240" w:lineRule="auto"/>
              <w:rPr>
                <w:rFonts w:asciiTheme="majorHAnsi" w:hAnsiTheme="majorHAnsi" w:cstheme="majorHAnsi"/>
                <w:sz w:val="20"/>
              </w:rPr>
            </w:pPr>
            <w:r w:rsidRPr="00F55451">
              <w:rPr>
                <w:rFonts w:asciiTheme="majorHAnsi" w:hAnsiTheme="majorHAnsi" w:cstheme="majorHAnsi"/>
                <w:sz w:val="20"/>
              </w:rPr>
              <w:t>C4</w:t>
            </w:r>
          </w:p>
        </w:tc>
        <w:tc>
          <w:tcPr>
            <w:tcW w:w="4410" w:type="dxa"/>
          </w:tcPr>
          <w:p w:rsidR="008E637D" w:rsidRPr="00F55451" w:rsidP="00442305" w14:paraId="58C64474" w14:textId="77777777">
            <w:pPr>
              <w:spacing w:line="240" w:lineRule="auto"/>
              <w:rPr>
                <w:rFonts w:asciiTheme="majorHAnsi" w:hAnsiTheme="majorHAnsi" w:cstheme="majorHAnsi"/>
                <w:sz w:val="20"/>
              </w:rPr>
            </w:pPr>
            <w:r w:rsidRPr="00F55451">
              <w:rPr>
                <w:rFonts w:asciiTheme="majorHAnsi" w:hAnsiTheme="majorHAnsi" w:cstheme="majorHAnsi"/>
                <w:sz w:val="20"/>
              </w:rPr>
              <w:t xml:space="preserve">Respondents reported they returned FFVP funds because some schools are unable to use all their awarded funds due to staffing, supply chain, and other challenges that prevent them from being able to fully participate in the program. </w:t>
            </w:r>
          </w:p>
        </w:tc>
        <w:tc>
          <w:tcPr>
            <w:tcW w:w="3870" w:type="dxa"/>
          </w:tcPr>
          <w:p w:rsidR="008E637D" w:rsidRPr="00F55451" w:rsidP="00442305" w14:paraId="493CE976" w14:textId="77777777">
            <w:pPr>
              <w:spacing w:line="240" w:lineRule="auto"/>
              <w:rPr>
                <w:rFonts w:asciiTheme="majorHAnsi" w:hAnsiTheme="majorHAnsi" w:cstheme="majorHAnsi"/>
                <w:sz w:val="20"/>
              </w:rPr>
            </w:pPr>
            <w:r w:rsidRPr="00F55451">
              <w:rPr>
                <w:rFonts w:asciiTheme="majorHAnsi" w:hAnsiTheme="majorHAnsi" w:cstheme="majorHAnsi"/>
                <w:sz w:val="20"/>
              </w:rPr>
              <w:t>We added the response option “Schools did not utilize all of their awarded funds,” to a new question, C4, that addresses a new research question: “</w:t>
            </w:r>
            <w:r w:rsidRPr="00F55451">
              <w:rPr>
                <w:rFonts w:asciiTheme="majorHAnsi" w:hAnsiTheme="majorHAnsi" w:cstheme="majorHAnsi"/>
                <w:color w:val="000000"/>
                <w:sz w:val="20"/>
              </w:rPr>
              <w:t>Why did States return FFVP funding to the USDA?”</w:t>
            </w:r>
          </w:p>
        </w:tc>
      </w:tr>
      <w:tr w14:paraId="27DBB784" w14:textId="77777777" w:rsidTr="008E637D">
        <w:tblPrEx>
          <w:tblW w:w="9360" w:type="dxa"/>
          <w:tblLook w:val="04A0"/>
        </w:tblPrEx>
        <w:tc>
          <w:tcPr>
            <w:tcW w:w="1080" w:type="dxa"/>
          </w:tcPr>
          <w:p w:rsidR="008E637D" w:rsidRPr="00F55451" w:rsidP="00442305" w14:paraId="4D304B76" w14:textId="77777777">
            <w:pPr>
              <w:spacing w:line="240" w:lineRule="auto"/>
              <w:rPr>
                <w:rFonts w:asciiTheme="majorHAnsi" w:hAnsiTheme="majorHAnsi" w:cstheme="majorHAnsi"/>
                <w:sz w:val="20"/>
              </w:rPr>
            </w:pPr>
            <w:r w:rsidRPr="00F55451">
              <w:rPr>
                <w:rFonts w:asciiTheme="majorHAnsi" w:hAnsiTheme="majorHAnsi" w:cstheme="majorHAnsi"/>
                <w:sz w:val="20"/>
              </w:rPr>
              <w:t>D2, D4</w:t>
            </w:r>
          </w:p>
        </w:tc>
        <w:tc>
          <w:tcPr>
            <w:tcW w:w="4410" w:type="dxa"/>
          </w:tcPr>
          <w:p w:rsidR="008E637D" w:rsidRPr="00F55451" w:rsidP="00442305" w14:paraId="50CBC1DC" w14:textId="77777777">
            <w:pPr>
              <w:spacing w:line="240" w:lineRule="auto"/>
              <w:rPr>
                <w:rFonts w:asciiTheme="majorHAnsi" w:hAnsiTheme="majorHAnsi" w:cstheme="majorHAnsi"/>
                <w:bCs/>
                <w:sz w:val="20"/>
              </w:rPr>
            </w:pPr>
            <w:r w:rsidRPr="00F55451">
              <w:rPr>
                <w:rFonts w:asciiTheme="majorHAnsi" w:hAnsiTheme="majorHAnsi" w:cstheme="majorHAnsi"/>
                <w:sz w:val="20"/>
              </w:rPr>
              <w:t>One respondent reported that their State’s model of subsidizing universal free meals involves multiple components that made answering this question challenging.</w:t>
            </w:r>
          </w:p>
        </w:tc>
        <w:tc>
          <w:tcPr>
            <w:tcW w:w="3870" w:type="dxa"/>
          </w:tcPr>
          <w:p w:rsidR="008E637D" w:rsidRPr="00F55451" w:rsidP="00442305" w14:paraId="33D90684" w14:textId="77777777">
            <w:pPr>
              <w:spacing w:line="240" w:lineRule="auto"/>
              <w:rPr>
                <w:rFonts w:asciiTheme="majorHAnsi" w:hAnsiTheme="majorHAnsi" w:cstheme="majorHAnsi"/>
                <w:bCs/>
                <w:sz w:val="20"/>
              </w:rPr>
            </w:pPr>
            <w:r w:rsidRPr="00F55451">
              <w:rPr>
                <w:rFonts w:asciiTheme="majorHAnsi" w:hAnsiTheme="majorHAnsi" w:cstheme="majorHAnsi"/>
                <w:sz w:val="20"/>
              </w:rPr>
              <w:t>No change. Respondents can select all subsidies that apply to their State and report any unique circumstances in the “Other, specify” text box.</w:t>
            </w:r>
          </w:p>
        </w:tc>
      </w:tr>
      <w:tr w14:paraId="1EB30CE0" w14:textId="77777777" w:rsidTr="008E637D">
        <w:tblPrEx>
          <w:tblW w:w="9360" w:type="dxa"/>
          <w:tblLook w:val="04A0"/>
        </w:tblPrEx>
        <w:tc>
          <w:tcPr>
            <w:tcW w:w="1080" w:type="dxa"/>
          </w:tcPr>
          <w:p w:rsidR="008E637D" w:rsidRPr="00F55451" w:rsidP="00442305" w14:paraId="331C1A52" w14:textId="77777777">
            <w:pPr>
              <w:tabs>
                <w:tab w:val="left" w:pos="800"/>
              </w:tabs>
              <w:spacing w:line="240" w:lineRule="auto"/>
              <w:rPr>
                <w:rFonts w:asciiTheme="majorHAnsi" w:hAnsiTheme="majorHAnsi" w:cstheme="majorHAnsi"/>
                <w:sz w:val="20"/>
              </w:rPr>
            </w:pPr>
            <w:r w:rsidRPr="00F55451">
              <w:rPr>
                <w:rFonts w:asciiTheme="majorHAnsi" w:hAnsiTheme="majorHAnsi" w:cstheme="majorHAnsi"/>
                <w:sz w:val="20"/>
              </w:rPr>
              <w:t>E1</w:t>
            </w:r>
          </w:p>
        </w:tc>
        <w:tc>
          <w:tcPr>
            <w:tcW w:w="4410" w:type="dxa"/>
          </w:tcPr>
          <w:p w:rsidR="008E637D" w:rsidRPr="00F55451" w:rsidP="00442305" w14:paraId="582A8DAF" w14:textId="77777777">
            <w:pPr>
              <w:spacing w:line="240" w:lineRule="auto"/>
              <w:rPr>
                <w:rFonts w:asciiTheme="majorHAnsi" w:hAnsiTheme="majorHAnsi" w:cstheme="majorHAnsi"/>
                <w:sz w:val="20"/>
              </w:rPr>
            </w:pPr>
            <w:r w:rsidRPr="00F55451">
              <w:rPr>
                <w:rFonts w:asciiTheme="majorHAnsi" w:hAnsiTheme="majorHAnsi" w:cstheme="majorHAnsi"/>
                <w:sz w:val="20"/>
              </w:rPr>
              <w:t xml:space="preserve">Two respondents were unsure how to respond to this question because their State’s policy is to implement the Federal policy. </w:t>
            </w:r>
          </w:p>
        </w:tc>
        <w:tc>
          <w:tcPr>
            <w:tcW w:w="3870" w:type="dxa"/>
          </w:tcPr>
          <w:p w:rsidR="008E637D" w:rsidRPr="00F55451" w:rsidP="00442305" w14:paraId="738A60DE" w14:textId="77777777">
            <w:pPr>
              <w:spacing w:line="240" w:lineRule="auto"/>
              <w:rPr>
                <w:rFonts w:asciiTheme="majorHAnsi" w:hAnsiTheme="majorHAnsi" w:cstheme="majorHAnsi"/>
                <w:bCs/>
                <w:sz w:val="20"/>
              </w:rPr>
            </w:pPr>
            <w:r w:rsidRPr="00F55451">
              <w:rPr>
                <w:rFonts w:asciiTheme="majorHAnsi" w:hAnsiTheme="majorHAnsi" w:cstheme="majorHAnsi"/>
                <w:sz w:val="20"/>
              </w:rPr>
              <w:t>We changed the response options to allow States with a Buy American policy to indicate “Yes, our State implements the Federal policy,” or “Yes, our State has a State-specific policy.”</w:t>
            </w:r>
          </w:p>
        </w:tc>
      </w:tr>
      <w:tr w14:paraId="76E834CC" w14:textId="77777777" w:rsidTr="008E637D">
        <w:tblPrEx>
          <w:tblW w:w="9360" w:type="dxa"/>
          <w:tblLook w:val="04A0"/>
        </w:tblPrEx>
        <w:tc>
          <w:tcPr>
            <w:tcW w:w="1080" w:type="dxa"/>
          </w:tcPr>
          <w:p w:rsidR="008E637D" w:rsidRPr="00F55451" w:rsidP="00442305" w14:paraId="5601BA53" w14:textId="77777777">
            <w:pPr>
              <w:tabs>
                <w:tab w:val="left" w:pos="720"/>
              </w:tabs>
              <w:spacing w:line="240" w:lineRule="auto"/>
              <w:rPr>
                <w:rFonts w:asciiTheme="majorHAnsi" w:hAnsiTheme="majorHAnsi" w:cstheme="majorHAnsi"/>
                <w:sz w:val="20"/>
              </w:rPr>
            </w:pPr>
            <w:r w:rsidRPr="00F55451">
              <w:rPr>
                <w:rFonts w:asciiTheme="majorHAnsi" w:hAnsiTheme="majorHAnsi" w:cstheme="majorHAnsi"/>
                <w:sz w:val="20"/>
              </w:rPr>
              <w:t>E2, E3</w:t>
            </w:r>
          </w:p>
        </w:tc>
        <w:tc>
          <w:tcPr>
            <w:tcW w:w="4410" w:type="dxa"/>
          </w:tcPr>
          <w:p w:rsidR="008E637D" w:rsidRPr="00F55451" w:rsidP="00442305" w14:paraId="1B55F0E6" w14:textId="77777777">
            <w:pPr>
              <w:spacing w:line="240" w:lineRule="auto"/>
              <w:rPr>
                <w:rFonts w:asciiTheme="majorHAnsi" w:hAnsiTheme="majorHAnsi" w:cstheme="majorHAnsi"/>
                <w:bCs/>
                <w:sz w:val="20"/>
              </w:rPr>
            </w:pPr>
            <w:r w:rsidRPr="00F55451">
              <w:rPr>
                <w:rFonts w:asciiTheme="majorHAnsi" w:hAnsiTheme="majorHAnsi" w:cstheme="majorHAnsi"/>
                <w:bCs/>
                <w:sz w:val="20"/>
              </w:rPr>
              <w:t>One respondent suggested that Response Item 7 should be changed to “Encouragement for SFAs to order USDA foods in order to meet Buy American.”</w:t>
            </w:r>
          </w:p>
        </w:tc>
        <w:tc>
          <w:tcPr>
            <w:tcW w:w="3870" w:type="dxa"/>
          </w:tcPr>
          <w:p w:rsidR="008E637D" w:rsidRPr="00F55451" w:rsidP="00442305" w14:paraId="4B076CDD" w14:textId="77777777">
            <w:pPr>
              <w:spacing w:line="240" w:lineRule="auto"/>
              <w:rPr>
                <w:rFonts w:asciiTheme="majorHAnsi" w:hAnsiTheme="majorHAnsi" w:cstheme="majorHAnsi"/>
                <w:bCs/>
                <w:sz w:val="20"/>
              </w:rPr>
            </w:pPr>
            <w:r w:rsidRPr="00F55451">
              <w:rPr>
                <w:rFonts w:asciiTheme="majorHAnsi" w:hAnsiTheme="majorHAnsi" w:cstheme="majorHAnsi"/>
                <w:bCs/>
                <w:sz w:val="20"/>
              </w:rPr>
              <w:t>No change. We do not recommend changing this response item as the question is about the components of the State’s Buy American policy.</w:t>
            </w:r>
          </w:p>
        </w:tc>
      </w:tr>
      <w:tr w14:paraId="5ECDB908" w14:textId="77777777" w:rsidTr="008E637D">
        <w:tblPrEx>
          <w:tblW w:w="9360" w:type="dxa"/>
          <w:tblLook w:val="04A0"/>
        </w:tblPrEx>
        <w:tc>
          <w:tcPr>
            <w:tcW w:w="1080" w:type="dxa"/>
          </w:tcPr>
          <w:p w:rsidR="008E637D" w:rsidRPr="00F55451" w:rsidP="00442305" w14:paraId="453E6022" w14:textId="77777777">
            <w:pPr>
              <w:spacing w:line="240" w:lineRule="auto"/>
              <w:rPr>
                <w:rFonts w:asciiTheme="majorHAnsi" w:hAnsiTheme="majorHAnsi" w:cstheme="majorHAnsi"/>
                <w:sz w:val="20"/>
              </w:rPr>
            </w:pPr>
            <w:r w:rsidRPr="00F55451">
              <w:rPr>
                <w:rFonts w:asciiTheme="majorHAnsi" w:hAnsiTheme="majorHAnsi" w:cstheme="majorHAnsi"/>
                <w:sz w:val="20"/>
              </w:rPr>
              <w:t>E6</w:t>
            </w:r>
          </w:p>
        </w:tc>
        <w:tc>
          <w:tcPr>
            <w:tcW w:w="4410" w:type="dxa"/>
          </w:tcPr>
          <w:p w:rsidR="008E637D" w:rsidRPr="00F55451" w:rsidP="00442305" w14:paraId="04FAD318" w14:textId="77777777">
            <w:pPr>
              <w:spacing w:line="240" w:lineRule="auto"/>
              <w:rPr>
                <w:rFonts w:asciiTheme="majorHAnsi" w:hAnsiTheme="majorHAnsi" w:cstheme="majorHAnsi"/>
                <w:bCs/>
                <w:sz w:val="20"/>
              </w:rPr>
            </w:pPr>
            <w:r w:rsidRPr="00F55451">
              <w:rPr>
                <w:rFonts w:asciiTheme="majorHAnsi" w:hAnsiTheme="majorHAnsi" w:cstheme="majorHAnsi"/>
                <w:sz w:val="20"/>
              </w:rPr>
              <w:t>One respondent suggested including an option for exceptions when domestic foods are out of season.</w:t>
            </w:r>
          </w:p>
        </w:tc>
        <w:tc>
          <w:tcPr>
            <w:tcW w:w="3870" w:type="dxa"/>
          </w:tcPr>
          <w:p w:rsidR="008E637D" w:rsidRPr="00F55451" w:rsidP="00442305" w14:paraId="2580F1EC" w14:textId="77777777">
            <w:pPr>
              <w:spacing w:line="240" w:lineRule="auto"/>
              <w:rPr>
                <w:rFonts w:asciiTheme="majorHAnsi" w:hAnsiTheme="majorHAnsi" w:cstheme="majorHAnsi"/>
                <w:bCs/>
                <w:sz w:val="20"/>
              </w:rPr>
            </w:pPr>
            <w:r w:rsidRPr="00F55451">
              <w:rPr>
                <w:rFonts w:asciiTheme="majorHAnsi" w:hAnsiTheme="majorHAnsi" w:cstheme="majorHAnsi"/>
                <w:sz w:val="20"/>
              </w:rPr>
              <w:t>No change. Seasonality can be captured in Items A and B: “The domestic food product is in inadequate supply,” and “The domestic food product is low quality.”</w:t>
            </w:r>
          </w:p>
        </w:tc>
      </w:tr>
      <w:tr w14:paraId="778760E2" w14:textId="77777777" w:rsidTr="008E637D">
        <w:tblPrEx>
          <w:tblW w:w="9360" w:type="dxa"/>
          <w:tblLook w:val="04A0"/>
        </w:tblPrEx>
        <w:tc>
          <w:tcPr>
            <w:tcW w:w="1080" w:type="dxa"/>
          </w:tcPr>
          <w:p w:rsidR="008E637D" w:rsidRPr="00F55451" w:rsidP="00442305" w14:paraId="154060FE" w14:textId="77777777">
            <w:pPr>
              <w:spacing w:line="240" w:lineRule="auto"/>
              <w:rPr>
                <w:rFonts w:asciiTheme="majorHAnsi" w:hAnsiTheme="majorHAnsi" w:cstheme="majorHAnsi"/>
                <w:sz w:val="20"/>
              </w:rPr>
            </w:pPr>
            <w:r w:rsidRPr="00F55451">
              <w:rPr>
                <w:rFonts w:asciiTheme="majorHAnsi" w:hAnsiTheme="majorHAnsi" w:cstheme="majorHAnsi"/>
                <w:sz w:val="20"/>
              </w:rPr>
              <w:t>E9</w:t>
            </w:r>
          </w:p>
        </w:tc>
        <w:tc>
          <w:tcPr>
            <w:tcW w:w="4410" w:type="dxa"/>
          </w:tcPr>
          <w:p w:rsidR="008E637D" w:rsidRPr="00F55451" w:rsidP="00442305" w14:paraId="61D5B821" w14:textId="77777777">
            <w:pPr>
              <w:spacing w:line="240" w:lineRule="auto"/>
              <w:rPr>
                <w:rFonts w:asciiTheme="majorHAnsi" w:hAnsiTheme="majorHAnsi" w:cstheme="majorHAnsi"/>
                <w:bCs/>
                <w:sz w:val="20"/>
              </w:rPr>
            </w:pPr>
            <w:r w:rsidRPr="00F55451">
              <w:rPr>
                <w:rFonts w:asciiTheme="majorHAnsi" w:hAnsiTheme="majorHAnsi" w:cstheme="majorHAnsi"/>
                <w:bCs/>
                <w:sz w:val="20"/>
              </w:rPr>
              <w:t>Two respondents were unsure whether they should consider participation in LFS through Agricultural Marketing Service.</w:t>
            </w:r>
          </w:p>
        </w:tc>
        <w:tc>
          <w:tcPr>
            <w:tcW w:w="3870" w:type="dxa"/>
          </w:tcPr>
          <w:p w:rsidR="008E637D" w:rsidRPr="00F55451" w:rsidP="00442305" w14:paraId="5F05AB3E" w14:textId="77777777">
            <w:pPr>
              <w:spacing w:line="240" w:lineRule="auto"/>
              <w:rPr>
                <w:rFonts w:asciiTheme="majorHAnsi" w:hAnsiTheme="majorHAnsi" w:cstheme="majorHAnsi"/>
                <w:bCs/>
                <w:sz w:val="20"/>
              </w:rPr>
            </w:pPr>
            <w:r w:rsidRPr="00F55451">
              <w:rPr>
                <w:rFonts w:asciiTheme="majorHAnsi" w:hAnsiTheme="majorHAnsi" w:cstheme="majorHAnsi"/>
                <w:bCs/>
                <w:sz w:val="20"/>
              </w:rPr>
              <w:t xml:space="preserve">We added a clarification to the survey question, “If your State participated in the </w:t>
            </w:r>
            <w:r w:rsidRPr="00F55451">
              <w:rPr>
                <w:rFonts w:asciiTheme="majorHAnsi" w:hAnsiTheme="majorHAnsi" w:cstheme="majorHAnsi"/>
                <w:sz w:val="20"/>
              </w:rPr>
              <w:t>Local Food for Schools Cooperative Agreement Program</w:t>
            </w:r>
            <w:r w:rsidRPr="00F55451">
              <w:rPr>
                <w:rFonts w:asciiTheme="majorHAnsi" w:hAnsiTheme="majorHAnsi" w:cstheme="majorHAnsi"/>
                <w:bCs/>
                <w:sz w:val="20"/>
              </w:rPr>
              <w:t xml:space="preserve"> (LFS), please do not consider this in your response.” </w:t>
            </w:r>
          </w:p>
        </w:tc>
      </w:tr>
      <w:tr w14:paraId="27883002" w14:textId="77777777" w:rsidTr="008E637D">
        <w:tblPrEx>
          <w:tblW w:w="9360" w:type="dxa"/>
          <w:tblLook w:val="04A0"/>
        </w:tblPrEx>
        <w:tc>
          <w:tcPr>
            <w:tcW w:w="1080" w:type="dxa"/>
          </w:tcPr>
          <w:p w:rsidR="008E637D" w:rsidRPr="00F55451" w:rsidP="00442305" w14:paraId="1F9CA581" w14:textId="77777777">
            <w:pPr>
              <w:tabs>
                <w:tab w:val="left" w:pos="720"/>
              </w:tabs>
              <w:spacing w:line="240" w:lineRule="auto"/>
              <w:rPr>
                <w:rFonts w:asciiTheme="majorHAnsi" w:hAnsiTheme="majorHAnsi" w:cstheme="majorHAnsi"/>
                <w:sz w:val="20"/>
              </w:rPr>
            </w:pPr>
            <w:r w:rsidRPr="00F55451">
              <w:rPr>
                <w:rFonts w:asciiTheme="majorHAnsi" w:hAnsiTheme="majorHAnsi" w:cstheme="majorHAnsi"/>
                <w:sz w:val="20"/>
              </w:rPr>
              <w:t>E11</w:t>
            </w:r>
          </w:p>
        </w:tc>
        <w:tc>
          <w:tcPr>
            <w:tcW w:w="4410" w:type="dxa"/>
          </w:tcPr>
          <w:p w:rsidR="008E637D" w:rsidRPr="00F55451" w:rsidP="00442305" w14:paraId="578612D0" w14:textId="77777777">
            <w:pPr>
              <w:spacing w:line="240" w:lineRule="auto"/>
              <w:rPr>
                <w:rFonts w:asciiTheme="majorHAnsi" w:hAnsiTheme="majorHAnsi" w:cstheme="majorHAnsi"/>
                <w:bCs/>
                <w:sz w:val="20"/>
              </w:rPr>
            </w:pPr>
            <w:r w:rsidRPr="00F55451">
              <w:rPr>
                <w:rFonts w:asciiTheme="majorHAnsi" w:hAnsiTheme="majorHAnsi" w:cstheme="majorHAnsi"/>
                <w:sz w:val="20"/>
              </w:rPr>
              <w:t>One respondent was unsure what constituted training, and whether delivering a training is different from providing guidance.</w:t>
            </w:r>
          </w:p>
        </w:tc>
        <w:tc>
          <w:tcPr>
            <w:tcW w:w="3870" w:type="dxa"/>
          </w:tcPr>
          <w:p w:rsidR="008E637D" w:rsidRPr="00F55451" w:rsidP="00442305" w14:paraId="4D8CA44E" w14:textId="77777777">
            <w:pPr>
              <w:spacing w:line="240" w:lineRule="auto"/>
              <w:rPr>
                <w:rFonts w:asciiTheme="majorHAnsi" w:hAnsiTheme="majorHAnsi" w:cstheme="majorHAnsi"/>
                <w:bCs/>
                <w:sz w:val="20"/>
              </w:rPr>
            </w:pPr>
            <w:r w:rsidRPr="00F55451">
              <w:rPr>
                <w:rFonts w:asciiTheme="majorHAnsi" w:hAnsiTheme="majorHAnsi" w:cstheme="majorHAnsi"/>
                <w:bCs/>
                <w:sz w:val="20"/>
              </w:rPr>
              <w:t>We changed the question to ask about “training or guidance.”</w:t>
            </w:r>
          </w:p>
        </w:tc>
      </w:tr>
    </w:tbl>
    <w:p w:rsidR="008E637D" w:rsidP="008E637D" w14:paraId="6CEB3D9C" w14:textId="77777777">
      <w:pPr>
        <w:pStyle w:val="ExhibitSource"/>
        <w:ind w:left="0" w:firstLine="0"/>
      </w:pPr>
      <w:r w:rsidRPr="00B23060">
        <w:t>CN = Child Nutrition; FFVP = Fresh Fruit and Vegetable Program; LFS = Local Food for Schools Cooperative</w:t>
      </w:r>
      <w:r>
        <w:t xml:space="preserve"> </w:t>
      </w:r>
      <w:r w:rsidRPr="00B23060">
        <w:t>Agreement Program; SFA = School Food Authority; USDA = U.S. Department of Agriculture.</w:t>
      </w:r>
    </w:p>
    <w:p w:rsidR="00492D01" w:rsidP="003E7365" w14:paraId="2D380EEC" w14:textId="3D3FBEDB">
      <w:pPr>
        <w:spacing w:line="480" w:lineRule="auto"/>
        <w:ind w:firstLine="432"/>
        <w:rPr>
          <w:rFonts w:cstheme="minorHAnsi"/>
        </w:rPr>
      </w:pPr>
    </w:p>
    <w:p w:rsidR="0012547F" w:rsidP="0012547F" w14:paraId="4BE79D6C" w14:textId="5FE9F7B1">
      <w:pPr>
        <w:pStyle w:val="TableTitle"/>
      </w:pPr>
      <w:bookmarkStart w:id="37" w:name="_Toc133502238"/>
      <w:r w:rsidRPr="0012547F">
        <w:t>Table B4.2. Changes to SFA Director Survey based on respondent feedback</w:t>
      </w:r>
      <w:bookmarkEnd w:id="37"/>
    </w:p>
    <w:tbl>
      <w:tblPr>
        <w:tblStyle w:val="MathUBaseTable12"/>
        <w:tblW w:w="9540" w:type="dxa"/>
        <w:tblLayout w:type="fixed"/>
        <w:tblLook w:val="04A0"/>
      </w:tblPr>
      <w:tblGrid>
        <w:gridCol w:w="1170"/>
        <w:gridCol w:w="4770"/>
        <w:gridCol w:w="3600"/>
      </w:tblGrid>
      <w:tr w14:paraId="6CCBF386" w14:textId="77777777" w:rsidTr="00442305">
        <w:tblPrEx>
          <w:tblW w:w="9540" w:type="dxa"/>
          <w:tblLayout w:type="fixed"/>
          <w:tblLook w:val="04A0"/>
        </w:tblPrEx>
        <w:trPr>
          <w:trHeight w:val="153"/>
          <w:tblHeader/>
        </w:trPr>
        <w:tc>
          <w:tcPr>
            <w:tcW w:w="1170" w:type="dxa"/>
          </w:tcPr>
          <w:p w:rsidR="008E637D" w:rsidRPr="008E637D" w:rsidP="008E637D" w14:paraId="28DE33E9" w14:textId="77777777">
            <w:pPr>
              <w:spacing w:before="120" w:line="240" w:lineRule="auto"/>
              <w:rPr>
                <w:rFonts w:ascii="Arial" w:hAnsi="Arial"/>
                <w:sz w:val="20"/>
              </w:rPr>
            </w:pPr>
            <w:r w:rsidRPr="008E637D">
              <w:rPr>
                <w:rFonts w:ascii="Arial" w:hAnsi="Arial"/>
                <w:sz w:val="20"/>
              </w:rPr>
              <w:t>Questions</w:t>
            </w:r>
          </w:p>
        </w:tc>
        <w:tc>
          <w:tcPr>
            <w:tcW w:w="4770" w:type="dxa"/>
            <w:tcBorders>
              <w:bottom w:val="single" w:sz="4" w:space="0" w:color="046B5C"/>
              <w:right w:val="single" w:sz="4" w:space="0" w:color="auto"/>
            </w:tcBorders>
          </w:tcPr>
          <w:p w:rsidR="008E637D" w:rsidRPr="008E637D" w:rsidP="008E637D" w14:paraId="6F7A2A70" w14:textId="77777777">
            <w:pPr>
              <w:textboxTightWrap w:val="allLines"/>
              <w:spacing w:before="120" w:line="240" w:lineRule="auto"/>
              <w:jc w:val="center"/>
              <w:rPr>
                <w:rFonts w:ascii="Arial" w:hAnsi="Arial"/>
                <w:sz w:val="20"/>
              </w:rPr>
            </w:pPr>
            <w:r w:rsidRPr="008E637D">
              <w:rPr>
                <w:rFonts w:ascii="Arial" w:hAnsi="Arial"/>
                <w:sz w:val="20"/>
              </w:rPr>
              <w:t>Respondents’ feedback</w:t>
            </w:r>
          </w:p>
        </w:tc>
        <w:tc>
          <w:tcPr>
            <w:tcW w:w="3600" w:type="dxa"/>
            <w:tcBorders>
              <w:left w:val="single" w:sz="4" w:space="0" w:color="auto"/>
            </w:tcBorders>
          </w:tcPr>
          <w:p w:rsidR="008E637D" w:rsidRPr="008E637D" w:rsidP="008E637D" w14:paraId="3CBAFEC1" w14:textId="77777777">
            <w:pPr>
              <w:textboxTightWrap w:val="allLines"/>
              <w:spacing w:before="120" w:line="240" w:lineRule="auto"/>
              <w:jc w:val="center"/>
              <w:rPr>
                <w:rFonts w:ascii="Arial" w:hAnsi="Arial"/>
                <w:sz w:val="20"/>
              </w:rPr>
            </w:pPr>
            <w:r w:rsidRPr="008E637D">
              <w:rPr>
                <w:rFonts w:ascii="Arial" w:hAnsi="Arial"/>
                <w:sz w:val="20"/>
              </w:rPr>
              <w:t>Survey changes</w:t>
            </w:r>
          </w:p>
        </w:tc>
      </w:tr>
      <w:tr w14:paraId="7366FA9B" w14:textId="77777777" w:rsidTr="00442305">
        <w:tblPrEx>
          <w:tblW w:w="9540" w:type="dxa"/>
          <w:tblLayout w:type="fixed"/>
          <w:tblLook w:val="04A0"/>
        </w:tblPrEx>
        <w:tc>
          <w:tcPr>
            <w:tcW w:w="1170" w:type="dxa"/>
          </w:tcPr>
          <w:p w:rsidR="008E637D" w:rsidRPr="008E637D" w:rsidP="008E637D" w14:paraId="674A4B78" w14:textId="77777777">
            <w:pPr>
              <w:spacing w:line="240" w:lineRule="auto"/>
              <w:rPr>
                <w:rFonts w:ascii="Arial" w:hAnsi="Arial"/>
                <w:sz w:val="20"/>
              </w:rPr>
            </w:pPr>
            <w:r w:rsidRPr="008E637D">
              <w:rPr>
                <w:rFonts w:ascii="Arial" w:hAnsi="Arial"/>
                <w:sz w:val="20"/>
              </w:rPr>
              <w:t>Overall</w:t>
            </w:r>
          </w:p>
        </w:tc>
        <w:tc>
          <w:tcPr>
            <w:tcW w:w="4770" w:type="dxa"/>
            <w:tcBorders>
              <w:top w:val="single" w:sz="4" w:space="0" w:color="046B5C"/>
              <w:left w:val="single" w:sz="4" w:space="0" w:color="auto"/>
              <w:bottom w:val="single" w:sz="4" w:space="0" w:color="auto"/>
              <w:right w:val="single" w:sz="4" w:space="0" w:color="046B5C"/>
            </w:tcBorders>
          </w:tcPr>
          <w:p w:rsidR="008E637D" w:rsidRPr="008E637D" w:rsidP="008E637D" w14:paraId="283E3B19" w14:textId="77777777">
            <w:pPr>
              <w:spacing w:line="240" w:lineRule="auto"/>
              <w:rPr>
                <w:rFonts w:ascii="Arial" w:hAnsi="Arial" w:cs="Arial"/>
                <w:sz w:val="20"/>
              </w:rPr>
            </w:pPr>
            <w:r w:rsidRPr="008E637D">
              <w:rPr>
                <w:rFonts w:ascii="Arial" w:hAnsi="Arial" w:cs="Arial"/>
                <w:sz w:val="20"/>
              </w:rPr>
              <w:t xml:space="preserve">One respondent said questions felt too brief, and they would have liked the opportunity to elaborate further in certain questions. </w:t>
            </w:r>
          </w:p>
        </w:tc>
        <w:tc>
          <w:tcPr>
            <w:tcW w:w="3600" w:type="dxa"/>
            <w:tcBorders>
              <w:left w:val="single" w:sz="4" w:space="0" w:color="046B5C"/>
            </w:tcBorders>
          </w:tcPr>
          <w:p w:rsidR="008E637D" w:rsidRPr="008E637D" w:rsidP="008E637D" w14:paraId="766DF543" w14:textId="77777777">
            <w:pPr>
              <w:spacing w:line="240" w:lineRule="auto"/>
              <w:rPr>
                <w:rFonts w:ascii="Arial" w:hAnsi="Arial" w:cs="Arial"/>
                <w:sz w:val="20"/>
              </w:rPr>
            </w:pPr>
            <w:r w:rsidRPr="008E637D">
              <w:rPr>
                <w:rFonts w:ascii="Arial" w:hAnsi="Arial" w:cs="Arial"/>
                <w:sz w:val="20"/>
              </w:rPr>
              <w:t xml:space="preserve">No change. Opportunities to provide more information are captured in the “Other, specify” response options for many questions. Adding additional short answer or write-in question formats could add to the burden and might shift the respondents’ focus away from the questions’ intention.  </w:t>
            </w:r>
          </w:p>
        </w:tc>
      </w:tr>
      <w:tr w14:paraId="238E40E1" w14:textId="77777777" w:rsidTr="00442305">
        <w:tblPrEx>
          <w:tblW w:w="9540" w:type="dxa"/>
          <w:tblLayout w:type="fixed"/>
          <w:tblLook w:val="04A0"/>
        </w:tblPrEx>
        <w:tc>
          <w:tcPr>
            <w:tcW w:w="1170" w:type="dxa"/>
          </w:tcPr>
          <w:p w:rsidR="008E637D" w:rsidRPr="008E637D" w:rsidP="008E637D" w14:paraId="50A90278" w14:textId="77777777">
            <w:pPr>
              <w:spacing w:line="240" w:lineRule="auto"/>
              <w:rPr>
                <w:rFonts w:ascii="Arial" w:hAnsi="Arial"/>
                <w:sz w:val="20"/>
              </w:rPr>
            </w:pPr>
            <w:r w:rsidRPr="008E637D">
              <w:rPr>
                <w:rFonts w:ascii="Arial" w:hAnsi="Arial"/>
                <w:sz w:val="20"/>
              </w:rPr>
              <w:t>Survey navigation</w:t>
            </w:r>
          </w:p>
        </w:tc>
        <w:tc>
          <w:tcPr>
            <w:tcW w:w="4770" w:type="dxa"/>
            <w:tcBorders>
              <w:top w:val="single" w:sz="4" w:space="0" w:color="auto"/>
              <w:left w:val="single" w:sz="4" w:space="0" w:color="auto"/>
              <w:bottom w:val="single" w:sz="4" w:space="0" w:color="auto"/>
              <w:right w:val="single" w:sz="4" w:space="0" w:color="046B5C"/>
            </w:tcBorders>
          </w:tcPr>
          <w:p w:rsidR="008E637D" w:rsidRPr="008E637D" w:rsidP="008E637D" w14:paraId="7ED0A0AA" w14:textId="77777777">
            <w:pPr>
              <w:spacing w:line="240" w:lineRule="auto"/>
              <w:rPr>
                <w:rFonts w:ascii="Arial" w:hAnsi="Arial"/>
                <w:sz w:val="20"/>
              </w:rPr>
            </w:pPr>
            <w:r w:rsidRPr="008E637D">
              <w:rPr>
                <w:rFonts w:ascii="Arial" w:hAnsi="Arial" w:cs="Arial"/>
                <w:sz w:val="20"/>
              </w:rPr>
              <w:t>One respondent commented it would be helpful if the electronic version of the survey had an option to save progress when partway through a section.</w:t>
            </w:r>
          </w:p>
        </w:tc>
        <w:tc>
          <w:tcPr>
            <w:tcW w:w="3600" w:type="dxa"/>
            <w:tcBorders>
              <w:left w:val="single" w:sz="4" w:space="0" w:color="046B5C"/>
            </w:tcBorders>
          </w:tcPr>
          <w:p w:rsidR="008E637D" w:rsidRPr="008E637D" w:rsidP="008E637D" w14:paraId="24B08941" w14:textId="77777777">
            <w:pPr>
              <w:spacing w:line="240" w:lineRule="auto"/>
              <w:rPr>
                <w:rFonts w:ascii="Arial" w:hAnsi="Arial"/>
                <w:sz w:val="20"/>
              </w:rPr>
            </w:pPr>
            <w:r w:rsidRPr="008E637D">
              <w:rPr>
                <w:rFonts w:ascii="Arial" w:hAnsi="Arial" w:cs="Arial"/>
                <w:sz w:val="20"/>
              </w:rPr>
              <w:t xml:space="preserve">No change. Respondents will be able to save progress while taking the web version of the survey, as described in the instruction page. </w:t>
            </w:r>
          </w:p>
        </w:tc>
      </w:tr>
      <w:tr w14:paraId="100ADD9D" w14:textId="77777777" w:rsidTr="00442305">
        <w:tblPrEx>
          <w:tblW w:w="9540" w:type="dxa"/>
          <w:tblLayout w:type="fixed"/>
          <w:tblLook w:val="04A0"/>
        </w:tblPrEx>
        <w:tc>
          <w:tcPr>
            <w:tcW w:w="1170" w:type="dxa"/>
          </w:tcPr>
          <w:p w:rsidR="008E637D" w:rsidRPr="008E637D" w:rsidP="008E637D" w14:paraId="235BCF68" w14:textId="77777777">
            <w:pPr>
              <w:spacing w:line="240" w:lineRule="auto"/>
              <w:rPr>
                <w:rFonts w:ascii="Arial" w:hAnsi="Arial"/>
                <w:sz w:val="20"/>
              </w:rPr>
            </w:pPr>
            <w:r w:rsidRPr="008E637D">
              <w:rPr>
                <w:rFonts w:ascii="Arial" w:hAnsi="Arial"/>
                <w:sz w:val="20"/>
              </w:rPr>
              <w:t>Section B</w:t>
            </w:r>
          </w:p>
        </w:tc>
        <w:tc>
          <w:tcPr>
            <w:tcW w:w="4770" w:type="dxa"/>
            <w:tcBorders>
              <w:top w:val="single" w:sz="4" w:space="0" w:color="auto"/>
              <w:left w:val="single" w:sz="4" w:space="0" w:color="auto"/>
              <w:bottom w:val="single" w:sz="4" w:space="0" w:color="auto"/>
              <w:right w:val="single" w:sz="4" w:space="0" w:color="046B5C"/>
            </w:tcBorders>
          </w:tcPr>
          <w:p w:rsidR="008E637D" w:rsidRPr="008E637D" w:rsidP="008E637D" w14:paraId="14309031" w14:textId="77777777">
            <w:pPr>
              <w:spacing w:line="240" w:lineRule="auto"/>
              <w:rPr>
                <w:rFonts w:ascii="Arial" w:hAnsi="Arial"/>
                <w:sz w:val="20"/>
              </w:rPr>
            </w:pPr>
            <w:r w:rsidRPr="008E637D">
              <w:rPr>
                <w:rFonts w:ascii="Arial" w:hAnsi="Arial" w:cs="Arial"/>
                <w:sz w:val="20"/>
              </w:rPr>
              <w:t>One respondent suggested including a question about the impact of States’ models of financing universal free meals on participation, free lunch stigma, and meal service policies, such as Offer versus Serve.</w:t>
            </w:r>
          </w:p>
        </w:tc>
        <w:tc>
          <w:tcPr>
            <w:tcW w:w="3600" w:type="dxa"/>
            <w:tcBorders>
              <w:left w:val="single" w:sz="4" w:space="0" w:color="046B5C"/>
            </w:tcBorders>
          </w:tcPr>
          <w:p w:rsidR="008E637D" w:rsidRPr="008E637D" w:rsidP="008E637D" w14:paraId="26185F40" w14:textId="77777777">
            <w:pPr>
              <w:spacing w:line="240" w:lineRule="auto"/>
              <w:rPr>
                <w:rFonts w:ascii="Arial" w:hAnsi="Arial"/>
                <w:sz w:val="20"/>
              </w:rPr>
            </w:pPr>
            <w:r w:rsidRPr="008E637D">
              <w:rPr>
                <w:rFonts w:ascii="Arial" w:hAnsi="Arial" w:cs="Arial"/>
                <w:sz w:val="20"/>
              </w:rPr>
              <w:t>No change. The State survey addresses subsidies and reimbursements to SFAs. The additional topics mentioned do not align with the research questions and adding a new question would modestly increase respondent burden.</w:t>
            </w:r>
          </w:p>
        </w:tc>
      </w:tr>
      <w:tr w14:paraId="135E73C8" w14:textId="77777777" w:rsidTr="00442305">
        <w:tblPrEx>
          <w:tblW w:w="9540" w:type="dxa"/>
          <w:tblLayout w:type="fixed"/>
          <w:tblLook w:val="04A0"/>
        </w:tblPrEx>
        <w:tc>
          <w:tcPr>
            <w:tcW w:w="1170" w:type="dxa"/>
          </w:tcPr>
          <w:p w:rsidR="008E637D" w:rsidRPr="008E637D" w:rsidP="008E637D" w14:paraId="0BE48ED4" w14:textId="77777777">
            <w:pPr>
              <w:spacing w:line="240" w:lineRule="auto"/>
              <w:rPr>
                <w:rFonts w:ascii="Arial" w:hAnsi="Arial"/>
                <w:sz w:val="20"/>
              </w:rPr>
            </w:pPr>
            <w:r w:rsidRPr="008E637D">
              <w:rPr>
                <w:rFonts w:ascii="Arial" w:hAnsi="Arial"/>
                <w:sz w:val="20"/>
              </w:rPr>
              <w:t>D2, D3, D4, D5</w:t>
            </w:r>
          </w:p>
        </w:tc>
        <w:tc>
          <w:tcPr>
            <w:tcW w:w="4770" w:type="dxa"/>
            <w:tcBorders>
              <w:top w:val="single" w:sz="4" w:space="0" w:color="auto"/>
              <w:left w:val="single" w:sz="4" w:space="0" w:color="auto"/>
              <w:bottom w:val="single" w:sz="4" w:space="0" w:color="auto"/>
              <w:right w:val="single" w:sz="4" w:space="0" w:color="046B5C"/>
            </w:tcBorders>
          </w:tcPr>
          <w:p w:rsidR="008E637D" w:rsidRPr="008E637D" w:rsidP="008E637D" w14:paraId="5A4816BB" w14:textId="77777777">
            <w:pPr>
              <w:spacing w:line="240" w:lineRule="auto"/>
              <w:rPr>
                <w:rFonts w:ascii="Arial" w:hAnsi="Arial" w:cs="Arial"/>
                <w:sz w:val="20"/>
              </w:rPr>
            </w:pPr>
            <w:r w:rsidRPr="008E637D">
              <w:rPr>
                <w:rFonts w:ascii="Arial" w:hAnsi="Arial" w:cs="Arial"/>
                <w:sz w:val="20"/>
              </w:rPr>
              <w:t>Two respondents reported that meal prices in their SFA changed midyear, as their State allocated funding to provide reduced price meals at no cost. However, there was no response option to indicate this situation in the question.</w:t>
            </w:r>
          </w:p>
        </w:tc>
        <w:tc>
          <w:tcPr>
            <w:tcW w:w="3600" w:type="dxa"/>
            <w:tcBorders>
              <w:left w:val="single" w:sz="4" w:space="0" w:color="046B5C"/>
            </w:tcBorders>
          </w:tcPr>
          <w:p w:rsidR="008E637D" w:rsidRPr="008E637D" w:rsidP="008E637D" w14:paraId="1A9CFB39" w14:textId="77777777">
            <w:pPr>
              <w:spacing w:line="240" w:lineRule="auto"/>
              <w:rPr>
                <w:rFonts w:ascii="Arial" w:hAnsi="Arial" w:cs="Arial"/>
                <w:sz w:val="20"/>
              </w:rPr>
            </w:pPr>
            <w:r w:rsidRPr="008E637D">
              <w:rPr>
                <w:rFonts w:ascii="Arial" w:hAnsi="Arial"/>
                <w:sz w:val="20"/>
              </w:rPr>
              <w:t>We added the instruction, “If the price changed during the school year, please report the price charged for the majority of the school year.”</w:t>
            </w:r>
          </w:p>
        </w:tc>
      </w:tr>
      <w:tr w14:paraId="5B03638A" w14:textId="77777777" w:rsidTr="00442305">
        <w:tblPrEx>
          <w:tblW w:w="9540" w:type="dxa"/>
          <w:tblLayout w:type="fixed"/>
          <w:tblLook w:val="04A0"/>
        </w:tblPrEx>
        <w:tc>
          <w:tcPr>
            <w:tcW w:w="1170" w:type="dxa"/>
          </w:tcPr>
          <w:p w:rsidR="008E637D" w:rsidRPr="008E637D" w:rsidP="008E637D" w14:paraId="298C6A5E" w14:textId="77777777">
            <w:pPr>
              <w:spacing w:line="240" w:lineRule="auto"/>
              <w:rPr>
                <w:rFonts w:ascii="Arial" w:hAnsi="Arial"/>
                <w:sz w:val="20"/>
              </w:rPr>
            </w:pPr>
            <w:r w:rsidRPr="008E637D">
              <w:rPr>
                <w:rFonts w:ascii="Arial" w:hAnsi="Arial"/>
                <w:sz w:val="20"/>
              </w:rPr>
              <w:t>D6</w:t>
            </w:r>
          </w:p>
        </w:tc>
        <w:tc>
          <w:tcPr>
            <w:tcW w:w="4770" w:type="dxa"/>
            <w:tcBorders>
              <w:top w:val="single" w:sz="4" w:space="0" w:color="auto"/>
              <w:left w:val="single" w:sz="4" w:space="0" w:color="auto"/>
              <w:bottom w:val="single" w:sz="4" w:space="0" w:color="auto"/>
              <w:right w:val="single" w:sz="4" w:space="0" w:color="046B5C"/>
            </w:tcBorders>
          </w:tcPr>
          <w:p w:rsidR="008E637D" w:rsidRPr="008E637D" w:rsidP="008E637D" w14:paraId="0AD96028" w14:textId="77777777">
            <w:pPr>
              <w:spacing w:line="240" w:lineRule="auto"/>
              <w:rPr>
                <w:rFonts w:ascii="Arial" w:hAnsi="Arial" w:cs="Arial"/>
                <w:sz w:val="20"/>
              </w:rPr>
            </w:pPr>
            <w:r w:rsidRPr="008E637D">
              <w:rPr>
                <w:rFonts w:ascii="Arial" w:hAnsi="Arial" w:cs="Arial"/>
                <w:sz w:val="20"/>
              </w:rPr>
              <w:t xml:space="preserve">One respondent selected “Increased lunch prices in all schools,” but reported that the price increase was not in response to the PLE provision. They were exempt from PLE, because their operating balance was positive. </w:t>
            </w:r>
          </w:p>
        </w:tc>
        <w:tc>
          <w:tcPr>
            <w:tcW w:w="3600" w:type="dxa"/>
            <w:tcBorders>
              <w:left w:val="single" w:sz="4" w:space="0" w:color="046B5C"/>
            </w:tcBorders>
          </w:tcPr>
          <w:p w:rsidR="008E637D" w:rsidRPr="008E637D" w:rsidP="008E637D" w14:paraId="504AA75C" w14:textId="77777777">
            <w:pPr>
              <w:spacing w:line="240" w:lineRule="auto"/>
              <w:rPr>
                <w:rFonts w:ascii="Arial" w:hAnsi="Arial"/>
                <w:sz w:val="20"/>
              </w:rPr>
            </w:pPr>
            <w:r w:rsidRPr="008E637D">
              <w:rPr>
                <w:rFonts w:ascii="Arial" w:hAnsi="Arial" w:cs="Arial"/>
                <w:sz w:val="20"/>
              </w:rPr>
              <w:t>We italicized “</w:t>
            </w:r>
            <w:r w:rsidRPr="008E637D">
              <w:rPr>
                <w:rFonts w:ascii="Arial" w:hAnsi="Arial" w:cs="Arial"/>
                <w:i/>
                <w:iCs/>
                <w:sz w:val="20"/>
              </w:rPr>
              <w:t>in response to the Paid Lunch Equity provision</w:t>
            </w:r>
            <w:r w:rsidRPr="008E637D">
              <w:rPr>
                <w:rFonts w:ascii="Arial" w:hAnsi="Arial" w:cs="Arial"/>
                <w:sz w:val="20"/>
              </w:rPr>
              <w:t>” in the question, to make it clearer to respondents that their responses should consider the PLE provision.</w:t>
            </w:r>
          </w:p>
        </w:tc>
      </w:tr>
      <w:tr w14:paraId="4ED31531" w14:textId="77777777" w:rsidTr="00442305">
        <w:tblPrEx>
          <w:tblW w:w="9540" w:type="dxa"/>
          <w:tblLayout w:type="fixed"/>
          <w:tblLook w:val="04A0"/>
        </w:tblPrEx>
        <w:tc>
          <w:tcPr>
            <w:tcW w:w="1170" w:type="dxa"/>
          </w:tcPr>
          <w:p w:rsidR="008E637D" w:rsidRPr="008E637D" w:rsidP="008E637D" w14:paraId="2C0E8D49" w14:textId="77777777">
            <w:pPr>
              <w:spacing w:line="240" w:lineRule="auto"/>
              <w:rPr>
                <w:rFonts w:ascii="Arial" w:hAnsi="Arial"/>
                <w:sz w:val="20"/>
              </w:rPr>
            </w:pPr>
            <w:r w:rsidRPr="008E637D">
              <w:rPr>
                <w:rFonts w:ascii="Arial" w:hAnsi="Arial"/>
                <w:sz w:val="20"/>
              </w:rPr>
              <w:t>E1</w:t>
            </w:r>
          </w:p>
        </w:tc>
        <w:tc>
          <w:tcPr>
            <w:tcW w:w="4770" w:type="dxa"/>
            <w:tcBorders>
              <w:top w:val="single" w:sz="4" w:space="0" w:color="auto"/>
              <w:left w:val="single" w:sz="4" w:space="0" w:color="auto"/>
              <w:bottom w:val="single" w:sz="4" w:space="0" w:color="auto"/>
              <w:right w:val="single" w:sz="4" w:space="0" w:color="046B5C"/>
            </w:tcBorders>
          </w:tcPr>
          <w:p w:rsidR="008E637D" w:rsidRPr="008E637D" w:rsidP="008E637D" w14:paraId="454EEF6D" w14:textId="77777777">
            <w:pPr>
              <w:spacing w:line="240" w:lineRule="auto"/>
              <w:rPr>
                <w:rFonts w:ascii="Arial" w:hAnsi="Arial"/>
                <w:sz w:val="20"/>
              </w:rPr>
            </w:pPr>
            <w:r w:rsidRPr="008E637D">
              <w:rPr>
                <w:rFonts w:ascii="Arial" w:hAnsi="Arial" w:cs="Arial"/>
                <w:sz w:val="20"/>
              </w:rPr>
              <w:t>One respondent reported that some SFA directors might not know the specifics of the Keep Kids Fed Act of 2022.</w:t>
            </w:r>
          </w:p>
        </w:tc>
        <w:tc>
          <w:tcPr>
            <w:tcW w:w="3600" w:type="dxa"/>
            <w:tcBorders>
              <w:left w:val="single" w:sz="4" w:space="0" w:color="046B5C"/>
            </w:tcBorders>
          </w:tcPr>
          <w:p w:rsidR="008E637D" w:rsidRPr="008E637D" w:rsidP="008E637D" w14:paraId="00441480" w14:textId="77777777">
            <w:pPr>
              <w:spacing w:line="240" w:lineRule="auto"/>
              <w:rPr>
                <w:rFonts w:ascii="Arial" w:hAnsi="Arial"/>
                <w:sz w:val="20"/>
              </w:rPr>
            </w:pPr>
            <w:r w:rsidRPr="008E637D">
              <w:rPr>
                <w:rFonts w:ascii="Arial" w:hAnsi="Arial" w:cs="Arial"/>
                <w:sz w:val="20"/>
              </w:rPr>
              <w:t xml:space="preserve">We added a definition of the Keep Kids Fed Act of 2022 to the Glossary page. </w:t>
            </w:r>
          </w:p>
        </w:tc>
      </w:tr>
      <w:tr w14:paraId="0350DE28" w14:textId="77777777" w:rsidTr="00442305">
        <w:tblPrEx>
          <w:tblW w:w="9540" w:type="dxa"/>
          <w:tblLayout w:type="fixed"/>
          <w:tblLook w:val="04A0"/>
        </w:tblPrEx>
        <w:tc>
          <w:tcPr>
            <w:tcW w:w="1170" w:type="dxa"/>
          </w:tcPr>
          <w:p w:rsidR="008E637D" w:rsidRPr="008E637D" w:rsidP="008E637D" w14:paraId="12E0D677" w14:textId="77777777">
            <w:pPr>
              <w:spacing w:line="240" w:lineRule="auto"/>
              <w:rPr>
                <w:rFonts w:ascii="Arial" w:hAnsi="Arial"/>
                <w:sz w:val="20"/>
              </w:rPr>
            </w:pPr>
            <w:r w:rsidRPr="008E637D">
              <w:rPr>
                <w:rFonts w:ascii="Arial" w:hAnsi="Arial"/>
                <w:sz w:val="20"/>
              </w:rPr>
              <w:t>E4</w:t>
            </w:r>
          </w:p>
        </w:tc>
        <w:tc>
          <w:tcPr>
            <w:tcW w:w="4770" w:type="dxa"/>
            <w:tcBorders>
              <w:top w:val="single" w:sz="4" w:space="0" w:color="auto"/>
              <w:left w:val="single" w:sz="4" w:space="0" w:color="auto"/>
              <w:bottom w:val="single" w:sz="4" w:space="0" w:color="auto"/>
              <w:right w:val="single" w:sz="4" w:space="0" w:color="046B5C"/>
            </w:tcBorders>
          </w:tcPr>
          <w:p w:rsidR="008E637D" w:rsidRPr="008E637D" w:rsidP="008E637D" w14:paraId="5690570A" w14:textId="77777777">
            <w:pPr>
              <w:spacing w:line="240" w:lineRule="auto"/>
              <w:rPr>
                <w:rFonts w:ascii="Arial" w:hAnsi="Arial"/>
                <w:sz w:val="20"/>
              </w:rPr>
            </w:pPr>
            <w:r w:rsidRPr="008E637D">
              <w:rPr>
                <w:rFonts w:ascii="Arial" w:hAnsi="Arial" w:cs="Arial"/>
                <w:sz w:val="20"/>
              </w:rPr>
              <w:t xml:space="preserve">One respondent suggested including a question asking why SFAs did not receive Equipment Assistance Grants. </w:t>
            </w:r>
          </w:p>
        </w:tc>
        <w:tc>
          <w:tcPr>
            <w:tcW w:w="3600" w:type="dxa"/>
            <w:tcBorders>
              <w:left w:val="single" w:sz="4" w:space="0" w:color="046B5C"/>
            </w:tcBorders>
          </w:tcPr>
          <w:p w:rsidR="008E637D" w:rsidRPr="008E637D" w:rsidP="008E637D" w14:paraId="7A68033B" w14:textId="77777777">
            <w:pPr>
              <w:spacing w:line="240" w:lineRule="auto"/>
              <w:rPr>
                <w:rFonts w:ascii="Arial" w:hAnsi="Arial"/>
                <w:sz w:val="20"/>
              </w:rPr>
            </w:pPr>
            <w:r w:rsidRPr="008E637D">
              <w:rPr>
                <w:rFonts w:ascii="Arial" w:hAnsi="Arial" w:cs="Arial"/>
                <w:sz w:val="20"/>
              </w:rPr>
              <w:t xml:space="preserve">No change. This comment is not aligned with the research questions. </w:t>
            </w:r>
          </w:p>
        </w:tc>
      </w:tr>
      <w:tr w14:paraId="27D06A18" w14:textId="77777777" w:rsidTr="00442305">
        <w:tblPrEx>
          <w:tblW w:w="9540" w:type="dxa"/>
          <w:tblLayout w:type="fixed"/>
          <w:tblLook w:val="04A0"/>
        </w:tblPrEx>
        <w:tc>
          <w:tcPr>
            <w:tcW w:w="1170" w:type="dxa"/>
          </w:tcPr>
          <w:p w:rsidR="008E637D" w:rsidRPr="008E637D" w:rsidP="008E637D" w14:paraId="5067516A" w14:textId="77777777">
            <w:pPr>
              <w:spacing w:line="240" w:lineRule="auto"/>
              <w:rPr>
                <w:rFonts w:ascii="Arial" w:hAnsi="Arial"/>
                <w:sz w:val="20"/>
              </w:rPr>
            </w:pPr>
            <w:r w:rsidRPr="008E637D">
              <w:rPr>
                <w:rFonts w:ascii="Arial" w:hAnsi="Arial"/>
                <w:sz w:val="20"/>
              </w:rPr>
              <w:t>E11</w:t>
            </w:r>
          </w:p>
        </w:tc>
        <w:tc>
          <w:tcPr>
            <w:tcW w:w="4770" w:type="dxa"/>
            <w:tcBorders>
              <w:top w:val="single" w:sz="4" w:space="0" w:color="auto"/>
              <w:left w:val="single" w:sz="4" w:space="0" w:color="auto"/>
              <w:bottom w:val="single" w:sz="4" w:space="0" w:color="auto"/>
              <w:right w:val="single" w:sz="4" w:space="0" w:color="046B5C"/>
            </w:tcBorders>
          </w:tcPr>
          <w:p w:rsidR="008E637D" w:rsidRPr="008E637D" w:rsidP="008E637D" w14:paraId="26AB21C9" w14:textId="77777777">
            <w:pPr>
              <w:spacing w:line="240" w:lineRule="auto"/>
              <w:rPr>
                <w:rFonts w:ascii="Arial" w:hAnsi="Arial"/>
                <w:sz w:val="20"/>
              </w:rPr>
            </w:pPr>
            <w:r w:rsidRPr="008E637D">
              <w:rPr>
                <w:rFonts w:ascii="Arial" w:hAnsi="Arial" w:cs="Arial"/>
                <w:sz w:val="20"/>
              </w:rPr>
              <w:t>One respondent reported it was difficult to estimate how much unpaid meal debt was recovered, because only a small percentage of households pay their unpaid meal debts.</w:t>
            </w:r>
          </w:p>
        </w:tc>
        <w:tc>
          <w:tcPr>
            <w:tcW w:w="3600" w:type="dxa"/>
            <w:tcBorders>
              <w:left w:val="single" w:sz="4" w:space="0" w:color="046B5C"/>
            </w:tcBorders>
          </w:tcPr>
          <w:p w:rsidR="008E637D" w:rsidRPr="008E637D" w:rsidP="008E637D" w14:paraId="0E3BD112" w14:textId="77777777">
            <w:pPr>
              <w:spacing w:line="240" w:lineRule="auto"/>
              <w:rPr>
                <w:rFonts w:ascii="Arial" w:hAnsi="Arial"/>
                <w:sz w:val="20"/>
              </w:rPr>
            </w:pPr>
            <w:r w:rsidRPr="008E637D">
              <w:rPr>
                <w:rFonts w:ascii="Arial" w:hAnsi="Arial"/>
                <w:sz w:val="20"/>
              </w:rPr>
              <w:t xml:space="preserve">We added the preparation note to the survey introduction, “You will be asked to report the total amount of money owed to your SFA because of unpaid meal charges and the amount that has been recovered since the end of SY 2022–2023.” Respondents can also report that they do not know how much money was recovered. </w:t>
            </w:r>
          </w:p>
        </w:tc>
      </w:tr>
      <w:tr w14:paraId="2ED1DA1E" w14:textId="77777777" w:rsidTr="00442305">
        <w:tblPrEx>
          <w:tblW w:w="9540" w:type="dxa"/>
          <w:tblLayout w:type="fixed"/>
          <w:tblLook w:val="04A0"/>
        </w:tblPrEx>
        <w:tc>
          <w:tcPr>
            <w:tcW w:w="1170" w:type="dxa"/>
          </w:tcPr>
          <w:p w:rsidR="008E637D" w:rsidRPr="008E637D" w:rsidP="008E637D" w14:paraId="0182EA4C" w14:textId="77777777">
            <w:pPr>
              <w:spacing w:line="240" w:lineRule="auto"/>
              <w:rPr>
                <w:rFonts w:ascii="Arial" w:hAnsi="Arial"/>
                <w:sz w:val="20"/>
              </w:rPr>
            </w:pPr>
            <w:r w:rsidRPr="008E637D">
              <w:rPr>
                <w:rFonts w:ascii="Arial" w:hAnsi="Arial"/>
                <w:sz w:val="20"/>
              </w:rPr>
              <w:t>E12</w:t>
            </w:r>
          </w:p>
        </w:tc>
        <w:tc>
          <w:tcPr>
            <w:tcW w:w="4770" w:type="dxa"/>
            <w:tcBorders>
              <w:top w:val="single" w:sz="4" w:space="0" w:color="auto"/>
              <w:left w:val="single" w:sz="4" w:space="0" w:color="auto"/>
              <w:bottom w:val="single" w:sz="4" w:space="0" w:color="auto"/>
              <w:right w:val="single" w:sz="4" w:space="0" w:color="046B5C"/>
            </w:tcBorders>
          </w:tcPr>
          <w:p w:rsidR="008E637D" w:rsidRPr="008E637D" w:rsidP="008E637D" w14:paraId="16631557" w14:textId="77777777">
            <w:pPr>
              <w:spacing w:line="240" w:lineRule="auto"/>
              <w:rPr>
                <w:rFonts w:ascii="Arial" w:hAnsi="Arial"/>
                <w:sz w:val="20"/>
              </w:rPr>
            </w:pPr>
            <w:r w:rsidRPr="008E637D">
              <w:rPr>
                <w:rFonts w:ascii="Arial" w:hAnsi="Arial" w:cs="Arial"/>
                <w:sz w:val="20"/>
              </w:rPr>
              <w:t>One respondent reported that unpaid meal balances in their SFA are primarily paid through financial aid from their district, charitable donations, and the Local Education Agency.</w:t>
            </w:r>
          </w:p>
        </w:tc>
        <w:tc>
          <w:tcPr>
            <w:tcW w:w="3600" w:type="dxa"/>
            <w:tcBorders>
              <w:left w:val="single" w:sz="4" w:space="0" w:color="046B5C"/>
            </w:tcBorders>
          </w:tcPr>
          <w:p w:rsidR="008E637D" w:rsidRPr="008E637D" w:rsidP="008E637D" w14:paraId="72367921" w14:textId="77777777">
            <w:pPr>
              <w:spacing w:line="240" w:lineRule="auto"/>
              <w:rPr>
                <w:rFonts w:ascii="Arial" w:hAnsi="Arial" w:cs="Arial"/>
                <w:sz w:val="20"/>
              </w:rPr>
            </w:pPr>
            <w:r w:rsidRPr="008E637D">
              <w:rPr>
                <w:rFonts w:ascii="Arial" w:hAnsi="Arial"/>
                <w:sz w:val="20"/>
              </w:rPr>
              <w:t>We added a question asking about the proportion of unpaid meal balances SFAs recovered from household payments, district funding, charitable donations, state funding, and other sources.</w:t>
            </w:r>
          </w:p>
        </w:tc>
      </w:tr>
      <w:tr w14:paraId="24A66F1E" w14:textId="77777777" w:rsidTr="00442305">
        <w:tblPrEx>
          <w:tblW w:w="9540" w:type="dxa"/>
          <w:tblLayout w:type="fixed"/>
          <w:tblLook w:val="04A0"/>
        </w:tblPrEx>
        <w:tc>
          <w:tcPr>
            <w:tcW w:w="1170" w:type="dxa"/>
          </w:tcPr>
          <w:p w:rsidR="008E637D" w:rsidRPr="008E637D" w:rsidP="008E637D" w14:paraId="43A97B27" w14:textId="77777777">
            <w:pPr>
              <w:spacing w:line="240" w:lineRule="auto"/>
              <w:rPr>
                <w:rFonts w:ascii="Arial" w:hAnsi="Arial"/>
                <w:sz w:val="20"/>
              </w:rPr>
            </w:pPr>
            <w:r w:rsidRPr="008E637D">
              <w:rPr>
                <w:rFonts w:ascii="Arial" w:hAnsi="Arial"/>
                <w:sz w:val="20"/>
              </w:rPr>
              <w:t>F4</w:t>
            </w:r>
          </w:p>
        </w:tc>
        <w:tc>
          <w:tcPr>
            <w:tcW w:w="4770" w:type="dxa"/>
            <w:tcBorders>
              <w:top w:val="single" w:sz="4" w:space="0" w:color="auto"/>
              <w:left w:val="single" w:sz="4" w:space="0" w:color="auto"/>
              <w:bottom w:val="single" w:sz="4" w:space="0" w:color="auto"/>
              <w:right w:val="single" w:sz="4" w:space="0" w:color="046B5C"/>
            </w:tcBorders>
          </w:tcPr>
          <w:p w:rsidR="008E637D" w:rsidRPr="008E637D" w:rsidP="008E637D" w14:paraId="57E6613B" w14:textId="77777777">
            <w:pPr>
              <w:spacing w:line="240" w:lineRule="auto"/>
              <w:rPr>
                <w:rFonts w:ascii="Arial" w:hAnsi="Arial" w:cs="Arial"/>
                <w:sz w:val="20"/>
              </w:rPr>
            </w:pPr>
            <w:r w:rsidRPr="008E637D">
              <w:rPr>
                <w:rFonts w:ascii="Arial" w:hAnsi="Arial" w:cs="Arial"/>
                <w:sz w:val="20"/>
              </w:rPr>
              <w:t>One respondent suggested changing Item D to “Using domestic commodities or products increases administrative burden when they are not available or cost more.”</w:t>
            </w:r>
          </w:p>
        </w:tc>
        <w:tc>
          <w:tcPr>
            <w:tcW w:w="3600" w:type="dxa"/>
            <w:tcBorders>
              <w:left w:val="single" w:sz="4" w:space="0" w:color="046B5C"/>
            </w:tcBorders>
          </w:tcPr>
          <w:p w:rsidR="008E637D" w:rsidRPr="008E637D" w:rsidP="008E637D" w14:paraId="3C2CFB03" w14:textId="77777777">
            <w:pPr>
              <w:spacing w:line="240" w:lineRule="auto"/>
              <w:rPr>
                <w:rFonts w:ascii="Arial" w:hAnsi="Arial" w:cs="Arial"/>
                <w:sz w:val="20"/>
              </w:rPr>
            </w:pPr>
            <w:r w:rsidRPr="008E637D">
              <w:rPr>
                <w:rFonts w:ascii="Arial" w:hAnsi="Arial" w:cs="Arial"/>
                <w:sz w:val="20"/>
              </w:rPr>
              <w:t xml:space="preserve">No change. We do not recommend changing Item D, because Items A and C capture supply and cost challenges. Adding language to this item will change the meaning of the item.  </w:t>
            </w:r>
          </w:p>
        </w:tc>
      </w:tr>
      <w:tr w14:paraId="5F6C61FA" w14:textId="77777777" w:rsidTr="00442305">
        <w:tblPrEx>
          <w:tblW w:w="9540" w:type="dxa"/>
          <w:tblLayout w:type="fixed"/>
          <w:tblLook w:val="04A0"/>
        </w:tblPrEx>
        <w:tc>
          <w:tcPr>
            <w:tcW w:w="1170" w:type="dxa"/>
          </w:tcPr>
          <w:p w:rsidR="008E637D" w:rsidRPr="008E637D" w:rsidP="008E637D" w14:paraId="2001A140" w14:textId="77777777">
            <w:pPr>
              <w:spacing w:line="240" w:lineRule="auto"/>
              <w:rPr>
                <w:rFonts w:ascii="Arial" w:hAnsi="Arial"/>
                <w:sz w:val="20"/>
              </w:rPr>
            </w:pPr>
            <w:r w:rsidRPr="008E637D">
              <w:rPr>
                <w:rFonts w:ascii="Arial" w:hAnsi="Arial"/>
                <w:sz w:val="20"/>
              </w:rPr>
              <w:t>F4a</w:t>
            </w:r>
          </w:p>
        </w:tc>
        <w:tc>
          <w:tcPr>
            <w:tcW w:w="4770" w:type="dxa"/>
            <w:tcBorders>
              <w:top w:val="single" w:sz="4" w:space="0" w:color="auto"/>
              <w:left w:val="single" w:sz="4" w:space="0" w:color="auto"/>
              <w:bottom w:val="single" w:sz="4" w:space="0" w:color="auto"/>
              <w:right w:val="single" w:sz="4" w:space="0" w:color="046B5C"/>
            </w:tcBorders>
          </w:tcPr>
          <w:p w:rsidR="008E637D" w:rsidRPr="008E637D" w:rsidP="008E637D" w14:paraId="7993D56F" w14:textId="77777777">
            <w:pPr>
              <w:spacing w:line="240" w:lineRule="auto"/>
              <w:rPr>
                <w:rFonts w:ascii="Arial" w:hAnsi="Arial"/>
                <w:sz w:val="20"/>
              </w:rPr>
            </w:pPr>
            <w:r w:rsidRPr="008E637D">
              <w:rPr>
                <w:rFonts w:ascii="Arial" w:hAnsi="Arial" w:cs="Arial"/>
                <w:sz w:val="20"/>
              </w:rPr>
              <w:t xml:space="preserve">One respondent commented that obtaining Buy American information from suppliers can be difficult and time consuming, and, although the suppliers are responsive, sometimes the information is not readily available. </w:t>
            </w:r>
          </w:p>
        </w:tc>
        <w:tc>
          <w:tcPr>
            <w:tcW w:w="3600" w:type="dxa"/>
            <w:tcBorders>
              <w:left w:val="single" w:sz="4" w:space="0" w:color="046B5C"/>
            </w:tcBorders>
          </w:tcPr>
          <w:p w:rsidR="008E637D" w:rsidRPr="008E637D" w:rsidP="008E637D" w14:paraId="37700494" w14:textId="77777777">
            <w:pPr>
              <w:spacing w:line="240" w:lineRule="auto"/>
              <w:rPr>
                <w:rFonts w:ascii="Arial" w:hAnsi="Arial"/>
                <w:sz w:val="20"/>
              </w:rPr>
            </w:pPr>
            <w:r w:rsidRPr="008E637D">
              <w:rPr>
                <w:rFonts w:ascii="Arial" w:hAnsi="Arial" w:cs="Arial"/>
                <w:sz w:val="20"/>
              </w:rPr>
              <w:t>We changed Item D to “Food suppliers are not responsive to requests or able to provide information about the percentage of U.S. content in end products,” to better encompass SFA experiences.</w:t>
            </w:r>
          </w:p>
        </w:tc>
      </w:tr>
      <w:tr w14:paraId="1BA0DD0C" w14:textId="77777777" w:rsidTr="00442305">
        <w:tblPrEx>
          <w:tblW w:w="9540" w:type="dxa"/>
          <w:tblLayout w:type="fixed"/>
          <w:tblLook w:val="04A0"/>
        </w:tblPrEx>
        <w:tc>
          <w:tcPr>
            <w:tcW w:w="1170" w:type="dxa"/>
          </w:tcPr>
          <w:p w:rsidR="008E637D" w:rsidRPr="008E637D" w:rsidP="008E637D" w14:paraId="5BF7A735" w14:textId="77777777">
            <w:pPr>
              <w:tabs>
                <w:tab w:val="left" w:pos="810"/>
              </w:tabs>
              <w:spacing w:line="240" w:lineRule="auto"/>
              <w:rPr>
                <w:rFonts w:ascii="Arial" w:hAnsi="Arial"/>
                <w:sz w:val="20"/>
              </w:rPr>
            </w:pPr>
            <w:r w:rsidRPr="008E637D">
              <w:rPr>
                <w:rFonts w:ascii="Arial" w:hAnsi="Arial"/>
                <w:sz w:val="20"/>
              </w:rPr>
              <w:t>F5</w:t>
            </w:r>
          </w:p>
        </w:tc>
        <w:tc>
          <w:tcPr>
            <w:tcW w:w="4770" w:type="dxa"/>
            <w:tcBorders>
              <w:top w:val="single" w:sz="4" w:space="0" w:color="auto"/>
              <w:left w:val="single" w:sz="4" w:space="0" w:color="auto"/>
              <w:bottom w:val="single" w:sz="4" w:space="0" w:color="auto"/>
              <w:right w:val="single" w:sz="4" w:space="0" w:color="046B5C"/>
            </w:tcBorders>
          </w:tcPr>
          <w:p w:rsidR="008E637D" w:rsidRPr="008E637D" w:rsidP="008E637D" w14:paraId="46D691F7" w14:textId="77777777">
            <w:pPr>
              <w:tabs>
                <w:tab w:val="left" w:pos="1780"/>
              </w:tabs>
              <w:spacing w:line="240" w:lineRule="auto"/>
              <w:rPr>
                <w:rFonts w:ascii="Arial" w:hAnsi="Arial"/>
                <w:sz w:val="20"/>
              </w:rPr>
            </w:pPr>
            <w:r w:rsidRPr="008E637D">
              <w:rPr>
                <w:rFonts w:ascii="Arial" w:hAnsi="Arial" w:cs="Arial"/>
                <w:sz w:val="20"/>
              </w:rPr>
              <w:t>Respondents indicated it would be helpful to have a definition or example of a threshold in the question, because SFA Directors might interpret this term differently.</w:t>
            </w:r>
          </w:p>
        </w:tc>
        <w:tc>
          <w:tcPr>
            <w:tcW w:w="3600" w:type="dxa"/>
            <w:tcBorders>
              <w:left w:val="single" w:sz="4" w:space="0" w:color="046B5C"/>
            </w:tcBorders>
          </w:tcPr>
          <w:p w:rsidR="008E637D" w:rsidRPr="008E637D" w:rsidP="008E637D" w14:paraId="30AA9848" w14:textId="77777777">
            <w:pPr>
              <w:spacing w:line="240" w:lineRule="auto"/>
              <w:rPr>
                <w:rFonts w:ascii="Arial" w:hAnsi="Arial"/>
                <w:sz w:val="20"/>
              </w:rPr>
            </w:pPr>
            <w:r w:rsidRPr="008E637D">
              <w:rPr>
                <w:rFonts w:ascii="Arial" w:hAnsi="Arial" w:cs="Arial"/>
                <w:sz w:val="20"/>
              </w:rPr>
              <w:t>We modified the question to include “For example, an SFA may use a threshold of 5 percent, meaning an exception to the Buy American provision is warranted if the cost of a domestic commodity or product is at least 5 percent more than the cost of a non-domestic commodity or product.”</w:t>
            </w:r>
          </w:p>
        </w:tc>
      </w:tr>
      <w:tr w14:paraId="2B574A33" w14:textId="77777777" w:rsidTr="00442305">
        <w:tblPrEx>
          <w:tblW w:w="9540" w:type="dxa"/>
          <w:tblLayout w:type="fixed"/>
          <w:tblLook w:val="04A0"/>
        </w:tblPrEx>
        <w:tc>
          <w:tcPr>
            <w:tcW w:w="1170" w:type="dxa"/>
          </w:tcPr>
          <w:p w:rsidR="008E637D" w:rsidRPr="008E637D" w:rsidP="008E637D" w14:paraId="054CD580" w14:textId="77777777">
            <w:pPr>
              <w:spacing w:line="240" w:lineRule="auto"/>
              <w:rPr>
                <w:rFonts w:ascii="Arial" w:hAnsi="Arial"/>
                <w:sz w:val="20"/>
              </w:rPr>
            </w:pPr>
            <w:r w:rsidRPr="008E637D">
              <w:rPr>
                <w:rFonts w:ascii="Arial" w:hAnsi="Arial"/>
                <w:sz w:val="20"/>
              </w:rPr>
              <w:t>F6</w:t>
            </w:r>
          </w:p>
        </w:tc>
        <w:tc>
          <w:tcPr>
            <w:tcW w:w="4770" w:type="dxa"/>
            <w:tcBorders>
              <w:top w:val="single" w:sz="4" w:space="0" w:color="auto"/>
              <w:left w:val="single" w:sz="4" w:space="0" w:color="auto"/>
              <w:bottom w:val="single" w:sz="4" w:space="0" w:color="auto"/>
              <w:right w:val="single" w:sz="4" w:space="0" w:color="046B5C"/>
            </w:tcBorders>
          </w:tcPr>
          <w:p w:rsidR="008E637D" w:rsidRPr="008E637D" w:rsidP="008E637D" w14:paraId="6FA7558E" w14:textId="77777777">
            <w:pPr>
              <w:spacing w:line="240" w:lineRule="auto"/>
              <w:rPr>
                <w:rFonts w:ascii="Arial" w:hAnsi="Arial" w:cs="Arial"/>
                <w:sz w:val="20"/>
              </w:rPr>
            </w:pPr>
            <w:r w:rsidRPr="008E637D">
              <w:rPr>
                <w:rFonts w:ascii="Arial" w:hAnsi="Arial" w:cs="Arial"/>
                <w:sz w:val="20"/>
              </w:rPr>
              <w:t>Two respondents reported their SFA is part of a buying group, so they are not always aware of whether their purchases include non-domestic commodities. Another respondent commented that “occasionally” should be a response option, as their SFA only occasionally procures food items under the exception to Buy American.</w:t>
            </w:r>
          </w:p>
        </w:tc>
        <w:tc>
          <w:tcPr>
            <w:tcW w:w="3600" w:type="dxa"/>
            <w:tcBorders>
              <w:left w:val="single" w:sz="4" w:space="0" w:color="046B5C"/>
            </w:tcBorders>
          </w:tcPr>
          <w:p w:rsidR="008E637D" w:rsidRPr="008E637D" w:rsidP="008E637D" w14:paraId="018A226C" w14:textId="77777777">
            <w:pPr>
              <w:spacing w:line="240" w:lineRule="auto"/>
              <w:rPr>
                <w:rFonts w:ascii="Arial" w:hAnsi="Arial"/>
                <w:sz w:val="20"/>
              </w:rPr>
            </w:pPr>
            <w:r w:rsidRPr="008E637D">
              <w:rPr>
                <w:rFonts w:ascii="Arial" w:hAnsi="Arial" w:cs="Arial"/>
                <w:sz w:val="20"/>
              </w:rPr>
              <w:t xml:space="preserve">We added the instruction, “If your SFA procured any of these foods under an exception to the Buy American provision at any time in SY 2022–2023, please select “Yes.” Respondents can select “Don’t know” if they do not have this information. </w:t>
            </w:r>
          </w:p>
        </w:tc>
      </w:tr>
      <w:tr w14:paraId="660B75DA" w14:textId="77777777" w:rsidTr="00442305">
        <w:tblPrEx>
          <w:tblW w:w="9540" w:type="dxa"/>
          <w:tblLayout w:type="fixed"/>
          <w:tblLook w:val="04A0"/>
        </w:tblPrEx>
        <w:tc>
          <w:tcPr>
            <w:tcW w:w="1170" w:type="dxa"/>
          </w:tcPr>
          <w:p w:rsidR="008E637D" w:rsidRPr="008E637D" w:rsidP="008E637D" w14:paraId="4EC64C83" w14:textId="77777777">
            <w:pPr>
              <w:spacing w:line="240" w:lineRule="auto"/>
              <w:rPr>
                <w:rFonts w:ascii="Arial" w:hAnsi="Arial"/>
                <w:sz w:val="20"/>
              </w:rPr>
            </w:pPr>
            <w:r w:rsidRPr="008E637D">
              <w:rPr>
                <w:rFonts w:ascii="Arial" w:hAnsi="Arial"/>
                <w:sz w:val="20"/>
              </w:rPr>
              <w:t>F10</w:t>
            </w:r>
          </w:p>
        </w:tc>
        <w:tc>
          <w:tcPr>
            <w:tcW w:w="4770" w:type="dxa"/>
            <w:tcBorders>
              <w:top w:val="single" w:sz="4" w:space="0" w:color="auto"/>
              <w:left w:val="single" w:sz="4" w:space="0" w:color="auto"/>
              <w:bottom w:val="single" w:sz="4" w:space="0" w:color="046B5C"/>
              <w:right w:val="single" w:sz="4" w:space="0" w:color="046B5C"/>
            </w:tcBorders>
          </w:tcPr>
          <w:p w:rsidR="008E637D" w:rsidRPr="008E637D" w:rsidP="008E637D" w14:paraId="28721598" w14:textId="77777777">
            <w:pPr>
              <w:tabs>
                <w:tab w:val="left" w:pos="1100"/>
              </w:tabs>
              <w:spacing w:line="240" w:lineRule="auto"/>
              <w:rPr>
                <w:rFonts w:ascii="Arial" w:hAnsi="Arial"/>
                <w:sz w:val="20"/>
              </w:rPr>
            </w:pPr>
            <w:r w:rsidRPr="008E637D">
              <w:rPr>
                <w:rFonts w:ascii="Arial" w:hAnsi="Arial" w:cs="Arial"/>
                <w:sz w:val="20"/>
              </w:rPr>
              <w:t>One respondent commented that SFAs can use multiple units to track exceptions to Buy American, and a “Select all” question format would make responding to the question easier and make responses more accurate.</w:t>
            </w:r>
          </w:p>
        </w:tc>
        <w:tc>
          <w:tcPr>
            <w:tcW w:w="3600" w:type="dxa"/>
            <w:tcBorders>
              <w:left w:val="single" w:sz="4" w:space="0" w:color="046B5C"/>
            </w:tcBorders>
          </w:tcPr>
          <w:p w:rsidR="008E637D" w:rsidRPr="008E637D" w:rsidP="008E637D" w14:paraId="3BB33BD7" w14:textId="77777777">
            <w:pPr>
              <w:spacing w:line="240" w:lineRule="auto"/>
              <w:rPr>
                <w:rFonts w:ascii="Arial" w:hAnsi="Arial"/>
                <w:sz w:val="20"/>
              </w:rPr>
            </w:pPr>
            <w:r w:rsidRPr="008E637D">
              <w:rPr>
                <w:rFonts w:ascii="Arial" w:hAnsi="Arial"/>
                <w:sz w:val="20"/>
              </w:rPr>
              <w:t>We changed the response format of Question F10 to “Select all that apply,” to allow respondents to select multiple units of measure.</w:t>
            </w:r>
          </w:p>
        </w:tc>
      </w:tr>
      <w:tr w14:paraId="02DD6FA9" w14:textId="77777777" w:rsidTr="00442305">
        <w:tblPrEx>
          <w:tblW w:w="9540" w:type="dxa"/>
          <w:tblLayout w:type="fixed"/>
          <w:tblLook w:val="04A0"/>
        </w:tblPrEx>
        <w:tc>
          <w:tcPr>
            <w:tcW w:w="1170" w:type="dxa"/>
          </w:tcPr>
          <w:p w:rsidR="008E637D" w:rsidRPr="008E637D" w:rsidP="008E637D" w14:paraId="60B528B9" w14:textId="77777777">
            <w:pPr>
              <w:spacing w:line="240" w:lineRule="auto"/>
              <w:rPr>
                <w:rFonts w:ascii="Arial" w:hAnsi="Arial"/>
                <w:sz w:val="20"/>
              </w:rPr>
            </w:pPr>
            <w:r w:rsidRPr="008E637D">
              <w:rPr>
                <w:rFonts w:ascii="Arial" w:hAnsi="Arial"/>
                <w:sz w:val="20"/>
              </w:rPr>
              <w:t>F11</w:t>
            </w:r>
          </w:p>
        </w:tc>
        <w:tc>
          <w:tcPr>
            <w:tcW w:w="4770" w:type="dxa"/>
            <w:tcBorders>
              <w:top w:val="single" w:sz="4" w:space="0" w:color="auto"/>
              <w:left w:val="single" w:sz="4" w:space="0" w:color="auto"/>
              <w:bottom w:val="single" w:sz="4" w:space="0" w:color="046B5C"/>
              <w:right w:val="single" w:sz="4" w:space="0" w:color="046B5C"/>
            </w:tcBorders>
          </w:tcPr>
          <w:p w:rsidR="008E637D" w:rsidRPr="008E637D" w:rsidP="008E637D" w14:paraId="20E83D11" w14:textId="77777777">
            <w:pPr>
              <w:spacing w:line="240" w:lineRule="auto"/>
              <w:rPr>
                <w:rFonts w:ascii="Arial" w:hAnsi="Arial" w:cs="Arial"/>
                <w:sz w:val="20"/>
              </w:rPr>
            </w:pPr>
            <w:r w:rsidRPr="008E637D">
              <w:rPr>
                <w:rFonts w:ascii="Arial" w:hAnsi="Arial"/>
                <w:sz w:val="20"/>
              </w:rPr>
              <w:t>Some respondents reported difficulty reporting on the percentage of food procurements that were not domestic commodities or products.</w:t>
            </w:r>
          </w:p>
        </w:tc>
        <w:tc>
          <w:tcPr>
            <w:tcW w:w="3600" w:type="dxa"/>
            <w:tcBorders>
              <w:left w:val="single" w:sz="4" w:space="0" w:color="046B5C"/>
            </w:tcBorders>
          </w:tcPr>
          <w:p w:rsidR="008E637D" w:rsidRPr="008E637D" w:rsidP="008E637D" w14:paraId="087B7252" w14:textId="77777777">
            <w:pPr>
              <w:spacing w:line="240" w:lineRule="auto"/>
              <w:rPr>
                <w:rFonts w:ascii="Arial" w:hAnsi="Arial"/>
                <w:sz w:val="20"/>
              </w:rPr>
            </w:pPr>
            <w:r w:rsidRPr="008E637D">
              <w:rPr>
                <w:rFonts w:ascii="Arial" w:hAnsi="Arial"/>
                <w:sz w:val="20"/>
              </w:rPr>
              <w:t>We added a preparation note to the survey introduction, “You will be asked to report the percentage of food procurements that were not domestic commodities or products during SY 2022–2023.” Respondents are encouraged to report their best estimate and have the option to select “Don’t know.”</w:t>
            </w:r>
          </w:p>
        </w:tc>
      </w:tr>
      <w:tr w14:paraId="5FF24EDD" w14:textId="77777777" w:rsidTr="00442305">
        <w:tblPrEx>
          <w:tblW w:w="9540" w:type="dxa"/>
          <w:tblLayout w:type="fixed"/>
          <w:tblLook w:val="04A0"/>
        </w:tblPrEx>
        <w:tc>
          <w:tcPr>
            <w:tcW w:w="1170" w:type="dxa"/>
          </w:tcPr>
          <w:p w:rsidR="008E637D" w:rsidRPr="008E637D" w:rsidP="008E637D" w14:paraId="04115EE5" w14:textId="77777777">
            <w:pPr>
              <w:spacing w:line="240" w:lineRule="auto"/>
              <w:rPr>
                <w:rFonts w:ascii="Arial" w:hAnsi="Arial"/>
                <w:sz w:val="20"/>
              </w:rPr>
            </w:pPr>
            <w:r w:rsidRPr="008E637D">
              <w:rPr>
                <w:rFonts w:ascii="Arial" w:hAnsi="Arial"/>
                <w:sz w:val="20"/>
              </w:rPr>
              <w:t>G3</w:t>
            </w:r>
          </w:p>
        </w:tc>
        <w:tc>
          <w:tcPr>
            <w:tcW w:w="4770" w:type="dxa"/>
            <w:tcBorders>
              <w:top w:val="single" w:sz="4" w:space="0" w:color="auto"/>
              <w:left w:val="single" w:sz="4" w:space="0" w:color="auto"/>
              <w:bottom w:val="single" w:sz="4" w:space="0" w:color="auto"/>
              <w:right w:val="single" w:sz="4" w:space="0" w:color="046B5C"/>
            </w:tcBorders>
          </w:tcPr>
          <w:p w:rsidR="008E637D" w:rsidRPr="008E637D" w:rsidP="008E637D" w14:paraId="29722906" w14:textId="77777777">
            <w:pPr>
              <w:spacing w:line="240" w:lineRule="auto"/>
              <w:rPr>
                <w:rFonts w:ascii="Arial" w:hAnsi="Arial"/>
                <w:sz w:val="20"/>
              </w:rPr>
            </w:pPr>
            <w:r w:rsidRPr="008E637D">
              <w:rPr>
                <w:rFonts w:ascii="Arial" w:hAnsi="Arial" w:cs="Arial"/>
                <w:sz w:val="20"/>
              </w:rPr>
              <w:t>Four respondents reported additional trainings or resources for determining ingredient costs and developing standardized recipes would be helpful.</w:t>
            </w:r>
          </w:p>
        </w:tc>
        <w:tc>
          <w:tcPr>
            <w:tcW w:w="3600" w:type="dxa"/>
            <w:tcBorders>
              <w:left w:val="single" w:sz="4" w:space="0" w:color="046B5C"/>
            </w:tcBorders>
          </w:tcPr>
          <w:p w:rsidR="008E637D" w:rsidRPr="008E637D" w:rsidP="008E637D" w14:paraId="1B9C8DA2" w14:textId="77777777">
            <w:pPr>
              <w:spacing w:line="240" w:lineRule="auto"/>
              <w:rPr>
                <w:rFonts w:ascii="Arial" w:hAnsi="Arial"/>
                <w:sz w:val="20"/>
              </w:rPr>
            </w:pPr>
            <w:r w:rsidRPr="008E637D">
              <w:rPr>
                <w:rFonts w:ascii="Arial" w:hAnsi="Arial" w:cs="Arial"/>
                <w:sz w:val="20"/>
              </w:rPr>
              <w:t>We added two new response options: (1) “Determining ingredient costs or price per serving for standardized recipes” and (2) “Incorporating scratch cooking.”</w:t>
            </w:r>
          </w:p>
        </w:tc>
      </w:tr>
      <w:tr w14:paraId="28F8F970" w14:textId="77777777" w:rsidTr="00442305">
        <w:tblPrEx>
          <w:tblW w:w="9540" w:type="dxa"/>
          <w:tblLayout w:type="fixed"/>
          <w:tblLook w:val="04A0"/>
        </w:tblPrEx>
        <w:tc>
          <w:tcPr>
            <w:tcW w:w="1170" w:type="dxa"/>
          </w:tcPr>
          <w:p w:rsidR="008E637D" w:rsidRPr="008E637D" w:rsidP="008E637D" w14:paraId="6DC84FA8" w14:textId="77777777">
            <w:pPr>
              <w:spacing w:line="240" w:lineRule="auto"/>
              <w:rPr>
                <w:rFonts w:ascii="Arial" w:hAnsi="Arial"/>
                <w:sz w:val="20"/>
              </w:rPr>
            </w:pPr>
            <w:r w:rsidRPr="008E637D">
              <w:rPr>
                <w:rFonts w:ascii="Arial" w:hAnsi="Arial"/>
                <w:sz w:val="20"/>
              </w:rPr>
              <w:t>G4</w:t>
            </w:r>
          </w:p>
        </w:tc>
        <w:tc>
          <w:tcPr>
            <w:tcW w:w="4770" w:type="dxa"/>
            <w:tcBorders>
              <w:top w:val="single" w:sz="4" w:space="0" w:color="auto"/>
              <w:left w:val="single" w:sz="4" w:space="0" w:color="auto"/>
              <w:bottom w:val="single" w:sz="4" w:space="0" w:color="auto"/>
              <w:right w:val="single" w:sz="4" w:space="0" w:color="046B5C"/>
            </w:tcBorders>
          </w:tcPr>
          <w:p w:rsidR="008E637D" w:rsidRPr="008E637D" w:rsidP="008E637D" w14:paraId="38A4E09C" w14:textId="77777777">
            <w:pPr>
              <w:spacing w:line="240" w:lineRule="auto"/>
              <w:rPr>
                <w:rFonts w:ascii="Arial" w:hAnsi="Arial"/>
                <w:sz w:val="20"/>
              </w:rPr>
            </w:pPr>
            <w:r w:rsidRPr="008E637D">
              <w:rPr>
                <w:rFonts w:ascii="Arial" w:hAnsi="Arial" w:cs="Arial"/>
                <w:sz w:val="20"/>
              </w:rPr>
              <w:t xml:space="preserve">Respondents </w:t>
            </w:r>
            <w:bookmarkStart w:id="38" w:name="_Hlk130292465"/>
            <w:r w:rsidRPr="008E637D">
              <w:rPr>
                <w:rFonts w:ascii="Arial" w:hAnsi="Arial" w:cs="Arial"/>
                <w:sz w:val="20"/>
              </w:rPr>
              <w:t>indicated online resources and materials are generally preferred; however, they prefer new materials and materials that will be distributed to schools as paper copies</w:t>
            </w:r>
            <w:bookmarkEnd w:id="38"/>
            <w:r w:rsidRPr="008E637D">
              <w:rPr>
                <w:rFonts w:ascii="Arial" w:hAnsi="Arial" w:cs="Arial"/>
                <w:sz w:val="20"/>
              </w:rPr>
              <w:t>.</w:t>
            </w:r>
          </w:p>
        </w:tc>
        <w:tc>
          <w:tcPr>
            <w:tcW w:w="3600" w:type="dxa"/>
            <w:tcBorders>
              <w:left w:val="single" w:sz="4" w:space="0" w:color="046B5C"/>
            </w:tcBorders>
          </w:tcPr>
          <w:p w:rsidR="008E637D" w:rsidRPr="008E637D" w:rsidP="008E637D" w14:paraId="28498ED3" w14:textId="77777777">
            <w:pPr>
              <w:spacing w:line="240" w:lineRule="auto"/>
              <w:rPr>
                <w:rFonts w:ascii="Arial" w:hAnsi="Arial"/>
                <w:sz w:val="20"/>
              </w:rPr>
            </w:pPr>
            <w:r w:rsidRPr="008E637D">
              <w:rPr>
                <w:rFonts w:ascii="Arial" w:hAnsi="Arial" w:cs="Arial"/>
                <w:sz w:val="20"/>
              </w:rPr>
              <w:t xml:space="preserve">No change. We do not recommend changing this question as respondents did not report difficulty answering it. </w:t>
            </w:r>
          </w:p>
        </w:tc>
      </w:tr>
      <w:tr w14:paraId="60B16EE0" w14:textId="77777777" w:rsidTr="00442305">
        <w:tblPrEx>
          <w:tblW w:w="9540" w:type="dxa"/>
          <w:tblLayout w:type="fixed"/>
          <w:tblLook w:val="04A0"/>
        </w:tblPrEx>
        <w:tc>
          <w:tcPr>
            <w:tcW w:w="1170" w:type="dxa"/>
          </w:tcPr>
          <w:p w:rsidR="008E637D" w:rsidRPr="008E637D" w:rsidP="008E637D" w14:paraId="72860DC8" w14:textId="77777777">
            <w:pPr>
              <w:spacing w:line="240" w:lineRule="auto"/>
              <w:rPr>
                <w:rFonts w:ascii="Arial" w:hAnsi="Arial"/>
                <w:sz w:val="20"/>
              </w:rPr>
            </w:pPr>
            <w:r w:rsidRPr="008E637D">
              <w:rPr>
                <w:rFonts w:ascii="Arial" w:hAnsi="Arial"/>
                <w:sz w:val="20"/>
              </w:rPr>
              <w:t>G5</w:t>
            </w:r>
          </w:p>
        </w:tc>
        <w:tc>
          <w:tcPr>
            <w:tcW w:w="4770" w:type="dxa"/>
            <w:tcBorders>
              <w:top w:val="single" w:sz="4" w:space="0" w:color="auto"/>
              <w:left w:val="single" w:sz="4" w:space="0" w:color="auto"/>
              <w:bottom w:val="single" w:sz="4" w:space="0" w:color="auto"/>
              <w:right w:val="single" w:sz="4" w:space="0" w:color="046B5C"/>
            </w:tcBorders>
          </w:tcPr>
          <w:p w:rsidR="008E637D" w:rsidRPr="008E637D" w:rsidP="008E637D" w14:paraId="1BCBB888" w14:textId="77777777">
            <w:pPr>
              <w:spacing w:line="240" w:lineRule="auto"/>
              <w:rPr>
                <w:rFonts w:ascii="Arial" w:hAnsi="Arial" w:cs="Arial"/>
                <w:sz w:val="20"/>
              </w:rPr>
            </w:pPr>
            <w:r w:rsidRPr="008E637D">
              <w:rPr>
                <w:rFonts w:ascii="Arial" w:hAnsi="Arial" w:cs="Arial"/>
                <w:sz w:val="20"/>
              </w:rPr>
              <w:t>Two respondents indicated it would be helpful to encompass scratch and speed-scratch cooking in this question, as the schools in their SFA use both methods. Another respondent reported that schools in their SFA frequently use speed-scratch recipes, and they would have liked a way to indicate this in the survey.</w:t>
            </w:r>
          </w:p>
        </w:tc>
        <w:tc>
          <w:tcPr>
            <w:tcW w:w="3600" w:type="dxa"/>
            <w:tcBorders>
              <w:left w:val="single" w:sz="4" w:space="0" w:color="046B5C"/>
            </w:tcBorders>
          </w:tcPr>
          <w:p w:rsidR="008E637D" w:rsidRPr="008E637D" w:rsidP="008E637D" w14:paraId="7172EB15" w14:textId="77777777">
            <w:pPr>
              <w:spacing w:line="240" w:lineRule="auto"/>
              <w:rPr>
                <w:rFonts w:ascii="Arial" w:hAnsi="Arial"/>
                <w:sz w:val="20"/>
              </w:rPr>
            </w:pPr>
            <w:r w:rsidRPr="008E637D">
              <w:rPr>
                <w:rFonts w:ascii="Arial" w:hAnsi="Arial"/>
                <w:sz w:val="20"/>
              </w:rPr>
              <w:t>We added use of speed-scratch cooking as a response option to Question G5 and created a new question, G6b, about how often SFAs use speed-scratch cooking.</w:t>
            </w:r>
          </w:p>
        </w:tc>
      </w:tr>
      <w:tr w14:paraId="6B5594E1" w14:textId="77777777" w:rsidTr="00442305">
        <w:tblPrEx>
          <w:tblW w:w="9540" w:type="dxa"/>
          <w:tblLayout w:type="fixed"/>
          <w:tblLook w:val="04A0"/>
        </w:tblPrEx>
        <w:tc>
          <w:tcPr>
            <w:tcW w:w="1170" w:type="dxa"/>
          </w:tcPr>
          <w:p w:rsidR="008E637D" w:rsidRPr="008E637D" w:rsidP="008E637D" w14:paraId="11F77719" w14:textId="77777777">
            <w:pPr>
              <w:spacing w:line="240" w:lineRule="auto"/>
              <w:rPr>
                <w:rFonts w:ascii="Arial" w:hAnsi="Arial"/>
                <w:sz w:val="20"/>
              </w:rPr>
            </w:pPr>
            <w:r w:rsidRPr="008E637D">
              <w:rPr>
                <w:rFonts w:ascii="Arial" w:hAnsi="Arial"/>
                <w:sz w:val="20"/>
              </w:rPr>
              <w:t>G7</w:t>
            </w:r>
          </w:p>
        </w:tc>
        <w:tc>
          <w:tcPr>
            <w:tcW w:w="4770" w:type="dxa"/>
            <w:tcBorders>
              <w:top w:val="single" w:sz="4" w:space="0" w:color="auto"/>
              <w:left w:val="single" w:sz="4" w:space="0" w:color="auto"/>
              <w:bottom w:val="single" w:sz="4" w:space="0" w:color="auto"/>
              <w:right w:val="single" w:sz="4" w:space="0" w:color="046B5C"/>
            </w:tcBorders>
          </w:tcPr>
          <w:p w:rsidR="008E637D" w:rsidRPr="008E637D" w:rsidP="008E637D" w14:paraId="5DA0A6E3" w14:textId="77777777">
            <w:pPr>
              <w:spacing w:line="240" w:lineRule="auto"/>
              <w:rPr>
                <w:rFonts w:ascii="Arial" w:hAnsi="Arial" w:cs="Arial"/>
                <w:sz w:val="20"/>
              </w:rPr>
            </w:pPr>
            <w:r w:rsidRPr="008E637D">
              <w:rPr>
                <w:rFonts w:ascii="Arial" w:hAnsi="Arial" w:cs="Arial"/>
                <w:sz w:val="20"/>
              </w:rPr>
              <w:t>One respondent suggested splitting Item U into two response options because parents and students have different feelings about new recipes and menus.</w:t>
            </w:r>
          </w:p>
        </w:tc>
        <w:tc>
          <w:tcPr>
            <w:tcW w:w="3600" w:type="dxa"/>
            <w:tcBorders>
              <w:left w:val="single" w:sz="4" w:space="0" w:color="046B5C"/>
            </w:tcBorders>
          </w:tcPr>
          <w:p w:rsidR="008E637D" w:rsidRPr="008E637D" w:rsidP="008E637D" w14:paraId="772F4421" w14:textId="77777777">
            <w:pPr>
              <w:spacing w:line="240" w:lineRule="auto"/>
              <w:rPr>
                <w:rFonts w:ascii="Arial" w:hAnsi="Arial" w:cs="Arial"/>
                <w:sz w:val="20"/>
              </w:rPr>
            </w:pPr>
            <w:r w:rsidRPr="008E637D">
              <w:rPr>
                <w:rFonts w:ascii="Arial" w:hAnsi="Arial" w:cs="Arial"/>
                <w:sz w:val="20"/>
              </w:rPr>
              <w:t>We separated Item U into “Concern about students’ acceptance of new recipes or menus” and “Concern about parents’ acceptance of new recipes or menus.”</w:t>
            </w:r>
          </w:p>
        </w:tc>
      </w:tr>
      <w:tr w14:paraId="20E2C75B" w14:textId="77777777" w:rsidTr="00442305">
        <w:tblPrEx>
          <w:tblW w:w="9540" w:type="dxa"/>
          <w:tblLayout w:type="fixed"/>
          <w:tblLook w:val="04A0"/>
        </w:tblPrEx>
        <w:tc>
          <w:tcPr>
            <w:tcW w:w="1170" w:type="dxa"/>
          </w:tcPr>
          <w:p w:rsidR="008E637D" w:rsidRPr="008E637D" w:rsidP="008E637D" w14:paraId="4D3D7559" w14:textId="77777777">
            <w:pPr>
              <w:tabs>
                <w:tab w:val="left" w:pos="970"/>
              </w:tabs>
              <w:spacing w:line="240" w:lineRule="auto"/>
              <w:rPr>
                <w:rFonts w:ascii="Arial" w:hAnsi="Arial"/>
                <w:sz w:val="20"/>
              </w:rPr>
            </w:pPr>
            <w:r w:rsidRPr="008E637D">
              <w:rPr>
                <w:rFonts w:ascii="Arial" w:hAnsi="Arial"/>
                <w:sz w:val="20"/>
              </w:rPr>
              <w:t>G8, G9</w:t>
            </w:r>
          </w:p>
        </w:tc>
        <w:tc>
          <w:tcPr>
            <w:tcW w:w="4770" w:type="dxa"/>
            <w:tcBorders>
              <w:top w:val="single" w:sz="4" w:space="0" w:color="auto"/>
              <w:left w:val="single" w:sz="4" w:space="0" w:color="auto"/>
              <w:bottom w:val="single" w:sz="4" w:space="0" w:color="auto"/>
              <w:right w:val="single" w:sz="4" w:space="0" w:color="046B5C"/>
            </w:tcBorders>
          </w:tcPr>
          <w:p w:rsidR="008E637D" w:rsidRPr="008E637D" w:rsidP="008E637D" w14:paraId="49CBA9AE" w14:textId="77777777">
            <w:pPr>
              <w:spacing w:line="240" w:lineRule="auto"/>
              <w:rPr>
                <w:rFonts w:ascii="Arial" w:hAnsi="Arial" w:cs="Arial"/>
                <w:sz w:val="20"/>
              </w:rPr>
            </w:pPr>
            <w:r w:rsidRPr="008E637D">
              <w:rPr>
                <w:rFonts w:ascii="Arial" w:hAnsi="Arial" w:cs="Arial"/>
                <w:sz w:val="20"/>
              </w:rPr>
              <w:t>One respondent reported the frequency of offering nonanimal-based proteins at breakfasts and lunches differs by school level.</w:t>
            </w:r>
          </w:p>
        </w:tc>
        <w:tc>
          <w:tcPr>
            <w:tcW w:w="3600" w:type="dxa"/>
            <w:tcBorders>
              <w:left w:val="single" w:sz="4" w:space="0" w:color="046B5C"/>
            </w:tcBorders>
          </w:tcPr>
          <w:p w:rsidR="008E637D" w:rsidRPr="008E637D" w:rsidP="008E637D" w14:paraId="25394397" w14:textId="77777777">
            <w:pPr>
              <w:spacing w:line="240" w:lineRule="auto"/>
              <w:rPr>
                <w:rFonts w:ascii="Arial" w:hAnsi="Arial" w:cs="Arial"/>
                <w:sz w:val="20"/>
              </w:rPr>
            </w:pPr>
            <w:r w:rsidRPr="008E637D">
              <w:rPr>
                <w:rFonts w:ascii="Arial" w:hAnsi="Arial" w:cs="Arial"/>
                <w:sz w:val="20"/>
              </w:rPr>
              <w:t>We changed Questions G8 and G9 to ask respondents to report how often plant-based meals were offered at each school level.</w:t>
            </w:r>
          </w:p>
        </w:tc>
      </w:tr>
    </w:tbl>
    <w:p w:rsidR="008E637D" w:rsidRPr="008E637D" w:rsidP="008E637D" w14:paraId="3706BD2F" w14:textId="77777777">
      <w:pPr>
        <w:spacing w:before="40" w:after="60"/>
        <w:ind w:left="792" w:hanging="792"/>
        <w:rPr>
          <w:rFonts w:ascii="Arial" w:hAnsi="Arial"/>
          <w:color w:val="000000"/>
          <w:sz w:val="18"/>
          <w:szCs w:val="22"/>
        </w:rPr>
      </w:pPr>
      <w:r w:rsidRPr="008E637D">
        <w:rPr>
          <w:rFonts w:ascii="Arial" w:hAnsi="Arial"/>
          <w:color w:val="000000"/>
          <w:sz w:val="18"/>
          <w:szCs w:val="22"/>
        </w:rPr>
        <w:t>PLE = Paid Lunch Equity; SFA = School Food Authority; SY = school year.</w:t>
      </w:r>
    </w:p>
    <w:p w:rsidR="00AB343E" w:rsidRPr="00DB36E3" w:rsidP="00DB36E3" w14:paraId="3079A079" w14:textId="7EF0116B">
      <w:pPr>
        <w:pStyle w:val="H1"/>
        <w:tabs>
          <w:tab w:val="clear" w:pos="432"/>
        </w:tabs>
        <w:ind w:left="630" w:hanging="630"/>
      </w:pPr>
      <w:bookmarkStart w:id="39" w:name="_Toc133502229"/>
      <w:r>
        <w:t>B5.</w:t>
      </w:r>
      <w:r>
        <w:tab/>
      </w:r>
      <w:r w:rsidRPr="00DB36E3">
        <w:t>Individuals Consulted on Statistical Aspects and Individuals Collecting</w:t>
      </w:r>
      <w:r>
        <w:t xml:space="preserve"> </w:t>
      </w:r>
      <w:r w:rsidRPr="00DB36E3">
        <w:t>and/or Analyzing Data</w:t>
      </w:r>
      <w:bookmarkEnd w:id="39"/>
    </w:p>
    <w:p w:rsidR="00AB343E" w:rsidRPr="009637E8" w:rsidP="00DA5BC3" w14:paraId="2064FA15" w14:textId="0DBEF31B">
      <w:pPr>
        <w:spacing w:line="240" w:lineRule="auto"/>
        <w:ind w:right="-20"/>
        <w:rPr>
          <w:rFonts w:cstheme="minorHAnsi"/>
          <w:szCs w:val="24"/>
        </w:rPr>
      </w:pPr>
      <w:r w:rsidRPr="009637E8">
        <w:rPr>
          <w:rFonts w:cstheme="minorHAnsi"/>
          <w:b/>
          <w:bCs/>
          <w:szCs w:val="24"/>
        </w:rPr>
        <w:t>Provide the name and telephone number of ind</w:t>
      </w:r>
      <w:r w:rsidRPr="009637E8">
        <w:rPr>
          <w:rFonts w:cstheme="minorHAnsi"/>
          <w:b/>
          <w:bCs/>
          <w:spacing w:val="1"/>
          <w:szCs w:val="24"/>
        </w:rPr>
        <w:t>i</w:t>
      </w:r>
      <w:r w:rsidRPr="009637E8">
        <w:rPr>
          <w:rFonts w:cstheme="minorHAnsi"/>
          <w:b/>
          <w:bCs/>
          <w:szCs w:val="24"/>
        </w:rPr>
        <w:t xml:space="preserve">viduals consulted on statistical aspects of the design and the name of the agency unit, contractor(s), grantee(s), or other person(s) </w:t>
      </w:r>
      <w:r w:rsidRPr="009637E8">
        <w:rPr>
          <w:rFonts w:cstheme="minorHAnsi"/>
          <w:b/>
          <w:bCs/>
          <w:spacing w:val="-2"/>
          <w:szCs w:val="24"/>
        </w:rPr>
        <w:t>w</w:t>
      </w:r>
      <w:r w:rsidRPr="009637E8">
        <w:rPr>
          <w:rFonts w:cstheme="minorHAnsi"/>
          <w:b/>
          <w:bCs/>
          <w:szCs w:val="24"/>
        </w:rPr>
        <w:t xml:space="preserve">ho </w:t>
      </w:r>
      <w:r w:rsidRPr="009637E8">
        <w:rPr>
          <w:rFonts w:cstheme="minorHAnsi"/>
          <w:b/>
          <w:bCs/>
          <w:spacing w:val="-2"/>
          <w:szCs w:val="24"/>
        </w:rPr>
        <w:t>w</w:t>
      </w:r>
      <w:r w:rsidRPr="009637E8">
        <w:rPr>
          <w:rFonts w:cstheme="minorHAnsi"/>
          <w:b/>
          <w:bCs/>
          <w:szCs w:val="24"/>
        </w:rPr>
        <w:t>ill actually collect and/or analy</w:t>
      </w:r>
      <w:r w:rsidRPr="009637E8">
        <w:rPr>
          <w:rFonts w:cstheme="minorHAnsi"/>
          <w:b/>
          <w:bCs/>
          <w:spacing w:val="-2"/>
          <w:szCs w:val="24"/>
        </w:rPr>
        <w:t>z</w:t>
      </w:r>
      <w:r w:rsidRPr="009637E8">
        <w:rPr>
          <w:rFonts w:cstheme="minorHAnsi"/>
          <w:b/>
          <w:bCs/>
          <w:szCs w:val="24"/>
        </w:rPr>
        <w:t>e the information for the agency.</w:t>
      </w:r>
    </w:p>
    <w:p w:rsidR="00AB343E" w:rsidP="00AB343E" w14:paraId="4B78A144" w14:textId="07CB8DCF">
      <w:pPr>
        <w:spacing w:line="360" w:lineRule="auto"/>
        <w:rPr>
          <w:rFonts w:cstheme="minorHAnsi"/>
        </w:rPr>
      </w:pPr>
      <w:r>
        <w:rPr>
          <w:rFonts w:cstheme="minorHAnsi"/>
        </w:rPr>
        <w:t xml:space="preserve">Table B5.1 lists </w:t>
      </w:r>
      <w:r w:rsidRPr="0050075C">
        <w:rPr>
          <w:rFonts w:cstheme="minorHAnsi"/>
        </w:rPr>
        <w:t>staff consulted on statistical aspects of the design. The same staff will be responsible for collecti</w:t>
      </w:r>
      <w:r>
        <w:rPr>
          <w:rFonts w:cstheme="minorHAnsi"/>
        </w:rPr>
        <w:t>ng</w:t>
      </w:r>
      <w:r w:rsidRPr="0050075C">
        <w:rPr>
          <w:rFonts w:cstheme="minorHAnsi"/>
        </w:rPr>
        <w:t xml:space="preserve"> and analy</w:t>
      </w:r>
      <w:r>
        <w:rPr>
          <w:rFonts w:cstheme="minorHAnsi"/>
        </w:rPr>
        <w:t>zing</w:t>
      </w:r>
      <w:r w:rsidRPr="0050075C">
        <w:rPr>
          <w:rFonts w:cstheme="minorHAnsi"/>
        </w:rPr>
        <w:t xml:space="preserve"> the study data. </w:t>
      </w:r>
    </w:p>
    <w:p w:rsidR="004468E2" w14:paraId="6E860136" w14:textId="77777777">
      <w:pPr>
        <w:spacing w:line="240" w:lineRule="auto"/>
        <w:rPr>
          <w:rFonts w:eastAsia="Calibri" w:asciiTheme="majorHAnsi" w:hAnsiTheme="majorHAnsi"/>
          <w:b/>
          <w:sz w:val="22"/>
        </w:rPr>
      </w:pPr>
      <w:bookmarkStart w:id="40" w:name="_Toc315969104"/>
      <w:bookmarkStart w:id="41" w:name="_Toc316312723"/>
      <w:bookmarkStart w:id="42" w:name="_Toc318292713"/>
      <w:bookmarkStart w:id="43" w:name="_Toc320539731"/>
      <w:bookmarkStart w:id="44" w:name="_Toc476659132"/>
      <w:r>
        <w:br w:type="page"/>
      </w:r>
    </w:p>
    <w:p w:rsidR="008E682A" w:rsidRPr="0050075C" w:rsidP="007910ED" w14:paraId="593B5693" w14:textId="47930725">
      <w:pPr>
        <w:pStyle w:val="TableTitle"/>
      </w:pPr>
      <w:bookmarkStart w:id="45" w:name="_Toc133502239"/>
      <w:r w:rsidRPr="0050075C">
        <w:t xml:space="preserve">Table </w:t>
      </w:r>
      <w:r>
        <w:t>B5</w:t>
      </w:r>
      <w:r w:rsidRPr="0050075C">
        <w:t>.</w:t>
      </w:r>
      <w:r>
        <w:t>1.</w:t>
      </w:r>
      <w:r w:rsidRPr="0050075C">
        <w:t xml:space="preserve"> Individuals </w:t>
      </w:r>
      <w:r>
        <w:t>c</w:t>
      </w:r>
      <w:r w:rsidRPr="0050075C">
        <w:t xml:space="preserve">onsulted on </w:t>
      </w:r>
      <w:bookmarkEnd w:id="40"/>
      <w:bookmarkEnd w:id="41"/>
      <w:bookmarkEnd w:id="42"/>
      <w:bookmarkEnd w:id="43"/>
      <w:bookmarkEnd w:id="44"/>
      <w:r w:rsidR="00203BB1">
        <w:t>statistical aspects of study design</w:t>
      </w:r>
      <w:bookmarkEnd w:id="45"/>
    </w:p>
    <w:tbl>
      <w:tblPr>
        <w:tblW w:w="9360" w:type="dxa"/>
        <w:tblLook w:val="04A0"/>
      </w:tblPr>
      <w:tblGrid>
        <w:gridCol w:w="1980"/>
        <w:gridCol w:w="2250"/>
        <w:gridCol w:w="1620"/>
        <w:gridCol w:w="3510"/>
      </w:tblGrid>
      <w:tr w14:paraId="740561D6" w14:textId="77777777" w:rsidTr="004468E2">
        <w:tblPrEx>
          <w:tblW w:w="9360" w:type="dxa"/>
          <w:tblLook w:val="04A0"/>
        </w:tblPrEx>
        <w:trPr>
          <w:trHeight w:val="300"/>
          <w:tblHeader/>
        </w:trPr>
        <w:tc>
          <w:tcPr>
            <w:tcW w:w="1980" w:type="dxa"/>
            <w:tcBorders>
              <w:left w:val="nil"/>
              <w:right w:val="nil"/>
            </w:tcBorders>
            <w:shd w:val="clear" w:color="auto" w:fill="6C6F70"/>
            <w:noWrap/>
            <w:vAlign w:val="bottom"/>
            <w:hideMark/>
          </w:tcPr>
          <w:p w:rsidR="008E682A" w:rsidRPr="00FC17C3" w:rsidP="005B6FDA" w14:paraId="5475333F" w14:textId="75B0B7F9">
            <w:pPr>
              <w:pStyle w:val="TableHeaderLeft"/>
            </w:pPr>
            <w:r>
              <w:t>Mathematica staff</w:t>
            </w:r>
          </w:p>
        </w:tc>
        <w:tc>
          <w:tcPr>
            <w:tcW w:w="2250" w:type="dxa"/>
            <w:tcBorders>
              <w:left w:val="nil"/>
              <w:right w:val="nil"/>
            </w:tcBorders>
            <w:shd w:val="clear" w:color="auto" w:fill="6C6F70"/>
            <w:noWrap/>
            <w:vAlign w:val="bottom"/>
            <w:hideMark/>
          </w:tcPr>
          <w:p w:rsidR="008E682A" w:rsidRPr="00FC17C3" w:rsidP="005B6FDA" w14:paraId="2F3BDCAB" w14:textId="77777777">
            <w:pPr>
              <w:pStyle w:val="TableHeaderCenter"/>
            </w:pPr>
            <w:r w:rsidRPr="00FC17C3">
              <w:t>Title</w:t>
            </w:r>
          </w:p>
        </w:tc>
        <w:tc>
          <w:tcPr>
            <w:tcW w:w="1620" w:type="dxa"/>
            <w:tcBorders>
              <w:left w:val="nil"/>
              <w:right w:val="nil"/>
            </w:tcBorders>
            <w:shd w:val="clear" w:color="auto" w:fill="6C6F70"/>
            <w:noWrap/>
            <w:vAlign w:val="bottom"/>
            <w:hideMark/>
          </w:tcPr>
          <w:p w:rsidR="008E682A" w:rsidRPr="00FC17C3" w:rsidP="005B6FDA" w14:paraId="268D4B5D" w14:textId="77777777">
            <w:pPr>
              <w:pStyle w:val="TableHeaderCenter"/>
            </w:pPr>
            <w:r w:rsidRPr="00FC17C3">
              <w:t>Phone</w:t>
            </w:r>
          </w:p>
        </w:tc>
        <w:tc>
          <w:tcPr>
            <w:tcW w:w="3510" w:type="dxa"/>
            <w:tcBorders>
              <w:left w:val="nil"/>
              <w:right w:val="nil"/>
            </w:tcBorders>
            <w:shd w:val="clear" w:color="auto" w:fill="6C6F70"/>
            <w:noWrap/>
            <w:vAlign w:val="bottom"/>
            <w:hideMark/>
          </w:tcPr>
          <w:p w:rsidR="008E682A" w:rsidRPr="00FC17C3" w:rsidP="005B6FDA" w14:paraId="1590EDF4" w14:textId="77777777">
            <w:pPr>
              <w:pStyle w:val="TableHeaderCenter"/>
            </w:pPr>
            <w:r w:rsidRPr="00FC17C3">
              <w:t>Email</w:t>
            </w:r>
          </w:p>
        </w:tc>
      </w:tr>
      <w:tr w14:paraId="738FF915" w14:textId="77777777" w:rsidTr="004468E2">
        <w:tblPrEx>
          <w:tblW w:w="9360" w:type="dxa"/>
          <w:tblLook w:val="04A0"/>
        </w:tblPrEx>
        <w:trPr>
          <w:trHeight w:val="300"/>
        </w:trPr>
        <w:tc>
          <w:tcPr>
            <w:tcW w:w="1980" w:type="dxa"/>
            <w:tcBorders>
              <w:left w:val="nil"/>
              <w:bottom w:val="single" w:sz="4" w:space="0" w:color="auto"/>
              <w:right w:val="nil"/>
            </w:tcBorders>
            <w:shd w:val="clear" w:color="auto" w:fill="auto"/>
            <w:noWrap/>
            <w:hideMark/>
          </w:tcPr>
          <w:p w:rsidR="008E682A" w:rsidRPr="00DB36E3" w:rsidP="00DA5BC3" w14:paraId="0D87316D" w14:textId="4320BE92">
            <w:pPr>
              <w:spacing w:before="60" w:after="60" w:line="240" w:lineRule="auto"/>
              <w:rPr>
                <w:rFonts w:asciiTheme="majorHAnsi" w:hAnsiTheme="majorHAnsi" w:cstheme="majorHAnsi"/>
                <w:color w:val="000000"/>
                <w:sz w:val="20"/>
              </w:rPr>
            </w:pPr>
            <w:r>
              <w:rPr>
                <w:rFonts w:asciiTheme="majorHAnsi" w:hAnsiTheme="majorHAnsi" w:cstheme="majorHAnsi"/>
                <w:color w:val="000000"/>
                <w:sz w:val="20"/>
              </w:rPr>
              <w:t>Kevin Conway</w:t>
            </w:r>
            <w:r w:rsidRPr="00DB36E3">
              <w:rPr>
                <w:rFonts w:asciiTheme="majorHAnsi" w:hAnsiTheme="majorHAnsi" w:cstheme="majorHAnsi"/>
                <w:color w:val="000000"/>
                <w:sz w:val="20"/>
              </w:rPr>
              <w:t xml:space="preserve"> </w:t>
            </w:r>
          </w:p>
        </w:tc>
        <w:tc>
          <w:tcPr>
            <w:tcW w:w="2250" w:type="dxa"/>
            <w:tcBorders>
              <w:left w:val="nil"/>
              <w:bottom w:val="single" w:sz="4" w:space="0" w:color="auto"/>
              <w:right w:val="nil"/>
            </w:tcBorders>
            <w:shd w:val="clear" w:color="auto" w:fill="auto"/>
            <w:noWrap/>
            <w:hideMark/>
          </w:tcPr>
          <w:p w:rsidR="008E682A" w:rsidRPr="00DB36E3" w:rsidP="00DA5BC3" w14:paraId="167FDE9E" w14:textId="77777777">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Project Director</w:t>
            </w:r>
          </w:p>
        </w:tc>
        <w:tc>
          <w:tcPr>
            <w:tcW w:w="1620" w:type="dxa"/>
            <w:tcBorders>
              <w:left w:val="nil"/>
              <w:bottom w:val="single" w:sz="4" w:space="0" w:color="auto"/>
              <w:right w:val="nil"/>
            </w:tcBorders>
            <w:shd w:val="clear" w:color="auto" w:fill="auto"/>
            <w:noWrap/>
            <w:hideMark/>
          </w:tcPr>
          <w:p w:rsidR="008E682A" w:rsidRPr="00DB36E3" w:rsidP="00DA5BC3" w14:paraId="428C19D5" w14:textId="42C7847B">
            <w:pPr>
              <w:spacing w:before="60" w:after="60" w:line="240" w:lineRule="auto"/>
              <w:rPr>
                <w:rFonts w:asciiTheme="majorHAnsi" w:hAnsiTheme="majorHAnsi" w:cstheme="majorHAnsi"/>
                <w:color w:val="000000"/>
                <w:sz w:val="20"/>
              </w:rPr>
            </w:pPr>
            <w:r>
              <w:rPr>
                <w:rFonts w:asciiTheme="majorHAnsi" w:hAnsiTheme="majorHAnsi" w:cstheme="majorHAnsi"/>
                <w:color w:val="000000"/>
                <w:sz w:val="20"/>
              </w:rPr>
              <w:t>609</w:t>
            </w:r>
            <w:r w:rsidRPr="00DB36E3" w:rsidR="00E51AB6">
              <w:rPr>
                <w:rFonts w:asciiTheme="majorHAnsi" w:hAnsiTheme="majorHAnsi" w:cstheme="majorHAnsi"/>
                <w:color w:val="000000"/>
                <w:sz w:val="20"/>
              </w:rPr>
              <w:t>-</w:t>
            </w:r>
            <w:r w:rsidR="000B3DD1">
              <w:rPr>
                <w:rFonts w:asciiTheme="majorHAnsi" w:hAnsiTheme="majorHAnsi" w:cstheme="majorHAnsi"/>
                <w:color w:val="000000"/>
                <w:sz w:val="20"/>
              </w:rPr>
              <w:t>750-4083</w:t>
            </w:r>
          </w:p>
        </w:tc>
        <w:tc>
          <w:tcPr>
            <w:tcW w:w="3510" w:type="dxa"/>
            <w:tcBorders>
              <w:left w:val="nil"/>
              <w:bottom w:val="single" w:sz="4" w:space="0" w:color="auto"/>
              <w:right w:val="nil"/>
            </w:tcBorders>
            <w:shd w:val="clear" w:color="auto" w:fill="auto"/>
            <w:noWrap/>
            <w:hideMark/>
          </w:tcPr>
          <w:p w:rsidR="008E682A" w:rsidRPr="00DB36E3" w:rsidP="00DA5BC3" w14:paraId="13C7D055" w14:textId="7B322B96">
            <w:pPr>
              <w:spacing w:before="60" w:after="60" w:line="240" w:lineRule="auto"/>
              <w:rPr>
                <w:rFonts w:asciiTheme="majorHAnsi" w:hAnsiTheme="majorHAnsi" w:cstheme="majorHAnsi"/>
                <w:color w:val="0563C1"/>
                <w:sz w:val="20"/>
                <w:u w:val="single"/>
              </w:rPr>
            </w:pPr>
            <w:hyperlink r:id="rId14" w:history="1">
              <w:r w:rsidRPr="002559C5" w:rsidR="00374049">
                <w:rPr>
                  <w:rStyle w:val="Hyperlink"/>
                  <w:rFonts w:asciiTheme="majorHAnsi" w:hAnsiTheme="majorHAnsi" w:cstheme="majorHAnsi"/>
                  <w:sz w:val="20"/>
                </w:rPr>
                <w:t>KConway@mathematica-mpr.com</w:t>
              </w:r>
            </w:hyperlink>
            <w:r w:rsidR="00374049">
              <w:rPr>
                <w:rFonts w:asciiTheme="majorHAnsi" w:hAnsiTheme="majorHAnsi" w:cstheme="majorHAnsi"/>
                <w:sz w:val="20"/>
              </w:rPr>
              <w:t xml:space="preserve"> </w:t>
            </w:r>
          </w:p>
        </w:tc>
      </w:tr>
      <w:tr w14:paraId="759C7D6B" w14:textId="77777777" w:rsidTr="004468E2">
        <w:tblPrEx>
          <w:tblW w:w="9360" w:type="dxa"/>
          <w:tblLook w:val="04A0"/>
        </w:tblPrEx>
        <w:trPr>
          <w:trHeight w:val="300"/>
        </w:trPr>
        <w:tc>
          <w:tcPr>
            <w:tcW w:w="1980" w:type="dxa"/>
            <w:tcBorders>
              <w:top w:val="nil"/>
              <w:left w:val="nil"/>
              <w:bottom w:val="single" w:sz="4" w:space="0" w:color="auto"/>
              <w:right w:val="nil"/>
            </w:tcBorders>
            <w:shd w:val="clear" w:color="auto" w:fill="auto"/>
            <w:noWrap/>
            <w:hideMark/>
          </w:tcPr>
          <w:p w:rsidR="008E682A" w:rsidRPr="00DB36E3" w:rsidP="00DA5BC3" w14:paraId="7553A146" w14:textId="77777777">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Barbara Carlson</w:t>
            </w:r>
          </w:p>
        </w:tc>
        <w:tc>
          <w:tcPr>
            <w:tcW w:w="2250" w:type="dxa"/>
            <w:tcBorders>
              <w:top w:val="nil"/>
              <w:left w:val="nil"/>
              <w:bottom w:val="single" w:sz="4" w:space="0" w:color="auto"/>
              <w:right w:val="nil"/>
            </w:tcBorders>
            <w:shd w:val="clear" w:color="auto" w:fill="auto"/>
            <w:noWrap/>
            <w:hideMark/>
          </w:tcPr>
          <w:p w:rsidR="008E682A" w:rsidRPr="00DB36E3" w:rsidP="00DA5BC3" w14:paraId="245EE401" w14:textId="77777777">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Senior Statistician</w:t>
            </w:r>
          </w:p>
        </w:tc>
        <w:tc>
          <w:tcPr>
            <w:tcW w:w="1620" w:type="dxa"/>
            <w:tcBorders>
              <w:top w:val="nil"/>
              <w:left w:val="nil"/>
              <w:bottom w:val="single" w:sz="4" w:space="0" w:color="auto"/>
              <w:right w:val="nil"/>
            </w:tcBorders>
            <w:shd w:val="clear" w:color="auto" w:fill="auto"/>
            <w:noWrap/>
            <w:hideMark/>
          </w:tcPr>
          <w:p w:rsidR="008E682A" w:rsidRPr="00DB36E3" w:rsidP="00DA5BC3" w14:paraId="675DD1A7" w14:textId="77777777">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617-674-8372</w:t>
            </w:r>
          </w:p>
        </w:tc>
        <w:tc>
          <w:tcPr>
            <w:tcW w:w="3510" w:type="dxa"/>
            <w:tcBorders>
              <w:top w:val="nil"/>
              <w:left w:val="nil"/>
              <w:bottom w:val="single" w:sz="4" w:space="0" w:color="auto"/>
              <w:right w:val="nil"/>
            </w:tcBorders>
            <w:shd w:val="clear" w:color="auto" w:fill="auto"/>
            <w:noWrap/>
            <w:hideMark/>
          </w:tcPr>
          <w:p w:rsidR="008E682A" w:rsidRPr="00DB36E3" w:rsidP="00DA5BC3" w14:paraId="1540E4F6" w14:textId="77777777">
            <w:pPr>
              <w:spacing w:before="60" w:after="60" w:line="240" w:lineRule="auto"/>
              <w:rPr>
                <w:rStyle w:val="Hyperlink"/>
                <w:rFonts w:asciiTheme="majorHAnsi" w:hAnsiTheme="majorHAnsi" w:cstheme="majorHAnsi"/>
                <w:sz w:val="20"/>
              </w:rPr>
            </w:pPr>
            <w:hyperlink r:id="rId15" w:history="1">
              <w:r w:rsidRPr="00DB36E3">
                <w:rPr>
                  <w:rStyle w:val="Hyperlink"/>
                  <w:rFonts w:asciiTheme="majorHAnsi" w:hAnsiTheme="majorHAnsi" w:cstheme="majorHAnsi"/>
                  <w:sz w:val="20"/>
                </w:rPr>
                <w:t>BCarlson@mathematica-mpr.com</w:t>
              </w:r>
            </w:hyperlink>
          </w:p>
        </w:tc>
      </w:tr>
      <w:tr w14:paraId="45A24AB1" w14:textId="77777777" w:rsidTr="004468E2">
        <w:tblPrEx>
          <w:tblW w:w="9360" w:type="dxa"/>
          <w:tblLook w:val="04A0"/>
        </w:tblPrEx>
        <w:trPr>
          <w:trHeight w:val="300"/>
        </w:trPr>
        <w:tc>
          <w:tcPr>
            <w:tcW w:w="1980" w:type="dxa"/>
            <w:tcBorders>
              <w:top w:val="nil"/>
              <w:left w:val="nil"/>
              <w:bottom w:val="single" w:sz="4" w:space="0" w:color="auto"/>
              <w:right w:val="nil"/>
            </w:tcBorders>
            <w:shd w:val="clear" w:color="auto" w:fill="auto"/>
            <w:noWrap/>
            <w:hideMark/>
          </w:tcPr>
          <w:p w:rsidR="008E682A" w:rsidRPr="00DB36E3" w:rsidP="00DA5BC3" w14:paraId="0F8459BA" w14:textId="77777777">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 xml:space="preserve">Andrew </w:t>
            </w:r>
            <w:r w:rsidRPr="00DB36E3">
              <w:rPr>
                <w:rFonts w:asciiTheme="majorHAnsi" w:hAnsiTheme="majorHAnsi" w:cstheme="majorHAnsi"/>
                <w:color w:val="000000"/>
                <w:sz w:val="20"/>
              </w:rPr>
              <w:t>Gothro</w:t>
            </w:r>
          </w:p>
        </w:tc>
        <w:tc>
          <w:tcPr>
            <w:tcW w:w="2250" w:type="dxa"/>
            <w:tcBorders>
              <w:top w:val="nil"/>
              <w:left w:val="nil"/>
              <w:bottom w:val="single" w:sz="4" w:space="0" w:color="auto"/>
              <w:right w:val="nil"/>
            </w:tcBorders>
            <w:shd w:val="clear" w:color="auto" w:fill="auto"/>
            <w:noWrap/>
            <w:hideMark/>
          </w:tcPr>
          <w:p w:rsidR="008E682A" w:rsidRPr="00DB36E3" w:rsidP="00DA5BC3" w14:paraId="6372DEC1" w14:textId="16A727E3">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Researcher</w:t>
            </w:r>
          </w:p>
        </w:tc>
        <w:tc>
          <w:tcPr>
            <w:tcW w:w="1620" w:type="dxa"/>
            <w:tcBorders>
              <w:top w:val="nil"/>
              <w:left w:val="nil"/>
              <w:bottom w:val="single" w:sz="4" w:space="0" w:color="auto"/>
              <w:right w:val="nil"/>
            </w:tcBorders>
            <w:shd w:val="clear" w:color="auto" w:fill="auto"/>
            <w:hideMark/>
          </w:tcPr>
          <w:p w:rsidR="008E682A" w:rsidRPr="00DB36E3" w:rsidP="00DA5BC3" w14:paraId="48D87611" w14:textId="77777777">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202-250-3569</w:t>
            </w:r>
          </w:p>
        </w:tc>
        <w:tc>
          <w:tcPr>
            <w:tcW w:w="3510" w:type="dxa"/>
            <w:tcBorders>
              <w:top w:val="nil"/>
              <w:left w:val="nil"/>
              <w:bottom w:val="single" w:sz="4" w:space="0" w:color="auto"/>
              <w:right w:val="nil"/>
            </w:tcBorders>
            <w:shd w:val="clear" w:color="auto" w:fill="auto"/>
            <w:noWrap/>
            <w:hideMark/>
          </w:tcPr>
          <w:p w:rsidR="008E682A" w:rsidRPr="00DB36E3" w:rsidP="00DA5BC3" w14:paraId="33364FDB" w14:textId="77777777">
            <w:pPr>
              <w:spacing w:before="60" w:after="60" w:line="240" w:lineRule="auto"/>
              <w:rPr>
                <w:rStyle w:val="Hyperlink"/>
                <w:rFonts w:asciiTheme="majorHAnsi" w:hAnsiTheme="majorHAnsi" w:cstheme="majorHAnsi"/>
                <w:sz w:val="20"/>
              </w:rPr>
            </w:pPr>
            <w:hyperlink r:id="rId16" w:history="1">
              <w:r w:rsidRPr="00DB36E3">
                <w:rPr>
                  <w:rStyle w:val="Hyperlink"/>
                  <w:rFonts w:asciiTheme="majorHAnsi" w:hAnsiTheme="majorHAnsi" w:cstheme="majorHAnsi"/>
                  <w:sz w:val="20"/>
                </w:rPr>
                <w:t>AGothro@mathematica-mpr.com</w:t>
              </w:r>
            </w:hyperlink>
          </w:p>
        </w:tc>
      </w:tr>
      <w:tr w14:paraId="1CD258D3" w14:textId="77777777" w:rsidTr="004468E2">
        <w:tblPrEx>
          <w:tblW w:w="9360" w:type="dxa"/>
          <w:tblLook w:val="04A0"/>
        </w:tblPrEx>
        <w:trPr>
          <w:trHeight w:val="300"/>
        </w:trPr>
        <w:tc>
          <w:tcPr>
            <w:tcW w:w="1980" w:type="dxa"/>
            <w:tcBorders>
              <w:top w:val="nil"/>
              <w:left w:val="nil"/>
              <w:bottom w:val="single" w:sz="4" w:space="0" w:color="auto"/>
              <w:right w:val="nil"/>
            </w:tcBorders>
            <w:shd w:val="clear" w:color="auto" w:fill="auto"/>
            <w:noWrap/>
            <w:hideMark/>
          </w:tcPr>
          <w:p w:rsidR="008E682A" w:rsidRPr="00DB36E3" w:rsidP="00DA5BC3" w14:paraId="7E1842BC" w14:textId="77777777">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Eric Grau</w:t>
            </w:r>
          </w:p>
        </w:tc>
        <w:tc>
          <w:tcPr>
            <w:tcW w:w="2250" w:type="dxa"/>
            <w:tcBorders>
              <w:top w:val="nil"/>
              <w:left w:val="nil"/>
              <w:bottom w:val="single" w:sz="4" w:space="0" w:color="auto"/>
              <w:right w:val="nil"/>
            </w:tcBorders>
            <w:shd w:val="clear" w:color="auto" w:fill="auto"/>
            <w:noWrap/>
            <w:hideMark/>
          </w:tcPr>
          <w:p w:rsidR="008E682A" w:rsidRPr="00DB36E3" w:rsidP="00DA5BC3" w14:paraId="03C52FB8" w14:textId="77777777">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Senior Statistician</w:t>
            </w:r>
          </w:p>
        </w:tc>
        <w:tc>
          <w:tcPr>
            <w:tcW w:w="1620" w:type="dxa"/>
            <w:tcBorders>
              <w:top w:val="nil"/>
              <w:left w:val="nil"/>
              <w:bottom w:val="single" w:sz="4" w:space="0" w:color="auto"/>
              <w:right w:val="nil"/>
            </w:tcBorders>
            <w:shd w:val="clear" w:color="auto" w:fill="auto"/>
            <w:noWrap/>
            <w:hideMark/>
          </w:tcPr>
          <w:p w:rsidR="008E682A" w:rsidRPr="00DB36E3" w:rsidP="00DA5BC3" w14:paraId="3EC45E6A" w14:textId="77777777">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609-945-3330</w:t>
            </w:r>
          </w:p>
        </w:tc>
        <w:tc>
          <w:tcPr>
            <w:tcW w:w="3510" w:type="dxa"/>
            <w:tcBorders>
              <w:top w:val="nil"/>
              <w:left w:val="nil"/>
              <w:bottom w:val="single" w:sz="4" w:space="0" w:color="auto"/>
              <w:right w:val="nil"/>
            </w:tcBorders>
            <w:shd w:val="clear" w:color="auto" w:fill="auto"/>
            <w:noWrap/>
            <w:hideMark/>
          </w:tcPr>
          <w:p w:rsidR="008E682A" w:rsidRPr="00DB36E3" w:rsidP="00DA5BC3" w14:paraId="0E66E7AC" w14:textId="77777777">
            <w:pPr>
              <w:spacing w:before="60" w:after="60" w:line="240" w:lineRule="auto"/>
              <w:rPr>
                <w:rStyle w:val="Hyperlink"/>
                <w:rFonts w:asciiTheme="majorHAnsi" w:hAnsiTheme="majorHAnsi" w:cstheme="majorHAnsi"/>
                <w:sz w:val="20"/>
              </w:rPr>
            </w:pPr>
            <w:hyperlink r:id="rId17" w:history="1">
              <w:r w:rsidRPr="00DB36E3">
                <w:rPr>
                  <w:rStyle w:val="Hyperlink"/>
                  <w:rFonts w:asciiTheme="majorHAnsi" w:hAnsiTheme="majorHAnsi" w:cstheme="majorHAnsi"/>
                  <w:sz w:val="20"/>
                </w:rPr>
                <w:t>EGrau@mathematica-mpr.com</w:t>
              </w:r>
            </w:hyperlink>
          </w:p>
        </w:tc>
      </w:tr>
      <w:tr w14:paraId="52C5BDFA" w14:textId="77777777" w:rsidTr="004468E2">
        <w:tblPrEx>
          <w:tblW w:w="9360" w:type="dxa"/>
          <w:tblLook w:val="04A0"/>
        </w:tblPrEx>
        <w:trPr>
          <w:trHeight w:val="300"/>
        </w:trPr>
        <w:tc>
          <w:tcPr>
            <w:tcW w:w="1980" w:type="dxa"/>
            <w:tcBorders>
              <w:top w:val="nil"/>
              <w:left w:val="nil"/>
              <w:bottom w:val="single" w:sz="4" w:space="0" w:color="auto"/>
              <w:right w:val="nil"/>
            </w:tcBorders>
            <w:shd w:val="clear" w:color="auto" w:fill="auto"/>
            <w:noWrap/>
          </w:tcPr>
          <w:p w:rsidR="003753EA" w:rsidRPr="00DB36E3" w:rsidP="003753EA" w14:paraId="4CA657FD" w14:textId="2BA287A2">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 xml:space="preserve">Josh </w:t>
            </w:r>
            <w:r w:rsidRPr="00DB36E3">
              <w:rPr>
                <w:rFonts w:asciiTheme="majorHAnsi" w:hAnsiTheme="majorHAnsi" w:cstheme="majorHAnsi"/>
                <w:color w:val="000000"/>
                <w:sz w:val="20"/>
              </w:rPr>
              <w:t>Leftin</w:t>
            </w:r>
          </w:p>
        </w:tc>
        <w:tc>
          <w:tcPr>
            <w:tcW w:w="2250" w:type="dxa"/>
            <w:tcBorders>
              <w:top w:val="nil"/>
              <w:left w:val="nil"/>
              <w:bottom w:val="single" w:sz="4" w:space="0" w:color="auto"/>
              <w:right w:val="nil"/>
            </w:tcBorders>
            <w:shd w:val="clear" w:color="auto" w:fill="auto"/>
            <w:noWrap/>
          </w:tcPr>
          <w:p w:rsidR="003753EA" w:rsidRPr="00DB36E3" w:rsidP="003753EA" w14:paraId="248A6DBD" w14:textId="153A1943">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Researcher</w:t>
            </w:r>
          </w:p>
        </w:tc>
        <w:tc>
          <w:tcPr>
            <w:tcW w:w="1620" w:type="dxa"/>
            <w:tcBorders>
              <w:top w:val="nil"/>
              <w:left w:val="nil"/>
              <w:bottom w:val="single" w:sz="4" w:space="0" w:color="auto"/>
              <w:right w:val="nil"/>
            </w:tcBorders>
            <w:shd w:val="clear" w:color="auto" w:fill="auto"/>
            <w:noWrap/>
          </w:tcPr>
          <w:p w:rsidR="003753EA" w:rsidRPr="00DB36E3" w:rsidP="003753EA" w14:paraId="6DA0A38E" w14:textId="70E7D6C9">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202-250-3531</w:t>
            </w:r>
          </w:p>
        </w:tc>
        <w:tc>
          <w:tcPr>
            <w:tcW w:w="3510" w:type="dxa"/>
            <w:tcBorders>
              <w:top w:val="nil"/>
              <w:left w:val="nil"/>
              <w:bottom w:val="single" w:sz="4" w:space="0" w:color="auto"/>
              <w:right w:val="nil"/>
            </w:tcBorders>
            <w:shd w:val="clear" w:color="auto" w:fill="auto"/>
            <w:noWrap/>
          </w:tcPr>
          <w:p w:rsidR="003753EA" w:rsidRPr="00E51AB6" w:rsidP="003753EA" w14:paraId="46AF6BC2" w14:textId="0927C6BF">
            <w:pPr>
              <w:spacing w:before="60" w:after="60" w:line="240" w:lineRule="auto"/>
              <w:rPr>
                <w:rStyle w:val="Hyperlink"/>
                <w:rFonts w:asciiTheme="majorHAnsi" w:hAnsiTheme="majorHAnsi" w:cstheme="majorHAnsi"/>
                <w:sz w:val="20"/>
              </w:rPr>
            </w:pPr>
            <w:hyperlink r:id="rId18" w:history="1">
              <w:r w:rsidRPr="00DB36E3">
                <w:rPr>
                  <w:rStyle w:val="Hyperlink"/>
                  <w:rFonts w:asciiTheme="majorHAnsi" w:hAnsiTheme="majorHAnsi" w:cstheme="majorHAnsi"/>
                  <w:sz w:val="20"/>
                </w:rPr>
                <w:t>JLeftin@mathematica-mpr.com</w:t>
              </w:r>
            </w:hyperlink>
          </w:p>
        </w:tc>
      </w:tr>
      <w:tr w14:paraId="2AC1E564" w14:textId="77777777" w:rsidTr="004468E2">
        <w:tblPrEx>
          <w:tblW w:w="9360" w:type="dxa"/>
          <w:tblLook w:val="04A0"/>
        </w:tblPrEx>
        <w:trPr>
          <w:trHeight w:val="300"/>
        </w:trPr>
        <w:tc>
          <w:tcPr>
            <w:tcW w:w="1980" w:type="dxa"/>
            <w:tcBorders>
              <w:top w:val="nil"/>
              <w:left w:val="nil"/>
              <w:bottom w:val="single" w:sz="4" w:space="0" w:color="auto"/>
              <w:right w:val="nil"/>
            </w:tcBorders>
            <w:shd w:val="clear" w:color="auto" w:fill="auto"/>
            <w:noWrap/>
          </w:tcPr>
          <w:p w:rsidR="003753EA" w:rsidRPr="00DB36E3" w:rsidP="003753EA" w14:paraId="07160B1F" w14:textId="440FB07A">
            <w:pPr>
              <w:spacing w:before="60" w:after="60" w:line="240" w:lineRule="auto"/>
              <w:rPr>
                <w:rFonts w:asciiTheme="majorHAnsi" w:hAnsiTheme="majorHAnsi" w:cstheme="majorHAnsi"/>
                <w:color w:val="000000"/>
                <w:sz w:val="20"/>
              </w:rPr>
            </w:pPr>
            <w:r>
              <w:rPr>
                <w:rFonts w:asciiTheme="majorHAnsi" w:hAnsiTheme="majorHAnsi" w:cstheme="majorHAnsi"/>
                <w:color w:val="000000"/>
                <w:sz w:val="20"/>
              </w:rPr>
              <w:t>Sarah Forrestal</w:t>
            </w:r>
          </w:p>
        </w:tc>
        <w:tc>
          <w:tcPr>
            <w:tcW w:w="2250" w:type="dxa"/>
            <w:tcBorders>
              <w:top w:val="nil"/>
              <w:left w:val="nil"/>
              <w:bottom w:val="single" w:sz="4" w:space="0" w:color="auto"/>
              <w:right w:val="nil"/>
            </w:tcBorders>
            <w:shd w:val="clear" w:color="auto" w:fill="auto"/>
            <w:noWrap/>
          </w:tcPr>
          <w:p w:rsidR="003753EA" w:rsidRPr="00DB36E3" w:rsidP="003753EA" w14:paraId="73B55BEE" w14:textId="6D1A8D44">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Senior Survey Researcher</w:t>
            </w:r>
          </w:p>
        </w:tc>
        <w:tc>
          <w:tcPr>
            <w:tcW w:w="1620" w:type="dxa"/>
            <w:tcBorders>
              <w:top w:val="nil"/>
              <w:left w:val="nil"/>
              <w:bottom w:val="single" w:sz="4" w:space="0" w:color="auto"/>
              <w:right w:val="nil"/>
            </w:tcBorders>
            <w:shd w:val="clear" w:color="auto" w:fill="auto"/>
            <w:noWrap/>
          </w:tcPr>
          <w:p w:rsidR="003753EA" w:rsidRPr="00DB36E3" w:rsidP="003753EA" w14:paraId="0F94B818" w14:textId="3B9C82C6">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609-945-6616</w:t>
            </w:r>
          </w:p>
        </w:tc>
        <w:tc>
          <w:tcPr>
            <w:tcW w:w="3510" w:type="dxa"/>
            <w:tcBorders>
              <w:top w:val="nil"/>
              <w:left w:val="nil"/>
              <w:bottom w:val="single" w:sz="4" w:space="0" w:color="auto"/>
              <w:right w:val="nil"/>
            </w:tcBorders>
            <w:shd w:val="clear" w:color="auto" w:fill="auto"/>
            <w:noWrap/>
          </w:tcPr>
          <w:p w:rsidR="003753EA" w:rsidRPr="00DB36E3" w:rsidP="003753EA" w14:paraId="5767234B" w14:textId="69F75D55">
            <w:pPr>
              <w:spacing w:before="60" w:after="60" w:line="240" w:lineRule="auto"/>
              <w:rPr>
                <w:rStyle w:val="Hyperlink"/>
                <w:rFonts w:asciiTheme="majorHAnsi" w:hAnsiTheme="majorHAnsi" w:cstheme="majorHAnsi"/>
                <w:sz w:val="20"/>
              </w:rPr>
            </w:pPr>
            <w:hyperlink r:id="rId19" w:history="1">
              <w:r w:rsidRPr="00367305" w:rsidR="00935937">
                <w:rPr>
                  <w:rStyle w:val="Hyperlink"/>
                  <w:rFonts w:asciiTheme="majorHAnsi" w:hAnsiTheme="majorHAnsi" w:cstheme="majorHAnsi"/>
                  <w:sz w:val="20"/>
                </w:rPr>
                <w:t>SForrestal@mathematica-mpr.com</w:t>
              </w:r>
            </w:hyperlink>
          </w:p>
        </w:tc>
      </w:tr>
      <w:tr w14:paraId="072B05BD" w14:textId="77777777" w:rsidTr="004468E2">
        <w:tblPrEx>
          <w:tblW w:w="9360" w:type="dxa"/>
          <w:tblLook w:val="04A0"/>
        </w:tblPrEx>
        <w:trPr>
          <w:trHeight w:val="300"/>
        </w:trPr>
        <w:tc>
          <w:tcPr>
            <w:tcW w:w="1980" w:type="dxa"/>
            <w:tcBorders>
              <w:top w:val="nil"/>
              <w:left w:val="nil"/>
              <w:bottom w:val="single" w:sz="4" w:space="0" w:color="auto"/>
              <w:right w:val="nil"/>
            </w:tcBorders>
            <w:shd w:val="clear" w:color="auto" w:fill="auto"/>
            <w:noWrap/>
          </w:tcPr>
          <w:p w:rsidR="003753EA" w:rsidRPr="00DB36E3" w:rsidP="003753EA" w14:paraId="6FDB383E" w14:textId="6A3CCF89">
            <w:pPr>
              <w:spacing w:before="60" w:after="60" w:line="240" w:lineRule="auto"/>
              <w:rPr>
                <w:rFonts w:asciiTheme="majorHAnsi" w:hAnsiTheme="majorHAnsi" w:cstheme="majorHAnsi"/>
                <w:color w:val="000000"/>
                <w:sz w:val="20"/>
              </w:rPr>
            </w:pPr>
            <w:r>
              <w:rPr>
                <w:rFonts w:asciiTheme="majorHAnsi" w:hAnsiTheme="majorHAnsi" w:cstheme="majorHAnsi"/>
                <w:color w:val="000000"/>
                <w:sz w:val="20"/>
              </w:rPr>
              <w:t>Veronica Severn</w:t>
            </w:r>
          </w:p>
        </w:tc>
        <w:tc>
          <w:tcPr>
            <w:tcW w:w="2250" w:type="dxa"/>
            <w:tcBorders>
              <w:top w:val="nil"/>
              <w:left w:val="nil"/>
              <w:bottom w:val="single" w:sz="4" w:space="0" w:color="auto"/>
              <w:right w:val="nil"/>
            </w:tcBorders>
            <w:shd w:val="clear" w:color="auto" w:fill="auto"/>
            <w:noWrap/>
          </w:tcPr>
          <w:p w:rsidR="003753EA" w:rsidRPr="00DB36E3" w:rsidP="003753EA" w14:paraId="4809A5F3" w14:textId="0EE8ED35">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 xml:space="preserve">Survey </w:t>
            </w:r>
            <w:r w:rsidR="00A01F42">
              <w:rPr>
                <w:rFonts w:asciiTheme="majorHAnsi" w:hAnsiTheme="majorHAnsi" w:cstheme="majorHAnsi"/>
                <w:color w:val="000000"/>
                <w:sz w:val="20"/>
              </w:rPr>
              <w:t>Researcher</w:t>
            </w:r>
          </w:p>
        </w:tc>
        <w:tc>
          <w:tcPr>
            <w:tcW w:w="1620" w:type="dxa"/>
            <w:tcBorders>
              <w:top w:val="nil"/>
              <w:left w:val="nil"/>
              <w:bottom w:val="single" w:sz="4" w:space="0" w:color="auto"/>
              <w:right w:val="nil"/>
            </w:tcBorders>
            <w:shd w:val="clear" w:color="auto" w:fill="auto"/>
            <w:noWrap/>
          </w:tcPr>
          <w:p w:rsidR="003753EA" w:rsidRPr="00DB36E3" w:rsidP="003753EA" w14:paraId="353025D5" w14:textId="2FF034A6">
            <w:pPr>
              <w:spacing w:before="60" w:after="60" w:line="240" w:lineRule="auto"/>
              <w:rPr>
                <w:rFonts w:asciiTheme="majorHAnsi" w:hAnsiTheme="majorHAnsi" w:cstheme="majorHAnsi"/>
                <w:color w:val="000000"/>
                <w:sz w:val="20"/>
              </w:rPr>
            </w:pPr>
            <w:r w:rsidRPr="003753EA">
              <w:rPr>
                <w:rFonts w:asciiTheme="majorHAnsi" w:hAnsiTheme="majorHAnsi" w:cstheme="majorHAnsi"/>
                <w:color w:val="000000"/>
                <w:sz w:val="20"/>
              </w:rPr>
              <w:t>617</w:t>
            </w:r>
            <w:r>
              <w:rPr>
                <w:rFonts w:asciiTheme="majorHAnsi" w:hAnsiTheme="majorHAnsi" w:cstheme="majorHAnsi"/>
                <w:color w:val="000000"/>
                <w:sz w:val="20"/>
              </w:rPr>
              <w:t>-</w:t>
            </w:r>
            <w:r w:rsidRPr="003753EA">
              <w:rPr>
                <w:rFonts w:asciiTheme="majorHAnsi" w:hAnsiTheme="majorHAnsi" w:cstheme="majorHAnsi"/>
                <w:color w:val="000000"/>
                <w:sz w:val="20"/>
              </w:rPr>
              <w:t>715-6931</w:t>
            </w:r>
          </w:p>
        </w:tc>
        <w:tc>
          <w:tcPr>
            <w:tcW w:w="3510" w:type="dxa"/>
            <w:tcBorders>
              <w:top w:val="nil"/>
              <w:left w:val="nil"/>
              <w:bottom w:val="single" w:sz="4" w:space="0" w:color="auto"/>
              <w:right w:val="nil"/>
            </w:tcBorders>
            <w:shd w:val="clear" w:color="auto" w:fill="auto"/>
            <w:noWrap/>
          </w:tcPr>
          <w:p w:rsidR="003753EA" w:rsidRPr="00DB36E3" w:rsidP="003753EA" w14:paraId="13282BF5" w14:textId="2D2087D1">
            <w:pPr>
              <w:spacing w:before="60" w:after="60" w:line="240" w:lineRule="auto"/>
              <w:rPr>
                <w:rStyle w:val="Hyperlink"/>
                <w:rFonts w:asciiTheme="majorHAnsi" w:hAnsiTheme="majorHAnsi" w:cstheme="majorHAnsi"/>
                <w:sz w:val="20"/>
              </w:rPr>
            </w:pPr>
            <w:hyperlink r:id="rId20" w:history="1">
              <w:r w:rsidRPr="004571CF">
                <w:rPr>
                  <w:rStyle w:val="Hyperlink"/>
                  <w:rFonts w:asciiTheme="majorHAnsi" w:hAnsiTheme="majorHAnsi" w:cstheme="majorHAnsi"/>
                  <w:sz w:val="20"/>
                </w:rPr>
                <w:t>VSevern@mathematica-mpr.com</w:t>
              </w:r>
            </w:hyperlink>
            <w:r>
              <w:rPr>
                <w:rFonts w:asciiTheme="majorHAnsi" w:hAnsiTheme="majorHAnsi" w:cstheme="majorHAnsi"/>
                <w:sz w:val="20"/>
              </w:rPr>
              <w:t xml:space="preserve"> </w:t>
            </w:r>
            <w:r w:rsidRPr="00DB36E3">
              <w:rPr>
                <w:rStyle w:val="Hyperlink"/>
                <w:rFonts w:asciiTheme="majorHAnsi" w:hAnsiTheme="majorHAnsi" w:cstheme="majorHAnsi"/>
                <w:sz w:val="20"/>
              </w:rPr>
              <w:t xml:space="preserve"> </w:t>
            </w:r>
          </w:p>
        </w:tc>
      </w:tr>
      <w:tr w14:paraId="39E84FFC" w14:textId="77777777" w:rsidTr="004468E2">
        <w:tblPrEx>
          <w:tblW w:w="9360" w:type="dxa"/>
          <w:tblLook w:val="04A0"/>
        </w:tblPrEx>
        <w:trPr>
          <w:trHeight w:val="300"/>
        </w:trPr>
        <w:tc>
          <w:tcPr>
            <w:tcW w:w="1980" w:type="dxa"/>
            <w:tcBorders>
              <w:top w:val="nil"/>
              <w:left w:val="nil"/>
              <w:bottom w:val="single" w:sz="4" w:space="0" w:color="auto"/>
              <w:right w:val="nil"/>
            </w:tcBorders>
            <w:shd w:val="clear" w:color="auto" w:fill="auto"/>
            <w:noWrap/>
          </w:tcPr>
          <w:p w:rsidR="003753EA" w:rsidRPr="00DB36E3" w:rsidP="003753EA" w14:paraId="7294E868" w14:textId="31C3A50A">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Liana Washburn</w:t>
            </w:r>
          </w:p>
        </w:tc>
        <w:tc>
          <w:tcPr>
            <w:tcW w:w="2250" w:type="dxa"/>
            <w:tcBorders>
              <w:top w:val="nil"/>
              <w:left w:val="nil"/>
              <w:bottom w:val="single" w:sz="4" w:space="0" w:color="auto"/>
              <w:right w:val="nil"/>
            </w:tcBorders>
            <w:shd w:val="clear" w:color="auto" w:fill="auto"/>
            <w:noWrap/>
          </w:tcPr>
          <w:p w:rsidR="003753EA" w:rsidRPr="00DB36E3" w:rsidP="003753EA" w14:paraId="55A4C21C" w14:textId="18E0D496">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Research</w:t>
            </w:r>
            <w:r w:rsidR="00BF6A22">
              <w:rPr>
                <w:rFonts w:asciiTheme="majorHAnsi" w:hAnsiTheme="majorHAnsi" w:cstheme="majorHAnsi"/>
                <w:color w:val="000000"/>
                <w:sz w:val="20"/>
              </w:rPr>
              <w:t>er</w:t>
            </w:r>
          </w:p>
        </w:tc>
        <w:tc>
          <w:tcPr>
            <w:tcW w:w="1620" w:type="dxa"/>
            <w:tcBorders>
              <w:top w:val="nil"/>
              <w:left w:val="nil"/>
              <w:bottom w:val="single" w:sz="4" w:space="0" w:color="auto"/>
              <w:right w:val="nil"/>
            </w:tcBorders>
            <w:shd w:val="clear" w:color="auto" w:fill="auto"/>
            <w:noWrap/>
          </w:tcPr>
          <w:p w:rsidR="003753EA" w:rsidRPr="00DB36E3" w:rsidP="003753EA" w14:paraId="2CB78E68" w14:textId="2AABE72A">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202-250-3551</w:t>
            </w:r>
          </w:p>
        </w:tc>
        <w:tc>
          <w:tcPr>
            <w:tcW w:w="3510" w:type="dxa"/>
            <w:tcBorders>
              <w:top w:val="nil"/>
              <w:left w:val="nil"/>
              <w:bottom w:val="single" w:sz="4" w:space="0" w:color="auto"/>
              <w:right w:val="nil"/>
            </w:tcBorders>
            <w:shd w:val="clear" w:color="auto" w:fill="auto"/>
            <w:noWrap/>
          </w:tcPr>
          <w:p w:rsidR="003753EA" w:rsidRPr="00DB36E3" w:rsidP="003753EA" w14:paraId="18DEE448" w14:textId="1FCFEEC2">
            <w:pPr>
              <w:spacing w:before="60" w:after="60" w:line="240" w:lineRule="auto"/>
              <w:rPr>
                <w:rStyle w:val="Hyperlink"/>
                <w:rFonts w:asciiTheme="majorHAnsi" w:hAnsiTheme="majorHAnsi" w:cstheme="majorHAnsi"/>
                <w:sz w:val="20"/>
              </w:rPr>
            </w:pPr>
            <w:hyperlink r:id="rId21" w:history="1">
              <w:r w:rsidRPr="00DB36E3">
                <w:rPr>
                  <w:rStyle w:val="Hyperlink"/>
                  <w:rFonts w:asciiTheme="majorHAnsi" w:hAnsiTheme="majorHAnsi" w:cstheme="majorHAnsi"/>
                  <w:sz w:val="20"/>
                </w:rPr>
                <w:t>LWashburn@mathematica-mpr.com</w:t>
              </w:r>
            </w:hyperlink>
          </w:p>
        </w:tc>
      </w:tr>
      <w:tr w14:paraId="734BE4F7" w14:textId="77777777" w:rsidTr="004468E2">
        <w:tblPrEx>
          <w:tblW w:w="9360" w:type="dxa"/>
          <w:tblLook w:val="04A0"/>
        </w:tblPrEx>
        <w:trPr>
          <w:trHeight w:val="300"/>
        </w:trPr>
        <w:tc>
          <w:tcPr>
            <w:tcW w:w="1980" w:type="dxa"/>
            <w:tcBorders>
              <w:top w:val="nil"/>
              <w:left w:val="nil"/>
              <w:bottom w:val="single" w:sz="4" w:space="0" w:color="auto"/>
              <w:right w:val="nil"/>
            </w:tcBorders>
            <w:shd w:val="clear" w:color="auto" w:fill="auto"/>
            <w:noWrap/>
            <w:hideMark/>
          </w:tcPr>
          <w:p w:rsidR="003753EA" w:rsidRPr="00DB36E3" w:rsidP="003753EA" w14:paraId="26FE6930" w14:textId="77777777">
            <w:pPr>
              <w:spacing w:before="60" w:after="60" w:line="240" w:lineRule="auto"/>
              <w:rPr>
                <w:rFonts w:asciiTheme="majorHAnsi" w:hAnsiTheme="majorHAnsi" w:cstheme="majorHAnsi"/>
                <w:color w:val="000000"/>
                <w:sz w:val="20"/>
              </w:rPr>
            </w:pPr>
            <w:r>
              <w:rPr>
                <w:rFonts w:asciiTheme="majorHAnsi" w:hAnsiTheme="majorHAnsi" w:cstheme="majorHAnsi"/>
                <w:color w:val="000000"/>
                <w:sz w:val="20"/>
              </w:rPr>
              <w:t xml:space="preserve">Eric </w:t>
            </w:r>
            <w:r>
              <w:rPr>
                <w:rFonts w:asciiTheme="majorHAnsi" w:hAnsiTheme="majorHAnsi" w:cstheme="majorHAnsi"/>
                <w:color w:val="000000"/>
                <w:sz w:val="20"/>
              </w:rPr>
              <w:t>Zeidman</w:t>
            </w:r>
          </w:p>
        </w:tc>
        <w:tc>
          <w:tcPr>
            <w:tcW w:w="2250" w:type="dxa"/>
            <w:tcBorders>
              <w:top w:val="nil"/>
              <w:left w:val="nil"/>
              <w:bottom w:val="single" w:sz="4" w:space="0" w:color="auto"/>
              <w:right w:val="nil"/>
            </w:tcBorders>
            <w:shd w:val="clear" w:color="auto" w:fill="auto"/>
            <w:noWrap/>
            <w:hideMark/>
          </w:tcPr>
          <w:p w:rsidR="003753EA" w:rsidRPr="00DB36E3" w:rsidP="003753EA" w14:paraId="09162A5C" w14:textId="7C837B8B">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 xml:space="preserve">Senior </w:t>
            </w:r>
            <w:r>
              <w:rPr>
                <w:rFonts w:asciiTheme="majorHAnsi" w:hAnsiTheme="majorHAnsi" w:cstheme="majorHAnsi"/>
                <w:color w:val="000000"/>
                <w:sz w:val="20"/>
              </w:rPr>
              <w:t>Survey Researcher</w:t>
            </w:r>
          </w:p>
        </w:tc>
        <w:tc>
          <w:tcPr>
            <w:tcW w:w="1620" w:type="dxa"/>
            <w:tcBorders>
              <w:top w:val="nil"/>
              <w:left w:val="nil"/>
              <w:bottom w:val="single" w:sz="4" w:space="0" w:color="auto"/>
              <w:right w:val="nil"/>
            </w:tcBorders>
            <w:shd w:val="clear" w:color="auto" w:fill="auto"/>
            <w:noWrap/>
            <w:hideMark/>
          </w:tcPr>
          <w:p w:rsidR="003753EA" w:rsidRPr="00DB36E3" w:rsidP="003753EA" w14:paraId="3263CFAF" w14:textId="77777777">
            <w:pPr>
              <w:spacing w:before="60" w:after="60" w:line="240" w:lineRule="auto"/>
              <w:rPr>
                <w:rFonts w:asciiTheme="majorHAnsi" w:hAnsiTheme="majorHAnsi" w:cstheme="majorHAnsi"/>
                <w:color w:val="000000"/>
                <w:sz w:val="20"/>
              </w:rPr>
            </w:pPr>
            <w:r>
              <w:rPr>
                <w:rFonts w:asciiTheme="majorHAnsi" w:hAnsiTheme="majorHAnsi" w:cstheme="majorHAnsi"/>
                <w:color w:val="000000"/>
                <w:sz w:val="20"/>
              </w:rPr>
              <w:t>609-936-2784</w:t>
            </w:r>
          </w:p>
        </w:tc>
        <w:tc>
          <w:tcPr>
            <w:tcW w:w="3510" w:type="dxa"/>
            <w:tcBorders>
              <w:top w:val="nil"/>
              <w:left w:val="nil"/>
              <w:bottom w:val="single" w:sz="4" w:space="0" w:color="auto"/>
              <w:right w:val="nil"/>
            </w:tcBorders>
            <w:shd w:val="clear" w:color="auto" w:fill="auto"/>
            <w:noWrap/>
            <w:hideMark/>
          </w:tcPr>
          <w:p w:rsidR="003753EA" w:rsidRPr="00E51AB6" w:rsidP="003753EA" w14:paraId="3A233242" w14:textId="7838ED4F">
            <w:pPr>
              <w:spacing w:before="60" w:after="60" w:line="240" w:lineRule="auto"/>
              <w:rPr>
                <w:rStyle w:val="Hyperlink"/>
                <w:rFonts w:asciiTheme="majorHAnsi" w:hAnsiTheme="majorHAnsi" w:cstheme="majorHAnsi"/>
                <w:sz w:val="20"/>
              </w:rPr>
            </w:pPr>
            <w:hyperlink r:id="rId22" w:history="1">
              <w:r w:rsidRPr="00442B83" w:rsidR="0045073C">
                <w:rPr>
                  <w:rStyle w:val="Hyperlink"/>
                  <w:rFonts w:asciiTheme="majorHAnsi" w:hAnsiTheme="majorHAnsi" w:cstheme="majorHAnsi"/>
                  <w:sz w:val="20"/>
                </w:rPr>
                <w:t>EZeidman@mathematica-mpr.com</w:t>
              </w:r>
            </w:hyperlink>
          </w:p>
        </w:tc>
      </w:tr>
      <w:tr w14:paraId="0D4D6CDA" w14:textId="77777777" w:rsidTr="004468E2">
        <w:tblPrEx>
          <w:tblW w:w="9360" w:type="dxa"/>
          <w:tblLook w:val="04A0"/>
        </w:tblPrEx>
        <w:trPr>
          <w:trHeight w:val="300"/>
        </w:trPr>
        <w:tc>
          <w:tcPr>
            <w:tcW w:w="1980" w:type="dxa"/>
            <w:tcBorders>
              <w:top w:val="nil"/>
              <w:left w:val="nil"/>
              <w:right w:val="nil"/>
            </w:tcBorders>
            <w:shd w:val="clear" w:color="auto" w:fill="6C6F70"/>
            <w:noWrap/>
            <w:hideMark/>
          </w:tcPr>
          <w:p w:rsidR="003753EA" w:rsidRPr="00DA5BC3" w:rsidP="005B6FDA" w14:paraId="3D945D89" w14:textId="178EC9CA">
            <w:pPr>
              <w:pStyle w:val="TableHeaderLeft"/>
            </w:pPr>
            <w:r w:rsidRPr="00DA5BC3">
              <w:t>USDA staff</w:t>
            </w:r>
          </w:p>
        </w:tc>
        <w:tc>
          <w:tcPr>
            <w:tcW w:w="2250" w:type="dxa"/>
            <w:tcBorders>
              <w:top w:val="nil"/>
              <w:left w:val="nil"/>
              <w:right w:val="nil"/>
            </w:tcBorders>
            <w:shd w:val="clear" w:color="auto" w:fill="6C6F70"/>
            <w:noWrap/>
            <w:hideMark/>
          </w:tcPr>
          <w:p w:rsidR="003753EA" w:rsidRPr="00DA5BC3" w:rsidP="005B6FDA" w14:paraId="7FD52356" w14:textId="77777777">
            <w:pPr>
              <w:pStyle w:val="TableHeaderCenter"/>
            </w:pPr>
            <w:r w:rsidRPr="00DA5BC3">
              <w:t>Title</w:t>
            </w:r>
          </w:p>
        </w:tc>
        <w:tc>
          <w:tcPr>
            <w:tcW w:w="1620" w:type="dxa"/>
            <w:tcBorders>
              <w:top w:val="nil"/>
              <w:left w:val="nil"/>
              <w:right w:val="nil"/>
            </w:tcBorders>
            <w:shd w:val="clear" w:color="auto" w:fill="6C6F70"/>
            <w:noWrap/>
            <w:hideMark/>
          </w:tcPr>
          <w:p w:rsidR="003753EA" w:rsidRPr="00DA5BC3" w:rsidP="005B6FDA" w14:paraId="2EB9A0E4" w14:textId="77777777">
            <w:pPr>
              <w:pStyle w:val="TableHeaderCenter"/>
            </w:pPr>
            <w:r w:rsidRPr="00DA5BC3">
              <w:t>Phone</w:t>
            </w:r>
          </w:p>
        </w:tc>
        <w:tc>
          <w:tcPr>
            <w:tcW w:w="3510" w:type="dxa"/>
            <w:tcBorders>
              <w:top w:val="nil"/>
              <w:left w:val="nil"/>
              <w:right w:val="nil"/>
            </w:tcBorders>
            <w:shd w:val="clear" w:color="auto" w:fill="6C6F70"/>
            <w:noWrap/>
            <w:hideMark/>
          </w:tcPr>
          <w:p w:rsidR="003753EA" w:rsidRPr="00DA5BC3" w:rsidP="005B6FDA" w14:paraId="225E0E0A" w14:textId="77777777">
            <w:pPr>
              <w:pStyle w:val="TableHeaderCenter"/>
            </w:pPr>
            <w:r w:rsidRPr="00DA5BC3">
              <w:t>Email</w:t>
            </w:r>
          </w:p>
        </w:tc>
      </w:tr>
      <w:tr w14:paraId="7FB8B214" w14:textId="77777777" w:rsidTr="004468E2">
        <w:tblPrEx>
          <w:tblW w:w="9360" w:type="dxa"/>
          <w:tblLook w:val="04A0"/>
        </w:tblPrEx>
        <w:trPr>
          <w:trHeight w:val="300"/>
        </w:trPr>
        <w:tc>
          <w:tcPr>
            <w:tcW w:w="1980" w:type="dxa"/>
            <w:tcBorders>
              <w:left w:val="nil"/>
              <w:bottom w:val="single" w:sz="4" w:space="0" w:color="auto"/>
              <w:right w:val="nil"/>
            </w:tcBorders>
            <w:shd w:val="clear" w:color="auto" w:fill="auto"/>
            <w:noWrap/>
            <w:hideMark/>
          </w:tcPr>
          <w:p w:rsidR="003753EA" w:rsidRPr="00925D01" w:rsidP="003753EA" w14:paraId="6E55AB27" w14:textId="0BF41576">
            <w:pPr>
              <w:spacing w:before="60" w:after="60" w:line="240" w:lineRule="auto"/>
              <w:rPr>
                <w:rFonts w:asciiTheme="majorHAnsi" w:hAnsiTheme="majorHAnsi" w:cstheme="majorHAnsi"/>
                <w:color w:val="000000"/>
                <w:sz w:val="20"/>
              </w:rPr>
            </w:pPr>
            <w:r w:rsidRPr="00925D01">
              <w:rPr>
                <w:rFonts w:asciiTheme="majorHAnsi" w:hAnsiTheme="majorHAnsi" w:cstheme="majorHAnsi"/>
                <w:color w:val="000000"/>
                <w:sz w:val="20"/>
              </w:rPr>
              <w:t>Darcy Güngör</w:t>
            </w:r>
            <w:r w:rsidRPr="00925D01" w:rsidR="00296090">
              <w:rPr>
                <w:rFonts w:asciiTheme="majorHAnsi" w:hAnsiTheme="majorHAnsi" w:cstheme="majorHAnsi"/>
                <w:color w:val="000000"/>
                <w:sz w:val="20"/>
              </w:rPr>
              <w:t>, FNS</w:t>
            </w:r>
            <w:r w:rsidRPr="00925D01">
              <w:rPr>
                <w:rFonts w:asciiTheme="majorHAnsi" w:hAnsiTheme="majorHAnsi" w:cstheme="majorHAnsi"/>
                <w:color w:val="000000"/>
                <w:sz w:val="20"/>
              </w:rPr>
              <w:t xml:space="preserve"> </w:t>
            </w:r>
          </w:p>
        </w:tc>
        <w:tc>
          <w:tcPr>
            <w:tcW w:w="2250" w:type="dxa"/>
            <w:tcBorders>
              <w:left w:val="nil"/>
              <w:bottom w:val="single" w:sz="4" w:space="0" w:color="auto"/>
              <w:right w:val="nil"/>
            </w:tcBorders>
            <w:shd w:val="clear" w:color="auto" w:fill="auto"/>
            <w:noWrap/>
            <w:hideMark/>
          </w:tcPr>
          <w:p w:rsidR="003753EA" w:rsidRPr="00925D01" w14:paraId="6793EDB4" w14:textId="11BCDECB">
            <w:pPr>
              <w:spacing w:before="60" w:after="60" w:line="240" w:lineRule="auto"/>
              <w:rPr>
                <w:rFonts w:asciiTheme="majorHAnsi" w:hAnsiTheme="majorHAnsi" w:cstheme="majorHAnsi"/>
                <w:color w:val="000000"/>
                <w:sz w:val="20"/>
              </w:rPr>
            </w:pPr>
            <w:r w:rsidRPr="00925D01">
              <w:rPr>
                <w:rFonts w:asciiTheme="majorHAnsi" w:hAnsiTheme="majorHAnsi" w:cstheme="majorHAnsi"/>
                <w:color w:val="000000"/>
                <w:sz w:val="20"/>
              </w:rPr>
              <w:t>Social Science Research Analyst</w:t>
            </w:r>
            <w:r w:rsidR="008E766B">
              <w:rPr>
                <w:rFonts w:asciiTheme="majorHAnsi" w:hAnsiTheme="majorHAnsi" w:cstheme="majorHAnsi"/>
                <w:color w:val="000000"/>
                <w:sz w:val="20"/>
              </w:rPr>
              <w:t>, Child Nutrition Evaluation Branch, Office of Policy Support</w:t>
            </w:r>
          </w:p>
        </w:tc>
        <w:tc>
          <w:tcPr>
            <w:tcW w:w="1620" w:type="dxa"/>
            <w:tcBorders>
              <w:left w:val="nil"/>
              <w:bottom w:val="single" w:sz="4" w:space="0" w:color="auto"/>
              <w:right w:val="nil"/>
            </w:tcBorders>
            <w:shd w:val="clear" w:color="auto" w:fill="auto"/>
            <w:noWrap/>
            <w:hideMark/>
          </w:tcPr>
          <w:p w:rsidR="003753EA" w:rsidRPr="00925D01" w:rsidP="00674B4B" w14:paraId="3112FA05" w14:textId="0FEBB158">
            <w:pPr>
              <w:spacing w:before="60" w:after="60" w:line="240" w:lineRule="auto"/>
              <w:rPr>
                <w:rFonts w:asciiTheme="majorHAnsi" w:hAnsiTheme="majorHAnsi" w:cstheme="majorHAnsi"/>
                <w:color w:val="000000"/>
                <w:sz w:val="20"/>
              </w:rPr>
            </w:pPr>
          </w:p>
        </w:tc>
        <w:tc>
          <w:tcPr>
            <w:tcW w:w="3510" w:type="dxa"/>
            <w:tcBorders>
              <w:left w:val="nil"/>
              <w:bottom w:val="single" w:sz="4" w:space="0" w:color="auto"/>
              <w:right w:val="nil"/>
            </w:tcBorders>
            <w:shd w:val="clear" w:color="auto" w:fill="auto"/>
            <w:noWrap/>
            <w:hideMark/>
          </w:tcPr>
          <w:p w:rsidR="00096FFA" w:rsidRPr="00925D01" w:rsidP="00674B4B" w14:paraId="400E4D4F" w14:textId="5838F198">
            <w:pPr>
              <w:spacing w:before="60" w:after="60" w:line="240" w:lineRule="auto"/>
              <w:rPr>
                <w:rFonts w:asciiTheme="majorHAnsi" w:hAnsiTheme="majorHAnsi" w:cstheme="majorHAnsi"/>
                <w:color w:val="000000"/>
                <w:sz w:val="20"/>
              </w:rPr>
            </w:pPr>
            <w:hyperlink r:id="rId10" w:history="1">
              <w:r w:rsidRPr="00442B83" w:rsidR="0045073C">
                <w:rPr>
                  <w:rStyle w:val="Hyperlink"/>
                  <w:rFonts w:asciiTheme="majorHAnsi" w:hAnsiTheme="majorHAnsi" w:cstheme="majorHAnsi"/>
                  <w:sz w:val="20"/>
                </w:rPr>
                <w:t>Darcy.Gungor@usda.gov</w:t>
              </w:r>
            </w:hyperlink>
          </w:p>
        </w:tc>
      </w:tr>
      <w:tr w14:paraId="544E4269" w14:textId="77777777" w:rsidTr="004468E2">
        <w:tblPrEx>
          <w:tblW w:w="9360" w:type="dxa"/>
          <w:tblLook w:val="04A0"/>
        </w:tblPrEx>
        <w:trPr>
          <w:trHeight w:val="300"/>
        </w:trPr>
        <w:tc>
          <w:tcPr>
            <w:tcW w:w="1980" w:type="dxa"/>
            <w:tcBorders>
              <w:left w:val="nil"/>
              <w:bottom w:val="single" w:sz="4" w:space="0" w:color="auto"/>
              <w:right w:val="nil"/>
            </w:tcBorders>
            <w:shd w:val="clear" w:color="auto" w:fill="auto"/>
            <w:noWrap/>
          </w:tcPr>
          <w:p w:rsidR="00CD1441" w:rsidRPr="00925D01" w:rsidP="003753EA" w14:paraId="1DD3A825" w14:textId="5CFBB454">
            <w:pPr>
              <w:spacing w:before="60" w:after="60" w:line="240" w:lineRule="auto"/>
              <w:rPr>
                <w:rFonts w:asciiTheme="majorHAnsi" w:hAnsiTheme="majorHAnsi" w:cstheme="majorHAnsi"/>
                <w:color w:val="000000"/>
                <w:sz w:val="20"/>
              </w:rPr>
            </w:pPr>
            <w:r>
              <w:rPr>
                <w:rFonts w:asciiTheme="majorHAnsi" w:hAnsiTheme="majorHAnsi" w:cstheme="majorHAnsi"/>
                <w:color w:val="000000"/>
                <w:sz w:val="20"/>
              </w:rPr>
              <w:t>Conor McGovern, FNS</w:t>
            </w:r>
          </w:p>
        </w:tc>
        <w:tc>
          <w:tcPr>
            <w:tcW w:w="2250" w:type="dxa"/>
            <w:tcBorders>
              <w:left w:val="nil"/>
              <w:bottom w:val="single" w:sz="4" w:space="0" w:color="auto"/>
              <w:right w:val="nil"/>
            </w:tcBorders>
            <w:shd w:val="clear" w:color="auto" w:fill="auto"/>
            <w:noWrap/>
          </w:tcPr>
          <w:p w:rsidR="00CD1441" w:rsidRPr="00925D01" w14:paraId="5BE65D2B" w14:textId="17401989">
            <w:pPr>
              <w:spacing w:before="60" w:after="60" w:line="240" w:lineRule="auto"/>
              <w:rPr>
                <w:rFonts w:asciiTheme="majorHAnsi" w:hAnsiTheme="majorHAnsi" w:cstheme="majorHAnsi"/>
                <w:color w:val="000000"/>
                <w:sz w:val="20"/>
              </w:rPr>
            </w:pPr>
            <w:r>
              <w:rPr>
                <w:rFonts w:asciiTheme="majorHAnsi" w:hAnsiTheme="majorHAnsi" w:cstheme="majorHAnsi"/>
                <w:color w:val="000000"/>
                <w:sz w:val="20"/>
              </w:rPr>
              <w:t>Branch Chief</w:t>
            </w:r>
            <w:r w:rsidR="008E766B">
              <w:rPr>
                <w:rFonts w:asciiTheme="majorHAnsi" w:hAnsiTheme="majorHAnsi" w:cstheme="majorHAnsi"/>
                <w:color w:val="000000"/>
                <w:sz w:val="20"/>
              </w:rPr>
              <w:t>, Child Nutrition Evaluation Branch, Office of Policy Support</w:t>
            </w:r>
          </w:p>
        </w:tc>
        <w:tc>
          <w:tcPr>
            <w:tcW w:w="1620" w:type="dxa"/>
            <w:tcBorders>
              <w:left w:val="nil"/>
              <w:bottom w:val="single" w:sz="4" w:space="0" w:color="auto"/>
              <w:right w:val="nil"/>
            </w:tcBorders>
            <w:shd w:val="clear" w:color="auto" w:fill="auto"/>
            <w:noWrap/>
          </w:tcPr>
          <w:p w:rsidR="00CD1441" w:rsidRPr="00925D01" w:rsidP="00674B4B" w14:paraId="2F9130A2" w14:textId="77777777">
            <w:pPr>
              <w:spacing w:before="60" w:after="60" w:line="240" w:lineRule="auto"/>
              <w:rPr>
                <w:rFonts w:asciiTheme="majorHAnsi" w:hAnsiTheme="majorHAnsi" w:cstheme="majorHAnsi"/>
                <w:color w:val="000000"/>
                <w:sz w:val="20"/>
              </w:rPr>
            </w:pPr>
          </w:p>
        </w:tc>
        <w:tc>
          <w:tcPr>
            <w:tcW w:w="3510" w:type="dxa"/>
            <w:tcBorders>
              <w:left w:val="nil"/>
              <w:bottom w:val="single" w:sz="4" w:space="0" w:color="auto"/>
              <w:right w:val="nil"/>
            </w:tcBorders>
            <w:shd w:val="clear" w:color="auto" w:fill="auto"/>
            <w:noWrap/>
          </w:tcPr>
          <w:p w:rsidR="00CD1441" w:rsidRPr="00AB258C" w:rsidP="00674B4B" w14:paraId="700393E9" w14:textId="580F84CE">
            <w:pPr>
              <w:spacing w:before="60" w:after="60" w:line="240" w:lineRule="auto"/>
              <w:rPr>
                <w:rFonts w:ascii="Arial" w:hAnsi="Arial" w:cs="Arial"/>
                <w:sz w:val="20"/>
              </w:rPr>
            </w:pPr>
            <w:hyperlink r:id="rId11" w:history="1">
              <w:r w:rsidRPr="002B76D5" w:rsidR="00AB258C">
                <w:rPr>
                  <w:rStyle w:val="Hyperlink"/>
                  <w:rFonts w:ascii="Arial" w:hAnsi="Arial" w:cs="Arial"/>
                  <w:sz w:val="20"/>
                </w:rPr>
                <w:t>Conor.McGovern@usda.gov</w:t>
              </w:r>
            </w:hyperlink>
            <w:r w:rsidR="00AB258C">
              <w:rPr>
                <w:rFonts w:ascii="Arial" w:hAnsi="Arial" w:cs="Arial"/>
                <w:sz w:val="20"/>
              </w:rPr>
              <w:t xml:space="preserve"> </w:t>
            </w:r>
          </w:p>
        </w:tc>
      </w:tr>
      <w:tr w14:paraId="15BE2318" w14:textId="77777777" w:rsidTr="004468E2">
        <w:tblPrEx>
          <w:tblW w:w="9360" w:type="dxa"/>
          <w:tblLook w:val="04A0"/>
        </w:tblPrEx>
        <w:trPr>
          <w:trHeight w:val="300"/>
        </w:trPr>
        <w:tc>
          <w:tcPr>
            <w:tcW w:w="1980" w:type="dxa"/>
            <w:tcBorders>
              <w:top w:val="single" w:sz="4" w:space="0" w:color="auto"/>
              <w:left w:val="nil"/>
              <w:bottom w:val="single" w:sz="4" w:space="0" w:color="auto"/>
              <w:right w:val="nil"/>
            </w:tcBorders>
            <w:shd w:val="clear" w:color="auto" w:fill="auto"/>
            <w:noWrap/>
          </w:tcPr>
          <w:p w:rsidR="002D5DAF" w:rsidRPr="00925D01" w:rsidP="009C7D12" w14:paraId="213CED64" w14:textId="36C8CFE8">
            <w:pPr>
              <w:spacing w:before="40" w:after="40" w:line="240" w:lineRule="auto"/>
              <w:rPr>
                <w:rFonts w:asciiTheme="majorHAnsi" w:hAnsiTheme="majorHAnsi" w:cstheme="majorHAnsi"/>
                <w:color w:val="000000"/>
                <w:sz w:val="20"/>
              </w:rPr>
            </w:pPr>
            <w:r>
              <w:rPr>
                <w:rFonts w:asciiTheme="majorHAnsi" w:hAnsiTheme="majorHAnsi" w:cstheme="majorHAnsi"/>
                <w:color w:val="000000"/>
                <w:sz w:val="20"/>
              </w:rPr>
              <w:t>Susannah Barr, FNS</w:t>
            </w:r>
          </w:p>
        </w:tc>
        <w:tc>
          <w:tcPr>
            <w:tcW w:w="2250" w:type="dxa"/>
            <w:tcBorders>
              <w:top w:val="single" w:sz="4" w:space="0" w:color="auto"/>
              <w:left w:val="nil"/>
              <w:bottom w:val="single" w:sz="4" w:space="0" w:color="auto"/>
              <w:right w:val="nil"/>
            </w:tcBorders>
            <w:shd w:val="clear" w:color="auto" w:fill="auto"/>
            <w:noWrap/>
          </w:tcPr>
          <w:p w:rsidR="002D5DAF" w:rsidRPr="00925D01" w:rsidP="009C7D12" w14:paraId="396BD8D7" w14:textId="64FCDB75">
            <w:pPr>
              <w:spacing w:before="40" w:after="40" w:line="240" w:lineRule="auto"/>
              <w:rPr>
                <w:rFonts w:asciiTheme="majorHAnsi" w:hAnsiTheme="majorHAnsi" w:cstheme="majorHAnsi"/>
                <w:color w:val="000000"/>
                <w:sz w:val="20"/>
              </w:rPr>
            </w:pPr>
            <w:r>
              <w:rPr>
                <w:rFonts w:asciiTheme="majorHAnsi" w:hAnsiTheme="majorHAnsi" w:cstheme="majorHAnsi"/>
                <w:color w:val="000000"/>
                <w:sz w:val="20"/>
              </w:rPr>
              <w:t>Social Science Research Analyst</w:t>
            </w:r>
            <w:r w:rsidR="008E766B">
              <w:rPr>
                <w:rFonts w:asciiTheme="majorHAnsi" w:hAnsiTheme="majorHAnsi" w:cstheme="majorHAnsi"/>
                <w:color w:val="000000"/>
                <w:sz w:val="20"/>
              </w:rPr>
              <w:t>, Child Nutrition Evaluation Branch, Office of Policy Support</w:t>
            </w:r>
          </w:p>
        </w:tc>
        <w:tc>
          <w:tcPr>
            <w:tcW w:w="1620" w:type="dxa"/>
            <w:tcBorders>
              <w:top w:val="single" w:sz="4" w:space="0" w:color="auto"/>
              <w:left w:val="nil"/>
              <w:bottom w:val="single" w:sz="4" w:space="0" w:color="auto"/>
              <w:right w:val="nil"/>
            </w:tcBorders>
            <w:shd w:val="clear" w:color="auto" w:fill="auto"/>
            <w:noWrap/>
          </w:tcPr>
          <w:p w:rsidR="002D5DAF" w:rsidRPr="00925D01" w:rsidP="00674B4B" w14:paraId="796A7CD4" w14:textId="77777777">
            <w:pPr>
              <w:spacing w:before="40" w:after="40" w:line="240" w:lineRule="auto"/>
              <w:rPr>
                <w:rFonts w:asciiTheme="majorHAnsi" w:hAnsiTheme="majorHAnsi" w:cstheme="majorHAnsi"/>
                <w:color w:val="000000"/>
                <w:sz w:val="20"/>
              </w:rPr>
            </w:pPr>
          </w:p>
        </w:tc>
        <w:tc>
          <w:tcPr>
            <w:tcW w:w="3510" w:type="dxa"/>
            <w:tcBorders>
              <w:top w:val="single" w:sz="4" w:space="0" w:color="auto"/>
              <w:left w:val="nil"/>
              <w:bottom w:val="single" w:sz="4" w:space="0" w:color="auto"/>
              <w:right w:val="nil"/>
            </w:tcBorders>
            <w:shd w:val="clear" w:color="auto" w:fill="auto"/>
            <w:noWrap/>
          </w:tcPr>
          <w:p w:rsidR="002D5DAF" w:rsidRPr="00AB258C" w:rsidP="00674B4B" w14:paraId="0543D139" w14:textId="07C9A4C4">
            <w:pPr>
              <w:spacing w:before="40" w:after="40" w:line="240" w:lineRule="auto"/>
              <w:rPr>
                <w:rFonts w:ascii="Arial" w:hAnsi="Arial" w:cs="Arial"/>
                <w:sz w:val="20"/>
              </w:rPr>
            </w:pPr>
            <w:hyperlink r:id="rId23" w:history="1">
              <w:r w:rsidRPr="002B76D5" w:rsidR="00AB258C">
                <w:rPr>
                  <w:rStyle w:val="Hyperlink"/>
                  <w:rFonts w:ascii="Arial" w:hAnsi="Arial" w:cs="Arial"/>
                  <w:sz w:val="20"/>
                </w:rPr>
                <w:t>Susannah.Barr@usda.gov</w:t>
              </w:r>
            </w:hyperlink>
            <w:r w:rsidR="00AB258C">
              <w:rPr>
                <w:rFonts w:ascii="Arial" w:hAnsi="Arial" w:cs="Arial"/>
                <w:sz w:val="20"/>
              </w:rPr>
              <w:t xml:space="preserve"> </w:t>
            </w:r>
          </w:p>
        </w:tc>
      </w:tr>
      <w:tr w14:paraId="3CED16C2" w14:textId="77777777" w:rsidTr="004468E2">
        <w:tblPrEx>
          <w:tblW w:w="9360" w:type="dxa"/>
          <w:tblLook w:val="04A0"/>
        </w:tblPrEx>
        <w:trPr>
          <w:trHeight w:val="300"/>
        </w:trPr>
        <w:tc>
          <w:tcPr>
            <w:tcW w:w="1980" w:type="dxa"/>
            <w:tcBorders>
              <w:top w:val="single" w:sz="4" w:space="0" w:color="auto"/>
              <w:left w:val="nil"/>
              <w:bottom w:val="single" w:sz="4" w:space="0" w:color="auto"/>
              <w:right w:val="nil"/>
            </w:tcBorders>
            <w:shd w:val="clear" w:color="auto" w:fill="auto"/>
            <w:noWrap/>
          </w:tcPr>
          <w:p w:rsidR="009A7433" w:rsidRPr="00925D01" w:rsidP="009C7D12" w14:paraId="0753E519" w14:textId="252D49A9">
            <w:pPr>
              <w:spacing w:before="40" w:after="40" w:line="240" w:lineRule="auto"/>
              <w:rPr>
                <w:rFonts w:asciiTheme="majorHAnsi" w:hAnsiTheme="majorHAnsi" w:cstheme="majorHAnsi"/>
                <w:color w:val="000000"/>
                <w:sz w:val="20"/>
              </w:rPr>
            </w:pPr>
            <w:r w:rsidRPr="00925D01">
              <w:rPr>
                <w:rFonts w:asciiTheme="majorHAnsi" w:hAnsiTheme="majorHAnsi" w:cstheme="majorHAnsi"/>
                <w:color w:val="000000"/>
                <w:sz w:val="20"/>
              </w:rPr>
              <w:t>Maggie Applebaum</w:t>
            </w:r>
            <w:r w:rsidRPr="00925D01" w:rsidR="00296090">
              <w:rPr>
                <w:rFonts w:asciiTheme="majorHAnsi" w:hAnsiTheme="majorHAnsi" w:cstheme="majorHAnsi"/>
                <w:color w:val="000000"/>
                <w:sz w:val="20"/>
              </w:rPr>
              <w:t>, FNS</w:t>
            </w:r>
          </w:p>
        </w:tc>
        <w:tc>
          <w:tcPr>
            <w:tcW w:w="2250" w:type="dxa"/>
            <w:tcBorders>
              <w:top w:val="single" w:sz="4" w:space="0" w:color="auto"/>
              <w:left w:val="nil"/>
              <w:bottom w:val="single" w:sz="4" w:space="0" w:color="auto"/>
              <w:right w:val="nil"/>
            </w:tcBorders>
            <w:shd w:val="clear" w:color="auto" w:fill="auto"/>
            <w:noWrap/>
          </w:tcPr>
          <w:p w:rsidR="009A7433" w:rsidRPr="00925D01" w:rsidP="009C7D12" w14:paraId="38889253" w14:textId="1DBE3B37">
            <w:pPr>
              <w:spacing w:before="40" w:after="40" w:line="240" w:lineRule="auto"/>
              <w:rPr>
                <w:rFonts w:asciiTheme="majorHAnsi" w:hAnsiTheme="majorHAnsi" w:cstheme="majorHAnsi"/>
                <w:color w:val="000000"/>
                <w:sz w:val="20"/>
              </w:rPr>
            </w:pPr>
            <w:r>
              <w:rPr>
                <w:rFonts w:asciiTheme="majorHAnsi" w:hAnsiTheme="majorHAnsi" w:cstheme="majorHAnsi"/>
                <w:color w:val="000000"/>
                <w:sz w:val="20"/>
              </w:rPr>
              <w:t>Deputy Associate Administrator, Child Nutrition Programs</w:t>
            </w:r>
          </w:p>
        </w:tc>
        <w:tc>
          <w:tcPr>
            <w:tcW w:w="1620" w:type="dxa"/>
            <w:tcBorders>
              <w:top w:val="single" w:sz="4" w:space="0" w:color="auto"/>
              <w:left w:val="nil"/>
              <w:bottom w:val="single" w:sz="4" w:space="0" w:color="auto"/>
              <w:right w:val="nil"/>
            </w:tcBorders>
            <w:shd w:val="clear" w:color="auto" w:fill="auto"/>
            <w:noWrap/>
          </w:tcPr>
          <w:p w:rsidR="009A7433" w:rsidRPr="00925D01" w:rsidP="00674B4B" w14:paraId="6A62545D" w14:textId="77777777">
            <w:pPr>
              <w:spacing w:before="40" w:after="40" w:line="240" w:lineRule="auto"/>
              <w:rPr>
                <w:rFonts w:asciiTheme="majorHAnsi" w:hAnsiTheme="majorHAnsi" w:cstheme="majorHAnsi"/>
                <w:color w:val="000000"/>
                <w:sz w:val="20"/>
              </w:rPr>
            </w:pPr>
            <w:r w:rsidRPr="00925D01">
              <w:rPr>
                <w:rFonts w:asciiTheme="majorHAnsi" w:hAnsiTheme="majorHAnsi" w:cstheme="majorHAnsi"/>
                <w:color w:val="000000"/>
                <w:sz w:val="20"/>
              </w:rPr>
              <w:t>703-305-2578</w:t>
            </w:r>
          </w:p>
        </w:tc>
        <w:tc>
          <w:tcPr>
            <w:tcW w:w="3510" w:type="dxa"/>
            <w:tcBorders>
              <w:top w:val="single" w:sz="4" w:space="0" w:color="auto"/>
              <w:left w:val="nil"/>
              <w:bottom w:val="single" w:sz="4" w:space="0" w:color="auto"/>
              <w:right w:val="nil"/>
            </w:tcBorders>
            <w:shd w:val="clear" w:color="auto" w:fill="auto"/>
            <w:noWrap/>
          </w:tcPr>
          <w:p w:rsidR="009A7433" w:rsidRPr="00925D01" w:rsidP="00674B4B" w14:paraId="594B684C" w14:textId="77777777">
            <w:pPr>
              <w:spacing w:before="40" w:after="40" w:line="240" w:lineRule="auto"/>
              <w:rPr>
                <w:rFonts w:asciiTheme="majorHAnsi" w:hAnsiTheme="majorHAnsi" w:cstheme="majorHAnsi"/>
                <w:color w:val="000000"/>
                <w:sz w:val="20"/>
              </w:rPr>
            </w:pPr>
            <w:hyperlink r:id="rId24" w:history="1">
              <w:r w:rsidRPr="00925D01">
                <w:rPr>
                  <w:rStyle w:val="Hyperlink"/>
                  <w:rFonts w:asciiTheme="majorHAnsi" w:hAnsiTheme="majorHAnsi" w:cstheme="majorHAnsi"/>
                  <w:sz w:val="20"/>
                </w:rPr>
                <w:t>Margaret.Applebaum@usda.gov</w:t>
              </w:r>
            </w:hyperlink>
          </w:p>
        </w:tc>
      </w:tr>
      <w:tr w14:paraId="110D81E2" w14:textId="77777777" w:rsidTr="004468E2">
        <w:tblPrEx>
          <w:tblW w:w="9360" w:type="dxa"/>
          <w:tblLook w:val="04A0"/>
        </w:tblPrEx>
        <w:trPr>
          <w:trHeight w:val="300"/>
        </w:trPr>
        <w:tc>
          <w:tcPr>
            <w:tcW w:w="1980" w:type="dxa"/>
            <w:tcBorders>
              <w:top w:val="single" w:sz="4" w:space="0" w:color="auto"/>
              <w:left w:val="nil"/>
              <w:bottom w:val="single" w:sz="4" w:space="0" w:color="auto"/>
              <w:right w:val="nil"/>
            </w:tcBorders>
            <w:shd w:val="clear" w:color="auto" w:fill="auto"/>
            <w:noWrap/>
          </w:tcPr>
          <w:p w:rsidR="00EB4349" w:rsidRPr="00925D01" w:rsidP="009C7D12" w14:paraId="67A80B7B" w14:textId="7F4D2085">
            <w:pPr>
              <w:spacing w:before="40" w:after="40" w:line="240" w:lineRule="auto"/>
              <w:rPr>
                <w:rFonts w:asciiTheme="majorHAnsi" w:hAnsiTheme="majorHAnsi" w:cstheme="majorHAnsi"/>
                <w:color w:val="000000"/>
                <w:sz w:val="20"/>
              </w:rPr>
            </w:pPr>
            <w:r w:rsidRPr="00925D01">
              <w:rPr>
                <w:rFonts w:asciiTheme="majorHAnsi" w:hAnsiTheme="majorHAnsi" w:cstheme="majorHAnsi"/>
                <w:color w:val="000000"/>
                <w:sz w:val="20"/>
              </w:rPr>
              <w:t>Janis Johnston, FNS</w:t>
            </w:r>
          </w:p>
        </w:tc>
        <w:tc>
          <w:tcPr>
            <w:tcW w:w="2250" w:type="dxa"/>
            <w:tcBorders>
              <w:top w:val="single" w:sz="4" w:space="0" w:color="auto"/>
              <w:left w:val="nil"/>
              <w:bottom w:val="single" w:sz="4" w:space="0" w:color="auto"/>
              <w:right w:val="nil"/>
            </w:tcBorders>
            <w:shd w:val="clear" w:color="auto" w:fill="auto"/>
            <w:noWrap/>
          </w:tcPr>
          <w:p w:rsidR="00EB4349" w:rsidRPr="00925D01" w:rsidP="009C7D12" w14:paraId="34CD5982" w14:textId="7BB61BF9">
            <w:pPr>
              <w:spacing w:before="40" w:after="40" w:line="240" w:lineRule="auto"/>
              <w:rPr>
                <w:rFonts w:asciiTheme="majorHAnsi" w:hAnsiTheme="majorHAnsi" w:cstheme="majorHAnsi"/>
                <w:color w:val="000000"/>
                <w:sz w:val="20"/>
              </w:rPr>
            </w:pPr>
            <w:r w:rsidRPr="00925D01">
              <w:rPr>
                <w:rFonts w:asciiTheme="majorHAnsi" w:hAnsiTheme="majorHAnsi" w:cstheme="majorHAnsi"/>
                <w:color w:val="000000"/>
                <w:sz w:val="20"/>
              </w:rPr>
              <w:t>Director</w:t>
            </w:r>
            <w:r w:rsidRPr="00925D01">
              <w:rPr>
                <w:rFonts w:asciiTheme="majorHAnsi" w:hAnsiTheme="majorHAnsi" w:cstheme="majorHAnsi"/>
                <w:color w:val="000000"/>
                <w:sz w:val="20"/>
              </w:rPr>
              <w:t>, Program Integrity</w:t>
            </w:r>
            <w:r w:rsidR="00541A89">
              <w:rPr>
                <w:rFonts w:asciiTheme="majorHAnsi" w:hAnsiTheme="majorHAnsi" w:cstheme="majorHAnsi"/>
                <w:color w:val="000000"/>
                <w:sz w:val="20"/>
              </w:rPr>
              <w:t xml:space="preserve"> &amp; Innovation Division, Child Nutrition Programs</w:t>
            </w:r>
          </w:p>
        </w:tc>
        <w:tc>
          <w:tcPr>
            <w:tcW w:w="1620" w:type="dxa"/>
            <w:tcBorders>
              <w:top w:val="single" w:sz="4" w:space="0" w:color="auto"/>
              <w:left w:val="nil"/>
              <w:bottom w:val="single" w:sz="4" w:space="0" w:color="auto"/>
              <w:right w:val="nil"/>
            </w:tcBorders>
            <w:shd w:val="clear" w:color="auto" w:fill="auto"/>
            <w:noWrap/>
          </w:tcPr>
          <w:p w:rsidR="00EB4349" w:rsidRPr="00925D01" w:rsidP="00674B4B" w14:paraId="44EF9250" w14:textId="35739C33">
            <w:pPr>
              <w:spacing w:before="40" w:after="40" w:line="240" w:lineRule="auto"/>
              <w:rPr>
                <w:rFonts w:asciiTheme="majorHAnsi" w:hAnsiTheme="majorHAnsi" w:cstheme="majorHAnsi"/>
                <w:color w:val="000000"/>
                <w:sz w:val="20"/>
              </w:rPr>
            </w:pPr>
            <w:r w:rsidRPr="00925D01">
              <w:rPr>
                <w:rFonts w:asciiTheme="majorHAnsi" w:hAnsiTheme="majorHAnsi" w:cstheme="majorHAnsi"/>
                <w:color w:val="000000"/>
                <w:sz w:val="20"/>
              </w:rPr>
              <w:t>703-305-2106</w:t>
            </w:r>
          </w:p>
        </w:tc>
        <w:tc>
          <w:tcPr>
            <w:tcW w:w="3510" w:type="dxa"/>
            <w:tcBorders>
              <w:top w:val="single" w:sz="4" w:space="0" w:color="auto"/>
              <w:left w:val="nil"/>
              <w:bottom w:val="single" w:sz="4" w:space="0" w:color="auto"/>
              <w:right w:val="nil"/>
            </w:tcBorders>
            <w:shd w:val="clear" w:color="auto" w:fill="auto"/>
            <w:noWrap/>
          </w:tcPr>
          <w:p w:rsidR="00EB4349" w:rsidRPr="00925D01" w:rsidP="00674B4B" w14:paraId="35CCE8D8" w14:textId="69A4EBF1">
            <w:pPr>
              <w:spacing w:before="40" w:after="40" w:line="240" w:lineRule="auto"/>
              <w:rPr>
                <w:rFonts w:asciiTheme="majorHAnsi" w:hAnsiTheme="majorHAnsi" w:cstheme="majorHAnsi"/>
                <w:sz w:val="20"/>
              </w:rPr>
            </w:pPr>
            <w:hyperlink r:id="rId25" w:history="1">
              <w:r w:rsidRPr="00925D01">
                <w:rPr>
                  <w:rStyle w:val="Hyperlink"/>
                  <w:rFonts w:asciiTheme="majorHAnsi" w:hAnsiTheme="majorHAnsi" w:cstheme="majorHAnsi"/>
                  <w:sz w:val="20"/>
                </w:rPr>
                <w:t>Janis.Johnston@usda.gov</w:t>
              </w:r>
            </w:hyperlink>
          </w:p>
        </w:tc>
      </w:tr>
      <w:tr w14:paraId="296E76FD" w14:textId="77777777" w:rsidTr="004468E2">
        <w:tblPrEx>
          <w:tblW w:w="9360" w:type="dxa"/>
          <w:tblLook w:val="04A0"/>
        </w:tblPrEx>
        <w:trPr>
          <w:trHeight w:val="300"/>
        </w:trPr>
        <w:tc>
          <w:tcPr>
            <w:tcW w:w="1980" w:type="dxa"/>
            <w:tcBorders>
              <w:top w:val="single" w:sz="4" w:space="0" w:color="auto"/>
              <w:left w:val="nil"/>
              <w:bottom w:val="single" w:sz="4" w:space="0" w:color="auto"/>
              <w:right w:val="nil"/>
            </w:tcBorders>
            <w:shd w:val="clear" w:color="auto" w:fill="auto"/>
            <w:noWrap/>
          </w:tcPr>
          <w:p w:rsidR="003753EA" w:rsidRPr="00925D01" w:rsidP="00CC7D18" w14:paraId="6B94960F" w14:textId="6EE2A509">
            <w:pPr>
              <w:rPr>
                <w:rFonts w:asciiTheme="majorHAnsi" w:hAnsiTheme="majorHAnsi" w:cstheme="majorHAnsi"/>
                <w:color w:val="000000"/>
                <w:sz w:val="20"/>
              </w:rPr>
            </w:pPr>
            <w:r w:rsidRPr="00925D01">
              <w:rPr>
                <w:rFonts w:asciiTheme="majorHAnsi" w:hAnsiTheme="majorHAnsi" w:cstheme="majorHAnsi"/>
                <w:sz w:val="20"/>
              </w:rPr>
              <w:t xml:space="preserve">Doug </w:t>
            </w:r>
            <w:r w:rsidRPr="00925D01">
              <w:rPr>
                <w:rFonts w:asciiTheme="majorHAnsi" w:hAnsiTheme="majorHAnsi" w:cstheme="majorHAnsi"/>
                <w:sz w:val="20"/>
              </w:rPr>
              <w:t>Kilburg</w:t>
            </w:r>
          </w:p>
        </w:tc>
        <w:tc>
          <w:tcPr>
            <w:tcW w:w="2250" w:type="dxa"/>
            <w:tcBorders>
              <w:top w:val="single" w:sz="4" w:space="0" w:color="auto"/>
              <w:left w:val="nil"/>
              <w:bottom w:val="single" w:sz="4" w:space="0" w:color="auto"/>
              <w:right w:val="nil"/>
            </w:tcBorders>
            <w:shd w:val="clear" w:color="auto" w:fill="auto"/>
            <w:noWrap/>
          </w:tcPr>
          <w:p w:rsidR="003753EA" w:rsidRPr="00925D01" w:rsidP="003753EA" w14:paraId="3E4DB3C3" w14:textId="05796F8D">
            <w:pPr>
              <w:spacing w:before="60" w:after="60" w:line="240" w:lineRule="auto"/>
              <w:rPr>
                <w:rFonts w:asciiTheme="majorHAnsi" w:hAnsiTheme="majorHAnsi" w:cstheme="majorHAnsi"/>
                <w:color w:val="000000"/>
                <w:sz w:val="20"/>
              </w:rPr>
            </w:pPr>
            <w:r w:rsidRPr="00925D01">
              <w:rPr>
                <w:rFonts w:asciiTheme="majorHAnsi" w:hAnsiTheme="majorHAnsi" w:cstheme="majorHAnsi"/>
                <w:color w:val="000000"/>
                <w:sz w:val="20"/>
              </w:rPr>
              <w:t>NASS Reviewer</w:t>
            </w:r>
          </w:p>
        </w:tc>
        <w:tc>
          <w:tcPr>
            <w:tcW w:w="1620" w:type="dxa"/>
            <w:tcBorders>
              <w:top w:val="single" w:sz="4" w:space="0" w:color="auto"/>
              <w:left w:val="nil"/>
              <w:bottom w:val="single" w:sz="4" w:space="0" w:color="auto"/>
              <w:right w:val="nil"/>
            </w:tcBorders>
            <w:shd w:val="clear" w:color="auto" w:fill="auto"/>
            <w:noWrap/>
          </w:tcPr>
          <w:p w:rsidR="003753EA" w:rsidRPr="00925D01" w:rsidP="003753EA" w14:paraId="45F6127C" w14:textId="64331DAD">
            <w:pPr>
              <w:spacing w:before="60" w:after="60" w:line="240" w:lineRule="auto"/>
              <w:rPr>
                <w:rFonts w:asciiTheme="majorHAnsi" w:hAnsiTheme="majorHAnsi" w:cstheme="majorHAnsi"/>
                <w:color w:val="000000"/>
                <w:sz w:val="20"/>
              </w:rPr>
            </w:pPr>
            <w:r w:rsidRPr="00925D01">
              <w:rPr>
                <w:rFonts w:asciiTheme="majorHAnsi" w:hAnsiTheme="majorHAnsi" w:cstheme="majorHAnsi"/>
                <w:color w:val="000000"/>
                <w:sz w:val="20"/>
              </w:rPr>
              <w:t>202-690-8640</w:t>
            </w:r>
          </w:p>
        </w:tc>
        <w:tc>
          <w:tcPr>
            <w:tcW w:w="3510" w:type="dxa"/>
            <w:tcBorders>
              <w:top w:val="single" w:sz="4" w:space="0" w:color="auto"/>
              <w:left w:val="nil"/>
              <w:bottom w:val="single" w:sz="4" w:space="0" w:color="auto"/>
              <w:right w:val="nil"/>
            </w:tcBorders>
            <w:shd w:val="clear" w:color="auto" w:fill="auto"/>
            <w:noWrap/>
          </w:tcPr>
          <w:p w:rsidR="003753EA" w:rsidRPr="00925D01" w:rsidP="003753EA" w14:paraId="0C30064D" w14:textId="5B0E389A">
            <w:pPr>
              <w:spacing w:before="60" w:after="60" w:line="240" w:lineRule="auto"/>
              <w:rPr>
                <w:rFonts w:asciiTheme="majorHAnsi" w:hAnsiTheme="majorHAnsi" w:cstheme="majorHAnsi"/>
                <w:color w:val="000000"/>
                <w:sz w:val="20"/>
              </w:rPr>
            </w:pPr>
            <w:hyperlink r:id="rId26" w:history="1">
              <w:r w:rsidRPr="00925D01" w:rsidR="00096FFA">
                <w:rPr>
                  <w:rStyle w:val="Hyperlink"/>
                  <w:rFonts w:asciiTheme="majorHAnsi" w:hAnsiTheme="majorHAnsi" w:cstheme="majorHAnsi"/>
                  <w:sz w:val="20"/>
                </w:rPr>
                <w:t>Douglas.Kilburg@usda.gov</w:t>
              </w:r>
            </w:hyperlink>
            <w:r w:rsidRPr="00925D01" w:rsidR="00374049">
              <w:rPr>
                <w:rFonts w:asciiTheme="majorHAnsi" w:hAnsiTheme="majorHAnsi" w:cstheme="majorHAnsi"/>
                <w:color w:val="000000"/>
                <w:sz w:val="20"/>
              </w:rPr>
              <w:t xml:space="preserve"> </w:t>
            </w:r>
          </w:p>
        </w:tc>
      </w:tr>
    </w:tbl>
    <w:p w:rsidR="00AB343E" w:rsidRPr="004B39BF" w:rsidP="00354F38" w14:paraId="0B0AA9AF" w14:textId="77777777">
      <w:pPr>
        <w:pStyle w:val="Paragraph"/>
        <w:spacing w:line="480" w:lineRule="auto"/>
      </w:pPr>
    </w:p>
    <w:sectPr w:rsidSect="000D6B4B">
      <w:headerReference w:type="default" r:id="rId27"/>
      <w:footerReference w:type="default" r:id="rId28"/>
      <w:pgSz w:w="12240" w:h="15840" w:code="1"/>
      <w:pgMar w:top="1440" w:right="1440" w:bottom="1440" w:left="1440" w:header="720" w:footer="720" w:gutter="0"/>
      <w:pgNumType w:start="1"/>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A28CD" w:rsidRPr="00D37B98" w:rsidP="00820339" w14:paraId="6025AA4E" w14:textId="77777777">
      <w:r w:rsidRPr="00D37B98">
        <w:t>Endnotes</w:t>
      </w:r>
    </w:p>
  </w:endnote>
  <w:endnote w:type="continuationSeparator" w:id="1">
    <w:p w:rsidR="008A28CD" w:rsidRPr="00D37B98" w:rsidP="00BF08C3" w14:paraId="3B34B902" w14:textId="77777777">
      <w:pPr>
        <w:pStyle w:val="FootnoteSep"/>
      </w:pPr>
    </w:p>
  </w:endnote>
  <w:endnote w:type="continuationNotice" w:id="2">
    <w:p w:rsidR="008A28CD" w:rsidRPr="00D37B98" w:rsidP="00C747B5" w14:paraId="53A9EE49" w14:textId="77777777">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Zilla Slab SemiBold">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embedRegular r:id="rId1" w:subsetted="1" w:fontKey="{3B7FD8CB-0CD7-4DB2-A0B6-BB521340067E}"/>
    <w:embedBold r:id="rId2" w:subsetted="1" w:fontKey="{B077CCA1-C59B-43DD-9303-5A24D3640644}"/>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47B0" w:rsidP="008C249E" w14:paraId="2955DC42" w14:textId="0FB67A30">
    <w:pPr>
      <w:pStyle w:val="Footer"/>
    </w:pPr>
    <w:r w:rsidRPr="00967B6B">
      <w:fldChar w:fldCharType="begin"/>
    </w:r>
    <w:r w:rsidRPr="00967B6B">
      <w:instrText xml:space="preserve"> PAGE </w:instrText>
    </w:r>
    <w:r w:rsidRPr="00967B6B">
      <w:fldChar w:fldCharType="separate"/>
    </w:r>
    <w:r w:rsidR="00017B16">
      <w:rPr>
        <w:noProof/>
      </w:rPr>
      <w:t>ii</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47B0" w:rsidRPr="00A37298" w:rsidP="00142542" w14:paraId="4CE8F1D1" w14:textId="08E11F73">
    <w:pPr>
      <w:pStyle w:val="Footer"/>
      <w:tabs>
        <w:tab w:val="clear" w:pos="4320"/>
        <w:tab w:val="clear" w:pos="9360"/>
        <w:tab w:val="right" w:pos="14400"/>
      </w:tabs>
    </w:pPr>
    <w:r>
      <w:tab/>
    </w:r>
    <w:r w:rsidRPr="00967B6B">
      <w:fldChar w:fldCharType="begin"/>
    </w:r>
    <w:r w:rsidRPr="00967B6B">
      <w:instrText xml:space="preserve"> PAGE </w:instrText>
    </w:r>
    <w:r w:rsidRPr="00967B6B">
      <w:fldChar w:fldCharType="separate"/>
    </w:r>
    <w:r w:rsidR="00017B16">
      <w:rPr>
        <w:noProof/>
      </w:rPr>
      <w:t>17</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A28CD" w:rsidRPr="00D37B98" w:rsidP="00CC0E68" w14:paraId="04C0B8E7" w14:textId="77777777">
      <w:pPr>
        <w:pStyle w:val="FootnoteSep"/>
      </w:pPr>
      <w:r w:rsidRPr="00D37B98">
        <w:separator/>
      </w:r>
    </w:p>
  </w:footnote>
  <w:footnote w:type="continuationSeparator" w:id="1">
    <w:p w:rsidR="008A28CD" w:rsidRPr="00D37B98" w:rsidP="007F094C" w14:paraId="499AFA78" w14:textId="77777777">
      <w:pPr>
        <w:pStyle w:val="FootnoteSep"/>
      </w:pPr>
    </w:p>
    <w:p w:rsidR="008A28CD" w:rsidRPr="00D37B98" w:rsidP="007F094C" w14:paraId="5987BA50" w14:textId="77777777">
      <w:pPr>
        <w:pStyle w:val="FootnoteText"/>
      </w:pPr>
      <w:r w:rsidRPr="00D37B98">
        <w:t>(continued)</w:t>
      </w:r>
    </w:p>
  </w:footnote>
  <w:footnote w:type="continuationNotice" w:id="2">
    <w:p w:rsidR="008A28CD" w:rsidRPr="00D37B98" w:rsidP="00DF35D6" w14:paraId="6C153279" w14:textId="77777777">
      <w:pPr>
        <w:pStyle w:val="FootnoteText"/>
      </w:pPr>
      <w:r w:rsidRPr="00D37B98">
        <w:t>(continued)</w:t>
      </w:r>
    </w:p>
  </w:footnote>
  <w:footnote w:id="3">
    <w:p w:rsidR="009847B0" w:rsidRPr="001A718C" w:rsidP="009C7D12" w14:paraId="70E9B2E6" w14:textId="6D44CAA7">
      <w:pPr>
        <w:autoSpaceDE w:val="0"/>
        <w:autoSpaceDN w:val="0"/>
        <w:adjustRightInd w:val="0"/>
        <w:spacing w:after="60" w:line="240" w:lineRule="auto"/>
        <w:ind w:left="173" w:hanging="173"/>
        <w:rPr>
          <w:rFonts w:cs="Calibri"/>
          <w:color w:val="000000"/>
          <w:sz w:val="20"/>
        </w:rPr>
      </w:pPr>
      <w:r w:rsidRPr="001A718C">
        <w:rPr>
          <w:rStyle w:val="FootnoteReference"/>
          <w:rFonts w:cs="Calibri"/>
          <w:sz w:val="20"/>
        </w:rPr>
        <w:footnoteRef/>
      </w:r>
      <w:r w:rsidRPr="001A718C">
        <w:rPr>
          <w:rFonts w:cs="Calibri"/>
          <w:sz w:val="20"/>
        </w:rPr>
        <w:t xml:space="preserve"> </w:t>
      </w:r>
      <w:r w:rsidRPr="001A718C">
        <w:rPr>
          <w:rFonts w:cs="Calibri"/>
          <w:color w:val="000000"/>
          <w:sz w:val="20"/>
        </w:rPr>
        <w:t xml:space="preserve">These constraints allow for SFA nonresponse and enable non-overlapping samples across </w:t>
      </w:r>
      <w:r>
        <w:rPr>
          <w:rFonts w:cs="Calibri"/>
          <w:color w:val="000000"/>
          <w:sz w:val="20"/>
        </w:rPr>
        <w:t xml:space="preserve">the </w:t>
      </w:r>
      <w:r w:rsidRPr="001A718C">
        <w:rPr>
          <w:rFonts w:cs="Calibri"/>
          <w:color w:val="000000"/>
          <w:sz w:val="20"/>
        </w:rPr>
        <w:t xml:space="preserve">four </w:t>
      </w:r>
      <w:r>
        <w:rPr>
          <w:rFonts w:cs="Calibri"/>
          <w:color w:val="000000"/>
          <w:sz w:val="20"/>
        </w:rPr>
        <w:t xml:space="preserve">potential data collection </w:t>
      </w:r>
      <w:r w:rsidRPr="001A718C">
        <w:rPr>
          <w:rFonts w:cs="Calibri"/>
          <w:color w:val="000000"/>
          <w:sz w:val="20"/>
        </w:rPr>
        <w:t>years</w:t>
      </w:r>
      <w:r>
        <w:rPr>
          <w:rFonts w:cs="Calibri"/>
          <w:color w:val="000000"/>
          <w:sz w:val="20"/>
        </w:rPr>
        <w:t xml:space="preserve"> included under the research contract between FNS and Mathematica, which covers SYs 2020-2021 through 2023-2024</w:t>
      </w:r>
      <w:r w:rsidRPr="001A718C">
        <w:rPr>
          <w:rFonts w:cs="Calibri"/>
          <w:color w:val="000000"/>
          <w:sz w:val="20"/>
        </w:rPr>
        <w:t>.</w:t>
      </w:r>
      <w:r>
        <w:rPr>
          <w:rFonts w:cs="Calibri"/>
          <w:color w:val="000000"/>
          <w:sz w:val="20"/>
        </w:rPr>
        <w:t xml:space="preserve"> Due to the COVID-19 pandemic, the SFA survey was dropped from the SY 2020-2021 </w:t>
      </w:r>
      <w:r w:rsidR="00BF0295">
        <w:rPr>
          <w:rFonts w:cs="Calibri"/>
          <w:color w:val="000000"/>
          <w:sz w:val="20"/>
        </w:rPr>
        <w:t xml:space="preserve">and SY 2022-2023 </w:t>
      </w:r>
      <w:r>
        <w:rPr>
          <w:rFonts w:cs="Calibri"/>
          <w:color w:val="000000"/>
          <w:sz w:val="20"/>
        </w:rPr>
        <w:t>data collection</w:t>
      </w:r>
      <w:r w:rsidR="00BF0295">
        <w:rPr>
          <w:rFonts w:cs="Calibri"/>
          <w:color w:val="000000"/>
          <w:sz w:val="20"/>
        </w:rPr>
        <w:t>s</w:t>
      </w:r>
      <w:r>
        <w:rPr>
          <w:rFonts w:cs="Calibri"/>
          <w:color w:val="000000"/>
          <w:sz w:val="20"/>
        </w:rPr>
        <w:t xml:space="preserve">, resulting in </w:t>
      </w:r>
      <w:r w:rsidR="00BF0295">
        <w:rPr>
          <w:rFonts w:cs="Calibri"/>
          <w:color w:val="000000"/>
          <w:sz w:val="20"/>
        </w:rPr>
        <w:t xml:space="preserve">two </w:t>
      </w:r>
      <w:r>
        <w:rPr>
          <w:rFonts w:cs="Calibri"/>
          <w:color w:val="000000"/>
          <w:sz w:val="20"/>
        </w:rPr>
        <w:t>potential data collection years with an SFA survey.</w:t>
      </w:r>
    </w:p>
  </w:footnote>
  <w:footnote w:id="4">
    <w:p w:rsidR="009847B0" w14:paraId="1ACAA316" w14:textId="58ED5B0C">
      <w:pPr>
        <w:pStyle w:val="FootnoteText"/>
      </w:pPr>
      <w:r>
        <w:rPr>
          <w:rStyle w:val="FootnoteReference"/>
        </w:rPr>
        <w:footnoteRef/>
      </w:r>
      <w:r>
        <w:t xml:space="preserve"> These thresholds were selected to ensure precision levels for important subgroups were less than +/- 10 percentage points, while also ensuring a total sample size of at least 1,000 SFAs per year. </w:t>
      </w:r>
    </w:p>
  </w:footnote>
  <w:footnote w:id="5">
    <w:p w:rsidR="009847B0" w14:paraId="4D926270" w14:textId="6EA25988">
      <w:pPr>
        <w:pStyle w:val="FootnoteText"/>
      </w:pPr>
      <w:r>
        <w:rPr>
          <w:rStyle w:val="FootnoteReference"/>
        </w:rPr>
        <w:footnoteRef/>
      </w:r>
      <w:r>
        <w:t xml:space="preserve">Upon OMB approval for the collection, the research team will merge the FNS-742 data with the NCES data </w:t>
      </w:r>
      <w:r>
        <w:t>in order to</w:t>
      </w:r>
      <w:r>
        <w:t xml:space="preserve"> produce margin of error estimates for urbanicity and charter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47B0" w:rsidRPr="00C76143" w:rsidP="001E71CE" w14:paraId="7BECA781" w14:textId="0223F48F">
    <w:pPr>
      <w:pBdr>
        <w:bottom w:val="single" w:sz="6" w:space="6" w:color="auto"/>
      </w:pBdr>
      <w:tabs>
        <w:tab w:val="right" w:pos="10080"/>
      </w:tabs>
      <w:spacing w:after="0" w:line="240" w:lineRule="auto"/>
      <w:ind w:left="-720" w:right="-90"/>
    </w:pPr>
    <w:r>
      <w:rPr>
        <w:rFonts w:ascii="Arial" w:hAnsi="Arial"/>
        <w:b/>
        <w:sz w:val="20"/>
        <w:szCs w:val="22"/>
      </w:rPr>
      <w:t xml:space="preserve">Part B </w:t>
    </w:r>
    <w:r>
      <w:rPr>
        <w:rFonts w:ascii="Arial" w:hAnsi="Arial"/>
        <w:sz w:val="20"/>
        <w:szCs w:val="22"/>
      </w:rPr>
      <w:t>School meals operations study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47B0" w:rsidRPr="002D4879" w:rsidP="001E71CE" w14:paraId="1C34C4B9" w14:textId="6C0526D7">
    <w:pPr>
      <w:pBdr>
        <w:bottom w:val="single" w:sz="6" w:space="6" w:color="auto"/>
      </w:pBdr>
      <w:tabs>
        <w:tab w:val="right" w:pos="10080"/>
      </w:tabs>
      <w:spacing w:after="0" w:line="240" w:lineRule="auto"/>
      <w:ind w:left="-720" w:right="-90"/>
    </w:pPr>
    <w:r>
      <w:rPr>
        <w:rFonts w:ascii="Arial" w:hAnsi="Arial"/>
        <w:b/>
        <w:sz w:val="20"/>
        <w:szCs w:val="22"/>
      </w:rPr>
      <w:t xml:space="preserve">Part B </w:t>
    </w:r>
    <w:r>
      <w:rPr>
        <w:rFonts w:ascii="Arial" w:hAnsi="Arial"/>
        <w:sz w:val="20"/>
        <w:szCs w:val="22"/>
      </w:rPr>
      <w:t>School meals operations study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9F6222A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8AAB4E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nsid w:val="03434939"/>
    <w:multiLevelType w:val="hybridMultilevel"/>
    <w:tmpl w:val="A302247E"/>
    <w:lvl w:ilvl="0">
      <w:start w:val="1"/>
      <w:numFmt w:val="bullet"/>
      <w:pStyle w:val="TableListBullet"/>
      <w:lvlText w:val=""/>
      <w:lvlJc w:val="left"/>
      <w:pPr>
        <w:ind w:left="648" w:hanging="360"/>
      </w:pPr>
      <w:rPr>
        <w:rFonts w:ascii="Symbol" w:hAnsi="Symbol" w:hint="default"/>
        <w:color w:val="0B2949" w:themeColor="accent1"/>
        <w:sz w:val="18"/>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1">
    <w:nsid w:val="1208664C"/>
    <w:multiLevelType w:val="hybridMultilevel"/>
    <w:tmpl w:val="829C132C"/>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2">
    <w:nsid w:val="16EC099F"/>
    <w:multiLevelType w:val="hybridMultilevel"/>
    <w:tmpl w:val="B8400D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6FB4FD6"/>
    <w:multiLevelType w:val="hybridMultilevel"/>
    <w:tmpl w:val="F23CA7F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75F4639"/>
    <w:multiLevelType w:val="hybridMultilevel"/>
    <w:tmpl w:val="C156B4BC"/>
    <w:lvl w:ilvl="0">
      <w:start w:val="1"/>
      <w:numFmt w:val="bullet"/>
      <w:pStyle w:val="ListBullet2"/>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1F6102B7"/>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nsid w:val="223F7826"/>
    <w:multiLevelType w:val="hybridMultilevel"/>
    <w:tmpl w:val="2FDC6F0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7523B58"/>
    <w:multiLevelType w:val="hybridMultilevel"/>
    <w:tmpl w:val="8292C136"/>
    <w:lvl w:ilvl="0">
      <w:start w:val="1"/>
      <w:numFmt w:val="lowerLetter"/>
      <w:pStyle w:val="ListAlpha3"/>
      <w:lvlText w:val="%1."/>
      <w:lvlJc w:val="left"/>
      <w:pPr>
        <w:ind w:left="720" w:hanging="360"/>
      </w:pPr>
      <w:rPr>
        <w:rFonts w:asciiTheme="minorHAnsi" w:hAnsiTheme="min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9">
    <w:nsid w:val="30E03643"/>
    <w:multiLevelType w:val="hybridMultilevel"/>
    <w:tmpl w:val="8724F62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1F9697E"/>
    <w:multiLevelType w:val="hybridMultilevel"/>
    <w:tmpl w:val="268629A8"/>
    <w:lvl w:ilvl="0">
      <w:start w:val="1"/>
      <w:numFmt w:val="bullet"/>
      <w:pStyle w:val="SidebarListBullet"/>
      <w:lvlText w:val=""/>
      <w:lvlJc w:val="left"/>
      <w:pPr>
        <w:ind w:left="720" w:hanging="360"/>
      </w:pPr>
      <w:rPr>
        <w:rFonts w:ascii="Symbol" w:hAnsi="Symbol" w:hint="default"/>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28C583D"/>
    <w:multiLevelType w:val="hybridMultilevel"/>
    <w:tmpl w:val="CCBA8132"/>
    <w:lvl w:ilvl="0">
      <w:start w:val="1"/>
      <w:numFmt w:val="decimal"/>
      <w:pStyle w:val="SidebarListNumber"/>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6214067"/>
    <w:multiLevelType w:val="hybridMultilevel"/>
    <w:tmpl w:val="D3A87BF0"/>
    <w:lvl w:ilvl="0">
      <w:start w:val="1"/>
      <w:numFmt w:val="bullet"/>
      <w:lvlText w:val=""/>
      <w:lvlJc w:val="left"/>
      <w:pPr>
        <w:ind w:left="1152" w:hanging="360"/>
      </w:pPr>
      <w:rPr>
        <w:rFonts w:ascii="Wingdings" w:hAnsi="Wingdings"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3">
    <w:nsid w:val="3F5139A7"/>
    <w:multiLevelType w:val="hybridMultilevel"/>
    <w:tmpl w:val="53FC523A"/>
    <w:lvl w:ilvl="0">
      <w:start w:val="1"/>
      <w:numFmt w:val="upperLetter"/>
      <w:pStyle w:val="ListAlpha"/>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0942A94"/>
    <w:multiLevelType w:val="hybridMultilevel"/>
    <w:tmpl w:val="61300540"/>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Verdana" w:hAnsi="Verdana"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21268F3"/>
    <w:multiLevelType w:val="hybridMultilevel"/>
    <w:tmpl w:val="118ED5E2"/>
    <w:lvl w:ilvl="0">
      <w:start w:val="1"/>
      <w:numFmt w:val="bullet"/>
      <w:lvlText w:val=""/>
      <w:lvlJc w:val="left"/>
      <w:pPr>
        <w:ind w:left="750" w:hanging="360"/>
      </w:pPr>
      <w:rPr>
        <w:rFonts w:ascii="Wingdings" w:hAnsi="Wingdings" w:hint="default"/>
      </w:rPr>
    </w:lvl>
    <w:lvl w:ilvl="1" w:tentative="1">
      <w:start w:val="1"/>
      <w:numFmt w:val="bullet"/>
      <w:lvlText w:val="o"/>
      <w:lvlJc w:val="left"/>
      <w:pPr>
        <w:ind w:left="1470" w:hanging="360"/>
      </w:pPr>
      <w:rPr>
        <w:rFonts w:ascii="Courier New" w:hAnsi="Courier New" w:cs="Courier New" w:hint="default"/>
      </w:rPr>
    </w:lvl>
    <w:lvl w:ilvl="2" w:tentative="1">
      <w:start w:val="1"/>
      <w:numFmt w:val="bullet"/>
      <w:lvlText w:val=""/>
      <w:lvlJc w:val="left"/>
      <w:pPr>
        <w:ind w:left="2190" w:hanging="360"/>
      </w:pPr>
      <w:rPr>
        <w:rFonts w:ascii="Wingdings" w:hAnsi="Wingdings" w:hint="default"/>
      </w:rPr>
    </w:lvl>
    <w:lvl w:ilvl="3" w:tentative="1">
      <w:start w:val="1"/>
      <w:numFmt w:val="bullet"/>
      <w:lvlText w:val=""/>
      <w:lvlJc w:val="left"/>
      <w:pPr>
        <w:ind w:left="2910" w:hanging="360"/>
      </w:pPr>
      <w:rPr>
        <w:rFonts w:ascii="Symbol" w:hAnsi="Symbol" w:hint="default"/>
      </w:rPr>
    </w:lvl>
    <w:lvl w:ilvl="4" w:tentative="1">
      <w:start w:val="1"/>
      <w:numFmt w:val="bullet"/>
      <w:lvlText w:val="o"/>
      <w:lvlJc w:val="left"/>
      <w:pPr>
        <w:ind w:left="3630" w:hanging="360"/>
      </w:pPr>
      <w:rPr>
        <w:rFonts w:ascii="Courier New" w:hAnsi="Courier New" w:cs="Courier New" w:hint="default"/>
      </w:rPr>
    </w:lvl>
    <w:lvl w:ilvl="5" w:tentative="1">
      <w:start w:val="1"/>
      <w:numFmt w:val="bullet"/>
      <w:lvlText w:val=""/>
      <w:lvlJc w:val="left"/>
      <w:pPr>
        <w:ind w:left="4350" w:hanging="360"/>
      </w:pPr>
      <w:rPr>
        <w:rFonts w:ascii="Wingdings" w:hAnsi="Wingdings" w:hint="default"/>
      </w:rPr>
    </w:lvl>
    <w:lvl w:ilvl="6" w:tentative="1">
      <w:start w:val="1"/>
      <w:numFmt w:val="bullet"/>
      <w:lvlText w:val=""/>
      <w:lvlJc w:val="left"/>
      <w:pPr>
        <w:ind w:left="5070" w:hanging="360"/>
      </w:pPr>
      <w:rPr>
        <w:rFonts w:ascii="Symbol" w:hAnsi="Symbol" w:hint="default"/>
      </w:rPr>
    </w:lvl>
    <w:lvl w:ilvl="7" w:tentative="1">
      <w:start w:val="1"/>
      <w:numFmt w:val="bullet"/>
      <w:lvlText w:val="o"/>
      <w:lvlJc w:val="left"/>
      <w:pPr>
        <w:ind w:left="5790" w:hanging="360"/>
      </w:pPr>
      <w:rPr>
        <w:rFonts w:ascii="Courier New" w:hAnsi="Courier New" w:cs="Courier New" w:hint="default"/>
      </w:rPr>
    </w:lvl>
    <w:lvl w:ilvl="8" w:tentative="1">
      <w:start w:val="1"/>
      <w:numFmt w:val="bullet"/>
      <w:lvlText w:val=""/>
      <w:lvlJc w:val="left"/>
      <w:pPr>
        <w:ind w:left="6510" w:hanging="360"/>
      </w:pPr>
      <w:rPr>
        <w:rFonts w:ascii="Wingdings" w:hAnsi="Wingdings" w:hint="default"/>
      </w:rPr>
    </w:lvl>
  </w:abstractNum>
  <w:abstractNum w:abstractNumId="26">
    <w:nsid w:val="42655E4D"/>
    <w:multiLevelType w:val="hybridMultilevel"/>
    <w:tmpl w:val="14E4EE8A"/>
    <w:lvl w:ilvl="0">
      <w:start w:val="1"/>
      <w:numFmt w:val="decimal"/>
      <w:pStyle w:val="Feature2ListNumbered"/>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57B34CD"/>
    <w:multiLevelType w:val="hybridMultilevel"/>
    <w:tmpl w:val="65A293BE"/>
    <w:lvl w:ilvl="0">
      <w:start w:val="1"/>
      <w:numFmt w:val="upperRoman"/>
      <w:lvlText w:val="%1."/>
      <w:lvlJc w:val="left"/>
      <w:pPr>
        <w:ind w:left="1260" w:hanging="99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28">
    <w:nsid w:val="4FC8685E"/>
    <w:multiLevelType w:val="hybridMultilevel"/>
    <w:tmpl w:val="96326E06"/>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58771D8A"/>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C5E5DC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3074D7C"/>
    <w:multiLevelType w:val="hybridMultilevel"/>
    <w:tmpl w:val="40BA8840"/>
    <w:lvl w:ilvl="0">
      <w:start w:val="1"/>
      <w:numFmt w:val="bullet"/>
      <w:pStyle w:val="Feature2ListBullet"/>
      <w:lvlText w:val=""/>
      <w:lvlJc w:val="left"/>
      <w:pPr>
        <w:ind w:left="806" w:hanging="360"/>
      </w:pPr>
      <w:rPr>
        <w:rFonts w:ascii="Symbol" w:hAnsi="Symbol" w:hint="default"/>
        <w:b/>
        <w:i w:val="0"/>
        <w:color w:val="0B2949" w:themeColor="accent1"/>
        <w:sz w:val="20"/>
        <w:u w:color="0B2949"/>
      </w:rPr>
    </w:lvl>
    <w:lvl w:ilvl="1" w:tentative="1">
      <w:start w:val="1"/>
      <w:numFmt w:val="bullet"/>
      <w:lvlText w:val="o"/>
      <w:lvlJc w:val="left"/>
      <w:pPr>
        <w:ind w:left="1526" w:hanging="360"/>
      </w:pPr>
      <w:rPr>
        <w:rFonts w:ascii="Courier New" w:hAnsi="Courier New" w:cs="Courier New" w:hint="default"/>
      </w:rPr>
    </w:lvl>
    <w:lvl w:ilvl="2" w:tentative="1">
      <w:start w:val="1"/>
      <w:numFmt w:val="bullet"/>
      <w:lvlText w:val=""/>
      <w:lvlJc w:val="left"/>
      <w:pPr>
        <w:ind w:left="2246" w:hanging="360"/>
      </w:pPr>
      <w:rPr>
        <w:rFonts w:ascii="Wingdings" w:hAnsi="Wingdings" w:hint="default"/>
      </w:rPr>
    </w:lvl>
    <w:lvl w:ilvl="3" w:tentative="1">
      <w:start w:val="1"/>
      <w:numFmt w:val="bullet"/>
      <w:lvlText w:val=""/>
      <w:lvlJc w:val="left"/>
      <w:pPr>
        <w:ind w:left="2966" w:hanging="360"/>
      </w:pPr>
      <w:rPr>
        <w:rFonts w:ascii="Symbol" w:hAnsi="Symbol" w:hint="default"/>
      </w:rPr>
    </w:lvl>
    <w:lvl w:ilvl="4" w:tentative="1">
      <w:start w:val="1"/>
      <w:numFmt w:val="bullet"/>
      <w:lvlText w:val="o"/>
      <w:lvlJc w:val="left"/>
      <w:pPr>
        <w:ind w:left="3686" w:hanging="360"/>
      </w:pPr>
      <w:rPr>
        <w:rFonts w:ascii="Courier New" w:hAnsi="Courier New" w:cs="Courier New" w:hint="default"/>
      </w:rPr>
    </w:lvl>
    <w:lvl w:ilvl="5" w:tentative="1">
      <w:start w:val="1"/>
      <w:numFmt w:val="bullet"/>
      <w:lvlText w:val=""/>
      <w:lvlJc w:val="left"/>
      <w:pPr>
        <w:ind w:left="4406" w:hanging="360"/>
      </w:pPr>
      <w:rPr>
        <w:rFonts w:ascii="Wingdings" w:hAnsi="Wingdings" w:hint="default"/>
      </w:rPr>
    </w:lvl>
    <w:lvl w:ilvl="6" w:tentative="1">
      <w:start w:val="1"/>
      <w:numFmt w:val="bullet"/>
      <w:lvlText w:val=""/>
      <w:lvlJc w:val="left"/>
      <w:pPr>
        <w:ind w:left="5126" w:hanging="360"/>
      </w:pPr>
      <w:rPr>
        <w:rFonts w:ascii="Symbol" w:hAnsi="Symbol" w:hint="default"/>
      </w:rPr>
    </w:lvl>
    <w:lvl w:ilvl="7" w:tentative="1">
      <w:start w:val="1"/>
      <w:numFmt w:val="bullet"/>
      <w:lvlText w:val="o"/>
      <w:lvlJc w:val="left"/>
      <w:pPr>
        <w:ind w:left="5846" w:hanging="360"/>
      </w:pPr>
      <w:rPr>
        <w:rFonts w:ascii="Courier New" w:hAnsi="Courier New" w:cs="Courier New" w:hint="default"/>
      </w:rPr>
    </w:lvl>
    <w:lvl w:ilvl="8" w:tentative="1">
      <w:start w:val="1"/>
      <w:numFmt w:val="bullet"/>
      <w:lvlText w:val=""/>
      <w:lvlJc w:val="left"/>
      <w:pPr>
        <w:ind w:left="6566" w:hanging="360"/>
      </w:pPr>
      <w:rPr>
        <w:rFonts w:ascii="Wingdings" w:hAnsi="Wingdings" w:hint="default"/>
      </w:rPr>
    </w:lvl>
  </w:abstractNum>
  <w:abstractNum w:abstractNumId="35">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6">
    <w:nsid w:val="67697EDD"/>
    <w:multiLevelType w:val="hybridMultilevel"/>
    <w:tmpl w:val="38906EF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BF61678"/>
    <w:multiLevelType w:val="hybridMultilevel"/>
    <w:tmpl w:val="D19284A2"/>
    <w:lvl w:ilvl="0">
      <w:start w:val="1"/>
      <w:numFmt w:val="decimal"/>
      <w:pStyle w:val="TableListNumber"/>
      <w:lvlText w:val="%1."/>
      <w:lvlJc w:val="left"/>
      <w:pPr>
        <w:ind w:left="533" w:hanging="360"/>
      </w:pPr>
      <w:rPr>
        <w:rFonts w:hint="default"/>
        <w:b w:val="0"/>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C151E68"/>
    <w:multiLevelType w:val="hybridMultilevel"/>
    <w:tmpl w:val="A1B6496E"/>
    <w:lvl w:ilvl="0">
      <w:start w:val="1"/>
      <w:numFmt w:val="lowerLetter"/>
      <w:pStyle w:val="ListAlpha2"/>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FDB63D1"/>
    <w:multiLevelType w:val="hybridMultilevel"/>
    <w:tmpl w:val="13340BFA"/>
    <w:lvl w:ilvl="0">
      <w:start w:val="1"/>
      <w:numFmt w:val="bullet"/>
      <w:lvlText w:val=""/>
      <w:lvlJc w:val="left"/>
      <w:pPr>
        <w:ind w:left="490" w:hanging="360"/>
      </w:pPr>
      <w:rPr>
        <w:rFonts w:ascii="Symbol" w:hAnsi="Symbol" w:hint="default"/>
        <w:color w:val="046B5C"/>
        <w:sz w:val="24"/>
      </w:rPr>
    </w:lvl>
    <w:lvl w:ilvl="1" w:tentative="1">
      <w:start w:val="1"/>
      <w:numFmt w:val="bullet"/>
      <w:lvlText w:val="o"/>
      <w:lvlJc w:val="left"/>
      <w:pPr>
        <w:ind w:left="1570" w:hanging="360"/>
      </w:pPr>
      <w:rPr>
        <w:rFonts w:ascii="Courier New" w:hAnsi="Courier New" w:cs="Courier New" w:hint="default"/>
      </w:rPr>
    </w:lvl>
    <w:lvl w:ilvl="2" w:tentative="1">
      <w:start w:val="1"/>
      <w:numFmt w:val="bullet"/>
      <w:lvlText w:val=""/>
      <w:lvlJc w:val="left"/>
      <w:pPr>
        <w:ind w:left="2290" w:hanging="360"/>
      </w:pPr>
      <w:rPr>
        <w:rFonts w:ascii="Wingdings" w:hAnsi="Wingdings" w:hint="default"/>
      </w:rPr>
    </w:lvl>
    <w:lvl w:ilvl="3" w:tentative="1">
      <w:start w:val="1"/>
      <w:numFmt w:val="bullet"/>
      <w:lvlText w:val=""/>
      <w:lvlJc w:val="left"/>
      <w:pPr>
        <w:ind w:left="3010" w:hanging="360"/>
      </w:pPr>
      <w:rPr>
        <w:rFonts w:ascii="Symbol" w:hAnsi="Symbol" w:hint="default"/>
      </w:rPr>
    </w:lvl>
    <w:lvl w:ilvl="4" w:tentative="1">
      <w:start w:val="1"/>
      <w:numFmt w:val="bullet"/>
      <w:lvlText w:val="o"/>
      <w:lvlJc w:val="left"/>
      <w:pPr>
        <w:ind w:left="3730" w:hanging="360"/>
      </w:pPr>
      <w:rPr>
        <w:rFonts w:ascii="Courier New" w:hAnsi="Courier New" w:cs="Courier New" w:hint="default"/>
      </w:rPr>
    </w:lvl>
    <w:lvl w:ilvl="5" w:tentative="1">
      <w:start w:val="1"/>
      <w:numFmt w:val="bullet"/>
      <w:lvlText w:val=""/>
      <w:lvlJc w:val="left"/>
      <w:pPr>
        <w:ind w:left="4450" w:hanging="360"/>
      </w:pPr>
      <w:rPr>
        <w:rFonts w:ascii="Wingdings" w:hAnsi="Wingdings" w:hint="default"/>
      </w:rPr>
    </w:lvl>
    <w:lvl w:ilvl="6" w:tentative="1">
      <w:start w:val="1"/>
      <w:numFmt w:val="bullet"/>
      <w:lvlText w:val=""/>
      <w:lvlJc w:val="left"/>
      <w:pPr>
        <w:ind w:left="5170" w:hanging="360"/>
      </w:pPr>
      <w:rPr>
        <w:rFonts w:ascii="Symbol" w:hAnsi="Symbol" w:hint="default"/>
      </w:rPr>
    </w:lvl>
    <w:lvl w:ilvl="7" w:tentative="1">
      <w:start w:val="1"/>
      <w:numFmt w:val="bullet"/>
      <w:lvlText w:val="o"/>
      <w:lvlJc w:val="left"/>
      <w:pPr>
        <w:ind w:left="5890" w:hanging="360"/>
      </w:pPr>
      <w:rPr>
        <w:rFonts w:ascii="Courier New" w:hAnsi="Courier New" w:cs="Courier New" w:hint="default"/>
      </w:rPr>
    </w:lvl>
    <w:lvl w:ilvl="8" w:tentative="1">
      <w:start w:val="1"/>
      <w:numFmt w:val="bullet"/>
      <w:lvlText w:val=""/>
      <w:lvlJc w:val="left"/>
      <w:pPr>
        <w:ind w:left="6610" w:hanging="360"/>
      </w:pPr>
      <w:rPr>
        <w:rFonts w:ascii="Wingdings" w:hAnsi="Wingdings" w:hint="default"/>
      </w:rPr>
    </w:lvl>
  </w:abstractNum>
  <w:abstractNum w:abstractNumId="40">
    <w:nsid w:val="7020478C"/>
    <w:multiLevelType w:val="hybridMultilevel"/>
    <w:tmpl w:val="26862F5A"/>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0E853DB"/>
    <w:multiLevelType w:val="hybridMultilevel"/>
    <w:tmpl w:val="9730A7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7F7087D"/>
    <w:multiLevelType w:val="hybridMultilevel"/>
    <w:tmpl w:val="D37E062C"/>
    <w:lvl w:ilvl="0">
      <w:start w:val="1"/>
      <w:numFmt w:val="bullet"/>
      <w:pStyle w:val="ESListBullet"/>
      <w:lvlText w:val=""/>
      <w:lvlJc w:val="left"/>
      <w:pPr>
        <w:ind w:left="720" w:hanging="360"/>
      </w:pPr>
      <w:rPr>
        <w:rFonts w:ascii="Symbol" w:hAnsi="Symbol" w:hint="default"/>
        <w:b/>
        <w:i w:val="0"/>
        <w:color w:val="046B5C" w:themeColor="text2"/>
        <w:sz w:val="20"/>
        <w:u w:color="0B2949"/>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AC52648"/>
    <w:multiLevelType w:val="hybridMultilevel"/>
    <w:tmpl w:val="AE36DA8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912200829">
    <w:abstractNumId w:val="35"/>
  </w:num>
  <w:num w:numId="2" w16cid:durableId="1454514749">
    <w:abstractNumId w:val="18"/>
  </w:num>
  <w:num w:numId="3" w16cid:durableId="1174109247">
    <w:abstractNumId w:val="20"/>
  </w:num>
  <w:num w:numId="4" w16cid:durableId="460268028">
    <w:abstractNumId w:val="21"/>
  </w:num>
  <w:num w:numId="5" w16cid:durableId="844515552">
    <w:abstractNumId w:val="42"/>
  </w:num>
  <w:num w:numId="6" w16cid:durableId="497307154">
    <w:abstractNumId w:val="40"/>
  </w:num>
  <w:num w:numId="7" w16cid:durableId="33433289">
    <w:abstractNumId w:val="14"/>
  </w:num>
  <w:num w:numId="8" w16cid:durableId="644702858">
    <w:abstractNumId w:val="6"/>
  </w:num>
  <w:num w:numId="9" w16cid:durableId="400099857">
    <w:abstractNumId w:val="5"/>
  </w:num>
  <w:num w:numId="10" w16cid:durableId="2097901545">
    <w:abstractNumId w:val="4"/>
  </w:num>
  <w:num w:numId="11" w16cid:durableId="429401159">
    <w:abstractNumId w:val="7"/>
  </w:num>
  <w:num w:numId="12" w16cid:durableId="1104687435">
    <w:abstractNumId w:val="3"/>
  </w:num>
  <w:num w:numId="13" w16cid:durableId="682168640">
    <w:abstractNumId w:val="2"/>
  </w:num>
  <w:num w:numId="14" w16cid:durableId="1250046615">
    <w:abstractNumId w:val="30"/>
  </w:num>
  <w:num w:numId="15" w16cid:durableId="2118594406">
    <w:abstractNumId w:val="10"/>
  </w:num>
  <w:num w:numId="16" w16cid:durableId="2110738267">
    <w:abstractNumId w:val="9"/>
  </w:num>
  <w:num w:numId="17" w16cid:durableId="2052535954">
    <w:abstractNumId w:val="26"/>
  </w:num>
  <w:num w:numId="18" w16cid:durableId="1082995310">
    <w:abstractNumId w:val="23"/>
  </w:num>
  <w:num w:numId="19" w16cid:durableId="534194745">
    <w:abstractNumId w:val="38"/>
  </w:num>
  <w:num w:numId="20" w16cid:durableId="742213855">
    <w:abstractNumId w:val="17"/>
  </w:num>
  <w:num w:numId="21" w16cid:durableId="974942647">
    <w:abstractNumId w:val="33"/>
  </w:num>
  <w:num w:numId="22" w16cid:durableId="1176920182">
    <w:abstractNumId w:val="34"/>
  </w:num>
  <w:num w:numId="23" w16cid:durableId="337274907">
    <w:abstractNumId w:val="29"/>
  </w:num>
  <w:num w:numId="24" w16cid:durableId="1005329448">
    <w:abstractNumId w:val="39"/>
  </w:num>
  <w:num w:numId="25" w16cid:durableId="2009213700">
    <w:abstractNumId w:val="37"/>
  </w:num>
  <w:num w:numId="26" w16cid:durableId="775949768">
    <w:abstractNumId w:val="8"/>
  </w:num>
  <w:num w:numId="27" w16cid:durableId="777525885">
    <w:abstractNumId w:val="1"/>
  </w:num>
  <w:num w:numId="28" w16cid:durableId="1876893205">
    <w:abstractNumId w:val="0"/>
  </w:num>
  <w:num w:numId="29" w16cid:durableId="1287664115">
    <w:abstractNumId w:val="7"/>
    <w:lvlOverride w:ilvl="0">
      <w:startOverride w:val="1"/>
    </w:lvlOverride>
  </w:num>
  <w:num w:numId="30" w16cid:durableId="2114203254">
    <w:abstractNumId w:val="37"/>
    <w:lvlOverride w:ilvl="0">
      <w:startOverride w:val="1"/>
    </w:lvlOverride>
  </w:num>
  <w:num w:numId="31" w16cid:durableId="945117417">
    <w:abstractNumId w:val="37"/>
    <w:lvlOverride w:ilvl="0">
      <w:startOverride w:val="1"/>
    </w:lvlOverride>
  </w:num>
  <w:num w:numId="32" w16cid:durableId="2128742876">
    <w:abstractNumId w:val="37"/>
    <w:lvlOverride w:ilvl="0">
      <w:startOverride w:val="1"/>
    </w:lvlOverride>
  </w:num>
  <w:num w:numId="33" w16cid:durableId="739791934">
    <w:abstractNumId w:val="37"/>
    <w:lvlOverride w:ilvl="0">
      <w:startOverride w:val="1"/>
    </w:lvlOverride>
  </w:num>
  <w:num w:numId="34" w16cid:durableId="1918903333">
    <w:abstractNumId w:val="37"/>
    <w:lvlOverride w:ilvl="0">
      <w:startOverride w:val="1"/>
    </w:lvlOverride>
  </w:num>
  <w:num w:numId="35" w16cid:durableId="512689971">
    <w:abstractNumId w:val="36"/>
  </w:num>
  <w:num w:numId="36" w16cid:durableId="1023828183">
    <w:abstractNumId w:val="16"/>
  </w:num>
  <w:num w:numId="37" w16cid:durableId="2075854995">
    <w:abstractNumId w:val="19"/>
  </w:num>
  <w:num w:numId="38" w16cid:durableId="1337031707">
    <w:abstractNumId w:val="25"/>
  </w:num>
  <w:num w:numId="39" w16cid:durableId="653417136">
    <w:abstractNumId w:val="43"/>
  </w:num>
  <w:num w:numId="40" w16cid:durableId="2024823262">
    <w:abstractNumId w:val="13"/>
  </w:num>
  <w:num w:numId="41" w16cid:durableId="1179656830">
    <w:abstractNumId w:val="27"/>
  </w:num>
  <w:num w:numId="42" w16cid:durableId="1127090051">
    <w:abstractNumId w:val="11"/>
  </w:num>
  <w:num w:numId="43" w16cid:durableId="1907304905">
    <w:abstractNumId w:val="24"/>
  </w:num>
  <w:num w:numId="44" w16cid:durableId="319384962">
    <w:abstractNumId w:val="22"/>
  </w:num>
  <w:num w:numId="45" w16cid:durableId="1039932013">
    <w:abstractNumId w:val="31"/>
  </w:num>
  <w:num w:numId="46" w16cid:durableId="708991160">
    <w:abstractNumId w:val="32"/>
  </w:num>
  <w:num w:numId="47" w16cid:durableId="443236131">
    <w:abstractNumId w:val="15"/>
  </w:num>
  <w:num w:numId="48" w16cid:durableId="1857690559">
    <w:abstractNumId w:val="41"/>
  </w:num>
  <w:num w:numId="49" w16cid:durableId="148984408">
    <w:abstractNumId w:val="12"/>
  </w:num>
  <w:num w:numId="50" w16cid:durableId="439222557">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TrueTypeFonts/>
  <w:saveSubsetFonts/>
  <w:proofState w:spelling="clean" w:grammar="clean"/>
  <w:attachedTemplate r:id="rId1"/>
  <w:stylePaneFormatFilter w:val="D224" w:allStyles="0" w:alternateStyleNames="1" w:clearFormatting="1" w:customStyles="0" w:directFormattingOnNumbering="0" w:directFormattingOnParagraphs="1" w:directFormattingOnRuns="0" w:directFormattingOnTables="0" w:headingStyles="1" w:latentStyles="1" w:numberingStyles="0" w:stylesInUse="0" w:tableStyles="0" w:top3HeadingStyles="0" w:visibleStyles="1"/>
  <w:stylePaneSortMethod w:val="name"/>
  <w:documentProtection w:formatting="1" w:enforcement="0"/>
  <w:styleLockTheme/>
  <w:styleLockQFSet/>
  <w:defaultTabStop w:val="432"/>
  <w:clickAndTypeStyle w:val="Paragraph"/>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D99"/>
    <w:rsid w:val="00000897"/>
    <w:rsid w:val="00001766"/>
    <w:rsid w:val="000030B1"/>
    <w:rsid w:val="000046BD"/>
    <w:rsid w:val="0000627C"/>
    <w:rsid w:val="00006ED7"/>
    <w:rsid w:val="000072FC"/>
    <w:rsid w:val="00010235"/>
    <w:rsid w:val="00010636"/>
    <w:rsid w:val="00010689"/>
    <w:rsid w:val="00010CEE"/>
    <w:rsid w:val="00010F86"/>
    <w:rsid w:val="00011981"/>
    <w:rsid w:val="0001369C"/>
    <w:rsid w:val="000136EC"/>
    <w:rsid w:val="00014992"/>
    <w:rsid w:val="00014AB0"/>
    <w:rsid w:val="00014B3A"/>
    <w:rsid w:val="00014CF2"/>
    <w:rsid w:val="000150F7"/>
    <w:rsid w:val="00015578"/>
    <w:rsid w:val="0001569E"/>
    <w:rsid w:val="0001587F"/>
    <w:rsid w:val="00015F6D"/>
    <w:rsid w:val="00016B08"/>
    <w:rsid w:val="00016D34"/>
    <w:rsid w:val="00017549"/>
    <w:rsid w:val="00017B16"/>
    <w:rsid w:val="00020294"/>
    <w:rsid w:val="000212FC"/>
    <w:rsid w:val="0002151F"/>
    <w:rsid w:val="000221F4"/>
    <w:rsid w:val="000223DD"/>
    <w:rsid w:val="00022505"/>
    <w:rsid w:val="00022A0A"/>
    <w:rsid w:val="0002322B"/>
    <w:rsid w:val="000234AB"/>
    <w:rsid w:val="00023DD4"/>
    <w:rsid w:val="00025174"/>
    <w:rsid w:val="00026F06"/>
    <w:rsid w:val="0002754E"/>
    <w:rsid w:val="00030A19"/>
    <w:rsid w:val="00030E11"/>
    <w:rsid w:val="0003153C"/>
    <w:rsid w:val="000320C1"/>
    <w:rsid w:val="000325B9"/>
    <w:rsid w:val="0003265D"/>
    <w:rsid w:val="00032E4E"/>
    <w:rsid w:val="00033B04"/>
    <w:rsid w:val="00033F2D"/>
    <w:rsid w:val="00034667"/>
    <w:rsid w:val="00034DB2"/>
    <w:rsid w:val="000351DD"/>
    <w:rsid w:val="00035E65"/>
    <w:rsid w:val="00036E7F"/>
    <w:rsid w:val="00037249"/>
    <w:rsid w:val="0003737C"/>
    <w:rsid w:val="00040B2C"/>
    <w:rsid w:val="000419DA"/>
    <w:rsid w:val="00041D37"/>
    <w:rsid w:val="00041E74"/>
    <w:rsid w:val="000423BE"/>
    <w:rsid w:val="00042419"/>
    <w:rsid w:val="00042464"/>
    <w:rsid w:val="00042FA8"/>
    <w:rsid w:val="000432F5"/>
    <w:rsid w:val="00043329"/>
    <w:rsid w:val="00043B27"/>
    <w:rsid w:val="00044069"/>
    <w:rsid w:val="00044272"/>
    <w:rsid w:val="00044E40"/>
    <w:rsid w:val="00044E6F"/>
    <w:rsid w:val="00045B85"/>
    <w:rsid w:val="00046A1A"/>
    <w:rsid w:val="00046D96"/>
    <w:rsid w:val="00047BDD"/>
    <w:rsid w:val="00047D5D"/>
    <w:rsid w:val="0005006C"/>
    <w:rsid w:val="00050C43"/>
    <w:rsid w:val="00050C88"/>
    <w:rsid w:val="00052A32"/>
    <w:rsid w:val="00055969"/>
    <w:rsid w:val="00056BC1"/>
    <w:rsid w:val="00056D31"/>
    <w:rsid w:val="00057425"/>
    <w:rsid w:val="000575D5"/>
    <w:rsid w:val="000578A2"/>
    <w:rsid w:val="000578BB"/>
    <w:rsid w:val="00060579"/>
    <w:rsid w:val="0006105B"/>
    <w:rsid w:val="00061707"/>
    <w:rsid w:val="0006299E"/>
    <w:rsid w:val="000633AA"/>
    <w:rsid w:val="00063DE2"/>
    <w:rsid w:val="00064DA3"/>
    <w:rsid w:val="000658E6"/>
    <w:rsid w:val="00066C7C"/>
    <w:rsid w:val="00067018"/>
    <w:rsid w:val="000671DF"/>
    <w:rsid w:val="0006743A"/>
    <w:rsid w:val="00067AEE"/>
    <w:rsid w:val="0007041A"/>
    <w:rsid w:val="000706D8"/>
    <w:rsid w:val="000724F1"/>
    <w:rsid w:val="000724F5"/>
    <w:rsid w:val="00072851"/>
    <w:rsid w:val="0007449A"/>
    <w:rsid w:val="00074FEB"/>
    <w:rsid w:val="00075822"/>
    <w:rsid w:val="000767CA"/>
    <w:rsid w:val="000777DB"/>
    <w:rsid w:val="00077878"/>
    <w:rsid w:val="00081356"/>
    <w:rsid w:val="00081E39"/>
    <w:rsid w:val="000834E0"/>
    <w:rsid w:val="0008352B"/>
    <w:rsid w:val="00083A0A"/>
    <w:rsid w:val="00083FF8"/>
    <w:rsid w:val="000845AF"/>
    <w:rsid w:val="000855BD"/>
    <w:rsid w:val="00086066"/>
    <w:rsid w:val="00087C3D"/>
    <w:rsid w:val="00090441"/>
    <w:rsid w:val="000908DF"/>
    <w:rsid w:val="00091160"/>
    <w:rsid w:val="0009143A"/>
    <w:rsid w:val="00091B8D"/>
    <w:rsid w:val="00092241"/>
    <w:rsid w:val="0009262B"/>
    <w:rsid w:val="00092806"/>
    <w:rsid w:val="0009346C"/>
    <w:rsid w:val="00094195"/>
    <w:rsid w:val="0009429C"/>
    <w:rsid w:val="000943C5"/>
    <w:rsid w:val="0009511A"/>
    <w:rsid w:val="00095543"/>
    <w:rsid w:val="00095918"/>
    <w:rsid w:val="00095E6E"/>
    <w:rsid w:val="00095E87"/>
    <w:rsid w:val="00096E64"/>
    <w:rsid w:val="00096FFA"/>
    <w:rsid w:val="000971B3"/>
    <w:rsid w:val="000972DD"/>
    <w:rsid w:val="000972E1"/>
    <w:rsid w:val="000A0B8D"/>
    <w:rsid w:val="000A0FE2"/>
    <w:rsid w:val="000A1981"/>
    <w:rsid w:val="000A1DAD"/>
    <w:rsid w:val="000A2181"/>
    <w:rsid w:val="000A2330"/>
    <w:rsid w:val="000A2A1C"/>
    <w:rsid w:val="000A2F18"/>
    <w:rsid w:val="000A3AF1"/>
    <w:rsid w:val="000A54AF"/>
    <w:rsid w:val="000A5A8D"/>
    <w:rsid w:val="000A6591"/>
    <w:rsid w:val="000A6746"/>
    <w:rsid w:val="000A6BE1"/>
    <w:rsid w:val="000A758A"/>
    <w:rsid w:val="000A7604"/>
    <w:rsid w:val="000A7E7C"/>
    <w:rsid w:val="000A7FB4"/>
    <w:rsid w:val="000B0E99"/>
    <w:rsid w:val="000B157C"/>
    <w:rsid w:val="000B1D6B"/>
    <w:rsid w:val="000B25E1"/>
    <w:rsid w:val="000B2EE6"/>
    <w:rsid w:val="000B3908"/>
    <w:rsid w:val="000B3DD1"/>
    <w:rsid w:val="000B521D"/>
    <w:rsid w:val="000B530C"/>
    <w:rsid w:val="000B555A"/>
    <w:rsid w:val="000B6E8B"/>
    <w:rsid w:val="000B764C"/>
    <w:rsid w:val="000B78C6"/>
    <w:rsid w:val="000C178D"/>
    <w:rsid w:val="000C185F"/>
    <w:rsid w:val="000C262B"/>
    <w:rsid w:val="000C2E3B"/>
    <w:rsid w:val="000C413E"/>
    <w:rsid w:val="000C53A3"/>
    <w:rsid w:val="000C5EA2"/>
    <w:rsid w:val="000C6438"/>
    <w:rsid w:val="000C6600"/>
    <w:rsid w:val="000C667C"/>
    <w:rsid w:val="000C7D4D"/>
    <w:rsid w:val="000D07D3"/>
    <w:rsid w:val="000D09AA"/>
    <w:rsid w:val="000D2746"/>
    <w:rsid w:val="000D2B3B"/>
    <w:rsid w:val="000D46B8"/>
    <w:rsid w:val="000D5B34"/>
    <w:rsid w:val="000D5B9A"/>
    <w:rsid w:val="000D5E30"/>
    <w:rsid w:val="000D6748"/>
    <w:rsid w:val="000D6A07"/>
    <w:rsid w:val="000D6B4B"/>
    <w:rsid w:val="000D6D88"/>
    <w:rsid w:val="000D751A"/>
    <w:rsid w:val="000D7604"/>
    <w:rsid w:val="000E0694"/>
    <w:rsid w:val="000E06A9"/>
    <w:rsid w:val="000E18D0"/>
    <w:rsid w:val="000E1AE1"/>
    <w:rsid w:val="000E1C2B"/>
    <w:rsid w:val="000E201F"/>
    <w:rsid w:val="000E2169"/>
    <w:rsid w:val="000E23DF"/>
    <w:rsid w:val="000E2D16"/>
    <w:rsid w:val="000E46AE"/>
    <w:rsid w:val="000E4C3F"/>
    <w:rsid w:val="000E5219"/>
    <w:rsid w:val="000E531C"/>
    <w:rsid w:val="000E6D85"/>
    <w:rsid w:val="000F197A"/>
    <w:rsid w:val="000F22CB"/>
    <w:rsid w:val="000F2DBA"/>
    <w:rsid w:val="000F3CF4"/>
    <w:rsid w:val="000F487F"/>
    <w:rsid w:val="000F514C"/>
    <w:rsid w:val="000F5259"/>
    <w:rsid w:val="000F5457"/>
    <w:rsid w:val="000F677B"/>
    <w:rsid w:val="000F6D4E"/>
    <w:rsid w:val="0010008A"/>
    <w:rsid w:val="001001ED"/>
    <w:rsid w:val="0010048B"/>
    <w:rsid w:val="001004A7"/>
    <w:rsid w:val="00100511"/>
    <w:rsid w:val="00100710"/>
    <w:rsid w:val="00100B38"/>
    <w:rsid w:val="00100D22"/>
    <w:rsid w:val="001015E2"/>
    <w:rsid w:val="00101FF2"/>
    <w:rsid w:val="0010238D"/>
    <w:rsid w:val="0010256D"/>
    <w:rsid w:val="0010292D"/>
    <w:rsid w:val="00103C77"/>
    <w:rsid w:val="00106413"/>
    <w:rsid w:val="00106BE4"/>
    <w:rsid w:val="001078C6"/>
    <w:rsid w:val="00107A8F"/>
    <w:rsid w:val="0011108E"/>
    <w:rsid w:val="001119F8"/>
    <w:rsid w:val="00112A5E"/>
    <w:rsid w:val="00113CC8"/>
    <w:rsid w:val="001168E7"/>
    <w:rsid w:val="00116BD8"/>
    <w:rsid w:val="00117892"/>
    <w:rsid w:val="001215A9"/>
    <w:rsid w:val="00122C2C"/>
    <w:rsid w:val="0012314A"/>
    <w:rsid w:val="00123A87"/>
    <w:rsid w:val="001244B1"/>
    <w:rsid w:val="00124A8A"/>
    <w:rsid w:val="001250AC"/>
    <w:rsid w:val="0012514E"/>
    <w:rsid w:val="0012547F"/>
    <w:rsid w:val="0012554D"/>
    <w:rsid w:val="0012589E"/>
    <w:rsid w:val="00125E78"/>
    <w:rsid w:val="00126560"/>
    <w:rsid w:val="001274FC"/>
    <w:rsid w:val="00127B1B"/>
    <w:rsid w:val="00130536"/>
    <w:rsid w:val="0013059D"/>
    <w:rsid w:val="00130C03"/>
    <w:rsid w:val="001311F7"/>
    <w:rsid w:val="0013184F"/>
    <w:rsid w:val="00131D22"/>
    <w:rsid w:val="00131F00"/>
    <w:rsid w:val="001326FC"/>
    <w:rsid w:val="0013346F"/>
    <w:rsid w:val="00133DF4"/>
    <w:rsid w:val="001349E2"/>
    <w:rsid w:val="00134A06"/>
    <w:rsid w:val="00134FD9"/>
    <w:rsid w:val="00135328"/>
    <w:rsid w:val="00135EB7"/>
    <w:rsid w:val="00135FB0"/>
    <w:rsid w:val="001364CF"/>
    <w:rsid w:val="0013709C"/>
    <w:rsid w:val="00137AFA"/>
    <w:rsid w:val="00137B02"/>
    <w:rsid w:val="00140249"/>
    <w:rsid w:val="0014216B"/>
    <w:rsid w:val="00142411"/>
    <w:rsid w:val="00142542"/>
    <w:rsid w:val="00142EED"/>
    <w:rsid w:val="0014445B"/>
    <w:rsid w:val="00144A6C"/>
    <w:rsid w:val="00145898"/>
    <w:rsid w:val="0014646C"/>
    <w:rsid w:val="0014674C"/>
    <w:rsid w:val="00146CE3"/>
    <w:rsid w:val="00147515"/>
    <w:rsid w:val="00147A74"/>
    <w:rsid w:val="00150CFD"/>
    <w:rsid w:val="00151D3A"/>
    <w:rsid w:val="001526E2"/>
    <w:rsid w:val="00154DF1"/>
    <w:rsid w:val="0015529D"/>
    <w:rsid w:val="00155D06"/>
    <w:rsid w:val="00155EA2"/>
    <w:rsid w:val="00156212"/>
    <w:rsid w:val="0015713C"/>
    <w:rsid w:val="00157CA2"/>
    <w:rsid w:val="001613F3"/>
    <w:rsid w:val="00161B9D"/>
    <w:rsid w:val="00161DA5"/>
    <w:rsid w:val="001629C7"/>
    <w:rsid w:val="00162ECF"/>
    <w:rsid w:val="001649D5"/>
    <w:rsid w:val="00164BC2"/>
    <w:rsid w:val="00165A07"/>
    <w:rsid w:val="0016651A"/>
    <w:rsid w:val="00166859"/>
    <w:rsid w:val="00166AD3"/>
    <w:rsid w:val="001711C1"/>
    <w:rsid w:val="00171B69"/>
    <w:rsid w:val="00171E2D"/>
    <w:rsid w:val="0017224B"/>
    <w:rsid w:val="00173986"/>
    <w:rsid w:val="001739F1"/>
    <w:rsid w:val="00173F52"/>
    <w:rsid w:val="0017416C"/>
    <w:rsid w:val="0017499B"/>
    <w:rsid w:val="00174E4D"/>
    <w:rsid w:val="00175356"/>
    <w:rsid w:val="001754FE"/>
    <w:rsid w:val="00176C98"/>
    <w:rsid w:val="00177107"/>
    <w:rsid w:val="00177441"/>
    <w:rsid w:val="00177863"/>
    <w:rsid w:val="001816C4"/>
    <w:rsid w:val="00181AC8"/>
    <w:rsid w:val="00182CF1"/>
    <w:rsid w:val="00183600"/>
    <w:rsid w:val="0018379A"/>
    <w:rsid w:val="001839D7"/>
    <w:rsid w:val="00184030"/>
    <w:rsid w:val="00184421"/>
    <w:rsid w:val="00184E72"/>
    <w:rsid w:val="00185CEF"/>
    <w:rsid w:val="0018687F"/>
    <w:rsid w:val="00186C9D"/>
    <w:rsid w:val="00186F0D"/>
    <w:rsid w:val="001871ED"/>
    <w:rsid w:val="001908F8"/>
    <w:rsid w:val="001914CA"/>
    <w:rsid w:val="00191FD5"/>
    <w:rsid w:val="001921A4"/>
    <w:rsid w:val="00192E41"/>
    <w:rsid w:val="00194A0E"/>
    <w:rsid w:val="001969F1"/>
    <w:rsid w:val="00196E5A"/>
    <w:rsid w:val="00197503"/>
    <w:rsid w:val="0019769F"/>
    <w:rsid w:val="001A1046"/>
    <w:rsid w:val="001A136E"/>
    <w:rsid w:val="001A1BDB"/>
    <w:rsid w:val="001A1D0A"/>
    <w:rsid w:val="001A1D2C"/>
    <w:rsid w:val="001A2E81"/>
    <w:rsid w:val="001A3252"/>
    <w:rsid w:val="001A3781"/>
    <w:rsid w:val="001A5123"/>
    <w:rsid w:val="001A718C"/>
    <w:rsid w:val="001A789E"/>
    <w:rsid w:val="001B107D"/>
    <w:rsid w:val="001B1B81"/>
    <w:rsid w:val="001B1E5B"/>
    <w:rsid w:val="001B322A"/>
    <w:rsid w:val="001B3530"/>
    <w:rsid w:val="001B3E47"/>
    <w:rsid w:val="001B3F4C"/>
    <w:rsid w:val="001B4842"/>
    <w:rsid w:val="001B5E5A"/>
    <w:rsid w:val="001B72EA"/>
    <w:rsid w:val="001B762F"/>
    <w:rsid w:val="001B78EA"/>
    <w:rsid w:val="001B7963"/>
    <w:rsid w:val="001B7FDC"/>
    <w:rsid w:val="001C031B"/>
    <w:rsid w:val="001C19D6"/>
    <w:rsid w:val="001C2991"/>
    <w:rsid w:val="001C3F3D"/>
    <w:rsid w:val="001C44FA"/>
    <w:rsid w:val="001C4B9D"/>
    <w:rsid w:val="001C5259"/>
    <w:rsid w:val="001C5EB8"/>
    <w:rsid w:val="001C6506"/>
    <w:rsid w:val="001C7F8F"/>
    <w:rsid w:val="001C7FBE"/>
    <w:rsid w:val="001D1350"/>
    <w:rsid w:val="001D2064"/>
    <w:rsid w:val="001D34CD"/>
    <w:rsid w:val="001D3544"/>
    <w:rsid w:val="001D39AA"/>
    <w:rsid w:val="001D39EC"/>
    <w:rsid w:val="001D4164"/>
    <w:rsid w:val="001D418D"/>
    <w:rsid w:val="001D4985"/>
    <w:rsid w:val="001D4FB6"/>
    <w:rsid w:val="001D661F"/>
    <w:rsid w:val="001D71DF"/>
    <w:rsid w:val="001D7B65"/>
    <w:rsid w:val="001E0620"/>
    <w:rsid w:val="001E16F7"/>
    <w:rsid w:val="001E1B66"/>
    <w:rsid w:val="001E3141"/>
    <w:rsid w:val="001E36F4"/>
    <w:rsid w:val="001E51FA"/>
    <w:rsid w:val="001E57E5"/>
    <w:rsid w:val="001E58F8"/>
    <w:rsid w:val="001E6246"/>
    <w:rsid w:val="001E6637"/>
    <w:rsid w:val="001E6A60"/>
    <w:rsid w:val="001E6E5A"/>
    <w:rsid w:val="001E712E"/>
    <w:rsid w:val="001E71CE"/>
    <w:rsid w:val="001E79E7"/>
    <w:rsid w:val="001E79F8"/>
    <w:rsid w:val="001E7C6C"/>
    <w:rsid w:val="001F3C20"/>
    <w:rsid w:val="001F4FB2"/>
    <w:rsid w:val="001F5515"/>
    <w:rsid w:val="001F571B"/>
    <w:rsid w:val="001F6101"/>
    <w:rsid w:val="002000FB"/>
    <w:rsid w:val="0020114B"/>
    <w:rsid w:val="002012DB"/>
    <w:rsid w:val="00201E7E"/>
    <w:rsid w:val="00202CF8"/>
    <w:rsid w:val="00203958"/>
    <w:rsid w:val="00203BB1"/>
    <w:rsid w:val="00203C28"/>
    <w:rsid w:val="00203E3B"/>
    <w:rsid w:val="00204AB9"/>
    <w:rsid w:val="00204B23"/>
    <w:rsid w:val="002050B7"/>
    <w:rsid w:val="00205E46"/>
    <w:rsid w:val="002069CF"/>
    <w:rsid w:val="00206F52"/>
    <w:rsid w:val="0020747A"/>
    <w:rsid w:val="002075C7"/>
    <w:rsid w:val="00211FFA"/>
    <w:rsid w:val="002134AD"/>
    <w:rsid w:val="00213DF6"/>
    <w:rsid w:val="002140C3"/>
    <w:rsid w:val="0021452A"/>
    <w:rsid w:val="002149A2"/>
    <w:rsid w:val="00214E0B"/>
    <w:rsid w:val="00215C5A"/>
    <w:rsid w:val="00215E4D"/>
    <w:rsid w:val="002166BC"/>
    <w:rsid w:val="00216789"/>
    <w:rsid w:val="00217A31"/>
    <w:rsid w:val="00217FA0"/>
    <w:rsid w:val="002204CD"/>
    <w:rsid w:val="00221020"/>
    <w:rsid w:val="00221211"/>
    <w:rsid w:val="00221C5B"/>
    <w:rsid w:val="00222316"/>
    <w:rsid w:val="002234B4"/>
    <w:rsid w:val="00224D9D"/>
    <w:rsid w:val="00224E40"/>
    <w:rsid w:val="00224FAF"/>
    <w:rsid w:val="00225954"/>
    <w:rsid w:val="00225A35"/>
    <w:rsid w:val="00226D01"/>
    <w:rsid w:val="0022714B"/>
    <w:rsid w:val="002272CB"/>
    <w:rsid w:val="002273EC"/>
    <w:rsid w:val="00227E6B"/>
    <w:rsid w:val="002312C5"/>
    <w:rsid w:val="00231607"/>
    <w:rsid w:val="00231A65"/>
    <w:rsid w:val="002325A5"/>
    <w:rsid w:val="0023638D"/>
    <w:rsid w:val="00236452"/>
    <w:rsid w:val="00236484"/>
    <w:rsid w:val="00237E1F"/>
    <w:rsid w:val="00240B91"/>
    <w:rsid w:val="00240CF1"/>
    <w:rsid w:val="002415BD"/>
    <w:rsid w:val="00241C9F"/>
    <w:rsid w:val="00242E98"/>
    <w:rsid w:val="0024420E"/>
    <w:rsid w:val="00244B42"/>
    <w:rsid w:val="00245F71"/>
    <w:rsid w:val="00246468"/>
    <w:rsid w:val="00247945"/>
    <w:rsid w:val="0025023C"/>
    <w:rsid w:val="0025070E"/>
    <w:rsid w:val="00250848"/>
    <w:rsid w:val="00250D2A"/>
    <w:rsid w:val="00251C7D"/>
    <w:rsid w:val="00252013"/>
    <w:rsid w:val="0025248B"/>
    <w:rsid w:val="002542CB"/>
    <w:rsid w:val="00254B55"/>
    <w:rsid w:val="00254C89"/>
    <w:rsid w:val="00254E2D"/>
    <w:rsid w:val="002559C5"/>
    <w:rsid w:val="00255AAE"/>
    <w:rsid w:val="00256A48"/>
    <w:rsid w:val="00256D04"/>
    <w:rsid w:val="00256F1E"/>
    <w:rsid w:val="00257461"/>
    <w:rsid w:val="00257557"/>
    <w:rsid w:val="0026025C"/>
    <w:rsid w:val="002606D9"/>
    <w:rsid w:val="00260EB6"/>
    <w:rsid w:val="00261382"/>
    <w:rsid w:val="00261A27"/>
    <w:rsid w:val="0026333A"/>
    <w:rsid w:val="00264782"/>
    <w:rsid w:val="00265D3F"/>
    <w:rsid w:val="00265EFA"/>
    <w:rsid w:val="0026713B"/>
    <w:rsid w:val="00267412"/>
    <w:rsid w:val="00270CAA"/>
    <w:rsid w:val="00271C83"/>
    <w:rsid w:val="0027245E"/>
    <w:rsid w:val="00272B66"/>
    <w:rsid w:val="002733A4"/>
    <w:rsid w:val="0027557A"/>
    <w:rsid w:val="00276031"/>
    <w:rsid w:val="00276353"/>
    <w:rsid w:val="002774E2"/>
    <w:rsid w:val="0028039E"/>
    <w:rsid w:val="00280DC8"/>
    <w:rsid w:val="00281585"/>
    <w:rsid w:val="002817A6"/>
    <w:rsid w:val="002830E3"/>
    <w:rsid w:val="00283304"/>
    <w:rsid w:val="0028360E"/>
    <w:rsid w:val="00283DEA"/>
    <w:rsid w:val="0028430F"/>
    <w:rsid w:val="00284837"/>
    <w:rsid w:val="00284896"/>
    <w:rsid w:val="00284C16"/>
    <w:rsid w:val="002857D5"/>
    <w:rsid w:val="0028615B"/>
    <w:rsid w:val="002869EF"/>
    <w:rsid w:val="00286DD0"/>
    <w:rsid w:val="00287F7B"/>
    <w:rsid w:val="0029011D"/>
    <w:rsid w:val="0029042C"/>
    <w:rsid w:val="00290858"/>
    <w:rsid w:val="00291DCE"/>
    <w:rsid w:val="00291EBD"/>
    <w:rsid w:val="0029211D"/>
    <w:rsid w:val="00292A7F"/>
    <w:rsid w:val="00294B21"/>
    <w:rsid w:val="00296090"/>
    <w:rsid w:val="002967D0"/>
    <w:rsid w:val="00297266"/>
    <w:rsid w:val="002A00E4"/>
    <w:rsid w:val="002A1180"/>
    <w:rsid w:val="002A11DC"/>
    <w:rsid w:val="002A15F3"/>
    <w:rsid w:val="002A1ED1"/>
    <w:rsid w:val="002A2064"/>
    <w:rsid w:val="002A2262"/>
    <w:rsid w:val="002A22CB"/>
    <w:rsid w:val="002A2483"/>
    <w:rsid w:val="002A2808"/>
    <w:rsid w:val="002A284B"/>
    <w:rsid w:val="002A3D5D"/>
    <w:rsid w:val="002A4F27"/>
    <w:rsid w:val="002A5111"/>
    <w:rsid w:val="002A544E"/>
    <w:rsid w:val="002A5FD5"/>
    <w:rsid w:val="002A64F9"/>
    <w:rsid w:val="002A6552"/>
    <w:rsid w:val="002A722C"/>
    <w:rsid w:val="002A74DE"/>
    <w:rsid w:val="002A7FDE"/>
    <w:rsid w:val="002B0E82"/>
    <w:rsid w:val="002B24F2"/>
    <w:rsid w:val="002B25CD"/>
    <w:rsid w:val="002B2DB3"/>
    <w:rsid w:val="002B2F7B"/>
    <w:rsid w:val="002B3201"/>
    <w:rsid w:val="002B3AC4"/>
    <w:rsid w:val="002B4998"/>
    <w:rsid w:val="002B4FB4"/>
    <w:rsid w:val="002B508A"/>
    <w:rsid w:val="002B50B6"/>
    <w:rsid w:val="002B532F"/>
    <w:rsid w:val="002B71CD"/>
    <w:rsid w:val="002B72E0"/>
    <w:rsid w:val="002B76AB"/>
    <w:rsid w:val="002B76D5"/>
    <w:rsid w:val="002B7C37"/>
    <w:rsid w:val="002C0508"/>
    <w:rsid w:val="002C0B37"/>
    <w:rsid w:val="002C0C0D"/>
    <w:rsid w:val="002C0C7A"/>
    <w:rsid w:val="002C100C"/>
    <w:rsid w:val="002C1507"/>
    <w:rsid w:val="002C23C7"/>
    <w:rsid w:val="002C2601"/>
    <w:rsid w:val="002C35AE"/>
    <w:rsid w:val="002C3665"/>
    <w:rsid w:val="002C3CA5"/>
    <w:rsid w:val="002C40A9"/>
    <w:rsid w:val="002C4BF2"/>
    <w:rsid w:val="002C598D"/>
    <w:rsid w:val="002C682B"/>
    <w:rsid w:val="002C71CA"/>
    <w:rsid w:val="002C72C2"/>
    <w:rsid w:val="002C72D2"/>
    <w:rsid w:val="002D048E"/>
    <w:rsid w:val="002D07E3"/>
    <w:rsid w:val="002D262A"/>
    <w:rsid w:val="002D3B71"/>
    <w:rsid w:val="002D4133"/>
    <w:rsid w:val="002D4879"/>
    <w:rsid w:val="002D5049"/>
    <w:rsid w:val="002D5970"/>
    <w:rsid w:val="002D5B01"/>
    <w:rsid w:val="002D5DAF"/>
    <w:rsid w:val="002D60BC"/>
    <w:rsid w:val="002D66A8"/>
    <w:rsid w:val="002D6763"/>
    <w:rsid w:val="002D7B94"/>
    <w:rsid w:val="002E06F1"/>
    <w:rsid w:val="002E0D8F"/>
    <w:rsid w:val="002E183E"/>
    <w:rsid w:val="002E226E"/>
    <w:rsid w:val="002E2742"/>
    <w:rsid w:val="002E390A"/>
    <w:rsid w:val="002E3E35"/>
    <w:rsid w:val="002E422F"/>
    <w:rsid w:val="002E5E67"/>
    <w:rsid w:val="002E6A72"/>
    <w:rsid w:val="002E6BB9"/>
    <w:rsid w:val="002E6CBA"/>
    <w:rsid w:val="002E714D"/>
    <w:rsid w:val="002F0A27"/>
    <w:rsid w:val="002F1AEA"/>
    <w:rsid w:val="002F1E63"/>
    <w:rsid w:val="002F297B"/>
    <w:rsid w:val="002F4173"/>
    <w:rsid w:val="002F58FD"/>
    <w:rsid w:val="002F6C75"/>
    <w:rsid w:val="002F6E35"/>
    <w:rsid w:val="002F7E12"/>
    <w:rsid w:val="002F7E96"/>
    <w:rsid w:val="003006AB"/>
    <w:rsid w:val="00300B4E"/>
    <w:rsid w:val="0030179B"/>
    <w:rsid w:val="0030210D"/>
    <w:rsid w:val="003023EC"/>
    <w:rsid w:val="0030242C"/>
    <w:rsid w:val="00302441"/>
    <w:rsid w:val="003025BA"/>
    <w:rsid w:val="003025D2"/>
    <w:rsid w:val="00302890"/>
    <w:rsid w:val="0030386B"/>
    <w:rsid w:val="0030563D"/>
    <w:rsid w:val="0030651C"/>
    <w:rsid w:val="00306F1E"/>
    <w:rsid w:val="003079E9"/>
    <w:rsid w:val="0031026C"/>
    <w:rsid w:val="003102AD"/>
    <w:rsid w:val="0031038B"/>
    <w:rsid w:val="00310CBE"/>
    <w:rsid w:val="00311A51"/>
    <w:rsid w:val="003122C7"/>
    <w:rsid w:val="00314B36"/>
    <w:rsid w:val="00315D77"/>
    <w:rsid w:val="00315DEC"/>
    <w:rsid w:val="00315F8F"/>
    <w:rsid w:val="00316328"/>
    <w:rsid w:val="003165C8"/>
    <w:rsid w:val="00317399"/>
    <w:rsid w:val="0031740A"/>
    <w:rsid w:val="00317D7F"/>
    <w:rsid w:val="00317DD3"/>
    <w:rsid w:val="00317E6D"/>
    <w:rsid w:val="00317FDB"/>
    <w:rsid w:val="003208B3"/>
    <w:rsid w:val="00321145"/>
    <w:rsid w:val="0032121E"/>
    <w:rsid w:val="00322390"/>
    <w:rsid w:val="00322713"/>
    <w:rsid w:val="00323036"/>
    <w:rsid w:val="00323195"/>
    <w:rsid w:val="00324098"/>
    <w:rsid w:val="003250D8"/>
    <w:rsid w:val="00325FF2"/>
    <w:rsid w:val="00326958"/>
    <w:rsid w:val="00327865"/>
    <w:rsid w:val="0033012A"/>
    <w:rsid w:val="003308C3"/>
    <w:rsid w:val="0033132A"/>
    <w:rsid w:val="00331ADC"/>
    <w:rsid w:val="003337AF"/>
    <w:rsid w:val="00333857"/>
    <w:rsid w:val="003357BA"/>
    <w:rsid w:val="0033626E"/>
    <w:rsid w:val="003363E8"/>
    <w:rsid w:val="003369A7"/>
    <w:rsid w:val="0033765D"/>
    <w:rsid w:val="00337684"/>
    <w:rsid w:val="00337D81"/>
    <w:rsid w:val="00337E94"/>
    <w:rsid w:val="0034036E"/>
    <w:rsid w:val="00340C54"/>
    <w:rsid w:val="00341682"/>
    <w:rsid w:val="00342537"/>
    <w:rsid w:val="003426BF"/>
    <w:rsid w:val="00345244"/>
    <w:rsid w:val="00345556"/>
    <w:rsid w:val="003456F6"/>
    <w:rsid w:val="00345FBF"/>
    <w:rsid w:val="00346E5F"/>
    <w:rsid w:val="00346F07"/>
    <w:rsid w:val="00347636"/>
    <w:rsid w:val="003478DB"/>
    <w:rsid w:val="00347977"/>
    <w:rsid w:val="003500F5"/>
    <w:rsid w:val="003502D0"/>
    <w:rsid w:val="00350B2A"/>
    <w:rsid w:val="0035159A"/>
    <w:rsid w:val="00351B5D"/>
    <w:rsid w:val="003545DB"/>
    <w:rsid w:val="00354F38"/>
    <w:rsid w:val="0035526C"/>
    <w:rsid w:val="003556EF"/>
    <w:rsid w:val="0035632B"/>
    <w:rsid w:val="003567EB"/>
    <w:rsid w:val="003569CA"/>
    <w:rsid w:val="00357B5C"/>
    <w:rsid w:val="00360C86"/>
    <w:rsid w:val="00360D65"/>
    <w:rsid w:val="0036230B"/>
    <w:rsid w:val="00362522"/>
    <w:rsid w:val="00362CE5"/>
    <w:rsid w:val="00363298"/>
    <w:rsid w:val="00363410"/>
    <w:rsid w:val="00363A19"/>
    <w:rsid w:val="00364C25"/>
    <w:rsid w:val="003656C4"/>
    <w:rsid w:val="00366F93"/>
    <w:rsid w:val="00367305"/>
    <w:rsid w:val="00367401"/>
    <w:rsid w:val="00367F27"/>
    <w:rsid w:val="00370490"/>
    <w:rsid w:val="00370BC5"/>
    <w:rsid w:val="00370D5B"/>
    <w:rsid w:val="003722C6"/>
    <w:rsid w:val="00372523"/>
    <w:rsid w:val="003732D3"/>
    <w:rsid w:val="00374049"/>
    <w:rsid w:val="003743AD"/>
    <w:rsid w:val="00374454"/>
    <w:rsid w:val="003753EA"/>
    <w:rsid w:val="00375E13"/>
    <w:rsid w:val="00376F39"/>
    <w:rsid w:val="00381437"/>
    <w:rsid w:val="00381D30"/>
    <w:rsid w:val="003822BC"/>
    <w:rsid w:val="00383AF2"/>
    <w:rsid w:val="003845F2"/>
    <w:rsid w:val="00384A00"/>
    <w:rsid w:val="00384E5E"/>
    <w:rsid w:val="0038698E"/>
    <w:rsid w:val="00387C3D"/>
    <w:rsid w:val="00390226"/>
    <w:rsid w:val="00390C31"/>
    <w:rsid w:val="00391A13"/>
    <w:rsid w:val="003921CA"/>
    <w:rsid w:val="00392614"/>
    <w:rsid w:val="00392700"/>
    <w:rsid w:val="00392D94"/>
    <w:rsid w:val="00394544"/>
    <w:rsid w:val="003946B6"/>
    <w:rsid w:val="00394953"/>
    <w:rsid w:val="00394DAA"/>
    <w:rsid w:val="003954AE"/>
    <w:rsid w:val="003969F2"/>
    <w:rsid w:val="00396FD7"/>
    <w:rsid w:val="00397B3F"/>
    <w:rsid w:val="003A0C7A"/>
    <w:rsid w:val="003A0DAE"/>
    <w:rsid w:val="003A16DA"/>
    <w:rsid w:val="003A1714"/>
    <w:rsid w:val="003A3ADA"/>
    <w:rsid w:val="003A501E"/>
    <w:rsid w:val="003A5F00"/>
    <w:rsid w:val="003A63C1"/>
    <w:rsid w:val="003A67C3"/>
    <w:rsid w:val="003A6C14"/>
    <w:rsid w:val="003B0ABD"/>
    <w:rsid w:val="003B11F7"/>
    <w:rsid w:val="003B1491"/>
    <w:rsid w:val="003B2304"/>
    <w:rsid w:val="003B3211"/>
    <w:rsid w:val="003B32AF"/>
    <w:rsid w:val="003B451B"/>
    <w:rsid w:val="003B4C48"/>
    <w:rsid w:val="003B65A1"/>
    <w:rsid w:val="003B6EBB"/>
    <w:rsid w:val="003B7A1A"/>
    <w:rsid w:val="003C0204"/>
    <w:rsid w:val="003C07E9"/>
    <w:rsid w:val="003C1235"/>
    <w:rsid w:val="003C153D"/>
    <w:rsid w:val="003C2F77"/>
    <w:rsid w:val="003C3464"/>
    <w:rsid w:val="003C38EC"/>
    <w:rsid w:val="003C3C2E"/>
    <w:rsid w:val="003C3D79"/>
    <w:rsid w:val="003C531D"/>
    <w:rsid w:val="003C556C"/>
    <w:rsid w:val="003C5D9A"/>
    <w:rsid w:val="003C6248"/>
    <w:rsid w:val="003C683A"/>
    <w:rsid w:val="003C698F"/>
    <w:rsid w:val="003C7CEC"/>
    <w:rsid w:val="003D036E"/>
    <w:rsid w:val="003D095B"/>
    <w:rsid w:val="003D166D"/>
    <w:rsid w:val="003D1980"/>
    <w:rsid w:val="003D1AD9"/>
    <w:rsid w:val="003D1EB9"/>
    <w:rsid w:val="003D292A"/>
    <w:rsid w:val="003D2BC0"/>
    <w:rsid w:val="003D3261"/>
    <w:rsid w:val="003D3606"/>
    <w:rsid w:val="003D378C"/>
    <w:rsid w:val="003D3D84"/>
    <w:rsid w:val="003D58D1"/>
    <w:rsid w:val="003D5ECD"/>
    <w:rsid w:val="003D5F58"/>
    <w:rsid w:val="003D6733"/>
    <w:rsid w:val="003E0CEA"/>
    <w:rsid w:val="003E0F39"/>
    <w:rsid w:val="003E1047"/>
    <w:rsid w:val="003E1336"/>
    <w:rsid w:val="003E1520"/>
    <w:rsid w:val="003E15F9"/>
    <w:rsid w:val="003E21DB"/>
    <w:rsid w:val="003E2202"/>
    <w:rsid w:val="003E2B32"/>
    <w:rsid w:val="003E30C6"/>
    <w:rsid w:val="003E3505"/>
    <w:rsid w:val="003E3E43"/>
    <w:rsid w:val="003E418E"/>
    <w:rsid w:val="003E5A0C"/>
    <w:rsid w:val="003E70CB"/>
    <w:rsid w:val="003E7365"/>
    <w:rsid w:val="003E7979"/>
    <w:rsid w:val="003F1529"/>
    <w:rsid w:val="003F2792"/>
    <w:rsid w:val="003F3340"/>
    <w:rsid w:val="003F4A95"/>
    <w:rsid w:val="003F4ADD"/>
    <w:rsid w:val="003F5810"/>
    <w:rsid w:val="003F64A6"/>
    <w:rsid w:val="003F678A"/>
    <w:rsid w:val="003F6B98"/>
    <w:rsid w:val="003F7027"/>
    <w:rsid w:val="003F74D9"/>
    <w:rsid w:val="003F7BEE"/>
    <w:rsid w:val="003F7D6D"/>
    <w:rsid w:val="0040000C"/>
    <w:rsid w:val="00400AC2"/>
    <w:rsid w:val="00401268"/>
    <w:rsid w:val="004019B4"/>
    <w:rsid w:val="00401E77"/>
    <w:rsid w:val="00401EF5"/>
    <w:rsid w:val="0040320A"/>
    <w:rsid w:val="004033CC"/>
    <w:rsid w:val="004043DC"/>
    <w:rsid w:val="004043FA"/>
    <w:rsid w:val="00405454"/>
    <w:rsid w:val="00405CC3"/>
    <w:rsid w:val="00406760"/>
    <w:rsid w:val="00410C38"/>
    <w:rsid w:val="00412225"/>
    <w:rsid w:val="004127D2"/>
    <w:rsid w:val="00413560"/>
    <w:rsid w:val="00413779"/>
    <w:rsid w:val="0041401A"/>
    <w:rsid w:val="00414588"/>
    <w:rsid w:val="00414709"/>
    <w:rsid w:val="004152B5"/>
    <w:rsid w:val="00417060"/>
    <w:rsid w:val="0042280C"/>
    <w:rsid w:val="00422CCB"/>
    <w:rsid w:val="00423F6C"/>
    <w:rsid w:val="004249CB"/>
    <w:rsid w:val="00424ED2"/>
    <w:rsid w:val="0042556D"/>
    <w:rsid w:val="00425714"/>
    <w:rsid w:val="00426FB9"/>
    <w:rsid w:val="00427399"/>
    <w:rsid w:val="00430A83"/>
    <w:rsid w:val="00431084"/>
    <w:rsid w:val="0043179A"/>
    <w:rsid w:val="00432A48"/>
    <w:rsid w:val="00432C4E"/>
    <w:rsid w:val="004337A1"/>
    <w:rsid w:val="004338EC"/>
    <w:rsid w:val="00435539"/>
    <w:rsid w:val="00436B58"/>
    <w:rsid w:val="00436BEA"/>
    <w:rsid w:val="00436CFC"/>
    <w:rsid w:val="004372F4"/>
    <w:rsid w:val="00437868"/>
    <w:rsid w:val="00440176"/>
    <w:rsid w:val="00440198"/>
    <w:rsid w:val="004406E3"/>
    <w:rsid w:val="00440932"/>
    <w:rsid w:val="00441BAF"/>
    <w:rsid w:val="00442305"/>
    <w:rsid w:val="00442800"/>
    <w:rsid w:val="00442B1A"/>
    <w:rsid w:val="00442B83"/>
    <w:rsid w:val="0044335E"/>
    <w:rsid w:val="00443B73"/>
    <w:rsid w:val="00444916"/>
    <w:rsid w:val="00445E09"/>
    <w:rsid w:val="004468E2"/>
    <w:rsid w:val="00446C1B"/>
    <w:rsid w:val="00446E88"/>
    <w:rsid w:val="00450373"/>
    <w:rsid w:val="0045073C"/>
    <w:rsid w:val="004512E1"/>
    <w:rsid w:val="00451B33"/>
    <w:rsid w:val="00452B0E"/>
    <w:rsid w:val="004533DB"/>
    <w:rsid w:val="0045369E"/>
    <w:rsid w:val="004538AF"/>
    <w:rsid w:val="00455627"/>
    <w:rsid w:val="00455D47"/>
    <w:rsid w:val="00456177"/>
    <w:rsid w:val="004571CF"/>
    <w:rsid w:val="004579FE"/>
    <w:rsid w:val="0046209A"/>
    <w:rsid w:val="004620D9"/>
    <w:rsid w:val="004620E0"/>
    <w:rsid w:val="004620FF"/>
    <w:rsid w:val="00462212"/>
    <w:rsid w:val="0046287A"/>
    <w:rsid w:val="00463674"/>
    <w:rsid w:val="00464B7F"/>
    <w:rsid w:val="004655C1"/>
    <w:rsid w:val="00465789"/>
    <w:rsid w:val="00465921"/>
    <w:rsid w:val="00465EAD"/>
    <w:rsid w:val="004662C5"/>
    <w:rsid w:val="0046666B"/>
    <w:rsid w:val="00466D14"/>
    <w:rsid w:val="00467686"/>
    <w:rsid w:val="00471574"/>
    <w:rsid w:val="00471EE5"/>
    <w:rsid w:val="0047215F"/>
    <w:rsid w:val="00472E39"/>
    <w:rsid w:val="00473AC9"/>
    <w:rsid w:val="0047408B"/>
    <w:rsid w:val="0047458A"/>
    <w:rsid w:val="004749C2"/>
    <w:rsid w:val="0047529D"/>
    <w:rsid w:val="00476596"/>
    <w:rsid w:val="00476B57"/>
    <w:rsid w:val="00477AC4"/>
    <w:rsid w:val="00477C89"/>
    <w:rsid w:val="00477D80"/>
    <w:rsid w:val="00480779"/>
    <w:rsid w:val="00482262"/>
    <w:rsid w:val="00482A3E"/>
    <w:rsid w:val="00483A51"/>
    <w:rsid w:val="00483AB1"/>
    <w:rsid w:val="00483AF4"/>
    <w:rsid w:val="004862AF"/>
    <w:rsid w:val="004867C2"/>
    <w:rsid w:val="0048681C"/>
    <w:rsid w:val="00487DDC"/>
    <w:rsid w:val="0049195D"/>
    <w:rsid w:val="00491AB9"/>
    <w:rsid w:val="00492286"/>
    <w:rsid w:val="004922B2"/>
    <w:rsid w:val="00492D01"/>
    <w:rsid w:val="00492D69"/>
    <w:rsid w:val="004934BE"/>
    <w:rsid w:val="0049383D"/>
    <w:rsid w:val="004945FF"/>
    <w:rsid w:val="00495D2D"/>
    <w:rsid w:val="00495DE3"/>
    <w:rsid w:val="00496D67"/>
    <w:rsid w:val="00496EDF"/>
    <w:rsid w:val="0049723D"/>
    <w:rsid w:val="004A0870"/>
    <w:rsid w:val="004A2DEA"/>
    <w:rsid w:val="004A3377"/>
    <w:rsid w:val="004A3984"/>
    <w:rsid w:val="004A4430"/>
    <w:rsid w:val="004A4935"/>
    <w:rsid w:val="004A75EC"/>
    <w:rsid w:val="004B0024"/>
    <w:rsid w:val="004B10AF"/>
    <w:rsid w:val="004B2B73"/>
    <w:rsid w:val="004B36BB"/>
    <w:rsid w:val="004B38B6"/>
    <w:rsid w:val="004B39BF"/>
    <w:rsid w:val="004B3CF0"/>
    <w:rsid w:val="004B47D3"/>
    <w:rsid w:val="004B48BC"/>
    <w:rsid w:val="004B4ABE"/>
    <w:rsid w:val="004B505A"/>
    <w:rsid w:val="004B5267"/>
    <w:rsid w:val="004B5767"/>
    <w:rsid w:val="004B5934"/>
    <w:rsid w:val="004B59E9"/>
    <w:rsid w:val="004B5CE9"/>
    <w:rsid w:val="004B5D0A"/>
    <w:rsid w:val="004B5F5A"/>
    <w:rsid w:val="004B6555"/>
    <w:rsid w:val="004B6A25"/>
    <w:rsid w:val="004B7FEA"/>
    <w:rsid w:val="004C003D"/>
    <w:rsid w:val="004C07C9"/>
    <w:rsid w:val="004C2622"/>
    <w:rsid w:val="004C265C"/>
    <w:rsid w:val="004C2681"/>
    <w:rsid w:val="004C2DBD"/>
    <w:rsid w:val="004C37D2"/>
    <w:rsid w:val="004C4617"/>
    <w:rsid w:val="004C46F2"/>
    <w:rsid w:val="004C498B"/>
    <w:rsid w:val="004C53BD"/>
    <w:rsid w:val="004C6127"/>
    <w:rsid w:val="004C65B3"/>
    <w:rsid w:val="004C67B1"/>
    <w:rsid w:val="004C7472"/>
    <w:rsid w:val="004C7804"/>
    <w:rsid w:val="004D02B2"/>
    <w:rsid w:val="004D05AD"/>
    <w:rsid w:val="004D0C1F"/>
    <w:rsid w:val="004D1EAA"/>
    <w:rsid w:val="004D2643"/>
    <w:rsid w:val="004D2850"/>
    <w:rsid w:val="004D2C35"/>
    <w:rsid w:val="004D3B77"/>
    <w:rsid w:val="004D486F"/>
    <w:rsid w:val="004D53B2"/>
    <w:rsid w:val="004D59B4"/>
    <w:rsid w:val="004D6B97"/>
    <w:rsid w:val="004D7A00"/>
    <w:rsid w:val="004D7BF5"/>
    <w:rsid w:val="004D7F10"/>
    <w:rsid w:val="004E049B"/>
    <w:rsid w:val="004E084A"/>
    <w:rsid w:val="004E117E"/>
    <w:rsid w:val="004E14C9"/>
    <w:rsid w:val="004E1976"/>
    <w:rsid w:val="004E3C1C"/>
    <w:rsid w:val="004E520C"/>
    <w:rsid w:val="004E54F8"/>
    <w:rsid w:val="004E6247"/>
    <w:rsid w:val="004E69F7"/>
    <w:rsid w:val="004E7409"/>
    <w:rsid w:val="004E74D1"/>
    <w:rsid w:val="004F2BAC"/>
    <w:rsid w:val="004F36C4"/>
    <w:rsid w:val="004F426B"/>
    <w:rsid w:val="004F688E"/>
    <w:rsid w:val="004F6CC1"/>
    <w:rsid w:val="004F6F4A"/>
    <w:rsid w:val="004F715B"/>
    <w:rsid w:val="004F78AA"/>
    <w:rsid w:val="00500104"/>
    <w:rsid w:val="0050038C"/>
    <w:rsid w:val="0050075C"/>
    <w:rsid w:val="005025EF"/>
    <w:rsid w:val="0050429E"/>
    <w:rsid w:val="00504724"/>
    <w:rsid w:val="00504770"/>
    <w:rsid w:val="00505103"/>
    <w:rsid w:val="00505804"/>
    <w:rsid w:val="00505B7A"/>
    <w:rsid w:val="00506F79"/>
    <w:rsid w:val="00507D47"/>
    <w:rsid w:val="00510612"/>
    <w:rsid w:val="005111C0"/>
    <w:rsid w:val="00511D22"/>
    <w:rsid w:val="00513298"/>
    <w:rsid w:val="00513C83"/>
    <w:rsid w:val="00514028"/>
    <w:rsid w:val="005147CD"/>
    <w:rsid w:val="00514D43"/>
    <w:rsid w:val="00515157"/>
    <w:rsid w:val="00515443"/>
    <w:rsid w:val="00515FF6"/>
    <w:rsid w:val="00516C40"/>
    <w:rsid w:val="00517C6B"/>
    <w:rsid w:val="00520526"/>
    <w:rsid w:val="00521D05"/>
    <w:rsid w:val="00521EAD"/>
    <w:rsid w:val="00523A8F"/>
    <w:rsid w:val="00523E1E"/>
    <w:rsid w:val="0052467D"/>
    <w:rsid w:val="00524C1C"/>
    <w:rsid w:val="005254FD"/>
    <w:rsid w:val="00525622"/>
    <w:rsid w:val="005257EC"/>
    <w:rsid w:val="00526576"/>
    <w:rsid w:val="00526631"/>
    <w:rsid w:val="00526C1B"/>
    <w:rsid w:val="00526D08"/>
    <w:rsid w:val="00527568"/>
    <w:rsid w:val="00527A06"/>
    <w:rsid w:val="0053051B"/>
    <w:rsid w:val="00530DA4"/>
    <w:rsid w:val="00530FFB"/>
    <w:rsid w:val="00531E61"/>
    <w:rsid w:val="00532E90"/>
    <w:rsid w:val="00533392"/>
    <w:rsid w:val="00533800"/>
    <w:rsid w:val="00533B15"/>
    <w:rsid w:val="0053482F"/>
    <w:rsid w:val="005350B0"/>
    <w:rsid w:val="00535221"/>
    <w:rsid w:val="0053540D"/>
    <w:rsid w:val="00537E01"/>
    <w:rsid w:val="005400FC"/>
    <w:rsid w:val="00540352"/>
    <w:rsid w:val="005403E8"/>
    <w:rsid w:val="00540405"/>
    <w:rsid w:val="00541A89"/>
    <w:rsid w:val="00541B7F"/>
    <w:rsid w:val="005437C5"/>
    <w:rsid w:val="005439A6"/>
    <w:rsid w:val="00544095"/>
    <w:rsid w:val="005443ED"/>
    <w:rsid w:val="00545A40"/>
    <w:rsid w:val="00545B82"/>
    <w:rsid w:val="00547150"/>
    <w:rsid w:val="0054725E"/>
    <w:rsid w:val="0054746F"/>
    <w:rsid w:val="00550A98"/>
    <w:rsid w:val="00550D4C"/>
    <w:rsid w:val="00550DF2"/>
    <w:rsid w:val="00550E33"/>
    <w:rsid w:val="00551118"/>
    <w:rsid w:val="00551420"/>
    <w:rsid w:val="00551D48"/>
    <w:rsid w:val="0055290D"/>
    <w:rsid w:val="00553F81"/>
    <w:rsid w:val="005547CA"/>
    <w:rsid w:val="005557E9"/>
    <w:rsid w:val="00555F68"/>
    <w:rsid w:val="00556398"/>
    <w:rsid w:val="005576F8"/>
    <w:rsid w:val="005608FA"/>
    <w:rsid w:val="00560989"/>
    <w:rsid w:val="00560D9D"/>
    <w:rsid w:val="00561604"/>
    <w:rsid w:val="0056190D"/>
    <w:rsid w:val="00563C42"/>
    <w:rsid w:val="005641B4"/>
    <w:rsid w:val="0056685F"/>
    <w:rsid w:val="00566962"/>
    <w:rsid w:val="00566C57"/>
    <w:rsid w:val="0056729F"/>
    <w:rsid w:val="00570970"/>
    <w:rsid w:val="00571878"/>
    <w:rsid w:val="005720EB"/>
    <w:rsid w:val="00572B54"/>
    <w:rsid w:val="00573C6E"/>
    <w:rsid w:val="0057453B"/>
    <w:rsid w:val="00574EDD"/>
    <w:rsid w:val="00577832"/>
    <w:rsid w:val="00577C7A"/>
    <w:rsid w:val="00580A6C"/>
    <w:rsid w:val="00581F85"/>
    <w:rsid w:val="005837E2"/>
    <w:rsid w:val="0058515F"/>
    <w:rsid w:val="00585F60"/>
    <w:rsid w:val="005860D2"/>
    <w:rsid w:val="00586106"/>
    <w:rsid w:val="00586D96"/>
    <w:rsid w:val="00590361"/>
    <w:rsid w:val="005903AC"/>
    <w:rsid w:val="00591A61"/>
    <w:rsid w:val="00592360"/>
    <w:rsid w:val="00592471"/>
    <w:rsid w:val="005937EB"/>
    <w:rsid w:val="00595FE7"/>
    <w:rsid w:val="005968E1"/>
    <w:rsid w:val="005969EC"/>
    <w:rsid w:val="00597042"/>
    <w:rsid w:val="005970FF"/>
    <w:rsid w:val="005975FE"/>
    <w:rsid w:val="00597E2E"/>
    <w:rsid w:val="005A0C7C"/>
    <w:rsid w:val="005A151B"/>
    <w:rsid w:val="005A1AE3"/>
    <w:rsid w:val="005A1B02"/>
    <w:rsid w:val="005A22F7"/>
    <w:rsid w:val="005A2417"/>
    <w:rsid w:val="005A2504"/>
    <w:rsid w:val="005A2943"/>
    <w:rsid w:val="005A42E8"/>
    <w:rsid w:val="005A4B51"/>
    <w:rsid w:val="005A632E"/>
    <w:rsid w:val="005A6789"/>
    <w:rsid w:val="005A774C"/>
    <w:rsid w:val="005A7D7E"/>
    <w:rsid w:val="005A7F69"/>
    <w:rsid w:val="005B0538"/>
    <w:rsid w:val="005B0854"/>
    <w:rsid w:val="005B197E"/>
    <w:rsid w:val="005B3113"/>
    <w:rsid w:val="005B39F1"/>
    <w:rsid w:val="005B3BFB"/>
    <w:rsid w:val="005B3EA6"/>
    <w:rsid w:val="005B405C"/>
    <w:rsid w:val="005B4ABF"/>
    <w:rsid w:val="005B5D0B"/>
    <w:rsid w:val="005B6A1F"/>
    <w:rsid w:val="005B6FDA"/>
    <w:rsid w:val="005B74CE"/>
    <w:rsid w:val="005B7BE0"/>
    <w:rsid w:val="005B7C88"/>
    <w:rsid w:val="005C0390"/>
    <w:rsid w:val="005C0670"/>
    <w:rsid w:val="005C080F"/>
    <w:rsid w:val="005C09CC"/>
    <w:rsid w:val="005C17ED"/>
    <w:rsid w:val="005C191A"/>
    <w:rsid w:val="005C1ED1"/>
    <w:rsid w:val="005C2015"/>
    <w:rsid w:val="005C2E96"/>
    <w:rsid w:val="005C36A3"/>
    <w:rsid w:val="005C3CA9"/>
    <w:rsid w:val="005C3E29"/>
    <w:rsid w:val="005C4010"/>
    <w:rsid w:val="005C40D5"/>
    <w:rsid w:val="005C40E0"/>
    <w:rsid w:val="005C44A3"/>
    <w:rsid w:val="005C5000"/>
    <w:rsid w:val="005C59F7"/>
    <w:rsid w:val="005C69B9"/>
    <w:rsid w:val="005C769D"/>
    <w:rsid w:val="005C7AA5"/>
    <w:rsid w:val="005D019B"/>
    <w:rsid w:val="005D09D2"/>
    <w:rsid w:val="005D15BA"/>
    <w:rsid w:val="005D1BB8"/>
    <w:rsid w:val="005D1DEB"/>
    <w:rsid w:val="005D267D"/>
    <w:rsid w:val="005D3846"/>
    <w:rsid w:val="005D469E"/>
    <w:rsid w:val="005D51C5"/>
    <w:rsid w:val="005D5D21"/>
    <w:rsid w:val="005D7174"/>
    <w:rsid w:val="005D76B1"/>
    <w:rsid w:val="005E0369"/>
    <w:rsid w:val="005E05E4"/>
    <w:rsid w:val="005E0B04"/>
    <w:rsid w:val="005E0CF7"/>
    <w:rsid w:val="005E1E9A"/>
    <w:rsid w:val="005E1F40"/>
    <w:rsid w:val="005E21F4"/>
    <w:rsid w:val="005E26DF"/>
    <w:rsid w:val="005E2B24"/>
    <w:rsid w:val="005E2B5A"/>
    <w:rsid w:val="005E2CC4"/>
    <w:rsid w:val="005E2D7A"/>
    <w:rsid w:val="005E422A"/>
    <w:rsid w:val="005E454D"/>
    <w:rsid w:val="005E4997"/>
    <w:rsid w:val="005E4ED2"/>
    <w:rsid w:val="005E57B4"/>
    <w:rsid w:val="005E78C4"/>
    <w:rsid w:val="005F28B1"/>
    <w:rsid w:val="005F28ED"/>
    <w:rsid w:val="005F38CB"/>
    <w:rsid w:val="005F4063"/>
    <w:rsid w:val="005F4687"/>
    <w:rsid w:val="005F4977"/>
    <w:rsid w:val="005F5DC1"/>
    <w:rsid w:val="005F62FF"/>
    <w:rsid w:val="005F6F8C"/>
    <w:rsid w:val="005F7ADD"/>
    <w:rsid w:val="005F7FEA"/>
    <w:rsid w:val="006001F5"/>
    <w:rsid w:val="006002E5"/>
    <w:rsid w:val="0060074C"/>
    <w:rsid w:val="00600BB1"/>
    <w:rsid w:val="006027A2"/>
    <w:rsid w:val="00602925"/>
    <w:rsid w:val="00603371"/>
    <w:rsid w:val="00603734"/>
    <w:rsid w:val="00604E77"/>
    <w:rsid w:val="00605562"/>
    <w:rsid w:val="00605890"/>
    <w:rsid w:val="00606B26"/>
    <w:rsid w:val="006075CC"/>
    <w:rsid w:val="00607D17"/>
    <w:rsid w:val="00607F96"/>
    <w:rsid w:val="00610143"/>
    <w:rsid w:val="006102CB"/>
    <w:rsid w:val="00610914"/>
    <w:rsid w:val="00610A9D"/>
    <w:rsid w:val="00610C92"/>
    <w:rsid w:val="0061152E"/>
    <w:rsid w:val="00611B78"/>
    <w:rsid w:val="006123FE"/>
    <w:rsid w:val="006128DF"/>
    <w:rsid w:val="0061294C"/>
    <w:rsid w:val="006135FA"/>
    <w:rsid w:val="006138FF"/>
    <w:rsid w:val="00614AE3"/>
    <w:rsid w:val="00615050"/>
    <w:rsid w:val="0061557F"/>
    <w:rsid w:val="00615C7C"/>
    <w:rsid w:val="0061603A"/>
    <w:rsid w:val="00616421"/>
    <w:rsid w:val="00616D45"/>
    <w:rsid w:val="00616DE6"/>
    <w:rsid w:val="00617071"/>
    <w:rsid w:val="00620A97"/>
    <w:rsid w:val="00620DEF"/>
    <w:rsid w:val="00622372"/>
    <w:rsid w:val="0062270C"/>
    <w:rsid w:val="00623E13"/>
    <w:rsid w:val="00624EE0"/>
    <w:rsid w:val="006251EA"/>
    <w:rsid w:val="0062545D"/>
    <w:rsid w:val="0062633C"/>
    <w:rsid w:val="00630443"/>
    <w:rsid w:val="00630D66"/>
    <w:rsid w:val="006314E5"/>
    <w:rsid w:val="00631E82"/>
    <w:rsid w:val="00632C64"/>
    <w:rsid w:val="00633547"/>
    <w:rsid w:val="00633570"/>
    <w:rsid w:val="006339C5"/>
    <w:rsid w:val="00633E77"/>
    <w:rsid w:val="00634FEA"/>
    <w:rsid w:val="00635973"/>
    <w:rsid w:val="00635B44"/>
    <w:rsid w:val="00635E91"/>
    <w:rsid w:val="00635F4A"/>
    <w:rsid w:val="00635F84"/>
    <w:rsid w:val="0063644E"/>
    <w:rsid w:val="00636A42"/>
    <w:rsid w:val="00636D6D"/>
    <w:rsid w:val="00636ED3"/>
    <w:rsid w:val="006371A1"/>
    <w:rsid w:val="00637B5E"/>
    <w:rsid w:val="006404FF"/>
    <w:rsid w:val="00640B2A"/>
    <w:rsid w:val="00640B77"/>
    <w:rsid w:val="00640C52"/>
    <w:rsid w:val="006428BB"/>
    <w:rsid w:val="00642C43"/>
    <w:rsid w:val="00642D40"/>
    <w:rsid w:val="00643C16"/>
    <w:rsid w:val="00645B8E"/>
    <w:rsid w:val="00645DD6"/>
    <w:rsid w:val="006464A2"/>
    <w:rsid w:val="006467F6"/>
    <w:rsid w:val="0064704B"/>
    <w:rsid w:val="006509DD"/>
    <w:rsid w:val="0065230E"/>
    <w:rsid w:val="006527F4"/>
    <w:rsid w:val="00652FED"/>
    <w:rsid w:val="0065714B"/>
    <w:rsid w:val="006574D3"/>
    <w:rsid w:val="006578A2"/>
    <w:rsid w:val="0066062F"/>
    <w:rsid w:val="00660D80"/>
    <w:rsid w:val="00661A89"/>
    <w:rsid w:val="00661FB8"/>
    <w:rsid w:val="0066273C"/>
    <w:rsid w:val="00663D7A"/>
    <w:rsid w:val="00667CC9"/>
    <w:rsid w:val="00667D81"/>
    <w:rsid w:val="006701A1"/>
    <w:rsid w:val="00671099"/>
    <w:rsid w:val="0067112C"/>
    <w:rsid w:val="006714F8"/>
    <w:rsid w:val="006719F3"/>
    <w:rsid w:val="0067358F"/>
    <w:rsid w:val="0067395C"/>
    <w:rsid w:val="00674B4B"/>
    <w:rsid w:val="00674F1E"/>
    <w:rsid w:val="0067587B"/>
    <w:rsid w:val="0067604C"/>
    <w:rsid w:val="00676A56"/>
    <w:rsid w:val="00676F05"/>
    <w:rsid w:val="0067759F"/>
    <w:rsid w:val="00680571"/>
    <w:rsid w:val="0068098F"/>
    <w:rsid w:val="006811CB"/>
    <w:rsid w:val="00681596"/>
    <w:rsid w:val="00681BE0"/>
    <w:rsid w:val="00681C48"/>
    <w:rsid w:val="0068215C"/>
    <w:rsid w:val="0068230E"/>
    <w:rsid w:val="00682B2F"/>
    <w:rsid w:val="00684C89"/>
    <w:rsid w:val="00685078"/>
    <w:rsid w:val="00686132"/>
    <w:rsid w:val="00687C16"/>
    <w:rsid w:val="00687EF3"/>
    <w:rsid w:val="006923E9"/>
    <w:rsid w:val="00692CCF"/>
    <w:rsid w:val="00692DA3"/>
    <w:rsid w:val="00693672"/>
    <w:rsid w:val="0069471D"/>
    <w:rsid w:val="006948B2"/>
    <w:rsid w:val="00694A45"/>
    <w:rsid w:val="006952EC"/>
    <w:rsid w:val="0069799C"/>
    <w:rsid w:val="00697C58"/>
    <w:rsid w:val="00697E5B"/>
    <w:rsid w:val="006A01E7"/>
    <w:rsid w:val="006A05B3"/>
    <w:rsid w:val="006A0BB4"/>
    <w:rsid w:val="006A23ED"/>
    <w:rsid w:val="006A34D6"/>
    <w:rsid w:val="006A465C"/>
    <w:rsid w:val="006A4FFC"/>
    <w:rsid w:val="006A5866"/>
    <w:rsid w:val="006A5B16"/>
    <w:rsid w:val="006A6D7D"/>
    <w:rsid w:val="006A73F8"/>
    <w:rsid w:val="006B06A0"/>
    <w:rsid w:val="006B0D3E"/>
    <w:rsid w:val="006B1180"/>
    <w:rsid w:val="006B2425"/>
    <w:rsid w:val="006B2483"/>
    <w:rsid w:val="006B24FB"/>
    <w:rsid w:val="006B4E3F"/>
    <w:rsid w:val="006B566C"/>
    <w:rsid w:val="006B5938"/>
    <w:rsid w:val="006B645E"/>
    <w:rsid w:val="006B652D"/>
    <w:rsid w:val="006B6D4A"/>
    <w:rsid w:val="006C133A"/>
    <w:rsid w:val="006C1441"/>
    <w:rsid w:val="006C17D4"/>
    <w:rsid w:val="006C229C"/>
    <w:rsid w:val="006C2620"/>
    <w:rsid w:val="006C3304"/>
    <w:rsid w:val="006C41AA"/>
    <w:rsid w:val="006C60B7"/>
    <w:rsid w:val="006C7076"/>
    <w:rsid w:val="006C7414"/>
    <w:rsid w:val="006C742B"/>
    <w:rsid w:val="006C7956"/>
    <w:rsid w:val="006D03BB"/>
    <w:rsid w:val="006D08E8"/>
    <w:rsid w:val="006D0B3E"/>
    <w:rsid w:val="006D21C0"/>
    <w:rsid w:val="006D21FF"/>
    <w:rsid w:val="006D30D2"/>
    <w:rsid w:val="006D3317"/>
    <w:rsid w:val="006D3D09"/>
    <w:rsid w:val="006D3DC9"/>
    <w:rsid w:val="006D5CFE"/>
    <w:rsid w:val="006D600E"/>
    <w:rsid w:val="006D680C"/>
    <w:rsid w:val="006E016F"/>
    <w:rsid w:val="006E0B44"/>
    <w:rsid w:val="006E1848"/>
    <w:rsid w:val="006E188F"/>
    <w:rsid w:val="006E1AC3"/>
    <w:rsid w:val="006E2CEA"/>
    <w:rsid w:val="006E3944"/>
    <w:rsid w:val="006E3BD4"/>
    <w:rsid w:val="006E4164"/>
    <w:rsid w:val="006E42CA"/>
    <w:rsid w:val="006E5B0A"/>
    <w:rsid w:val="006E653D"/>
    <w:rsid w:val="006E7CEF"/>
    <w:rsid w:val="006E7E08"/>
    <w:rsid w:val="006E7EFC"/>
    <w:rsid w:val="006F197E"/>
    <w:rsid w:val="006F244C"/>
    <w:rsid w:val="006F25E9"/>
    <w:rsid w:val="006F265F"/>
    <w:rsid w:val="006F2E75"/>
    <w:rsid w:val="006F349E"/>
    <w:rsid w:val="006F3EB3"/>
    <w:rsid w:val="006F3FEB"/>
    <w:rsid w:val="006F4AFC"/>
    <w:rsid w:val="006F730C"/>
    <w:rsid w:val="006F73F3"/>
    <w:rsid w:val="00700DDD"/>
    <w:rsid w:val="00700E0A"/>
    <w:rsid w:val="00701CB6"/>
    <w:rsid w:val="00702CA7"/>
    <w:rsid w:val="00702EB1"/>
    <w:rsid w:val="00702F11"/>
    <w:rsid w:val="007031B1"/>
    <w:rsid w:val="007043FD"/>
    <w:rsid w:val="00704577"/>
    <w:rsid w:val="0070522D"/>
    <w:rsid w:val="007059C2"/>
    <w:rsid w:val="0070661C"/>
    <w:rsid w:val="00706E2C"/>
    <w:rsid w:val="00707736"/>
    <w:rsid w:val="007078DA"/>
    <w:rsid w:val="00707C68"/>
    <w:rsid w:val="00711B96"/>
    <w:rsid w:val="00712065"/>
    <w:rsid w:val="00712575"/>
    <w:rsid w:val="007126CA"/>
    <w:rsid w:val="007131B8"/>
    <w:rsid w:val="00714DC4"/>
    <w:rsid w:val="00714F54"/>
    <w:rsid w:val="00715A86"/>
    <w:rsid w:val="00715F5E"/>
    <w:rsid w:val="00716143"/>
    <w:rsid w:val="00716DB7"/>
    <w:rsid w:val="00717DC2"/>
    <w:rsid w:val="00720243"/>
    <w:rsid w:val="007204B6"/>
    <w:rsid w:val="007209D7"/>
    <w:rsid w:val="00720A0F"/>
    <w:rsid w:val="00720ACE"/>
    <w:rsid w:val="007222A0"/>
    <w:rsid w:val="00722B8F"/>
    <w:rsid w:val="00722E39"/>
    <w:rsid w:val="007236A9"/>
    <w:rsid w:val="0072387B"/>
    <w:rsid w:val="0072409B"/>
    <w:rsid w:val="00724C19"/>
    <w:rsid w:val="007277CD"/>
    <w:rsid w:val="00727D40"/>
    <w:rsid w:val="00727E46"/>
    <w:rsid w:val="00730A2E"/>
    <w:rsid w:val="00730AEC"/>
    <w:rsid w:val="00730BFB"/>
    <w:rsid w:val="00730E78"/>
    <w:rsid w:val="00730F61"/>
    <w:rsid w:val="007311A4"/>
    <w:rsid w:val="007318A6"/>
    <w:rsid w:val="0073224C"/>
    <w:rsid w:val="00732C4C"/>
    <w:rsid w:val="007332C1"/>
    <w:rsid w:val="00733369"/>
    <w:rsid w:val="007337CF"/>
    <w:rsid w:val="007339E2"/>
    <w:rsid w:val="007346E2"/>
    <w:rsid w:val="00734EE3"/>
    <w:rsid w:val="00735339"/>
    <w:rsid w:val="007356A8"/>
    <w:rsid w:val="007356BE"/>
    <w:rsid w:val="00736077"/>
    <w:rsid w:val="00736479"/>
    <w:rsid w:val="00737AD5"/>
    <w:rsid w:val="00737D75"/>
    <w:rsid w:val="007410A9"/>
    <w:rsid w:val="00742F84"/>
    <w:rsid w:val="00743D8A"/>
    <w:rsid w:val="0074528A"/>
    <w:rsid w:val="00745763"/>
    <w:rsid w:val="0074753F"/>
    <w:rsid w:val="00750574"/>
    <w:rsid w:val="00750A72"/>
    <w:rsid w:val="007518A9"/>
    <w:rsid w:val="0075488B"/>
    <w:rsid w:val="00755640"/>
    <w:rsid w:val="00755B3E"/>
    <w:rsid w:val="00755FCC"/>
    <w:rsid w:val="00756044"/>
    <w:rsid w:val="007561D6"/>
    <w:rsid w:val="00756854"/>
    <w:rsid w:val="00756878"/>
    <w:rsid w:val="00756948"/>
    <w:rsid w:val="00756E06"/>
    <w:rsid w:val="00760821"/>
    <w:rsid w:val="00760831"/>
    <w:rsid w:val="007614D4"/>
    <w:rsid w:val="00761C9D"/>
    <w:rsid w:val="00761DA6"/>
    <w:rsid w:val="0076287B"/>
    <w:rsid w:val="00762A79"/>
    <w:rsid w:val="00762E57"/>
    <w:rsid w:val="0076425E"/>
    <w:rsid w:val="00764A19"/>
    <w:rsid w:val="00764B50"/>
    <w:rsid w:val="00765254"/>
    <w:rsid w:val="0076525C"/>
    <w:rsid w:val="007654C4"/>
    <w:rsid w:val="007663B2"/>
    <w:rsid w:val="00767CF7"/>
    <w:rsid w:val="00767FDD"/>
    <w:rsid w:val="007700B1"/>
    <w:rsid w:val="007702F0"/>
    <w:rsid w:val="00770FF8"/>
    <w:rsid w:val="007712DF"/>
    <w:rsid w:val="00771F36"/>
    <w:rsid w:val="00772025"/>
    <w:rsid w:val="00773276"/>
    <w:rsid w:val="00773A41"/>
    <w:rsid w:val="00774030"/>
    <w:rsid w:val="00775B80"/>
    <w:rsid w:val="00775BC4"/>
    <w:rsid w:val="007765B6"/>
    <w:rsid w:val="0077716D"/>
    <w:rsid w:val="00780ABA"/>
    <w:rsid w:val="00780B38"/>
    <w:rsid w:val="00780C01"/>
    <w:rsid w:val="00781F52"/>
    <w:rsid w:val="007825D9"/>
    <w:rsid w:val="00782852"/>
    <w:rsid w:val="0078307E"/>
    <w:rsid w:val="007837E6"/>
    <w:rsid w:val="00784B25"/>
    <w:rsid w:val="00785381"/>
    <w:rsid w:val="00785C49"/>
    <w:rsid w:val="007864BA"/>
    <w:rsid w:val="00786CD1"/>
    <w:rsid w:val="0078705B"/>
    <w:rsid w:val="00787C49"/>
    <w:rsid w:val="00787CE7"/>
    <w:rsid w:val="00787FA5"/>
    <w:rsid w:val="007901F2"/>
    <w:rsid w:val="00790BDE"/>
    <w:rsid w:val="00790C2A"/>
    <w:rsid w:val="007910ED"/>
    <w:rsid w:val="0079228E"/>
    <w:rsid w:val="0079430F"/>
    <w:rsid w:val="00795782"/>
    <w:rsid w:val="00795EA5"/>
    <w:rsid w:val="00795F07"/>
    <w:rsid w:val="007963EB"/>
    <w:rsid w:val="00796D23"/>
    <w:rsid w:val="007973F5"/>
    <w:rsid w:val="00797613"/>
    <w:rsid w:val="007A01F1"/>
    <w:rsid w:val="007A1493"/>
    <w:rsid w:val="007A1932"/>
    <w:rsid w:val="007A1FBB"/>
    <w:rsid w:val="007A251B"/>
    <w:rsid w:val="007A2C23"/>
    <w:rsid w:val="007A2D95"/>
    <w:rsid w:val="007A2E39"/>
    <w:rsid w:val="007A3809"/>
    <w:rsid w:val="007A4712"/>
    <w:rsid w:val="007A4FD7"/>
    <w:rsid w:val="007A5028"/>
    <w:rsid w:val="007A5593"/>
    <w:rsid w:val="007A64BB"/>
    <w:rsid w:val="007A7C48"/>
    <w:rsid w:val="007B09F7"/>
    <w:rsid w:val="007B0F0B"/>
    <w:rsid w:val="007B1192"/>
    <w:rsid w:val="007B1305"/>
    <w:rsid w:val="007B1399"/>
    <w:rsid w:val="007B1E87"/>
    <w:rsid w:val="007B2AB1"/>
    <w:rsid w:val="007B45CA"/>
    <w:rsid w:val="007B4944"/>
    <w:rsid w:val="007B55E8"/>
    <w:rsid w:val="007B6BC1"/>
    <w:rsid w:val="007B717C"/>
    <w:rsid w:val="007C0174"/>
    <w:rsid w:val="007C2B84"/>
    <w:rsid w:val="007C2C47"/>
    <w:rsid w:val="007C306D"/>
    <w:rsid w:val="007C348D"/>
    <w:rsid w:val="007C47F5"/>
    <w:rsid w:val="007C487A"/>
    <w:rsid w:val="007C49C0"/>
    <w:rsid w:val="007C6B92"/>
    <w:rsid w:val="007C7719"/>
    <w:rsid w:val="007D0F98"/>
    <w:rsid w:val="007D11D6"/>
    <w:rsid w:val="007D153B"/>
    <w:rsid w:val="007D1AA4"/>
    <w:rsid w:val="007D1FFF"/>
    <w:rsid w:val="007D24C2"/>
    <w:rsid w:val="007D276C"/>
    <w:rsid w:val="007D2AD5"/>
    <w:rsid w:val="007D49CA"/>
    <w:rsid w:val="007D50B7"/>
    <w:rsid w:val="007D5481"/>
    <w:rsid w:val="007D5563"/>
    <w:rsid w:val="007D57BF"/>
    <w:rsid w:val="007D6AE7"/>
    <w:rsid w:val="007D6CFB"/>
    <w:rsid w:val="007D7A49"/>
    <w:rsid w:val="007D7CC5"/>
    <w:rsid w:val="007E0767"/>
    <w:rsid w:val="007E0B06"/>
    <w:rsid w:val="007E1607"/>
    <w:rsid w:val="007E250B"/>
    <w:rsid w:val="007E2AEF"/>
    <w:rsid w:val="007E2C04"/>
    <w:rsid w:val="007E3339"/>
    <w:rsid w:val="007E343D"/>
    <w:rsid w:val="007E4FFF"/>
    <w:rsid w:val="007E574B"/>
    <w:rsid w:val="007E5750"/>
    <w:rsid w:val="007E6923"/>
    <w:rsid w:val="007E75ED"/>
    <w:rsid w:val="007F094C"/>
    <w:rsid w:val="007F1800"/>
    <w:rsid w:val="007F1ADD"/>
    <w:rsid w:val="007F2667"/>
    <w:rsid w:val="007F354D"/>
    <w:rsid w:val="007F3892"/>
    <w:rsid w:val="007F4333"/>
    <w:rsid w:val="007F67DB"/>
    <w:rsid w:val="007F7423"/>
    <w:rsid w:val="007F7554"/>
    <w:rsid w:val="008005B7"/>
    <w:rsid w:val="00801FB0"/>
    <w:rsid w:val="0080264C"/>
    <w:rsid w:val="00802D68"/>
    <w:rsid w:val="008053BF"/>
    <w:rsid w:val="00805791"/>
    <w:rsid w:val="008059AC"/>
    <w:rsid w:val="008065F4"/>
    <w:rsid w:val="00806E56"/>
    <w:rsid w:val="00807D1C"/>
    <w:rsid w:val="008100DC"/>
    <w:rsid w:val="00811638"/>
    <w:rsid w:val="00811AAC"/>
    <w:rsid w:val="00811DC7"/>
    <w:rsid w:val="008121A5"/>
    <w:rsid w:val="00813494"/>
    <w:rsid w:val="00814936"/>
    <w:rsid w:val="00814AE7"/>
    <w:rsid w:val="00815382"/>
    <w:rsid w:val="0081552D"/>
    <w:rsid w:val="00815C77"/>
    <w:rsid w:val="00817D55"/>
    <w:rsid w:val="00820339"/>
    <w:rsid w:val="00821341"/>
    <w:rsid w:val="00821511"/>
    <w:rsid w:val="008220C7"/>
    <w:rsid w:val="008246DB"/>
    <w:rsid w:val="00825FD7"/>
    <w:rsid w:val="00826389"/>
    <w:rsid w:val="00830296"/>
    <w:rsid w:val="00831A8E"/>
    <w:rsid w:val="00832061"/>
    <w:rsid w:val="008321D0"/>
    <w:rsid w:val="008323AA"/>
    <w:rsid w:val="00832756"/>
    <w:rsid w:val="00833889"/>
    <w:rsid w:val="00833B51"/>
    <w:rsid w:val="00833E31"/>
    <w:rsid w:val="00834C86"/>
    <w:rsid w:val="0083630B"/>
    <w:rsid w:val="00836C05"/>
    <w:rsid w:val="008400E5"/>
    <w:rsid w:val="008403EE"/>
    <w:rsid w:val="008405D8"/>
    <w:rsid w:val="0084073D"/>
    <w:rsid w:val="0084095E"/>
    <w:rsid w:val="00841251"/>
    <w:rsid w:val="00841793"/>
    <w:rsid w:val="00841BA5"/>
    <w:rsid w:val="00841F5E"/>
    <w:rsid w:val="00842273"/>
    <w:rsid w:val="0084366C"/>
    <w:rsid w:val="00844769"/>
    <w:rsid w:val="00844C1A"/>
    <w:rsid w:val="00844E31"/>
    <w:rsid w:val="008453D2"/>
    <w:rsid w:val="00846BC9"/>
    <w:rsid w:val="0085022C"/>
    <w:rsid w:val="0085028F"/>
    <w:rsid w:val="008504B5"/>
    <w:rsid w:val="00850C5B"/>
    <w:rsid w:val="00850F24"/>
    <w:rsid w:val="00850F9E"/>
    <w:rsid w:val="00851086"/>
    <w:rsid w:val="00851CC1"/>
    <w:rsid w:val="0085210E"/>
    <w:rsid w:val="008525E3"/>
    <w:rsid w:val="00852D7A"/>
    <w:rsid w:val="008530E2"/>
    <w:rsid w:val="008535C9"/>
    <w:rsid w:val="008540D9"/>
    <w:rsid w:val="00854CC7"/>
    <w:rsid w:val="00854D9D"/>
    <w:rsid w:val="00854FD1"/>
    <w:rsid w:val="00855C5D"/>
    <w:rsid w:val="00857DE7"/>
    <w:rsid w:val="0086065C"/>
    <w:rsid w:val="00860973"/>
    <w:rsid w:val="00861991"/>
    <w:rsid w:val="00861B5B"/>
    <w:rsid w:val="008622A8"/>
    <w:rsid w:val="008622ED"/>
    <w:rsid w:val="00862429"/>
    <w:rsid w:val="00862D42"/>
    <w:rsid w:val="0086422A"/>
    <w:rsid w:val="008656E7"/>
    <w:rsid w:val="00865AD4"/>
    <w:rsid w:val="00865E7D"/>
    <w:rsid w:val="00865E87"/>
    <w:rsid w:val="00866084"/>
    <w:rsid w:val="0086608E"/>
    <w:rsid w:val="00866C06"/>
    <w:rsid w:val="00867722"/>
    <w:rsid w:val="00867D4E"/>
    <w:rsid w:val="00871FDA"/>
    <w:rsid w:val="0087264B"/>
    <w:rsid w:val="00872A9C"/>
    <w:rsid w:val="00872D6D"/>
    <w:rsid w:val="00872E01"/>
    <w:rsid w:val="00873D2C"/>
    <w:rsid w:val="008755F8"/>
    <w:rsid w:val="00875E9A"/>
    <w:rsid w:val="00875FF2"/>
    <w:rsid w:val="00876CC9"/>
    <w:rsid w:val="00876D8D"/>
    <w:rsid w:val="0087754C"/>
    <w:rsid w:val="00877B02"/>
    <w:rsid w:val="00880C1B"/>
    <w:rsid w:val="008813AB"/>
    <w:rsid w:val="0088174A"/>
    <w:rsid w:val="00881FB4"/>
    <w:rsid w:val="0088246A"/>
    <w:rsid w:val="00882DC6"/>
    <w:rsid w:val="00882E5C"/>
    <w:rsid w:val="008835B0"/>
    <w:rsid w:val="008837AC"/>
    <w:rsid w:val="00883CEA"/>
    <w:rsid w:val="00884466"/>
    <w:rsid w:val="00884C49"/>
    <w:rsid w:val="00885D2C"/>
    <w:rsid w:val="00886363"/>
    <w:rsid w:val="008867EB"/>
    <w:rsid w:val="00887FE4"/>
    <w:rsid w:val="008902FD"/>
    <w:rsid w:val="00890969"/>
    <w:rsid w:val="008909B4"/>
    <w:rsid w:val="00890DF1"/>
    <w:rsid w:val="00891A0F"/>
    <w:rsid w:val="00894F98"/>
    <w:rsid w:val="00895ABA"/>
    <w:rsid w:val="00895F6F"/>
    <w:rsid w:val="0089611E"/>
    <w:rsid w:val="00897391"/>
    <w:rsid w:val="00897B37"/>
    <w:rsid w:val="008A0724"/>
    <w:rsid w:val="008A1353"/>
    <w:rsid w:val="008A180A"/>
    <w:rsid w:val="008A1ABB"/>
    <w:rsid w:val="008A1C97"/>
    <w:rsid w:val="008A28CD"/>
    <w:rsid w:val="008A38AB"/>
    <w:rsid w:val="008A47D0"/>
    <w:rsid w:val="008A4A37"/>
    <w:rsid w:val="008A4DB8"/>
    <w:rsid w:val="008A62DE"/>
    <w:rsid w:val="008A6D22"/>
    <w:rsid w:val="008A705A"/>
    <w:rsid w:val="008B07B5"/>
    <w:rsid w:val="008B09D6"/>
    <w:rsid w:val="008B1570"/>
    <w:rsid w:val="008B170C"/>
    <w:rsid w:val="008B2BAC"/>
    <w:rsid w:val="008B37FE"/>
    <w:rsid w:val="008B3D77"/>
    <w:rsid w:val="008B4002"/>
    <w:rsid w:val="008B41C9"/>
    <w:rsid w:val="008B4482"/>
    <w:rsid w:val="008B453C"/>
    <w:rsid w:val="008B4E7B"/>
    <w:rsid w:val="008B5ADA"/>
    <w:rsid w:val="008B5D18"/>
    <w:rsid w:val="008B6772"/>
    <w:rsid w:val="008B7940"/>
    <w:rsid w:val="008B7BAB"/>
    <w:rsid w:val="008C0044"/>
    <w:rsid w:val="008C136E"/>
    <w:rsid w:val="008C16FA"/>
    <w:rsid w:val="008C249E"/>
    <w:rsid w:val="008C2A21"/>
    <w:rsid w:val="008C2E91"/>
    <w:rsid w:val="008C39E1"/>
    <w:rsid w:val="008C42DA"/>
    <w:rsid w:val="008C4DE4"/>
    <w:rsid w:val="008C5545"/>
    <w:rsid w:val="008C5D23"/>
    <w:rsid w:val="008C5D52"/>
    <w:rsid w:val="008C64B5"/>
    <w:rsid w:val="008C7816"/>
    <w:rsid w:val="008C792F"/>
    <w:rsid w:val="008C7D67"/>
    <w:rsid w:val="008D015D"/>
    <w:rsid w:val="008D19C5"/>
    <w:rsid w:val="008D1C7B"/>
    <w:rsid w:val="008D2677"/>
    <w:rsid w:val="008D4B97"/>
    <w:rsid w:val="008D56F0"/>
    <w:rsid w:val="008D5B44"/>
    <w:rsid w:val="008D680C"/>
    <w:rsid w:val="008D6AB9"/>
    <w:rsid w:val="008D703D"/>
    <w:rsid w:val="008D7B08"/>
    <w:rsid w:val="008E0151"/>
    <w:rsid w:val="008E0C76"/>
    <w:rsid w:val="008E10F9"/>
    <w:rsid w:val="008E2336"/>
    <w:rsid w:val="008E2771"/>
    <w:rsid w:val="008E284A"/>
    <w:rsid w:val="008E320E"/>
    <w:rsid w:val="008E3B75"/>
    <w:rsid w:val="008E3DD6"/>
    <w:rsid w:val="008E4CFF"/>
    <w:rsid w:val="008E4EF7"/>
    <w:rsid w:val="008E637D"/>
    <w:rsid w:val="008E682A"/>
    <w:rsid w:val="008E725C"/>
    <w:rsid w:val="008E731E"/>
    <w:rsid w:val="008E766B"/>
    <w:rsid w:val="008F0408"/>
    <w:rsid w:val="008F0425"/>
    <w:rsid w:val="008F0A07"/>
    <w:rsid w:val="008F10E3"/>
    <w:rsid w:val="008F14AE"/>
    <w:rsid w:val="008F1A2F"/>
    <w:rsid w:val="008F2329"/>
    <w:rsid w:val="008F2984"/>
    <w:rsid w:val="008F4205"/>
    <w:rsid w:val="008F4781"/>
    <w:rsid w:val="008F5A2A"/>
    <w:rsid w:val="008F7311"/>
    <w:rsid w:val="008F7DA8"/>
    <w:rsid w:val="00900ECE"/>
    <w:rsid w:val="00901CA4"/>
    <w:rsid w:val="00903834"/>
    <w:rsid w:val="00903B17"/>
    <w:rsid w:val="00903DBF"/>
    <w:rsid w:val="00903E62"/>
    <w:rsid w:val="00903FB9"/>
    <w:rsid w:val="0090474D"/>
    <w:rsid w:val="009059B9"/>
    <w:rsid w:val="00905EF1"/>
    <w:rsid w:val="009105BB"/>
    <w:rsid w:val="00910B00"/>
    <w:rsid w:val="009118A4"/>
    <w:rsid w:val="00911AF0"/>
    <w:rsid w:val="00912202"/>
    <w:rsid w:val="00912EA3"/>
    <w:rsid w:val="0091301D"/>
    <w:rsid w:val="0091313F"/>
    <w:rsid w:val="00913D32"/>
    <w:rsid w:val="00914549"/>
    <w:rsid w:val="009147A0"/>
    <w:rsid w:val="009157C5"/>
    <w:rsid w:val="00916365"/>
    <w:rsid w:val="009164D1"/>
    <w:rsid w:val="0091670C"/>
    <w:rsid w:val="0091711A"/>
    <w:rsid w:val="009174DF"/>
    <w:rsid w:val="00917F77"/>
    <w:rsid w:val="0092282E"/>
    <w:rsid w:val="0092292E"/>
    <w:rsid w:val="00922BB1"/>
    <w:rsid w:val="00923103"/>
    <w:rsid w:val="00924646"/>
    <w:rsid w:val="009250ED"/>
    <w:rsid w:val="009254BB"/>
    <w:rsid w:val="009259C2"/>
    <w:rsid w:val="00925D01"/>
    <w:rsid w:val="00925F8B"/>
    <w:rsid w:val="009270E4"/>
    <w:rsid w:val="00927390"/>
    <w:rsid w:val="00927806"/>
    <w:rsid w:val="009305DB"/>
    <w:rsid w:val="0093082A"/>
    <w:rsid w:val="009308FF"/>
    <w:rsid w:val="00931483"/>
    <w:rsid w:val="009314B4"/>
    <w:rsid w:val="009315B2"/>
    <w:rsid w:val="0093204A"/>
    <w:rsid w:val="00932372"/>
    <w:rsid w:val="00932E2F"/>
    <w:rsid w:val="00932E4E"/>
    <w:rsid w:val="009335D7"/>
    <w:rsid w:val="00934E17"/>
    <w:rsid w:val="00935598"/>
    <w:rsid w:val="00935937"/>
    <w:rsid w:val="00936D08"/>
    <w:rsid w:val="009375F2"/>
    <w:rsid w:val="00940BA2"/>
    <w:rsid w:val="009413E7"/>
    <w:rsid w:val="00941D38"/>
    <w:rsid w:val="00942A6B"/>
    <w:rsid w:val="00942B85"/>
    <w:rsid w:val="00943019"/>
    <w:rsid w:val="009431DB"/>
    <w:rsid w:val="0094376A"/>
    <w:rsid w:val="00943913"/>
    <w:rsid w:val="0094411D"/>
    <w:rsid w:val="00944938"/>
    <w:rsid w:val="00944C5E"/>
    <w:rsid w:val="00944DA3"/>
    <w:rsid w:val="0094572A"/>
    <w:rsid w:val="00945BF8"/>
    <w:rsid w:val="009474A2"/>
    <w:rsid w:val="0094785F"/>
    <w:rsid w:val="00947CE5"/>
    <w:rsid w:val="00951239"/>
    <w:rsid w:val="0095140B"/>
    <w:rsid w:val="00951F76"/>
    <w:rsid w:val="00953AC8"/>
    <w:rsid w:val="0095456E"/>
    <w:rsid w:val="00954976"/>
    <w:rsid w:val="00954EA7"/>
    <w:rsid w:val="0095537B"/>
    <w:rsid w:val="009555B9"/>
    <w:rsid w:val="00955648"/>
    <w:rsid w:val="0095642D"/>
    <w:rsid w:val="0095788D"/>
    <w:rsid w:val="00960ACF"/>
    <w:rsid w:val="009613D1"/>
    <w:rsid w:val="00961584"/>
    <w:rsid w:val="00962492"/>
    <w:rsid w:val="009625E7"/>
    <w:rsid w:val="00963648"/>
    <w:rsid w:val="009637E8"/>
    <w:rsid w:val="00964824"/>
    <w:rsid w:val="00964B48"/>
    <w:rsid w:val="00966594"/>
    <w:rsid w:val="00967B6B"/>
    <w:rsid w:val="00970A65"/>
    <w:rsid w:val="0097176D"/>
    <w:rsid w:val="00972C11"/>
    <w:rsid w:val="00973613"/>
    <w:rsid w:val="00973BF6"/>
    <w:rsid w:val="009760C5"/>
    <w:rsid w:val="009766F4"/>
    <w:rsid w:val="00976BF5"/>
    <w:rsid w:val="00977817"/>
    <w:rsid w:val="009779E4"/>
    <w:rsid w:val="00977CAE"/>
    <w:rsid w:val="00980C74"/>
    <w:rsid w:val="00981855"/>
    <w:rsid w:val="009818AB"/>
    <w:rsid w:val="0098190D"/>
    <w:rsid w:val="00981FE2"/>
    <w:rsid w:val="00982052"/>
    <w:rsid w:val="00982410"/>
    <w:rsid w:val="009839B2"/>
    <w:rsid w:val="00983BD8"/>
    <w:rsid w:val="0098466E"/>
    <w:rsid w:val="0098468D"/>
    <w:rsid w:val="009847B0"/>
    <w:rsid w:val="00984B8C"/>
    <w:rsid w:val="00985274"/>
    <w:rsid w:val="00985CFE"/>
    <w:rsid w:val="00987156"/>
    <w:rsid w:val="00990752"/>
    <w:rsid w:val="00990E56"/>
    <w:rsid w:val="00991F32"/>
    <w:rsid w:val="0099200E"/>
    <w:rsid w:val="0099271B"/>
    <w:rsid w:val="00994DBB"/>
    <w:rsid w:val="00995758"/>
    <w:rsid w:val="00995AE9"/>
    <w:rsid w:val="00995B57"/>
    <w:rsid w:val="00995D54"/>
    <w:rsid w:val="00995FBC"/>
    <w:rsid w:val="0099694E"/>
    <w:rsid w:val="00997425"/>
    <w:rsid w:val="009978B9"/>
    <w:rsid w:val="009A06FA"/>
    <w:rsid w:val="009A2352"/>
    <w:rsid w:val="009A2CE3"/>
    <w:rsid w:val="009A31E2"/>
    <w:rsid w:val="009A34A4"/>
    <w:rsid w:val="009A3547"/>
    <w:rsid w:val="009A38A7"/>
    <w:rsid w:val="009A40DC"/>
    <w:rsid w:val="009A41B2"/>
    <w:rsid w:val="009A485D"/>
    <w:rsid w:val="009A5344"/>
    <w:rsid w:val="009A5412"/>
    <w:rsid w:val="009A5A51"/>
    <w:rsid w:val="009A5B76"/>
    <w:rsid w:val="009A7433"/>
    <w:rsid w:val="009A7765"/>
    <w:rsid w:val="009A7AA0"/>
    <w:rsid w:val="009B11C3"/>
    <w:rsid w:val="009B1937"/>
    <w:rsid w:val="009B2277"/>
    <w:rsid w:val="009B262A"/>
    <w:rsid w:val="009B273D"/>
    <w:rsid w:val="009B3267"/>
    <w:rsid w:val="009B62DE"/>
    <w:rsid w:val="009B69E2"/>
    <w:rsid w:val="009B6CDF"/>
    <w:rsid w:val="009B6D8C"/>
    <w:rsid w:val="009B76DA"/>
    <w:rsid w:val="009C055E"/>
    <w:rsid w:val="009C0672"/>
    <w:rsid w:val="009C1001"/>
    <w:rsid w:val="009C134A"/>
    <w:rsid w:val="009C13E5"/>
    <w:rsid w:val="009C15F2"/>
    <w:rsid w:val="009C17F5"/>
    <w:rsid w:val="009C1CB6"/>
    <w:rsid w:val="009C2BFA"/>
    <w:rsid w:val="009C2D05"/>
    <w:rsid w:val="009C31A8"/>
    <w:rsid w:val="009C31D8"/>
    <w:rsid w:val="009C31E5"/>
    <w:rsid w:val="009C4062"/>
    <w:rsid w:val="009C40AE"/>
    <w:rsid w:val="009C4446"/>
    <w:rsid w:val="009C5725"/>
    <w:rsid w:val="009C7076"/>
    <w:rsid w:val="009C7271"/>
    <w:rsid w:val="009C73FF"/>
    <w:rsid w:val="009C7817"/>
    <w:rsid w:val="009C7BCF"/>
    <w:rsid w:val="009C7C42"/>
    <w:rsid w:val="009C7D12"/>
    <w:rsid w:val="009C7D4C"/>
    <w:rsid w:val="009D1A7A"/>
    <w:rsid w:val="009D2212"/>
    <w:rsid w:val="009D361D"/>
    <w:rsid w:val="009D42A2"/>
    <w:rsid w:val="009D4563"/>
    <w:rsid w:val="009D4D05"/>
    <w:rsid w:val="009D4DC1"/>
    <w:rsid w:val="009D523A"/>
    <w:rsid w:val="009D58E7"/>
    <w:rsid w:val="009D5A2E"/>
    <w:rsid w:val="009D63EF"/>
    <w:rsid w:val="009D6FF5"/>
    <w:rsid w:val="009D74A1"/>
    <w:rsid w:val="009D7AD8"/>
    <w:rsid w:val="009E075D"/>
    <w:rsid w:val="009E2852"/>
    <w:rsid w:val="009E28B4"/>
    <w:rsid w:val="009E40F4"/>
    <w:rsid w:val="009E480D"/>
    <w:rsid w:val="009E5649"/>
    <w:rsid w:val="009E5CE6"/>
    <w:rsid w:val="009E62C6"/>
    <w:rsid w:val="009E6572"/>
    <w:rsid w:val="009E6743"/>
    <w:rsid w:val="009E69BF"/>
    <w:rsid w:val="009E6C29"/>
    <w:rsid w:val="009E715C"/>
    <w:rsid w:val="009E756D"/>
    <w:rsid w:val="009E76D2"/>
    <w:rsid w:val="009E7C89"/>
    <w:rsid w:val="009F108B"/>
    <w:rsid w:val="009F11EC"/>
    <w:rsid w:val="009F2901"/>
    <w:rsid w:val="009F29B1"/>
    <w:rsid w:val="009F33C2"/>
    <w:rsid w:val="009F3544"/>
    <w:rsid w:val="009F45A2"/>
    <w:rsid w:val="009F475A"/>
    <w:rsid w:val="009F48D5"/>
    <w:rsid w:val="009F5E06"/>
    <w:rsid w:val="009F63D1"/>
    <w:rsid w:val="009F6520"/>
    <w:rsid w:val="009F7A78"/>
    <w:rsid w:val="009F7B4E"/>
    <w:rsid w:val="009F7C3C"/>
    <w:rsid w:val="00A01047"/>
    <w:rsid w:val="00A01F42"/>
    <w:rsid w:val="00A032C9"/>
    <w:rsid w:val="00A0347C"/>
    <w:rsid w:val="00A03D99"/>
    <w:rsid w:val="00A0412D"/>
    <w:rsid w:val="00A041C1"/>
    <w:rsid w:val="00A045AA"/>
    <w:rsid w:val="00A05300"/>
    <w:rsid w:val="00A06422"/>
    <w:rsid w:val="00A064A6"/>
    <w:rsid w:val="00A06FEE"/>
    <w:rsid w:val="00A107AF"/>
    <w:rsid w:val="00A11D29"/>
    <w:rsid w:val="00A11DA8"/>
    <w:rsid w:val="00A127AB"/>
    <w:rsid w:val="00A136BB"/>
    <w:rsid w:val="00A152DB"/>
    <w:rsid w:val="00A15820"/>
    <w:rsid w:val="00A15916"/>
    <w:rsid w:val="00A16239"/>
    <w:rsid w:val="00A1651E"/>
    <w:rsid w:val="00A16A86"/>
    <w:rsid w:val="00A16BE0"/>
    <w:rsid w:val="00A16D35"/>
    <w:rsid w:val="00A17BC6"/>
    <w:rsid w:val="00A20844"/>
    <w:rsid w:val="00A2183B"/>
    <w:rsid w:val="00A219A4"/>
    <w:rsid w:val="00A21FA3"/>
    <w:rsid w:val="00A22016"/>
    <w:rsid w:val="00A22176"/>
    <w:rsid w:val="00A23043"/>
    <w:rsid w:val="00A238DD"/>
    <w:rsid w:val="00A24040"/>
    <w:rsid w:val="00A240F3"/>
    <w:rsid w:val="00A2430D"/>
    <w:rsid w:val="00A2470A"/>
    <w:rsid w:val="00A2490D"/>
    <w:rsid w:val="00A24E03"/>
    <w:rsid w:val="00A25328"/>
    <w:rsid w:val="00A25844"/>
    <w:rsid w:val="00A26079"/>
    <w:rsid w:val="00A26702"/>
    <w:rsid w:val="00A269B6"/>
    <w:rsid w:val="00A26E0C"/>
    <w:rsid w:val="00A270F8"/>
    <w:rsid w:val="00A271FB"/>
    <w:rsid w:val="00A27D75"/>
    <w:rsid w:val="00A30585"/>
    <w:rsid w:val="00A30C48"/>
    <w:rsid w:val="00A30C7E"/>
    <w:rsid w:val="00A311C2"/>
    <w:rsid w:val="00A31286"/>
    <w:rsid w:val="00A32252"/>
    <w:rsid w:val="00A3350E"/>
    <w:rsid w:val="00A343A5"/>
    <w:rsid w:val="00A366F4"/>
    <w:rsid w:val="00A3676A"/>
    <w:rsid w:val="00A3685A"/>
    <w:rsid w:val="00A3715B"/>
    <w:rsid w:val="00A37298"/>
    <w:rsid w:val="00A40162"/>
    <w:rsid w:val="00A40FBE"/>
    <w:rsid w:val="00A4147C"/>
    <w:rsid w:val="00A427A1"/>
    <w:rsid w:val="00A4374B"/>
    <w:rsid w:val="00A46153"/>
    <w:rsid w:val="00A469D3"/>
    <w:rsid w:val="00A46F87"/>
    <w:rsid w:val="00A4771A"/>
    <w:rsid w:val="00A478B6"/>
    <w:rsid w:val="00A50C3A"/>
    <w:rsid w:val="00A5278D"/>
    <w:rsid w:val="00A529AB"/>
    <w:rsid w:val="00A55387"/>
    <w:rsid w:val="00A56E8B"/>
    <w:rsid w:val="00A57667"/>
    <w:rsid w:val="00A60166"/>
    <w:rsid w:val="00A60379"/>
    <w:rsid w:val="00A6059F"/>
    <w:rsid w:val="00A606CF"/>
    <w:rsid w:val="00A60E94"/>
    <w:rsid w:val="00A61779"/>
    <w:rsid w:val="00A62554"/>
    <w:rsid w:val="00A631B3"/>
    <w:rsid w:val="00A64560"/>
    <w:rsid w:val="00A65939"/>
    <w:rsid w:val="00A663A2"/>
    <w:rsid w:val="00A66515"/>
    <w:rsid w:val="00A66A4E"/>
    <w:rsid w:val="00A66D86"/>
    <w:rsid w:val="00A66DC1"/>
    <w:rsid w:val="00A708EE"/>
    <w:rsid w:val="00A70EF5"/>
    <w:rsid w:val="00A7122B"/>
    <w:rsid w:val="00A712F6"/>
    <w:rsid w:val="00A71716"/>
    <w:rsid w:val="00A7388E"/>
    <w:rsid w:val="00A73E40"/>
    <w:rsid w:val="00A73E64"/>
    <w:rsid w:val="00A744FF"/>
    <w:rsid w:val="00A74AFC"/>
    <w:rsid w:val="00A756BE"/>
    <w:rsid w:val="00A77DF3"/>
    <w:rsid w:val="00A8135F"/>
    <w:rsid w:val="00A81CC8"/>
    <w:rsid w:val="00A81E86"/>
    <w:rsid w:val="00A8232C"/>
    <w:rsid w:val="00A83C62"/>
    <w:rsid w:val="00A83FFB"/>
    <w:rsid w:val="00A8430D"/>
    <w:rsid w:val="00A863A0"/>
    <w:rsid w:val="00A86760"/>
    <w:rsid w:val="00A8684E"/>
    <w:rsid w:val="00A86C04"/>
    <w:rsid w:val="00A8774A"/>
    <w:rsid w:val="00A87F11"/>
    <w:rsid w:val="00A900BC"/>
    <w:rsid w:val="00A90B5D"/>
    <w:rsid w:val="00A91332"/>
    <w:rsid w:val="00A91E60"/>
    <w:rsid w:val="00A92089"/>
    <w:rsid w:val="00A95A72"/>
    <w:rsid w:val="00A95C6F"/>
    <w:rsid w:val="00A960CD"/>
    <w:rsid w:val="00A96892"/>
    <w:rsid w:val="00A96CD2"/>
    <w:rsid w:val="00A9733B"/>
    <w:rsid w:val="00AA1231"/>
    <w:rsid w:val="00AA133A"/>
    <w:rsid w:val="00AA174B"/>
    <w:rsid w:val="00AA295F"/>
    <w:rsid w:val="00AA2AF7"/>
    <w:rsid w:val="00AA3667"/>
    <w:rsid w:val="00AA3B05"/>
    <w:rsid w:val="00AA42B5"/>
    <w:rsid w:val="00AA48CA"/>
    <w:rsid w:val="00AA6A81"/>
    <w:rsid w:val="00AA6D03"/>
    <w:rsid w:val="00AA745B"/>
    <w:rsid w:val="00AA795E"/>
    <w:rsid w:val="00AA7B42"/>
    <w:rsid w:val="00AA7CAA"/>
    <w:rsid w:val="00AB07F0"/>
    <w:rsid w:val="00AB258C"/>
    <w:rsid w:val="00AB2E0C"/>
    <w:rsid w:val="00AB343E"/>
    <w:rsid w:val="00AB348C"/>
    <w:rsid w:val="00AB34F4"/>
    <w:rsid w:val="00AB496C"/>
    <w:rsid w:val="00AB5464"/>
    <w:rsid w:val="00AB5B63"/>
    <w:rsid w:val="00AB64E0"/>
    <w:rsid w:val="00AB6579"/>
    <w:rsid w:val="00AB6CF4"/>
    <w:rsid w:val="00AB7AB9"/>
    <w:rsid w:val="00AB7DAD"/>
    <w:rsid w:val="00AC04C0"/>
    <w:rsid w:val="00AC1155"/>
    <w:rsid w:val="00AC25F1"/>
    <w:rsid w:val="00AC440D"/>
    <w:rsid w:val="00AC44C3"/>
    <w:rsid w:val="00AC4887"/>
    <w:rsid w:val="00AC4B69"/>
    <w:rsid w:val="00AC5B00"/>
    <w:rsid w:val="00AC5EA5"/>
    <w:rsid w:val="00AC603E"/>
    <w:rsid w:val="00AC611B"/>
    <w:rsid w:val="00AC62B4"/>
    <w:rsid w:val="00AC72B5"/>
    <w:rsid w:val="00AD0933"/>
    <w:rsid w:val="00AD0A64"/>
    <w:rsid w:val="00AD1F3A"/>
    <w:rsid w:val="00AD2206"/>
    <w:rsid w:val="00AD24F3"/>
    <w:rsid w:val="00AD2E6C"/>
    <w:rsid w:val="00AD3751"/>
    <w:rsid w:val="00AD48BB"/>
    <w:rsid w:val="00AD610A"/>
    <w:rsid w:val="00AD6332"/>
    <w:rsid w:val="00AD7A8B"/>
    <w:rsid w:val="00AD7E97"/>
    <w:rsid w:val="00AE13B6"/>
    <w:rsid w:val="00AE189E"/>
    <w:rsid w:val="00AE1F43"/>
    <w:rsid w:val="00AE3DBB"/>
    <w:rsid w:val="00AE6480"/>
    <w:rsid w:val="00AE715D"/>
    <w:rsid w:val="00AE7959"/>
    <w:rsid w:val="00AF0321"/>
    <w:rsid w:val="00AF0545"/>
    <w:rsid w:val="00AF096C"/>
    <w:rsid w:val="00AF122A"/>
    <w:rsid w:val="00AF1BF2"/>
    <w:rsid w:val="00AF1E6B"/>
    <w:rsid w:val="00AF213E"/>
    <w:rsid w:val="00AF238C"/>
    <w:rsid w:val="00AF4261"/>
    <w:rsid w:val="00AF53B5"/>
    <w:rsid w:val="00AF7CDE"/>
    <w:rsid w:val="00B000BE"/>
    <w:rsid w:val="00B00781"/>
    <w:rsid w:val="00B00BB4"/>
    <w:rsid w:val="00B01117"/>
    <w:rsid w:val="00B01CB5"/>
    <w:rsid w:val="00B0225A"/>
    <w:rsid w:val="00B022EC"/>
    <w:rsid w:val="00B023D9"/>
    <w:rsid w:val="00B02C9E"/>
    <w:rsid w:val="00B0306F"/>
    <w:rsid w:val="00B037A7"/>
    <w:rsid w:val="00B03A85"/>
    <w:rsid w:val="00B04655"/>
    <w:rsid w:val="00B04A06"/>
    <w:rsid w:val="00B04DDB"/>
    <w:rsid w:val="00B105F0"/>
    <w:rsid w:val="00B10864"/>
    <w:rsid w:val="00B11994"/>
    <w:rsid w:val="00B11C13"/>
    <w:rsid w:val="00B11F80"/>
    <w:rsid w:val="00B12A58"/>
    <w:rsid w:val="00B134C1"/>
    <w:rsid w:val="00B1403A"/>
    <w:rsid w:val="00B14E89"/>
    <w:rsid w:val="00B15A6C"/>
    <w:rsid w:val="00B15DD1"/>
    <w:rsid w:val="00B16813"/>
    <w:rsid w:val="00B176FD"/>
    <w:rsid w:val="00B2005E"/>
    <w:rsid w:val="00B201A1"/>
    <w:rsid w:val="00B21625"/>
    <w:rsid w:val="00B21CE9"/>
    <w:rsid w:val="00B23060"/>
    <w:rsid w:val="00B23C6F"/>
    <w:rsid w:val="00B242B8"/>
    <w:rsid w:val="00B260D7"/>
    <w:rsid w:val="00B2655F"/>
    <w:rsid w:val="00B2765B"/>
    <w:rsid w:val="00B30F06"/>
    <w:rsid w:val="00B324BD"/>
    <w:rsid w:val="00B325F4"/>
    <w:rsid w:val="00B326CD"/>
    <w:rsid w:val="00B331F4"/>
    <w:rsid w:val="00B33BD4"/>
    <w:rsid w:val="00B346DF"/>
    <w:rsid w:val="00B355FE"/>
    <w:rsid w:val="00B35F5B"/>
    <w:rsid w:val="00B36705"/>
    <w:rsid w:val="00B36DC0"/>
    <w:rsid w:val="00B370F4"/>
    <w:rsid w:val="00B40590"/>
    <w:rsid w:val="00B40A6F"/>
    <w:rsid w:val="00B4136B"/>
    <w:rsid w:val="00B42423"/>
    <w:rsid w:val="00B42CA7"/>
    <w:rsid w:val="00B4412B"/>
    <w:rsid w:val="00B45465"/>
    <w:rsid w:val="00B45B86"/>
    <w:rsid w:val="00B46AFB"/>
    <w:rsid w:val="00B46BD1"/>
    <w:rsid w:val="00B4797D"/>
    <w:rsid w:val="00B5009C"/>
    <w:rsid w:val="00B508F9"/>
    <w:rsid w:val="00B50DCA"/>
    <w:rsid w:val="00B5109B"/>
    <w:rsid w:val="00B518EB"/>
    <w:rsid w:val="00B52403"/>
    <w:rsid w:val="00B52912"/>
    <w:rsid w:val="00B52977"/>
    <w:rsid w:val="00B52D18"/>
    <w:rsid w:val="00B54262"/>
    <w:rsid w:val="00B548E2"/>
    <w:rsid w:val="00B54AB4"/>
    <w:rsid w:val="00B57089"/>
    <w:rsid w:val="00B57DCF"/>
    <w:rsid w:val="00B6037C"/>
    <w:rsid w:val="00B60476"/>
    <w:rsid w:val="00B60B19"/>
    <w:rsid w:val="00B63046"/>
    <w:rsid w:val="00B6330A"/>
    <w:rsid w:val="00B6347C"/>
    <w:rsid w:val="00B6459C"/>
    <w:rsid w:val="00B64B69"/>
    <w:rsid w:val="00B64D50"/>
    <w:rsid w:val="00B650B7"/>
    <w:rsid w:val="00B65178"/>
    <w:rsid w:val="00B65930"/>
    <w:rsid w:val="00B67F11"/>
    <w:rsid w:val="00B70475"/>
    <w:rsid w:val="00B70B88"/>
    <w:rsid w:val="00B7110A"/>
    <w:rsid w:val="00B713DB"/>
    <w:rsid w:val="00B71594"/>
    <w:rsid w:val="00B72C2C"/>
    <w:rsid w:val="00B73D4C"/>
    <w:rsid w:val="00B748EB"/>
    <w:rsid w:val="00B74927"/>
    <w:rsid w:val="00B74A33"/>
    <w:rsid w:val="00B74F38"/>
    <w:rsid w:val="00B75176"/>
    <w:rsid w:val="00B75B7B"/>
    <w:rsid w:val="00B75CD1"/>
    <w:rsid w:val="00B765BC"/>
    <w:rsid w:val="00B7768D"/>
    <w:rsid w:val="00B80314"/>
    <w:rsid w:val="00B80400"/>
    <w:rsid w:val="00B82AF9"/>
    <w:rsid w:val="00B8384A"/>
    <w:rsid w:val="00B83B64"/>
    <w:rsid w:val="00B841B1"/>
    <w:rsid w:val="00B848FA"/>
    <w:rsid w:val="00B85084"/>
    <w:rsid w:val="00B86534"/>
    <w:rsid w:val="00B86735"/>
    <w:rsid w:val="00B86797"/>
    <w:rsid w:val="00B86E7E"/>
    <w:rsid w:val="00B87746"/>
    <w:rsid w:val="00B87E70"/>
    <w:rsid w:val="00B900F6"/>
    <w:rsid w:val="00B9069A"/>
    <w:rsid w:val="00B90E1D"/>
    <w:rsid w:val="00B9110E"/>
    <w:rsid w:val="00B91992"/>
    <w:rsid w:val="00B91A94"/>
    <w:rsid w:val="00B92111"/>
    <w:rsid w:val="00B921AA"/>
    <w:rsid w:val="00B93DE1"/>
    <w:rsid w:val="00B949A7"/>
    <w:rsid w:val="00B949E1"/>
    <w:rsid w:val="00B960BF"/>
    <w:rsid w:val="00B973C9"/>
    <w:rsid w:val="00B97B3F"/>
    <w:rsid w:val="00BA0343"/>
    <w:rsid w:val="00BA114B"/>
    <w:rsid w:val="00BA1DA8"/>
    <w:rsid w:val="00BA2788"/>
    <w:rsid w:val="00BA36B1"/>
    <w:rsid w:val="00BA3AAB"/>
    <w:rsid w:val="00BA3DD6"/>
    <w:rsid w:val="00BA49D0"/>
    <w:rsid w:val="00BA49E2"/>
    <w:rsid w:val="00BA4C7F"/>
    <w:rsid w:val="00BA6862"/>
    <w:rsid w:val="00BA6AE5"/>
    <w:rsid w:val="00BA79D9"/>
    <w:rsid w:val="00BA7E6F"/>
    <w:rsid w:val="00BB000E"/>
    <w:rsid w:val="00BB076D"/>
    <w:rsid w:val="00BB1396"/>
    <w:rsid w:val="00BB2405"/>
    <w:rsid w:val="00BB3B74"/>
    <w:rsid w:val="00BB3F9C"/>
    <w:rsid w:val="00BB4F8E"/>
    <w:rsid w:val="00BB515A"/>
    <w:rsid w:val="00BB5242"/>
    <w:rsid w:val="00BB5302"/>
    <w:rsid w:val="00BB5573"/>
    <w:rsid w:val="00BB5649"/>
    <w:rsid w:val="00BB58EA"/>
    <w:rsid w:val="00BB6C6D"/>
    <w:rsid w:val="00BB74AC"/>
    <w:rsid w:val="00BB76B5"/>
    <w:rsid w:val="00BC0683"/>
    <w:rsid w:val="00BC1E99"/>
    <w:rsid w:val="00BC1F0A"/>
    <w:rsid w:val="00BC2562"/>
    <w:rsid w:val="00BC274D"/>
    <w:rsid w:val="00BC3468"/>
    <w:rsid w:val="00BC37EE"/>
    <w:rsid w:val="00BC40E8"/>
    <w:rsid w:val="00BC4D7E"/>
    <w:rsid w:val="00BC5109"/>
    <w:rsid w:val="00BC59DF"/>
    <w:rsid w:val="00BD21E4"/>
    <w:rsid w:val="00BD2CC8"/>
    <w:rsid w:val="00BD32AD"/>
    <w:rsid w:val="00BD5019"/>
    <w:rsid w:val="00BD53A6"/>
    <w:rsid w:val="00BD575B"/>
    <w:rsid w:val="00BD6543"/>
    <w:rsid w:val="00BE10B9"/>
    <w:rsid w:val="00BE18A5"/>
    <w:rsid w:val="00BE18A8"/>
    <w:rsid w:val="00BE1F5D"/>
    <w:rsid w:val="00BE2144"/>
    <w:rsid w:val="00BE239D"/>
    <w:rsid w:val="00BE266D"/>
    <w:rsid w:val="00BE33C8"/>
    <w:rsid w:val="00BE46E2"/>
    <w:rsid w:val="00BE4A9D"/>
    <w:rsid w:val="00BE5363"/>
    <w:rsid w:val="00BE590A"/>
    <w:rsid w:val="00BE61F0"/>
    <w:rsid w:val="00BE6894"/>
    <w:rsid w:val="00BE6CD3"/>
    <w:rsid w:val="00BE7AFD"/>
    <w:rsid w:val="00BE7BD0"/>
    <w:rsid w:val="00BE7E07"/>
    <w:rsid w:val="00BF0295"/>
    <w:rsid w:val="00BF08AF"/>
    <w:rsid w:val="00BF08C3"/>
    <w:rsid w:val="00BF0920"/>
    <w:rsid w:val="00BF0C54"/>
    <w:rsid w:val="00BF1CB1"/>
    <w:rsid w:val="00BF1CE7"/>
    <w:rsid w:val="00BF39D4"/>
    <w:rsid w:val="00BF3F82"/>
    <w:rsid w:val="00BF5B09"/>
    <w:rsid w:val="00BF60A0"/>
    <w:rsid w:val="00BF6159"/>
    <w:rsid w:val="00BF6A22"/>
    <w:rsid w:val="00BF6FEF"/>
    <w:rsid w:val="00BF7326"/>
    <w:rsid w:val="00BF7690"/>
    <w:rsid w:val="00BF79C5"/>
    <w:rsid w:val="00C0117E"/>
    <w:rsid w:val="00C015B9"/>
    <w:rsid w:val="00C01B00"/>
    <w:rsid w:val="00C01C49"/>
    <w:rsid w:val="00C02968"/>
    <w:rsid w:val="00C03960"/>
    <w:rsid w:val="00C040E8"/>
    <w:rsid w:val="00C071D5"/>
    <w:rsid w:val="00C12AFC"/>
    <w:rsid w:val="00C1333C"/>
    <w:rsid w:val="00C13383"/>
    <w:rsid w:val="00C138B9"/>
    <w:rsid w:val="00C139DD"/>
    <w:rsid w:val="00C14871"/>
    <w:rsid w:val="00C1763C"/>
    <w:rsid w:val="00C2165E"/>
    <w:rsid w:val="00C22C89"/>
    <w:rsid w:val="00C233E4"/>
    <w:rsid w:val="00C24279"/>
    <w:rsid w:val="00C24491"/>
    <w:rsid w:val="00C247F2"/>
    <w:rsid w:val="00C24D6A"/>
    <w:rsid w:val="00C2583C"/>
    <w:rsid w:val="00C2679B"/>
    <w:rsid w:val="00C272E3"/>
    <w:rsid w:val="00C2798C"/>
    <w:rsid w:val="00C27C4A"/>
    <w:rsid w:val="00C30BB8"/>
    <w:rsid w:val="00C3200A"/>
    <w:rsid w:val="00C33F2F"/>
    <w:rsid w:val="00C34B4F"/>
    <w:rsid w:val="00C34BAF"/>
    <w:rsid w:val="00C34C0B"/>
    <w:rsid w:val="00C358DE"/>
    <w:rsid w:val="00C36E32"/>
    <w:rsid w:val="00C4007D"/>
    <w:rsid w:val="00C409BE"/>
    <w:rsid w:val="00C41170"/>
    <w:rsid w:val="00C4142C"/>
    <w:rsid w:val="00C44AD4"/>
    <w:rsid w:val="00C44D41"/>
    <w:rsid w:val="00C451B3"/>
    <w:rsid w:val="00C45A45"/>
    <w:rsid w:val="00C45D90"/>
    <w:rsid w:val="00C46DC5"/>
    <w:rsid w:val="00C47A9D"/>
    <w:rsid w:val="00C50508"/>
    <w:rsid w:val="00C50AC7"/>
    <w:rsid w:val="00C51094"/>
    <w:rsid w:val="00C52A39"/>
    <w:rsid w:val="00C536C6"/>
    <w:rsid w:val="00C55682"/>
    <w:rsid w:val="00C5662D"/>
    <w:rsid w:val="00C568A3"/>
    <w:rsid w:val="00C5757F"/>
    <w:rsid w:val="00C57D24"/>
    <w:rsid w:val="00C605C2"/>
    <w:rsid w:val="00C616B8"/>
    <w:rsid w:val="00C622A4"/>
    <w:rsid w:val="00C62485"/>
    <w:rsid w:val="00C62837"/>
    <w:rsid w:val="00C6450B"/>
    <w:rsid w:val="00C648C6"/>
    <w:rsid w:val="00C651AB"/>
    <w:rsid w:val="00C673AC"/>
    <w:rsid w:val="00C67670"/>
    <w:rsid w:val="00C67A63"/>
    <w:rsid w:val="00C67CEF"/>
    <w:rsid w:val="00C73783"/>
    <w:rsid w:val="00C747B5"/>
    <w:rsid w:val="00C7488A"/>
    <w:rsid w:val="00C749D7"/>
    <w:rsid w:val="00C74B4F"/>
    <w:rsid w:val="00C74D8D"/>
    <w:rsid w:val="00C76143"/>
    <w:rsid w:val="00C76B9C"/>
    <w:rsid w:val="00C77372"/>
    <w:rsid w:val="00C80828"/>
    <w:rsid w:val="00C810FB"/>
    <w:rsid w:val="00C8196A"/>
    <w:rsid w:val="00C81C15"/>
    <w:rsid w:val="00C81CE4"/>
    <w:rsid w:val="00C82077"/>
    <w:rsid w:val="00C82A82"/>
    <w:rsid w:val="00C82B73"/>
    <w:rsid w:val="00C83353"/>
    <w:rsid w:val="00C849F7"/>
    <w:rsid w:val="00C864ED"/>
    <w:rsid w:val="00C8712B"/>
    <w:rsid w:val="00C87AA3"/>
    <w:rsid w:val="00C87B40"/>
    <w:rsid w:val="00C90816"/>
    <w:rsid w:val="00C90FA2"/>
    <w:rsid w:val="00C91942"/>
    <w:rsid w:val="00C91A44"/>
    <w:rsid w:val="00C920BD"/>
    <w:rsid w:val="00C93CB2"/>
    <w:rsid w:val="00C9402D"/>
    <w:rsid w:val="00C947CA"/>
    <w:rsid w:val="00C94B60"/>
    <w:rsid w:val="00C95122"/>
    <w:rsid w:val="00C95148"/>
    <w:rsid w:val="00C966CA"/>
    <w:rsid w:val="00C971DE"/>
    <w:rsid w:val="00C97723"/>
    <w:rsid w:val="00CA11E9"/>
    <w:rsid w:val="00CA1283"/>
    <w:rsid w:val="00CA18CC"/>
    <w:rsid w:val="00CA1D74"/>
    <w:rsid w:val="00CA1FFC"/>
    <w:rsid w:val="00CA24E3"/>
    <w:rsid w:val="00CA2CE9"/>
    <w:rsid w:val="00CA3081"/>
    <w:rsid w:val="00CA4264"/>
    <w:rsid w:val="00CA6471"/>
    <w:rsid w:val="00CA6B34"/>
    <w:rsid w:val="00CA73BC"/>
    <w:rsid w:val="00CA7F45"/>
    <w:rsid w:val="00CB0678"/>
    <w:rsid w:val="00CB176A"/>
    <w:rsid w:val="00CB1CB6"/>
    <w:rsid w:val="00CB1F6E"/>
    <w:rsid w:val="00CB2E74"/>
    <w:rsid w:val="00CB2F97"/>
    <w:rsid w:val="00CB3552"/>
    <w:rsid w:val="00CB35B0"/>
    <w:rsid w:val="00CB38F4"/>
    <w:rsid w:val="00CB3F14"/>
    <w:rsid w:val="00CB4AFD"/>
    <w:rsid w:val="00CB5665"/>
    <w:rsid w:val="00CB5AC8"/>
    <w:rsid w:val="00CB6E83"/>
    <w:rsid w:val="00CB77C1"/>
    <w:rsid w:val="00CB78B6"/>
    <w:rsid w:val="00CC05FF"/>
    <w:rsid w:val="00CC0B74"/>
    <w:rsid w:val="00CC0E68"/>
    <w:rsid w:val="00CC1B89"/>
    <w:rsid w:val="00CC2514"/>
    <w:rsid w:val="00CC2B56"/>
    <w:rsid w:val="00CC31FD"/>
    <w:rsid w:val="00CC3A47"/>
    <w:rsid w:val="00CC3E1F"/>
    <w:rsid w:val="00CC44F1"/>
    <w:rsid w:val="00CC5CB4"/>
    <w:rsid w:val="00CC5DBD"/>
    <w:rsid w:val="00CC6326"/>
    <w:rsid w:val="00CC6CF7"/>
    <w:rsid w:val="00CC7ACF"/>
    <w:rsid w:val="00CC7D18"/>
    <w:rsid w:val="00CD0091"/>
    <w:rsid w:val="00CD00D4"/>
    <w:rsid w:val="00CD0D49"/>
    <w:rsid w:val="00CD125C"/>
    <w:rsid w:val="00CD1441"/>
    <w:rsid w:val="00CD148B"/>
    <w:rsid w:val="00CD1A20"/>
    <w:rsid w:val="00CD1DC2"/>
    <w:rsid w:val="00CD30C4"/>
    <w:rsid w:val="00CD3139"/>
    <w:rsid w:val="00CD44D9"/>
    <w:rsid w:val="00CE0D92"/>
    <w:rsid w:val="00CE25C7"/>
    <w:rsid w:val="00CE265A"/>
    <w:rsid w:val="00CE347E"/>
    <w:rsid w:val="00CE3541"/>
    <w:rsid w:val="00CE55BF"/>
    <w:rsid w:val="00CE5A12"/>
    <w:rsid w:val="00CE5B0E"/>
    <w:rsid w:val="00CE614C"/>
    <w:rsid w:val="00CE63C4"/>
    <w:rsid w:val="00CE6DF9"/>
    <w:rsid w:val="00CF22FB"/>
    <w:rsid w:val="00CF2998"/>
    <w:rsid w:val="00CF381E"/>
    <w:rsid w:val="00CF429F"/>
    <w:rsid w:val="00CF5650"/>
    <w:rsid w:val="00CF6E72"/>
    <w:rsid w:val="00CF7103"/>
    <w:rsid w:val="00CF773F"/>
    <w:rsid w:val="00CF7833"/>
    <w:rsid w:val="00CF7C68"/>
    <w:rsid w:val="00D0000C"/>
    <w:rsid w:val="00D002D4"/>
    <w:rsid w:val="00D00365"/>
    <w:rsid w:val="00D0046E"/>
    <w:rsid w:val="00D0149E"/>
    <w:rsid w:val="00D0310F"/>
    <w:rsid w:val="00D040CD"/>
    <w:rsid w:val="00D04B5A"/>
    <w:rsid w:val="00D05881"/>
    <w:rsid w:val="00D0588A"/>
    <w:rsid w:val="00D0594F"/>
    <w:rsid w:val="00D05BD4"/>
    <w:rsid w:val="00D05E9E"/>
    <w:rsid w:val="00D064E6"/>
    <w:rsid w:val="00D066E6"/>
    <w:rsid w:val="00D0749C"/>
    <w:rsid w:val="00D10363"/>
    <w:rsid w:val="00D10755"/>
    <w:rsid w:val="00D119DD"/>
    <w:rsid w:val="00D12350"/>
    <w:rsid w:val="00D127F8"/>
    <w:rsid w:val="00D13A18"/>
    <w:rsid w:val="00D13F95"/>
    <w:rsid w:val="00D1436A"/>
    <w:rsid w:val="00D1475F"/>
    <w:rsid w:val="00D14A93"/>
    <w:rsid w:val="00D14BA0"/>
    <w:rsid w:val="00D1508A"/>
    <w:rsid w:val="00D154AE"/>
    <w:rsid w:val="00D15E8A"/>
    <w:rsid w:val="00D16FFA"/>
    <w:rsid w:val="00D170E4"/>
    <w:rsid w:val="00D1716D"/>
    <w:rsid w:val="00D17BAD"/>
    <w:rsid w:val="00D2006E"/>
    <w:rsid w:val="00D20136"/>
    <w:rsid w:val="00D206F1"/>
    <w:rsid w:val="00D20757"/>
    <w:rsid w:val="00D20839"/>
    <w:rsid w:val="00D210A4"/>
    <w:rsid w:val="00D21444"/>
    <w:rsid w:val="00D218E9"/>
    <w:rsid w:val="00D21F5C"/>
    <w:rsid w:val="00D21F68"/>
    <w:rsid w:val="00D22F15"/>
    <w:rsid w:val="00D23798"/>
    <w:rsid w:val="00D23A03"/>
    <w:rsid w:val="00D23F7B"/>
    <w:rsid w:val="00D24BD5"/>
    <w:rsid w:val="00D24E1A"/>
    <w:rsid w:val="00D264C3"/>
    <w:rsid w:val="00D3011C"/>
    <w:rsid w:val="00D30483"/>
    <w:rsid w:val="00D306EB"/>
    <w:rsid w:val="00D307C9"/>
    <w:rsid w:val="00D30DCF"/>
    <w:rsid w:val="00D31F31"/>
    <w:rsid w:val="00D3206B"/>
    <w:rsid w:val="00D32D01"/>
    <w:rsid w:val="00D32E30"/>
    <w:rsid w:val="00D3358E"/>
    <w:rsid w:val="00D3381D"/>
    <w:rsid w:val="00D33843"/>
    <w:rsid w:val="00D339BF"/>
    <w:rsid w:val="00D3411D"/>
    <w:rsid w:val="00D342FF"/>
    <w:rsid w:val="00D343B9"/>
    <w:rsid w:val="00D34AAD"/>
    <w:rsid w:val="00D3624D"/>
    <w:rsid w:val="00D36A2A"/>
    <w:rsid w:val="00D37247"/>
    <w:rsid w:val="00D37702"/>
    <w:rsid w:val="00D37AD2"/>
    <w:rsid w:val="00D37B98"/>
    <w:rsid w:val="00D407C9"/>
    <w:rsid w:val="00D40A5B"/>
    <w:rsid w:val="00D41269"/>
    <w:rsid w:val="00D4163F"/>
    <w:rsid w:val="00D426AD"/>
    <w:rsid w:val="00D42775"/>
    <w:rsid w:val="00D429AE"/>
    <w:rsid w:val="00D44594"/>
    <w:rsid w:val="00D44A26"/>
    <w:rsid w:val="00D45C33"/>
    <w:rsid w:val="00D46CC5"/>
    <w:rsid w:val="00D50222"/>
    <w:rsid w:val="00D50DC3"/>
    <w:rsid w:val="00D523A5"/>
    <w:rsid w:val="00D5335A"/>
    <w:rsid w:val="00D5361E"/>
    <w:rsid w:val="00D539DB"/>
    <w:rsid w:val="00D53E3B"/>
    <w:rsid w:val="00D541E7"/>
    <w:rsid w:val="00D57348"/>
    <w:rsid w:val="00D57999"/>
    <w:rsid w:val="00D600BE"/>
    <w:rsid w:val="00D6022B"/>
    <w:rsid w:val="00D6219C"/>
    <w:rsid w:val="00D62561"/>
    <w:rsid w:val="00D62771"/>
    <w:rsid w:val="00D628B9"/>
    <w:rsid w:val="00D63059"/>
    <w:rsid w:val="00D669A3"/>
    <w:rsid w:val="00D676C0"/>
    <w:rsid w:val="00D67B2E"/>
    <w:rsid w:val="00D67E65"/>
    <w:rsid w:val="00D702C0"/>
    <w:rsid w:val="00D70AD1"/>
    <w:rsid w:val="00D71080"/>
    <w:rsid w:val="00D71154"/>
    <w:rsid w:val="00D71B98"/>
    <w:rsid w:val="00D7233D"/>
    <w:rsid w:val="00D734B2"/>
    <w:rsid w:val="00D73753"/>
    <w:rsid w:val="00D747A6"/>
    <w:rsid w:val="00D752CB"/>
    <w:rsid w:val="00D76336"/>
    <w:rsid w:val="00D77086"/>
    <w:rsid w:val="00D77EF0"/>
    <w:rsid w:val="00D810FC"/>
    <w:rsid w:val="00D83BA1"/>
    <w:rsid w:val="00D84637"/>
    <w:rsid w:val="00D849EE"/>
    <w:rsid w:val="00D8511E"/>
    <w:rsid w:val="00D8540F"/>
    <w:rsid w:val="00D854D7"/>
    <w:rsid w:val="00D85759"/>
    <w:rsid w:val="00D862AE"/>
    <w:rsid w:val="00D864BC"/>
    <w:rsid w:val="00D8659F"/>
    <w:rsid w:val="00D868B1"/>
    <w:rsid w:val="00D87DB9"/>
    <w:rsid w:val="00D90299"/>
    <w:rsid w:val="00D90D28"/>
    <w:rsid w:val="00D91212"/>
    <w:rsid w:val="00D91773"/>
    <w:rsid w:val="00D91BC8"/>
    <w:rsid w:val="00D92F99"/>
    <w:rsid w:val="00D9439C"/>
    <w:rsid w:val="00D94702"/>
    <w:rsid w:val="00D9514E"/>
    <w:rsid w:val="00D95182"/>
    <w:rsid w:val="00D95EDE"/>
    <w:rsid w:val="00D96BA6"/>
    <w:rsid w:val="00D97645"/>
    <w:rsid w:val="00D97D7D"/>
    <w:rsid w:val="00DA1FCD"/>
    <w:rsid w:val="00DA37FA"/>
    <w:rsid w:val="00DA4357"/>
    <w:rsid w:val="00DA4B35"/>
    <w:rsid w:val="00DA4E74"/>
    <w:rsid w:val="00DA527D"/>
    <w:rsid w:val="00DA5BC3"/>
    <w:rsid w:val="00DA5BF6"/>
    <w:rsid w:val="00DA6162"/>
    <w:rsid w:val="00DA647E"/>
    <w:rsid w:val="00DA7802"/>
    <w:rsid w:val="00DA79E9"/>
    <w:rsid w:val="00DA7C8A"/>
    <w:rsid w:val="00DB0CFD"/>
    <w:rsid w:val="00DB2324"/>
    <w:rsid w:val="00DB300F"/>
    <w:rsid w:val="00DB36E3"/>
    <w:rsid w:val="00DB376C"/>
    <w:rsid w:val="00DB3AAC"/>
    <w:rsid w:val="00DB58AB"/>
    <w:rsid w:val="00DB73CB"/>
    <w:rsid w:val="00DC007B"/>
    <w:rsid w:val="00DC02C5"/>
    <w:rsid w:val="00DC0518"/>
    <w:rsid w:val="00DC1EF2"/>
    <w:rsid w:val="00DC1F96"/>
    <w:rsid w:val="00DC2044"/>
    <w:rsid w:val="00DC2710"/>
    <w:rsid w:val="00DC4A71"/>
    <w:rsid w:val="00DC57DB"/>
    <w:rsid w:val="00DC77A2"/>
    <w:rsid w:val="00DC7A7B"/>
    <w:rsid w:val="00DD003E"/>
    <w:rsid w:val="00DD053B"/>
    <w:rsid w:val="00DD0918"/>
    <w:rsid w:val="00DD202A"/>
    <w:rsid w:val="00DD2445"/>
    <w:rsid w:val="00DD28D5"/>
    <w:rsid w:val="00DD2ADB"/>
    <w:rsid w:val="00DD3509"/>
    <w:rsid w:val="00DD551B"/>
    <w:rsid w:val="00DD6FD2"/>
    <w:rsid w:val="00DD7813"/>
    <w:rsid w:val="00DD7EE3"/>
    <w:rsid w:val="00DE061D"/>
    <w:rsid w:val="00DE0735"/>
    <w:rsid w:val="00DE19EA"/>
    <w:rsid w:val="00DE1CB2"/>
    <w:rsid w:val="00DE222B"/>
    <w:rsid w:val="00DE363A"/>
    <w:rsid w:val="00DE3A8E"/>
    <w:rsid w:val="00DE4BDB"/>
    <w:rsid w:val="00DE4FC5"/>
    <w:rsid w:val="00DE5527"/>
    <w:rsid w:val="00DE58FD"/>
    <w:rsid w:val="00DE59A6"/>
    <w:rsid w:val="00DE5DDA"/>
    <w:rsid w:val="00DE6056"/>
    <w:rsid w:val="00DE658D"/>
    <w:rsid w:val="00DE6C82"/>
    <w:rsid w:val="00DE770B"/>
    <w:rsid w:val="00DF2001"/>
    <w:rsid w:val="00DF2B65"/>
    <w:rsid w:val="00DF3111"/>
    <w:rsid w:val="00DF35D6"/>
    <w:rsid w:val="00DF36E7"/>
    <w:rsid w:val="00DF3B4C"/>
    <w:rsid w:val="00DF4330"/>
    <w:rsid w:val="00DF4F75"/>
    <w:rsid w:val="00DF5242"/>
    <w:rsid w:val="00DF5A17"/>
    <w:rsid w:val="00DF5A3E"/>
    <w:rsid w:val="00DF683E"/>
    <w:rsid w:val="00DF6A1B"/>
    <w:rsid w:val="00DF7006"/>
    <w:rsid w:val="00DF7616"/>
    <w:rsid w:val="00E006E2"/>
    <w:rsid w:val="00E00739"/>
    <w:rsid w:val="00E00D23"/>
    <w:rsid w:val="00E01280"/>
    <w:rsid w:val="00E021BB"/>
    <w:rsid w:val="00E02289"/>
    <w:rsid w:val="00E03B42"/>
    <w:rsid w:val="00E03DB4"/>
    <w:rsid w:val="00E03E22"/>
    <w:rsid w:val="00E04596"/>
    <w:rsid w:val="00E04B3E"/>
    <w:rsid w:val="00E05886"/>
    <w:rsid w:val="00E064EB"/>
    <w:rsid w:val="00E0689D"/>
    <w:rsid w:val="00E06F5D"/>
    <w:rsid w:val="00E1013F"/>
    <w:rsid w:val="00E11464"/>
    <w:rsid w:val="00E11C69"/>
    <w:rsid w:val="00E127B5"/>
    <w:rsid w:val="00E141D5"/>
    <w:rsid w:val="00E14AA1"/>
    <w:rsid w:val="00E151AD"/>
    <w:rsid w:val="00E15AD4"/>
    <w:rsid w:val="00E16443"/>
    <w:rsid w:val="00E17313"/>
    <w:rsid w:val="00E201D3"/>
    <w:rsid w:val="00E202FA"/>
    <w:rsid w:val="00E21121"/>
    <w:rsid w:val="00E2156C"/>
    <w:rsid w:val="00E218CA"/>
    <w:rsid w:val="00E224B1"/>
    <w:rsid w:val="00E226CD"/>
    <w:rsid w:val="00E228AB"/>
    <w:rsid w:val="00E22E38"/>
    <w:rsid w:val="00E23370"/>
    <w:rsid w:val="00E2458E"/>
    <w:rsid w:val="00E247FE"/>
    <w:rsid w:val="00E24D6E"/>
    <w:rsid w:val="00E253D5"/>
    <w:rsid w:val="00E25645"/>
    <w:rsid w:val="00E30B52"/>
    <w:rsid w:val="00E31818"/>
    <w:rsid w:val="00E32C2E"/>
    <w:rsid w:val="00E3317D"/>
    <w:rsid w:val="00E33ACF"/>
    <w:rsid w:val="00E353B1"/>
    <w:rsid w:val="00E35873"/>
    <w:rsid w:val="00E361D2"/>
    <w:rsid w:val="00E36D9D"/>
    <w:rsid w:val="00E371B7"/>
    <w:rsid w:val="00E37474"/>
    <w:rsid w:val="00E40430"/>
    <w:rsid w:val="00E4054A"/>
    <w:rsid w:val="00E4096D"/>
    <w:rsid w:val="00E40ADE"/>
    <w:rsid w:val="00E419B5"/>
    <w:rsid w:val="00E41FF2"/>
    <w:rsid w:val="00E4225A"/>
    <w:rsid w:val="00E42570"/>
    <w:rsid w:val="00E42A47"/>
    <w:rsid w:val="00E43942"/>
    <w:rsid w:val="00E445EB"/>
    <w:rsid w:val="00E4482D"/>
    <w:rsid w:val="00E44D67"/>
    <w:rsid w:val="00E45541"/>
    <w:rsid w:val="00E4570B"/>
    <w:rsid w:val="00E45AFB"/>
    <w:rsid w:val="00E45CAD"/>
    <w:rsid w:val="00E463A9"/>
    <w:rsid w:val="00E465EF"/>
    <w:rsid w:val="00E47181"/>
    <w:rsid w:val="00E50AB3"/>
    <w:rsid w:val="00E50C9B"/>
    <w:rsid w:val="00E51AB6"/>
    <w:rsid w:val="00E51B2D"/>
    <w:rsid w:val="00E5247B"/>
    <w:rsid w:val="00E53EA8"/>
    <w:rsid w:val="00E55240"/>
    <w:rsid w:val="00E56206"/>
    <w:rsid w:val="00E570C9"/>
    <w:rsid w:val="00E57389"/>
    <w:rsid w:val="00E57A14"/>
    <w:rsid w:val="00E601A8"/>
    <w:rsid w:val="00E605C3"/>
    <w:rsid w:val="00E60ACD"/>
    <w:rsid w:val="00E61174"/>
    <w:rsid w:val="00E61F44"/>
    <w:rsid w:val="00E62115"/>
    <w:rsid w:val="00E6337E"/>
    <w:rsid w:val="00E634EA"/>
    <w:rsid w:val="00E64049"/>
    <w:rsid w:val="00E64671"/>
    <w:rsid w:val="00E64897"/>
    <w:rsid w:val="00E64DCA"/>
    <w:rsid w:val="00E64FCA"/>
    <w:rsid w:val="00E65167"/>
    <w:rsid w:val="00E655FB"/>
    <w:rsid w:val="00E6567B"/>
    <w:rsid w:val="00E6629F"/>
    <w:rsid w:val="00E67484"/>
    <w:rsid w:val="00E67AF9"/>
    <w:rsid w:val="00E7133C"/>
    <w:rsid w:val="00E71EDC"/>
    <w:rsid w:val="00E71F8C"/>
    <w:rsid w:val="00E736E1"/>
    <w:rsid w:val="00E742E4"/>
    <w:rsid w:val="00E74508"/>
    <w:rsid w:val="00E74717"/>
    <w:rsid w:val="00E74D69"/>
    <w:rsid w:val="00E75C15"/>
    <w:rsid w:val="00E77099"/>
    <w:rsid w:val="00E77931"/>
    <w:rsid w:val="00E77EEF"/>
    <w:rsid w:val="00E80134"/>
    <w:rsid w:val="00E80366"/>
    <w:rsid w:val="00E81DAA"/>
    <w:rsid w:val="00E81F24"/>
    <w:rsid w:val="00E82448"/>
    <w:rsid w:val="00E82AF6"/>
    <w:rsid w:val="00E82EAF"/>
    <w:rsid w:val="00E83239"/>
    <w:rsid w:val="00E8362B"/>
    <w:rsid w:val="00E8480C"/>
    <w:rsid w:val="00E856AF"/>
    <w:rsid w:val="00E85F06"/>
    <w:rsid w:val="00E87474"/>
    <w:rsid w:val="00E87484"/>
    <w:rsid w:val="00E877DB"/>
    <w:rsid w:val="00E907AB"/>
    <w:rsid w:val="00E90B90"/>
    <w:rsid w:val="00E90DDC"/>
    <w:rsid w:val="00E9140F"/>
    <w:rsid w:val="00E9274D"/>
    <w:rsid w:val="00E92B37"/>
    <w:rsid w:val="00E9469C"/>
    <w:rsid w:val="00E949E4"/>
    <w:rsid w:val="00E95E93"/>
    <w:rsid w:val="00E969F3"/>
    <w:rsid w:val="00E96D49"/>
    <w:rsid w:val="00E97688"/>
    <w:rsid w:val="00E97A54"/>
    <w:rsid w:val="00E97C26"/>
    <w:rsid w:val="00EA103F"/>
    <w:rsid w:val="00EA149B"/>
    <w:rsid w:val="00EA1F2B"/>
    <w:rsid w:val="00EA21FD"/>
    <w:rsid w:val="00EA2F43"/>
    <w:rsid w:val="00EA3723"/>
    <w:rsid w:val="00EA3B8D"/>
    <w:rsid w:val="00EA5841"/>
    <w:rsid w:val="00EA7592"/>
    <w:rsid w:val="00EA7ADD"/>
    <w:rsid w:val="00EA7EBA"/>
    <w:rsid w:val="00EB0240"/>
    <w:rsid w:val="00EB0A77"/>
    <w:rsid w:val="00EB0B27"/>
    <w:rsid w:val="00EB0B80"/>
    <w:rsid w:val="00EB0CA9"/>
    <w:rsid w:val="00EB0F2C"/>
    <w:rsid w:val="00EB10F6"/>
    <w:rsid w:val="00EB118D"/>
    <w:rsid w:val="00EB175C"/>
    <w:rsid w:val="00EB1F74"/>
    <w:rsid w:val="00EB2BE2"/>
    <w:rsid w:val="00EB302F"/>
    <w:rsid w:val="00EB3903"/>
    <w:rsid w:val="00EB3E79"/>
    <w:rsid w:val="00EB4349"/>
    <w:rsid w:val="00EB459E"/>
    <w:rsid w:val="00EB7793"/>
    <w:rsid w:val="00EB7A57"/>
    <w:rsid w:val="00EB7B14"/>
    <w:rsid w:val="00EC0400"/>
    <w:rsid w:val="00EC1162"/>
    <w:rsid w:val="00EC1625"/>
    <w:rsid w:val="00EC1987"/>
    <w:rsid w:val="00EC1999"/>
    <w:rsid w:val="00EC1CC1"/>
    <w:rsid w:val="00EC22FC"/>
    <w:rsid w:val="00EC3987"/>
    <w:rsid w:val="00EC42D3"/>
    <w:rsid w:val="00EC442F"/>
    <w:rsid w:val="00EC44FA"/>
    <w:rsid w:val="00EC45B0"/>
    <w:rsid w:val="00EC4A25"/>
    <w:rsid w:val="00ED0A7C"/>
    <w:rsid w:val="00ED2AC6"/>
    <w:rsid w:val="00ED31C1"/>
    <w:rsid w:val="00ED3407"/>
    <w:rsid w:val="00ED3863"/>
    <w:rsid w:val="00ED38BF"/>
    <w:rsid w:val="00ED4388"/>
    <w:rsid w:val="00ED4747"/>
    <w:rsid w:val="00ED634D"/>
    <w:rsid w:val="00ED6AF8"/>
    <w:rsid w:val="00ED7692"/>
    <w:rsid w:val="00ED7730"/>
    <w:rsid w:val="00EE11F8"/>
    <w:rsid w:val="00EE25F5"/>
    <w:rsid w:val="00EE298E"/>
    <w:rsid w:val="00EE2CBC"/>
    <w:rsid w:val="00EE3C1D"/>
    <w:rsid w:val="00EE4261"/>
    <w:rsid w:val="00EE434A"/>
    <w:rsid w:val="00EE4ABD"/>
    <w:rsid w:val="00EE5540"/>
    <w:rsid w:val="00EE61CA"/>
    <w:rsid w:val="00EE61F6"/>
    <w:rsid w:val="00EE6E33"/>
    <w:rsid w:val="00EE6ECD"/>
    <w:rsid w:val="00EF0825"/>
    <w:rsid w:val="00EF0F8B"/>
    <w:rsid w:val="00EF14AC"/>
    <w:rsid w:val="00EF1DD4"/>
    <w:rsid w:val="00EF2082"/>
    <w:rsid w:val="00EF24DA"/>
    <w:rsid w:val="00EF3978"/>
    <w:rsid w:val="00EF48FE"/>
    <w:rsid w:val="00EF50F1"/>
    <w:rsid w:val="00EF57F5"/>
    <w:rsid w:val="00EF6742"/>
    <w:rsid w:val="00EF6B9D"/>
    <w:rsid w:val="00EF7D49"/>
    <w:rsid w:val="00F00728"/>
    <w:rsid w:val="00F01204"/>
    <w:rsid w:val="00F0273F"/>
    <w:rsid w:val="00F02B63"/>
    <w:rsid w:val="00F02E67"/>
    <w:rsid w:val="00F03A1B"/>
    <w:rsid w:val="00F03DC2"/>
    <w:rsid w:val="00F04524"/>
    <w:rsid w:val="00F0490D"/>
    <w:rsid w:val="00F054A3"/>
    <w:rsid w:val="00F05908"/>
    <w:rsid w:val="00F07599"/>
    <w:rsid w:val="00F1029B"/>
    <w:rsid w:val="00F12333"/>
    <w:rsid w:val="00F133AF"/>
    <w:rsid w:val="00F148D2"/>
    <w:rsid w:val="00F14E8D"/>
    <w:rsid w:val="00F14FDC"/>
    <w:rsid w:val="00F15763"/>
    <w:rsid w:val="00F1596D"/>
    <w:rsid w:val="00F177B9"/>
    <w:rsid w:val="00F20475"/>
    <w:rsid w:val="00F219E2"/>
    <w:rsid w:val="00F220AC"/>
    <w:rsid w:val="00F22102"/>
    <w:rsid w:val="00F22995"/>
    <w:rsid w:val="00F22A01"/>
    <w:rsid w:val="00F2315C"/>
    <w:rsid w:val="00F23A8B"/>
    <w:rsid w:val="00F26871"/>
    <w:rsid w:val="00F27F6D"/>
    <w:rsid w:val="00F300D0"/>
    <w:rsid w:val="00F318F6"/>
    <w:rsid w:val="00F326A0"/>
    <w:rsid w:val="00F32757"/>
    <w:rsid w:val="00F33609"/>
    <w:rsid w:val="00F33CD7"/>
    <w:rsid w:val="00F34043"/>
    <w:rsid w:val="00F35093"/>
    <w:rsid w:val="00F366FB"/>
    <w:rsid w:val="00F36E0C"/>
    <w:rsid w:val="00F40226"/>
    <w:rsid w:val="00F41FD3"/>
    <w:rsid w:val="00F4239F"/>
    <w:rsid w:val="00F43593"/>
    <w:rsid w:val="00F439F6"/>
    <w:rsid w:val="00F43EA2"/>
    <w:rsid w:val="00F441EA"/>
    <w:rsid w:val="00F44272"/>
    <w:rsid w:val="00F44410"/>
    <w:rsid w:val="00F4528D"/>
    <w:rsid w:val="00F453A2"/>
    <w:rsid w:val="00F45D13"/>
    <w:rsid w:val="00F50035"/>
    <w:rsid w:val="00F51B77"/>
    <w:rsid w:val="00F51F3E"/>
    <w:rsid w:val="00F53F24"/>
    <w:rsid w:val="00F553C3"/>
    <w:rsid w:val="00F55451"/>
    <w:rsid w:val="00F56247"/>
    <w:rsid w:val="00F567E2"/>
    <w:rsid w:val="00F57185"/>
    <w:rsid w:val="00F6063A"/>
    <w:rsid w:val="00F60738"/>
    <w:rsid w:val="00F60FBE"/>
    <w:rsid w:val="00F61242"/>
    <w:rsid w:val="00F619D2"/>
    <w:rsid w:val="00F6274E"/>
    <w:rsid w:val="00F629E6"/>
    <w:rsid w:val="00F632C9"/>
    <w:rsid w:val="00F63647"/>
    <w:rsid w:val="00F63CB5"/>
    <w:rsid w:val="00F6584B"/>
    <w:rsid w:val="00F66DDE"/>
    <w:rsid w:val="00F670A4"/>
    <w:rsid w:val="00F673F9"/>
    <w:rsid w:val="00F67D4B"/>
    <w:rsid w:val="00F70118"/>
    <w:rsid w:val="00F704DE"/>
    <w:rsid w:val="00F70F84"/>
    <w:rsid w:val="00F724DC"/>
    <w:rsid w:val="00F72BB2"/>
    <w:rsid w:val="00F73194"/>
    <w:rsid w:val="00F746B3"/>
    <w:rsid w:val="00F7501C"/>
    <w:rsid w:val="00F7528B"/>
    <w:rsid w:val="00F75359"/>
    <w:rsid w:val="00F756FE"/>
    <w:rsid w:val="00F75802"/>
    <w:rsid w:val="00F7698D"/>
    <w:rsid w:val="00F770B2"/>
    <w:rsid w:val="00F80050"/>
    <w:rsid w:val="00F80A85"/>
    <w:rsid w:val="00F81B78"/>
    <w:rsid w:val="00F81C42"/>
    <w:rsid w:val="00F82993"/>
    <w:rsid w:val="00F83DB1"/>
    <w:rsid w:val="00F83EEC"/>
    <w:rsid w:val="00F84488"/>
    <w:rsid w:val="00F84A8B"/>
    <w:rsid w:val="00F84AFB"/>
    <w:rsid w:val="00F84CF2"/>
    <w:rsid w:val="00F85145"/>
    <w:rsid w:val="00F85583"/>
    <w:rsid w:val="00F85B51"/>
    <w:rsid w:val="00F86634"/>
    <w:rsid w:val="00F86E99"/>
    <w:rsid w:val="00F878AA"/>
    <w:rsid w:val="00F90663"/>
    <w:rsid w:val="00F90D55"/>
    <w:rsid w:val="00F9196F"/>
    <w:rsid w:val="00F919FA"/>
    <w:rsid w:val="00F91A8D"/>
    <w:rsid w:val="00F91EE2"/>
    <w:rsid w:val="00F92064"/>
    <w:rsid w:val="00F9218C"/>
    <w:rsid w:val="00F93A13"/>
    <w:rsid w:val="00F93EAF"/>
    <w:rsid w:val="00F93FE7"/>
    <w:rsid w:val="00F9429F"/>
    <w:rsid w:val="00F94E17"/>
    <w:rsid w:val="00F957AF"/>
    <w:rsid w:val="00F96D81"/>
    <w:rsid w:val="00F97419"/>
    <w:rsid w:val="00F97472"/>
    <w:rsid w:val="00FA03B3"/>
    <w:rsid w:val="00FA0D64"/>
    <w:rsid w:val="00FA0F17"/>
    <w:rsid w:val="00FA248E"/>
    <w:rsid w:val="00FA32F9"/>
    <w:rsid w:val="00FA377E"/>
    <w:rsid w:val="00FA3800"/>
    <w:rsid w:val="00FA3AD6"/>
    <w:rsid w:val="00FA46A1"/>
    <w:rsid w:val="00FA48BE"/>
    <w:rsid w:val="00FA4DC7"/>
    <w:rsid w:val="00FA5E83"/>
    <w:rsid w:val="00FA63A1"/>
    <w:rsid w:val="00FA728D"/>
    <w:rsid w:val="00FA73CD"/>
    <w:rsid w:val="00FB0194"/>
    <w:rsid w:val="00FB0524"/>
    <w:rsid w:val="00FB4FAB"/>
    <w:rsid w:val="00FB62A7"/>
    <w:rsid w:val="00FB69F1"/>
    <w:rsid w:val="00FB77E2"/>
    <w:rsid w:val="00FC0CD5"/>
    <w:rsid w:val="00FC17C3"/>
    <w:rsid w:val="00FC1A97"/>
    <w:rsid w:val="00FC1BDF"/>
    <w:rsid w:val="00FC24C4"/>
    <w:rsid w:val="00FC2831"/>
    <w:rsid w:val="00FC3144"/>
    <w:rsid w:val="00FC4336"/>
    <w:rsid w:val="00FC43CE"/>
    <w:rsid w:val="00FC4623"/>
    <w:rsid w:val="00FC50A5"/>
    <w:rsid w:val="00FC5911"/>
    <w:rsid w:val="00FC5AE3"/>
    <w:rsid w:val="00FC5B72"/>
    <w:rsid w:val="00FC5D22"/>
    <w:rsid w:val="00FC6324"/>
    <w:rsid w:val="00FC6A08"/>
    <w:rsid w:val="00FC7052"/>
    <w:rsid w:val="00FC7370"/>
    <w:rsid w:val="00FC7E5C"/>
    <w:rsid w:val="00FC7F31"/>
    <w:rsid w:val="00FD0C9D"/>
    <w:rsid w:val="00FD16C7"/>
    <w:rsid w:val="00FD1C08"/>
    <w:rsid w:val="00FD1F7E"/>
    <w:rsid w:val="00FD2D04"/>
    <w:rsid w:val="00FD327B"/>
    <w:rsid w:val="00FD49B0"/>
    <w:rsid w:val="00FD55CE"/>
    <w:rsid w:val="00FD597A"/>
    <w:rsid w:val="00FD6D54"/>
    <w:rsid w:val="00FD70FD"/>
    <w:rsid w:val="00FD7163"/>
    <w:rsid w:val="00FD7ED2"/>
    <w:rsid w:val="00FE02D5"/>
    <w:rsid w:val="00FE1900"/>
    <w:rsid w:val="00FE1C9D"/>
    <w:rsid w:val="00FE2657"/>
    <w:rsid w:val="00FE3270"/>
    <w:rsid w:val="00FE32C2"/>
    <w:rsid w:val="00FE3E32"/>
    <w:rsid w:val="00FE44E4"/>
    <w:rsid w:val="00FE45CE"/>
    <w:rsid w:val="00FE480E"/>
    <w:rsid w:val="00FE5257"/>
    <w:rsid w:val="00FE5405"/>
    <w:rsid w:val="00FE6E00"/>
    <w:rsid w:val="00FE74B2"/>
    <w:rsid w:val="00FE7DA9"/>
    <w:rsid w:val="00FF2616"/>
    <w:rsid w:val="00FF33BE"/>
    <w:rsid w:val="00FF374D"/>
    <w:rsid w:val="00FF3E29"/>
    <w:rsid w:val="00FF42D3"/>
    <w:rsid w:val="00FF4446"/>
    <w:rsid w:val="00FF5155"/>
    <w:rsid w:val="00FF54AA"/>
    <w:rsid w:val="00FF6C6D"/>
    <w:rsid w:val="00FF6E3F"/>
    <w:rsid w:val="00FF783A"/>
    <w:rsid w:val="00FF7D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2C2D87EF"/>
  <w15:docId w15:val="{EC5B84CF-0E56-4B26-8249-CDAB6F55D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locked="1"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lsdException w:name="Light List" w:locked="1"/>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locked="1" w:semiHidden="1" w:unhideWhenUsed="1"/>
    <w:lsdException w:name="Subtle Reference" w:semiHidden="1"/>
    <w:lsdException w:name="Intense Reference" w:locked="1" w:semiHidden="1" w:unhideWhenUsed="1"/>
    <w:lsdException w:name="Book Title" w:semiHidden="1"/>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BB1396"/>
    <w:pPr>
      <w:spacing w:line="264" w:lineRule="auto"/>
    </w:pPr>
    <w:rPr>
      <w:rFonts w:eastAsia="Times New Roman" w:asciiTheme="minorHAnsi" w:hAnsiTheme="minorHAnsi" w:cs="Times New Roman"/>
      <w:szCs w:val="20"/>
    </w:rPr>
  </w:style>
  <w:style w:type="paragraph" w:styleId="Heading1">
    <w:name w:val="heading 1"/>
    <w:basedOn w:val="Normal"/>
    <w:next w:val="Paragraph"/>
    <w:link w:val="Heading1Char"/>
    <w:semiHidden/>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semiHidden/>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semiHidden/>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semiHidden/>
    <w:rsid w:val="000C53A3"/>
    <w:pPr>
      <w:spacing w:line="360" w:lineRule="auto"/>
      <w:outlineLvl w:val="4"/>
    </w:p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semiHidden/>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semiHidden/>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eastAsia="Times New Roman" w:asciiTheme="majorHAnsi"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qFormat/>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eastAsia="Times New Roman" w:asciiTheme="minorHAnsi" w:hAnsiTheme="minorHAnsi" w:cs="Times New Roman"/>
      <w:sz w:val="20"/>
      <w:szCs w:val="20"/>
    </w:rPr>
  </w:style>
  <w:style w:type="paragraph" w:styleId="ListNumber">
    <w:name w:val="List Number"/>
    <w:basedOn w:val="Normal"/>
    <w:unhideWhenUsed/>
    <w:qFormat/>
    <w:rsid w:val="00B74927"/>
    <w:pPr>
      <w:numPr>
        <w:numId w:val="11"/>
      </w:numPr>
      <w:spacing w:before="120" w:after="120"/>
    </w:pPr>
  </w:style>
  <w:style w:type="paragraph" w:styleId="Footer">
    <w:name w:val="footer"/>
    <w:basedOn w:val="Normal"/>
    <w:link w:val="FooterChar"/>
    <w:semiHidden/>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eastAsia="Times New Roman" w:asciiTheme="majorHAnsi" w:hAnsiTheme="majorHAnsi" w:cs="Times New Roman"/>
      <w:sz w:val="24"/>
      <w:szCs w:val="20"/>
    </w:rPr>
  </w:style>
  <w:style w:type="character" w:styleId="FootnoteReference">
    <w:name w:val="footnote reference"/>
    <w:basedOn w:val="DefaultParagraphFont"/>
    <w:semiHidden/>
    <w:rsid w:val="00CA1D74"/>
    <w:rPr>
      <w:rFonts w:asciiTheme="minorHAnsi" w:hAnsiTheme="minorHAnsi"/>
      <w:color w:val="auto"/>
      <w:spacing w:val="0"/>
      <w:position w:val="0"/>
      <w:sz w:val="24"/>
      <w:u w:color="000080"/>
      <w:effect w:val="none"/>
      <w:vertAlign w:val="superscript"/>
    </w:rPr>
  </w:style>
  <w:style w:type="paragraph" w:styleId="FootnoteText">
    <w:name w:val="footnote text"/>
    <w:aliases w:val="F,F1,Footnote Text2"/>
    <w:basedOn w:val="Normal"/>
    <w:link w:val="FootnoteTextChar"/>
    <w:semiHidden/>
    <w:rsid w:val="00995758"/>
    <w:pPr>
      <w:tabs>
        <w:tab w:val="left" w:pos="173"/>
      </w:tabs>
      <w:spacing w:after="60" w:line="250" w:lineRule="exact"/>
      <w:ind w:left="173" w:hanging="173"/>
    </w:pPr>
    <w:rPr>
      <w:sz w:val="20"/>
    </w:rPr>
  </w:style>
  <w:style w:type="character" w:customStyle="1" w:styleId="FootnoteTextChar">
    <w:name w:val="Footnote Text Char"/>
    <w:aliases w:val="F Char,F1 Char,Footnote Text2 Char"/>
    <w:basedOn w:val="DefaultParagraphFont"/>
    <w:link w:val="FootnoteText"/>
    <w:rsid w:val="00995758"/>
    <w:rPr>
      <w:rFonts w:eastAsia="Times New Roman" w:asciiTheme="minorHAnsi" w:hAnsiTheme="minorHAnsi" w:cs="Times New Roman"/>
      <w:sz w:val="20"/>
      <w:szCs w:val="20"/>
    </w:rPr>
  </w:style>
  <w:style w:type="paragraph" w:styleId="Header">
    <w:name w:val="header"/>
    <w:basedOn w:val="Normal"/>
    <w:link w:val="HeaderChar"/>
    <w:semiHidden/>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FC7E5C"/>
    <w:rPr>
      <w:rFonts w:eastAsia="Times New Roman" w:asciiTheme="majorHAnsi" w:hAnsiTheme="majorHAnsi" w:cs="Times New Roman"/>
      <w:color w:val="0B2949" w:themeColor="accent1"/>
      <w:sz w:val="20"/>
      <w:szCs w:val="20"/>
    </w:rPr>
  </w:style>
  <w:style w:type="character" w:customStyle="1" w:styleId="Heading1Char">
    <w:name w:val="Heading 1 Char"/>
    <w:basedOn w:val="DefaultParagraphFont"/>
    <w:link w:val="Heading1"/>
    <w:uiPriority w:val="9"/>
    <w:semiHidden/>
    <w:rsid w:val="00B52403"/>
    <w:rPr>
      <w:rFonts w:eastAsia="Times New Roman" w:asciiTheme="majorHAnsi" w:hAnsiTheme="majorHAnsi" w:cs="Times New Roman"/>
      <w:b/>
      <w:caps/>
      <w:color w:val="046B5C" w:themeColor="text2"/>
      <w:sz w:val="32"/>
      <w:szCs w:val="20"/>
    </w:rPr>
  </w:style>
  <w:style w:type="character" w:customStyle="1" w:styleId="Heading2Char">
    <w:name w:val="Heading 2 Char"/>
    <w:basedOn w:val="DefaultParagraphFont"/>
    <w:link w:val="Heading2"/>
    <w:uiPriority w:val="9"/>
    <w:semiHidden/>
    <w:rsid w:val="00B52403"/>
    <w:rPr>
      <w:rFonts w:eastAsia="Times New Roman" w:asciiTheme="majorHAnsi"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uiPriority w:val="9"/>
    <w:semiHidden/>
    <w:rsid w:val="00B52403"/>
    <w:rPr>
      <w:rFonts w:eastAsia="Times New Roman" w:asciiTheme="minorHAnsi" w:hAnsiTheme="minorHAnsi" w:cs="Times New Roman"/>
      <w:b/>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uiPriority w:val="9"/>
    <w:semiHidden/>
    <w:rsid w:val="00B52403"/>
    <w:rPr>
      <w:rFonts w:eastAsia="Times New Roman" w:asciiTheme="minorHAnsi"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eastAsia="Times New Roman" w:asciiTheme="minorHAnsi" w:hAnsiTheme="minorHAnsi" w:cs="Times New Roman"/>
      <w:szCs w:val="20"/>
    </w:rPr>
  </w:style>
  <w:style w:type="character" w:customStyle="1" w:styleId="Heading6Char">
    <w:name w:val="Heading 6 Char"/>
    <w:basedOn w:val="DefaultParagraphFont"/>
    <w:link w:val="Heading6"/>
    <w:uiPriority w:val="99"/>
    <w:semiHidden/>
    <w:rsid w:val="006D21C0"/>
    <w:rPr>
      <w:rFonts w:eastAsia="Times New Roman" w:asciiTheme="minorHAnsi" w:hAnsiTheme="minorHAnsi" w:cs="Times New Roman"/>
      <w:szCs w:val="20"/>
    </w:rPr>
  </w:style>
  <w:style w:type="character" w:customStyle="1" w:styleId="Heading7Char">
    <w:name w:val="Heading 7 Char"/>
    <w:basedOn w:val="DefaultParagraphFont"/>
    <w:link w:val="Heading7"/>
    <w:uiPriority w:val="99"/>
    <w:semiHidden/>
    <w:rsid w:val="006D21C0"/>
    <w:rPr>
      <w:rFonts w:eastAsia="Times New Roman" w:asciiTheme="minorHAnsi" w:hAnsiTheme="minorHAnsi" w:cs="Times New Roman"/>
      <w:szCs w:val="20"/>
    </w:rPr>
  </w:style>
  <w:style w:type="character" w:customStyle="1" w:styleId="Heading8Char">
    <w:name w:val="Heading 8 Char"/>
    <w:basedOn w:val="DefaultParagraphFont"/>
    <w:link w:val="Heading8"/>
    <w:uiPriority w:val="99"/>
    <w:semiHidden/>
    <w:rsid w:val="006D21C0"/>
    <w:rPr>
      <w:rFonts w:eastAsia="Times New Roman" w:asciiTheme="minorHAnsi"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6D21C0"/>
    <w:rPr>
      <w:rFonts w:eastAsia="Times New Roman" w:asciiTheme="minorHAnsi"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semiHidden/>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7910ED"/>
    <w:pPr>
      <w:keepNext/>
      <w:spacing w:before="240" w:after="60"/>
    </w:pPr>
    <w:rPr>
      <w:rFonts w:eastAsia="Calibri"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rsid w:val="002E3E35"/>
    <w:pPr>
      <w:numPr>
        <w:numId w:val="1"/>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rsid w:val="000B764C"/>
  </w:style>
  <w:style w:type="paragraph" w:customStyle="1" w:styleId="Paragraph">
    <w:name w:val="Paragraph"/>
    <w:basedOn w:val="Normal"/>
    <w:qFormat/>
    <w:rsid w:val="00BB1396"/>
  </w:style>
  <w:style w:type="paragraph" w:customStyle="1" w:styleId="ParagraphContinued">
    <w:name w:val="Paragraph Continued"/>
    <w:basedOn w:val="Paragraph"/>
    <w:next w:val="Paragraph"/>
    <w:qFormat/>
    <w:rsid w:val="00BB1396"/>
    <w:pPr>
      <w:spacing w:before="240"/>
    </w:pPr>
  </w:style>
  <w:style w:type="paragraph" w:customStyle="1" w:styleId="TableTextRight">
    <w:name w:val="Table Text Right"/>
    <w:basedOn w:val="TableTextLeft"/>
    <w:qFormat/>
    <w:rsid w:val="009174DF"/>
    <w:pPr>
      <w:jc w:val="right"/>
    </w:pPr>
  </w:style>
  <w:style w:type="paragraph" w:customStyle="1" w:styleId="Outline">
    <w:name w:val="Outline"/>
    <w:basedOn w:val="Normal"/>
    <w:next w:val="Paragraph"/>
    <w:semiHidden/>
    <w:unhideWhenUsed/>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rsid w:val="00F85583"/>
    <w:rPr>
      <w:rFonts w:ascii="Arial" w:hAnsi="Arial"/>
      <w:color w:val="auto"/>
      <w:sz w:val="20"/>
      <w:bdr w:val="none" w:sz="0" w:space="0" w:color="auto"/>
    </w:rPr>
  </w:style>
  <w:style w:type="paragraph" w:customStyle="1" w:styleId="References">
    <w:name w:val="References"/>
    <w:basedOn w:val="Normal"/>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eastAsia="Times New Roman" w:asciiTheme="majorHAnsi"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textboxTightWrap w:val="allLines"/>
      <w:jc w:val="center"/>
    </w:pPr>
  </w:style>
  <w:style w:type="paragraph" w:styleId="TableofFigures">
    <w:name w:val="table of figures"/>
    <w:basedOn w:val="Normal"/>
    <w:next w:val="Normal"/>
    <w:uiPriority w:val="99"/>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9174DF"/>
    <w:pPr>
      <w:spacing w:after="60" w:line="240" w:lineRule="auto"/>
    </w:pPr>
    <w:rPr>
      <w:rFonts w:asciiTheme="majorHAnsi" w:hAnsiTheme="majorHAnsi"/>
      <w:sz w:val="20"/>
    </w:rPr>
  </w:style>
  <w:style w:type="paragraph" w:customStyle="1" w:styleId="ExhibitSource">
    <w:name w:val="Exhibit Source"/>
    <w:qFormat/>
    <w:rsid w:val="006C742B"/>
    <w:pPr>
      <w:spacing w:before="60" w:after="0"/>
      <w:ind w:left="720" w:hanging="720"/>
    </w:pPr>
    <w:rPr>
      <w:rFonts w:eastAsia="Times New Roman" w:asciiTheme="majorHAnsi" w:hAnsiTheme="majorHAnsi" w:cs="Times New Roman"/>
      <w:sz w:val="20"/>
      <w:szCs w:val="20"/>
    </w:rPr>
  </w:style>
  <w:style w:type="paragraph" w:customStyle="1" w:styleId="ExhibitSignificance">
    <w:name w:val="Exhibit Significance"/>
    <w:basedOn w:val="Normal"/>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rsid w:val="002E3E35"/>
  </w:style>
  <w:style w:type="paragraph" w:styleId="Title">
    <w:name w:val="Title"/>
    <w:basedOn w:val="Normal"/>
    <w:next w:val="Normal"/>
    <w:link w:val="TitleChar"/>
    <w:semiHidden/>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eastAsia="Times New Roman" w:asciiTheme="majorHAnsi" w:hAnsiTheme="majorHAnsi" w:cs="Times New Roman"/>
      <w:color w:val="046B5C" w:themeColor="text2"/>
      <w:sz w:val="44"/>
      <w:szCs w:val="20"/>
    </w:rPr>
  </w:style>
  <w:style w:type="paragraph" w:styleId="TOC1">
    <w:name w:val="toc 1"/>
    <w:next w:val="TOC2"/>
    <w:autoRedefine/>
    <w:semiHidden/>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uiPriority w:val="39"/>
    <w:rsid w:val="00DB36E3"/>
    <w:pPr>
      <w:tabs>
        <w:tab w:val="right" w:leader="dot" w:pos="9360"/>
      </w:tabs>
      <w:spacing w:after="180" w:line="240" w:lineRule="exact"/>
      <w:ind w:left="450" w:right="720" w:hanging="432"/>
    </w:pPr>
    <w:rPr>
      <w:rFonts w:ascii="Arial" w:eastAsia="Times New Roman" w:hAnsi="Arial" w:cs="Times New Roman"/>
      <w:noProof/>
      <w:sz w:val="20"/>
      <w:szCs w:val="20"/>
    </w:rPr>
  </w:style>
  <w:style w:type="paragraph" w:styleId="TOC3">
    <w:name w:val="toc 3"/>
    <w:basedOn w:val="TOC2"/>
    <w:autoRedefine/>
    <w:semiHidden/>
    <w:rsid w:val="00D50222"/>
    <w:pPr>
      <w:spacing w:after="120"/>
      <w:ind w:left="1296"/>
    </w:pPr>
  </w:style>
  <w:style w:type="paragraph" w:styleId="TOC4">
    <w:name w:val="toc 4"/>
    <w:next w:val="Normal"/>
    <w:autoRedefine/>
    <w:semiHidden/>
    <w:unhideWhenUsed/>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rsid w:val="006314E5"/>
    <w:pPr>
      <w:spacing w:after="100"/>
      <w:jc w:val="right"/>
    </w:pPr>
    <w:rPr>
      <w:rFonts w:eastAsia="Times New Roman" w:asciiTheme="majorHAnsi" w:hAnsiTheme="majorHAnsi" w:cs="Times New Roman"/>
      <w:noProof/>
      <w:sz w:val="20"/>
      <w:szCs w:val="19"/>
    </w:rPr>
  </w:style>
  <w:style w:type="table" w:styleId="LightList">
    <w:name w:val="Light List"/>
    <w:basedOn w:val="TableNormal"/>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rsid w:val="000D46B8"/>
    <w:pPr>
      <w:textboxTightWrap w:val="allLines"/>
      <w:spacing w:before="40" w:after="20"/>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semiHidden/>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semiHidden/>
    <w:rsid w:val="007C306D"/>
  </w:style>
  <w:style w:type="paragraph" w:customStyle="1" w:styleId="Feature1Title">
    <w:name w:val="Feature1 Title"/>
    <w:basedOn w:val="Normal"/>
    <w:semiHidden/>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rsid w:val="000C53A3"/>
    <w:pPr>
      <w:keepNext/>
      <w:tabs>
        <w:tab w:val="left" w:pos="432"/>
      </w:tabs>
      <w:spacing w:before="80" w:after="160"/>
      <w:ind w:left="432" w:hanging="432"/>
      <w:outlineLvl w:val="3"/>
    </w:pPr>
    <w:rPr>
      <w:b/>
    </w:rPr>
  </w:style>
  <w:style w:type="paragraph" w:customStyle="1" w:styleId="Feature1">
    <w:name w:val="Feature1"/>
    <w:basedOn w:val="Paragraph"/>
    <w:semiHidden/>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semiHidden/>
    <w:rsid w:val="006A0BB4"/>
  </w:style>
  <w:style w:type="character" w:customStyle="1" w:styleId="HighlightBlue">
    <w:name w:val="Highlight Blue"/>
    <w:basedOn w:val="DefaultParagraphFont"/>
    <w:semiHidden/>
    <w:rsid w:val="001B5E5A"/>
    <w:rPr>
      <w:bdr w:val="none" w:sz="0" w:space="0" w:color="auto"/>
      <w:shd w:val="clear" w:color="auto" w:fill="B1F4FD"/>
    </w:rPr>
  </w:style>
  <w:style w:type="character" w:customStyle="1" w:styleId="HighlightYellow">
    <w:name w:val="Highlight Yellow"/>
    <w:basedOn w:val="DefaultParagraphFont"/>
    <w:semiHidden/>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semiHidden/>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semiHidden/>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qFormat/>
    <w:rsid w:val="003B7A1A"/>
    <w:pPr>
      <w:spacing w:before="80" w:after="60"/>
    </w:pPr>
  </w:style>
  <w:style w:type="paragraph" w:styleId="Caption">
    <w:name w:val="caption"/>
    <w:aliases w:val="Caption ECSS"/>
    <w:basedOn w:val="Normal"/>
    <w:next w:val="Normal"/>
    <w:semiHidden/>
    <w:rsid w:val="008D1C7B"/>
    <w:pPr>
      <w:spacing w:after="200" w:line="260" w:lineRule="exact"/>
    </w:pPr>
    <w:rPr>
      <w:iCs/>
      <w:sz w:val="18"/>
      <w:szCs w:val="18"/>
    </w:rPr>
  </w:style>
  <w:style w:type="paragraph" w:styleId="Closing">
    <w:name w:val="Closing"/>
    <w:basedOn w:val="Normal"/>
    <w:link w:val="ClosingChar"/>
    <w:semiHidden/>
    <w:unhideWhenUsed/>
    <w:rsid w:val="00520526"/>
    <w:pPr>
      <w:ind w:left="4320"/>
      <w:contextualSpacing/>
    </w:pPr>
  </w:style>
  <w:style w:type="character" w:customStyle="1" w:styleId="ClosingChar">
    <w:name w:val="Closing Char"/>
    <w:basedOn w:val="DefaultParagraphFont"/>
    <w:link w:val="Closing"/>
    <w:uiPriority w:val="99"/>
    <w:rsid w:val="00520526"/>
    <w:rPr>
      <w:rFonts w:eastAsia="Times New Roman" w:asciiTheme="minorHAnsi" w:hAnsiTheme="minorHAnsi" w:cs="Times New Roman"/>
      <w:szCs w:val="20"/>
    </w:rPr>
  </w:style>
  <w:style w:type="paragraph" w:styleId="CommentText">
    <w:name w:val="annotation text"/>
    <w:basedOn w:val="Normal"/>
    <w:link w:val="CommentTextChar"/>
    <w:semiHidden/>
    <w:unhideWhenUsed/>
    <w:rsid w:val="008D1C7B"/>
    <w:rPr>
      <w:sz w:val="20"/>
    </w:rPr>
  </w:style>
  <w:style w:type="character" w:customStyle="1" w:styleId="CommentTextChar">
    <w:name w:val="Comment Text Char"/>
    <w:basedOn w:val="DefaultParagraphFont"/>
    <w:link w:val="CommentText"/>
    <w:rsid w:val="008D1C7B"/>
    <w:rPr>
      <w:rFonts w:eastAsia="Times New Roman" w:asciiTheme="minorHAnsi" w:hAnsiTheme="minorHAnsi" w:cs="Times New Roman"/>
      <w:sz w:val="20"/>
      <w:szCs w:val="20"/>
    </w:rPr>
  </w:style>
  <w:style w:type="paragraph" w:styleId="CommentSubject">
    <w:name w:val="annotation subject"/>
    <w:basedOn w:val="CommentText"/>
    <w:next w:val="CommentText"/>
    <w:link w:val="CommentSubjectChar"/>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eastAsia="Times New Roman" w:asciiTheme="minorHAnsi" w:hAnsiTheme="minorHAnsi" w:cs="Times New Roman"/>
      <w:b/>
      <w:bCs/>
      <w:sz w:val="20"/>
      <w:szCs w:val="20"/>
    </w:rPr>
  </w:style>
  <w:style w:type="character" w:styleId="CommentReference">
    <w:name w:val="annotation reference"/>
    <w:basedOn w:val="DefaultParagraphFont"/>
    <w:semiHidden/>
    <w:unhideWhenUsed/>
    <w:rsid w:val="008D1C7B"/>
    <w:rPr>
      <w:rFonts w:asciiTheme="minorHAnsi" w:hAnsiTheme="minorHAnsi"/>
      <w:sz w:val="16"/>
      <w:szCs w:val="16"/>
    </w:rPr>
  </w:style>
  <w:style w:type="paragraph" w:styleId="ListBullet2">
    <w:name w:val="List Bullet 2"/>
    <w:basedOn w:val="Normal"/>
    <w:unhideWhenUsed/>
    <w:qFormat/>
    <w:rsid w:val="006D08E8"/>
    <w:pPr>
      <w:numPr>
        <w:numId w:val="7"/>
      </w:numPr>
      <w:tabs>
        <w:tab w:val="left" w:pos="432"/>
      </w:tabs>
      <w:spacing w:before="120" w:after="120"/>
      <w:ind w:left="720"/>
    </w:pPr>
  </w:style>
  <w:style w:type="paragraph" w:customStyle="1" w:styleId="Feature1ListBullet">
    <w:name w:val="Feature1 List Bullet"/>
    <w:basedOn w:val="ListBullet"/>
    <w:semiHidden/>
    <w:rsid w:val="008A47D0"/>
    <w:pPr>
      <w:spacing w:after="0"/>
      <w:contextualSpacing/>
    </w:pPr>
    <w:rPr>
      <w:sz w:val="20"/>
    </w:rPr>
  </w:style>
  <w:style w:type="paragraph" w:customStyle="1" w:styleId="Feature1ListNumbered">
    <w:name w:val="Feature1 List Numbered"/>
    <w:basedOn w:val="ListNumber"/>
    <w:semiHidden/>
    <w:rsid w:val="008A47D0"/>
    <w:pPr>
      <w:spacing w:after="0"/>
      <w:contextualSpacing/>
    </w:pPr>
    <w:rPr>
      <w:sz w:val="20"/>
    </w:rPr>
  </w:style>
  <w:style w:type="paragraph" w:customStyle="1" w:styleId="Feature2">
    <w:name w:val="Feature2"/>
    <w:basedOn w:val="Feature1"/>
    <w:semiHidden/>
    <w:rsid w:val="006C742B"/>
    <w:rPr>
      <w:rFonts w:asciiTheme="majorHAnsi" w:hAnsiTheme="majorHAnsi"/>
    </w:rPr>
  </w:style>
  <w:style w:type="paragraph" w:customStyle="1" w:styleId="Feature2ListBullet">
    <w:name w:val="Feature2 List Bullet"/>
    <w:basedOn w:val="Feature1ListBullet"/>
    <w:semiHidden/>
    <w:rsid w:val="00DF2B65"/>
    <w:pPr>
      <w:numPr>
        <w:numId w:val="22"/>
      </w:numPr>
    </w:pPr>
    <w:rPr>
      <w:rFonts w:asciiTheme="majorHAnsi" w:hAnsiTheme="majorHAnsi"/>
    </w:rPr>
  </w:style>
  <w:style w:type="paragraph" w:customStyle="1" w:styleId="Feature2Head">
    <w:name w:val="Feature2 Head"/>
    <w:basedOn w:val="Feature1Head"/>
    <w:semiHidden/>
    <w:rsid w:val="005C080F"/>
    <w:rPr>
      <w:b/>
      <w:color w:val="0B2949" w:themeColor="accent1"/>
    </w:rPr>
  </w:style>
  <w:style w:type="paragraph" w:customStyle="1" w:styleId="Feature2ListHead">
    <w:name w:val="Feature2 List Head"/>
    <w:basedOn w:val="Feature1ListHead"/>
    <w:semiHidden/>
    <w:rsid w:val="00F366FB"/>
    <w:rPr>
      <w:rFonts w:asciiTheme="majorHAnsi" w:hAnsiTheme="majorHAnsi"/>
      <w:sz w:val="20"/>
    </w:rPr>
  </w:style>
  <w:style w:type="paragraph" w:customStyle="1" w:styleId="Feature2ListNumbered">
    <w:name w:val="Feature2 List Numbered"/>
    <w:basedOn w:val="Feature2"/>
    <w:semiHidden/>
    <w:rsid w:val="00A238DD"/>
    <w:pPr>
      <w:numPr>
        <w:numId w:val="17"/>
      </w:numPr>
    </w:pPr>
  </w:style>
  <w:style w:type="paragraph" w:customStyle="1" w:styleId="Feature2Title">
    <w:name w:val="Feature2 Title"/>
    <w:basedOn w:val="Feature1Title"/>
    <w:semiHidden/>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qFormat/>
    <w:rsid w:val="00405454"/>
    <w:pPr>
      <w:numPr>
        <w:numId w:val="21"/>
      </w:numPr>
      <w:spacing w:before="120" w:after="120"/>
    </w:pPr>
  </w:style>
  <w:style w:type="paragraph" w:styleId="List2">
    <w:name w:val="List 2"/>
    <w:basedOn w:val="Normal"/>
    <w:unhideWhenUsed/>
    <w:qFormat/>
    <w:rsid w:val="006D08E8"/>
    <w:pPr>
      <w:numPr>
        <w:ilvl w:val="1"/>
        <w:numId w:val="21"/>
      </w:numPr>
      <w:spacing w:before="120" w:after="120"/>
    </w:pPr>
  </w:style>
  <w:style w:type="paragraph" w:styleId="List3">
    <w:name w:val="List 3"/>
    <w:basedOn w:val="Normal"/>
    <w:unhideWhenUsed/>
    <w:qFormat/>
    <w:rsid w:val="006D08E8"/>
    <w:pPr>
      <w:numPr>
        <w:ilvl w:val="2"/>
        <w:numId w:val="21"/>
      </w:numPr>
      <w:spacing w:before="120" w:after="120"/>
    </w:pPr>
  </w:style>
  <w:style w:type="paragraph" w:styleId="List4">
    <w:name w:val="List 4"/>
    <w:basedOn w:val="Normal"/>
    <w:unhideWhenUsed/>
    <w:qFormat/>
    <w:rsid w:val="00D307C9"/>
    <w:pPr>
      <w:numPr>
        <w:ilvl w:val="3"/>
        <w:numId w:val="21"/>
      </w:numPr>
      <w:spacing w:before="120" w:after="120"/>
      <w:contextualSpacing/>
    </w:pPr>
  </w:style>
  <w:style w:type="paragraph" w:styleId="List5">
    <w:name w:val="List 5"/>
    <w:basedOn w:val="Normal"/>
    <w:unhideWhenUsed/>
    <w:qFormat/>
    <w:rsid w:val="00855C5D"/>
    <w:pPr>
      <w:numPr>
        <w:ilvl w:val="4"/>
        <w:numId w:val="21"/>
      </w:numPr>
      <w:contextualSpacing/>
    </w:pPr>
  </w:style>
  <w:style w:type="paragraph" w:styleId="ListBullet3">
    <w:name w:val="List Bullet 3"/>
    <w:basedOn w:val="Normal"/>
    <w:unhideWhenUsed/>
    <w:qFormat/>
    <w:rsid w:val="0010008A"/>
    <w:pPr>
      <w:numPr>
        <w:numId w:val="8"/>
      </w:numPr>
      <w:tabs>
        <w:tab w:val="left" w:pos="432"/>
      </w:tabs>
      <w:spacing w:before="120" w:after="120"/>
      <w:ind w:left="1166"/>
    </w:pPr>
  </w:style>
  <w:style w:type="paragraph" w:styleId="ListContinue">
    <w:name w:val="List Continue"/>
    <w:basedOn w:val="Normal"/>
    <w:unhideWhenUsed/>
    <w:qFormat/>
    <w:rsid w:val="006D08E8"/>
    <w:pPr>
      <w:spacing w:before="120" w:after="120"/>
      <w:ind w:left="360"/>
    </w:pPr>
  </w:style>
  <w:style w:type="paragraph" w:styleId="ListContinue2">
    <w:name w:val="List Continue 2"/>
    <w:basedOn w:val="Normal"/>
    <w:unhideWhenUsed/>
    <w:qFormat/>
    <w:rsid w:val="006D08E8"/>
    <w:pPr>
      <w:spacing w:before="120" w:after="120"/>
      <w:ind w:left="720"/>
    </w:pPr>
  </w:style>
  <w:style w:type="paragraph" w:styleId="ListContinue3">
    <w:name w:val="List Continue 3"/>
    <w:basedOn w:val="Normal"/>
    <w:unhideWhenUsed/>
    <w:qFormat/>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qFormat/>
    <w:rsid w:val="00B74927"/>
    <w:pPr>
      <w:numPr>
        <w:numId w:val="12"/>
      </w:numPr>
      <w:spacing w:before="120" w:after="120"/>
    </w:pPr>
  </w:style>
  <w:style w:type="paragraph" w:styleId="ListNumber3">
    <w:name w:val="List Number 3"/>
    <w:basedOn w:val="Normal"/>
    <w:unhideWhenUsed/>
    <w:qFormat/>
    <w:rsid w:val="00B74927"/>
    <w:pPr>
      <w:numPr>
        <w:numId w:val="13"/>
      </w:numPr>
      <w:spacing w:before="120" w:after="120"/>
    </w:pPr>
  </w:style>
  <w:style w:type="paragraph" w:customStyle="1" w:styleId="Outline2">
    <w:name w:val="Outline 2"/>
    <w:basedOn w:val="Normal"/>
    <w:next w:val="Paragraph"/>
    <w:semiHidden/>
    <w:unhideWhenUsed/>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semiHidden/>
    <w:unhideWhenUsed/>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semiHidden/>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eastAsia="Times New Roman" w:asciiTheme="minorHAnsi" w:hAnsiTheme="minorHAnsi" w:cs="Times New Roman"/>
      <w:i/>
      <w:iCs/>
      <w:color w:val="000000" w:themeColor="text1"/>
      <w:sz w:val="20"/>
      <w:szCs w:val="20"/>
    </w:rPr>
  </w:style>
  <w:style w:type="paragraph" w:customStyle="1" w:styleId="QuoteAttribution">
    <w:name w:val="Quote Attribution"/>
    <w:basedOn w:val="Quote"/>
    <w:semiHidden/>
    <w:rsid w:val="00844E31"/>
    <w:pPr>
      <w:spacing w:before="120"/>
      <w:jc w:val="right"/>
    </w:pPr>
    <w:rPr>
      <w:i w:val="0"/>
    </w:rPr>
  </w:style>
  <w:style w:type="paragraph" w:styleId="Salutation">
    <w:name w:val="Salutation"/>
    <w:basedOn w:val="Normal"/>
    <w:next w:val="Normal"/>
    <w:link w:val="SalutationChar"/>
    <w:semiHidden/>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eastAsia="Times New Roman" w:asciiTheme="minorHAnsi" w:hAnsiTheme="minorHAnsi" w:cs="Times New Roman"/>
      <w:szCs w:val="20"/>
    </w:rPr>
  </w:style>
  <w:style w:type="paragraph" w:styleId="Signature">
    <w:name w:val="Signature"/>
    <w:basedOn w:val="Normal"/>
    <w:link w:val="SignatureChar"/>
    <w:semiHidden/>
    <w:unhideWhenUsed/>
    <w:rsid w:val="00A15916"/>
    <w:pPr>
      <w:ind w:left="4320"/>
    </w:pPr>
  </w:style>
  <w:style w:type="character" w:customStyle="1" w:styleId="SignatureChar">
    <w:name w:val="Signature Char"/>
    <w:basedOn w:val="DefaultParagraphFont"/>
    <w:link w:val="Signature"/>
    <w:uiPriority w:val="1"/>
    <w:rsid w:val="003D1AD9"/>
    <w:rPr>
      <w:rFonts w:eastAsia="Times New Roman" w:asciiTheme="minorHAnsi" w:hAnsiTheme="minorHAnsi" w:cs="Times New Roman"/>
      <w:szCs w:val="20"/>
    </w:rPr>
  </w:style>
  <w:style w:type="paragraph" w:customStyle="1" w:styleId="LogoAnchor">
    <w:name w:val="Logo_Anchor"/>
    <w:basedOn w:val="Normal"/>
    <w:semiHidden/>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iPriority w:val="99"/>
    <w:unhideWhenUsed/>
    <w:qFormat/>
    <w:rsid w:val="00E97A54"/>
    <w:rPr>
      <w:color w:val="0563C1" w:themeColor="hyperlink"/>
      <w:u w:val="single"/>
    </w:rPr>
  </w:style>
  <w:style w:type="paragraph" w:customStyle="1" w:styleId="SidebarListBullet">
    <w:name w:val="Sidebar List Bullet"/>
    <w:basedOn w:val="Sidebar"/>
    <w:qFormat/>
    <w:rsid w:val="00903E62"/>
    <w:pPr>
      <w:numPr>
        <w:numId w:val="3"/>
      </w:numPr>
      <w:tabs>
        <w:tab w:val="left" w:pos="540"/>
        <w:tab w:val="clear" w:pos="792"/>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semiHidden/>
    <w:rsid w:val="009E5649"/>
    <w:rPr>
      <w:rFonts w:asciiTheme="majorHAnsi" w:hAnsiTheme="majorHAnsi"/>
      <w:b/>
    </w:rPr>
  </w:style>
  <w:style w:type="paragraph" w:customStyle="1" w:styleId="Author">
    <w:name w:val="Author"/>
    <w:basedOn w:val="Byline"/>
    <w:semiHidden/>
    <w:rsid w:val="004C46F2"/>
    <w:pPr>
      <w:jc w:val="left"/>
    </w:pPr>
  </w:style>
  <w:style w:type="paragraph" w:customStyle="1" w:styleId="TableTextCentered">
    <w:name w:val="Table Text Centered"/>
    <w:basedOn w:val="TableTextLeft"/>
    <w:qFormat/>
    <w:rsid w:val="009174DF"/>
    <w:pPr>
      <w:jc w:val="center"/>
    </w:pPr>
  </w:style>
  <w:style w:type="paragraph" w:customStyle="1" w:styleId="TableTextDecimal">
    <w:name w:val="Table Text Decimal"/>
    <w:basedOn w:val="TableTextLeft"/>
    <w:qFormat/>
    <w:rsid w:val="006C742B"/>
    <w:pPr>
      <w:textboxTightWrap w:val="allLines"/>
      <w:framePr w:hSpace="187" w:vSpace="43" w:wrap="notBeside" w:vAnchor="text" w:hAnchor="margin" w:y="44"/>
      <w:tabs>
        <w:tab w:val="decimal" w:pos="716"/>
      </w:tabs>
    </w:pPr>
  </w:style>
  <w:style w:type="paragraph" w:customStyle="1" w:styleId="TableRowHead">
    <w:name w:val="Table Row Head"/>
    <w:basedOn w:val="TableHeaderLeft"/>
    <w:qFormat/>
    <w:rsid w:val="00775B80"/>
    <w:pPr>
      <w:keepNext/>
      <w:spacing w:before="60" w:after="40"/>
    </w:pPr>
    <w:rPr>
      <w:color w:val="auto"/>
    </w:rPr>
  </w:style>
  <w:style w:type="paragraph" w:customStyle="1" w:styleId="Pubinfo">
    <w:name w:val="Pubinfo"/>
    <w:basedOn w:val="Byline"/>
    <w:semiHidden/>
    <w:rsid w:val="00D00365"/>
    <w:pPr>
      <w:spacing w:before="0" w:after="120"/>
      <w:jc w:val="left"/>
    </w:pPr>
    <w:rPr>
      <w:b w:val="0"/>
    </w:rPr>
  </w:style>
  <w:style w:type="paragraph" w:customStyle="1" w:styleId="PubinfoHead">
    <w:name w:val="Pubinfo Head"/>
    <w:basedOn w:val="Pubinfo"/>
    <w:semiHidden/>
    <w:rsid w:val="0061557F"/>
    <w:pPr>
      <w:spacing w:after="240"/>
    </w:pPr>
    <w:rPr>
      <w:b/>
    </w:rPr>
  </w:style>
  <w:style w:type="paragraph" w:customStyle="1" w:styleId="PubinfoList">
    <w:name w:val="Pubinfo List"/>
    <w:basedOn w:val="PubinfoHead"/>
    <w:semiHidden/>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6C742B"/>
    <w:pPr>
      <w:ind w:left="0" w:firstLine="0"/>
    </w:pPr>
  </w:style>
  <w:style w:type="paragraph" w:customStyle="1" w:styleId="ListHead">
    <w:name w:val="List Head"/>
    <w:basedOn w:val="Normal"/>
    <w:semiHidden/>
    <w:rsid w:val="000C53A3"/>
    <w:pPr>
      <w:keepNext/>
      <w:tabs>
        <w:tab w:val="left" w:pos="432"/>
      </w:tabs>
      <w:spacing w:before="360" w:after="120"/>
      <w:ind w:left="432" w:hanging="432"/>
    </w:pPr>
    <w:rPr>
      <w:b/>
      <w:color w:val="046B5C" w:themeColor="text2"/>
    </w:rPr>
  </w:style>
  <w:style w:type="paragraph" w:styleId="NoSpacing">
    <w:name w:val="No Spacing"/>
    <w:link w:val="NoSpacingChar"/>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semiHidden/>
    <w:rsid w:val="007E2AEF"/>
    <w:pPr>
      <w:spacing w:before="0"/>
    </w:pPr>
    <w:rPr>
      <w:caps/>
      <w:sz w:val="20"/>
    </w:rPr>
  </w:style>
  <w:style w:type="character" w:customStyle="1" w:styleId="NoteHeadingChar">
    <w:name w:val="Note Heading Char"/>
    <w:basedOn w:val="DefaultParagraphFont"/>
    <w:link w:val="NoteHeading"/>
    <w:uiPriority w:val="1"/>
    <w:rsid w:val="007E2AEF"/>
    <w:rPr>
      <w:rFonts w:eastAsia="Times New Roman" w:asciiTheme="majorHAnsi" w:hAnsiTheme="majorHAnsi" w:cs="Times New Roman"/>
      <w:b/>
      <w:caps/>
      <w:color w:val="0B2949" w:themeColor="accent1"/>
      <w:sz w:val="20"/>
      <w:szCs w:val="20"/>
    </w:rPr>
  </w:style>
  <w:style w:type="paragraph" w:customStyle="1" w:styleId="Notes">
    <w:name w:val="Notes"/>
    <w:basedOn w:val="Normal"/>
    <w:semiHidden/>
    <w:rsid w:val="007A4712"/>
    <w:pPr>
      <w:spacing w:after="60"/>
    </w:pPr>
    <w:rPr>
      <w:rFonts w:asciiTheme="majorHAnsi" w:hAnsiTheme="majorHAnsi"/>
      <w:color w:val="046B5C" w:themeColor="text2"/>
      <w:sz w:val="20"/>
    </w:rPr>
  </w:style>
  <w:style w:type="paragraph" w:customStyle="1" w:styleId="PubinfoNumber">
    <w:name w:val="Pubinfo Number"/>
    <w:basedOn w:val="Pubinfo"/>
    <w:semiHidden/>
    <w:rsid w:val="00072851"/>
  </w:style>
  <w:style w:type="paragraph" w:customStyle="1" w:styleId="PubinfoCategory">
    <w:name w:val="Pubinfo Category"/>
    <w:basedOn w:val="PubinfoNumber"/>
    <w:semiHidden/>
    <w:rsid w:val="00072851"/>
    <w:rPr>
      <w:rFonts w:cstheme="majorHAnsi"/>
      <w:b/>
      <w:smallCaps/>
    </w:rPr>
  </w:style>
  <w:style w:type="paragraph" w:customStyle="1" w:styleId="ESH1">
    <w:name w:val="ES H1"/>
    <w:basedOn w:val="Normal"/>
    <w:semiHidden/>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semiHidden/>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semiHidden/>
    <w:rsid w:val="00BB1396"/>
    <w:rPr>
      <w:rFonts w:asciiTheme="majorHAnsi" w:hAnsiTheme="majorHAnsi"/>
      <w:color w:val="000000" w:themeColor="text1"/>
      <w:sz w:val="22"/>
    </w:rPr>
  </w:style>
  <w:style w:type="paragraph" w:customStyle="1" w:styleId="TableSignificance">
    <w:name w:val="Table Significance"/>
    <w:basedOn w:val="TableFootnote"/>
    <w:qFormat/>
    <w:rsid w:val="00C849F7"/>
    <w:pPr>
      <w:tabs>
        <w:tab w:val="right" w:pos="360"/>
        <w:tab w:val="left" w:pos="540"/>
        <w:tab w:val="clear" w:pos="1080"/>
      </w:tabs>
      <w:ind w:left="533" w:hanging="720"/>
    </w:pPr>
  </w:style>
  <w:style w:type="paragraph" w:customStyle="1" w:styleId="ESSidebar">
    <w:name w:val="ES Sidebar"/>
    <w:basedOn w:val="Sidebar"/>
    <w:semiHidden/>
    <w:rsid w:val="00603734"/>
  </w:style>
  <w:style w:type="paragraph" w:customStyle="1" w:styleId="FAQQuestion">
    <w:name w:val="FAQ Question"/>
    <w:basedOn w:val="Normal"/>
    <w:semiHidden/>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rsid w:val="00000897"/>
  </w:style>
  <w:style w:type="paragraph" w:styleId="TOCHeading">
    <w:name w:val="TOC Heading"/>
    <w:basedOn w:val="Heading1"/>
    <w:next w:val="Normal"/>
    <w:semiHidden/>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rsid w:val="001A3252"/>
    <w:rPr>
      <w:sz w:val="16"/>
    </w:rPr>
  </w:style>
  <w:style w:type="character" w:customStyle="1" w:styleId="9pt">
    <w:name w:val="9 pt"/>
    <w:basedOn w:val="DefaultParagraphFont"/>
    <w:semiHidden/>
    <w:rsid w:val="001A3252"/>
    <w:rPr>
      <w:sz w:val="18"/>
    </w:rPr>
  </w:style>
  <w:style w:type="character" w:styleId="IntenseReference">
    <w:name w:val="Intense Reference"/>
    <w:basedOn w:val="DefaultParagraphFont"/>
    <w:semiHidden/>
    <w:unhideWhenUsed/>
    <w:rsid w:val="00AE189E"/>
    <w:rPr>
      <w:b/>
      <w:bCs/>
      <w:smallCaps/>
      <w:color w:val="0B2949" w:themeColor="accent1"/>
      <w:spacing w:val="5"/>
    </w:rPr>
  </w:style>
  <w:style w:type="character" w:styleId="IntenseEmphasis">
    <w:name w:val="Intense Emphasis"/>
    <w:basedOn w:val="DefaultParagraphFont"/>
    <w:semiHidden/>
    <w:unhideWhenUsed/>
    <w:rsid w:val="00AE189E"/>
    <w:rPr>
      <w:i/>
      <w:iCs/>
      <w:color w:val="0B2949" w:themeColor="accent1"/>
    </w:rPr>
  </w:style>
  <w:style w:type="paragraph" w:customStyle="1" w:styleId="Callout">
    <w:name w:val="Callout"/>
    <w:basedOn w:val="Feature2Head"/>
    <w:semiHidden/>
    <w:rsid w:val="00C071D5"/>
  </w:style>
  <w:style w:type="paragraph" w:customStyle="1" w:styleId="FigureFootnote">
    <w:name w:val="Figure Footnote"/>
    <w:basedOn w:val="ExhibitFootnote"/>
    <w:semiHidden/>
    <w:rsid w:val="00F366FB"/>
  </w:style>
  <w:style w:type="paragraph" w:customStyle="1" w:styleId="PubinfoDate">
    <w:name w:val="Pubinfo Date"/>
    <w:basedOn w:val="PubinfoHead"/>
    <w:semiHidden/>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semiHidden/>
    <w:rsid w:val="002D5049"/>
    <w:pPr>
      <w:numPr>
        <w:numId w:val="0"/>
      </w:numPr>
      <w:pBdr>
        <w:bottom w:val="single" w:sz="6" w:space="1" w:color="auto"/>
      </w:pBdr>
      <w:spacing w:after="360" w:line="40" w:lineRule="exact"/>
    </w:pPr>
    <w:rPr>
      <w:color w:val="FFFFFF" w:themeColor="background1"/>
      <w:sz w:val="4"/>
    </w:rPr>
  </w:style>
  <w:style w:type="numbering" w:customStyle="1" w:styleId="Feature20">
    <w:name w:val="Feature 2"/>
    <w:rsid w:val="004E6247"/>
    <w:pPr>
      <w:numPr>
        <w:numId w:val="16"/>
      </w:numPr>
    </w:pPr>
  </w:style>
  <w:style w:type="paragraph" w:customStyle="1" w:styleId="FootnoteSep">
    <w:name w:val="Footnote Sep"/>
    <w:basedOn w:val="Normal"/>
    <w:semiHidden/>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semiHidden/>
    <w:rsid w:val="00F366FB"/>
    <w:pPr>
      <w:spacing w:before="60"/>
    </w:pPr>
  </w:style>
  <w:style w:type="paragraph" w:customStyle="1" w:styleId="FigureSource">
    <w:name w:val="Figure Source"/>
    <w:basedOn w:val="ExhibitSource"/>
    <w:semiHidden/>
    <w:rsid w:val="006C742B"/>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semiHidden/>
    <w:rsid w:val="00ED6AF8"/>
    <w:rPr>
      <w:rFonts w:asciiTheme="majorHAnsi" w:hAnsiTheme="majorHAnsi"/>
      <w:b/>
      <w:color w:val="046B5C" w:themeColor="text2"/>
    </w:rPr>
  </w:style>
  <w:style w:type="paragraph" w:customStyle="1" w:styleId="ESParagraphContinued">
    <w:name w:val="ES Paragraph Continued"/>
    <w:basedOn w:val="ESParagraph"/>
    <w:semiHidden/>
    <w:rsid w:val="007C306D"/>
    <w:pPr>
      <w:spacing w:before="240"/>
    </w:pPr>
  </w:style>
  <w:style w:type="paragraph" w:customStyle="1" w:styleId="ESListNumber">
    <w:name w:val="ES List Number"/>
    <w:basedOn w:val="ESParagraph"/>
    <w:semiHidden/>
    <w:rsid w:val="007C306D"/>
    <w:pPr>
      <w:numPr>
        <w:numId w:val="23"/>
      </w:numPr>
      <w:contextualSpacing/>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qFormat/>
    <w:rsid w:val="0099200E"/>
    <w:pPr>
      <w:tabs>
        <w:tab w:val="left" w:pos="540"/>
        <w:tab w:val="clear" w:pos="792"/>
      </w:tabs>
      <w:ind w:left="288" w:hanging="288"/>
    </w:pPr>
    <w:rPr>
      <w:color w:val="000000"/>
      <w:szCs w:val="21"/>
    </w:rPr>
  </w:style>
  <w:style w:type="paragraph" w:customStyle="1" w:styleId="CoverTitle">
    <w:name w:val="Cover Title"/>
    <w:basedOn w:val="Normal"/>
    <w:semiHidden/>
    <w:rsid w:val="00832756"/>
    <w:pPr>
      <w:suppressAutoHyphens/>
      <w:autoSpaceDE w:val="0"/>
      <w:autoSpaceDN w:val="0"/>
      <w:adjustRightInd w:val="0"/>
      <w:spacing w:before="360" w:after="720" w:line="240" w:lineRule="auto"/>
      <w:textAlignment w:val="center"/>
    </w:pPr>
    <w:rPr>
      <w:rFonts w:ascii="Arial" w:hAnsi="Arial" w:eastAsiaTheme="minorHAnsi" w:cs="Arial"/>
      <w:b/>
      <w:bCs/>
      <w:color w:val="FFFFFF" w:themeColor="background1"/>
      <w:spacing w:val="5"/>
      <w:sz w:val="44"/>
      <w:szCs w:val="44"/>
    </w:rPr>
  </w:style>
  <w:style w:type="paragraph" w:customStyle="1" w:styleId="CoverDate">
    <w:name w:val="Cover Date"/>
    <w:basedOn w:val="Date"/>
    <w:next w:val="CoverAuthor"/>
    <w:semiHidden/>
    <w:unhideWhenUsed/>
    <w:rsid w:val="008E3B75"/>
    <w:pPr>
      <w:spacing w:before="720" w:after="290"/>
    </w:pPr>
    <w:rPr>
      <w:color w:val="0B2949" w:themeColor="accent1"/>
    </w:rPr>
  </w:style>
  <w:style w:type="paragraph" w:customStyle="1" w:styleId="CoverAuthor">
    <w:name w:val="Cover Author"/>
    <w:basedOn w:val="Normal"/>
    <w:semiHidden/>
    <w:rsid w:val="00995B57"/>
    <w:pPr>
      <w:suppressAutoHyphens/>
      <w:autoSpaceDE w:val="0"/>
      <w:autoSpaceDN w:val="0"/>
      <w:adjustRightInd w:val="0"/>
      <w:spacing w:before="280" w:after="600" w:line="288" w:lineRule="auto"/>
      <w:contextualSpacing/>
      <w:textAlignment w:val="center"/>
    </w:pPr>
    <w:rPr>
      <w:rFonts w:ascii="Arial" w:hAnsi="Arial" w:eastAsiaTheme="minorHAnsi" w:cs="Arial"/>
      <w:color w:val="0B2949"/>
      <w:spacing w:val="2"/>
      <w:szCs w:val="24"/>
    </w:rPr>
  </w:style>
  <w:style w:type="paragraph" w:customStyle="1" w:styleId="CoverHead">
    <w:name w:val="Cover Head"/>
    <w:basedOn w:val="Normal"/>
    <w:semiHidden/>
    <w:rsid w:val="00D53E3B"/>
    <w:pPr>
      <w:autoSpaceDE w:val="0"/>
      <w:autoSpaceDN w:val="0"/>
      <w:adjustRightInd w:val="0"/>
      <w:spacing w:after="90" w:line="276" w:lineRule="auto"/>
      <w:textAlignment w:val="center"/>
    </w:pPr>
    <w:rPr>
      <w:rFonts w:ascii="Georgia" w:hAnsi="Georgia" w:eastAsiaTheme="minorHAnsi" w:cs="Zilla Slab SemiBold"/>
      <w:b/>
      <w:bCs/>
      <w:color w:val="0B2949"/>
      <w:sz w:val="22"/>
      <w:szCs w:val="22"/>
    </w:rPr>
  </w:style>
  <w:style w:type="paragraph" w:customStyle="1" w:styleId="CoverText">
    <w:name w:val="Cover Text"/>
    <w:basedOn w:val="Normal"/>
    <w:semiHidden/>
    <w:rsid w:val="00FA0D64"/>
    <w:pPr>
      <w:spacing w:after="300" w:line="276" w:lineRule="auto"/>
      <w:contextualSpacing/>
    </w:pPr>
    <w:rPr>
      <w:rFonts w:ascii="Georgia" w:hAnsi="Georgia" w:eastAsiaTheme="minorHAnsi" w:cstheme="minorBidi"/>
      <w:color w:val="0B2949"/>
      <w:sz w:val="20"/>
    </w:rPr>
  </w:style>
  <w:style w:type="paragraph" w:customStyle="1" w:styleId="ESH2">
    <w:name w:val="ES H2"/>
    <w:basedOn w:val="Normal"/>
    <w:semiHidden/>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textboxTightWrap w:val="allLines"/>
      <w:numPr>
        <w:numId w:val="25"/>
      </w:numPr>
      <w:ind w:left="432" w:hanging="216"/>
    </w:pPr>
  </w:style>
  <w:style w:type="paragraph" w:customStyle="1" w:styleId="TableListBullet">
    <w:name w:val="Table List Bullet"/>
    <w:basedOn w:val="TableTextLeft"/>
    <w:qFormat/>
    <w:rsid w:val="00D21444"/>
    <w:pPr>
      <w:textboxTightWrap w:val="allLines"/>
      <w:numPr>
        <w:numId w:val="26"/>
      </w:numPr>
    </w:pPr>
  </w:style>
  <w:style w:type="character" w:styleId="FollowedHyperlink">
    <w:name w:val="FollowedHyperlink"/>
    <w:basedOn w:val="DefaultParagraphFont"/>
    <w:semiHidden/>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qFormat/>
    <w:rsid w:val="00E33ACF"/>
  </w:style>
  <w:style w:type="table" w:styleId="GridTableLight">
    <w:name w:val="Grid Table Light"/>
    <w:basedOn w:val="TableNormal"/>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semiHidden/>
    <w:rsid w:val="00BC59DF"/>
    <w:pPr>
      <w:spacing w:before="5120" w:after="0"/>
      <w:jc w:val="center"/>
    </w:pPr>
    <w:rPr>
      <w:b/>
    </w:rPr>
  </w:style>
  <w:style w:type="paragraph" w:customStyle="1" w:styleId="FooterLetterhead">
    <w:name w:val="Footer Letterhead"/>
    <w:basedOn w:val="Footer"/>
    <w:semiHidden/>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hAnsi="MinionPro-Regular" w:eastAsiaTheme="minorHAnsi" w:cs="MinionPro-Regular"/>
      <w:color w:val="000000"/>
      <w:szCs w:val="24"/>
    </w:rPr>
  </w:style>
  <w:style w:type="table" w:customStyle="1" w:styleId="CoverTable">
    <w:name w:val="Cover Table"/>
    <w:basedOn w:val="TableNormal"/>
    <w:rsid w:val="00550DF2"/>
    <w:pPr>
      <w:spacing w:after="0"/>
    </w:pPr>
    <w:tblPr/>
    <w:tcPr>
      <w:noWrap/>
      <w:tcMar>
        <w:left w:w="0" w:type="dxa"/>
        <w:right w:w="0" w:type="dxa"/>
      </w:tcMar>
    </w:tcPr>
  </w:style>
  <w:style w:type="character" w:styleId="PlaceholderText">
    <w:name w:val="Placeholder Text"/>
    <w:basedOn w:val="DefaultParagraphFont"/>
    <w:semiHidden/>
    <w:rsid w:val="00B2005E"/>
    <w:rPr>
      <w:color w:val="808080"/>
    </w:rPr>
  </w:style>
  <w:style w:type="paragraph" w:customStyle="1" w:styleId="Addressee">
    <w:name w:val="Addressee"/>
    <w:basedOn w:val="Salutation"/>
    <w:semiHidden/>
    <w:rsid w:val="00520526"/>
    <w:pPr>
      <w:spacing w:after="240" w:line="320" w:lineRule="exact"/>
    </w:pPr>
  </w:style>
  <w:style w:type="paragraph" w:customStyle="1" w:styleId="CoverSubtitle">
    <w:name w:val="Cover Subtitle"/>
    <w:basedOn w:val="CoverTitle"/>
    <w:semiHidden/>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H1">
    <w:name w:val="H1"/>
    <w:basedOn w:val="Heading1"/>
    <w:link w:val="H1Char"/>
    <w:qFormat/>
    <w:rsid w:val="00934E17"/>
    <w:pPr>
      <w:spacing w:after="120"/>
      <w:outlineLvl w:val="1"/>
    </w:pPr>
    <w:rPr>
      <w:caps w:val="0"/>
      <w:color w:val="auto"/>
      <w:sz w:val="28"/>
      <w:szCs w:val="28"/>
    </w:rPr>
  </w:style>
  <w:style w:type="paragraph" w:customStyle="1" w:styleId="H2">
    <w:name w:val="H2"/>
    <w:basedOn w:val="Heading2"/>
    <w:qFormat/>
    <w:rsid w:val="00770FF8"/>
    <w:pPr>
      <w:outlineLvl w:val="2"/>
    </w:pPr>
  </w:style>
  <w:style w:type="paragraph" w:customStyle="1" w:styleId="H3">
    <w:name w:val="H3"/>
    <w:basedOn w:val="Heading3"/>
    <w:qFormat/>
    <w:rsid w:val="00770FF8"/>
    <w:pPr>
      <w:outlineLvl w:val="3"/>
    </w:pPr>
  </w:style>
  <w:style w:type="paragraph" w:customStyle="1" w:styleId="H4">
    <w:name w:val="H4"/>
    <w:basedOn w:val="Heading4"/>
    <w:qFormat/>
    <w:rsid w:val="000F5457"/>
    <w:pPr>
      <w:outlineLvl w:val="4"/>
    </w:pPr>
  </w:style>
  <w:style w:type="paragraph" w:customStyle="1" w:styleId="SidebarNumber">
    <w:name w:val="Sidebar Number"/>
    <w:basedOn w:val="Sidebar"/>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934E17"/>
    <w:rPr>
      <w:rFonts w:eastAsia="Times New Roman" w:asciiTheme="majorHAnsi" w:hAnsiTheme="majorHAnsi" w:cs="Times New Roman"/>
      <w:b/>
      <w:sz w:val="28"/>
      <w:szCs w:val="28"/>
    </w:rPr>
  </w:style>
  <w:style w:type="character" w:customStyle="1" w:styleId="UnresolvedMention1">
    <w:name w:val="Unresolved Mention1"/>
    <w:basedOn w:val="DefaultParagraphFont"/>
    <w:semiHidden/>
    <w:unhideWhenUsed/>
    <w:rsid w:val="00F746B3"/>
    <w:rPr>
      <w:color w:val="605E5C"/>
      <w:shd w:val="clear" w:color="auto" w:fill="E1DFDD"/>
    </w:rPr>
  </w:style>
  <w:style w:type="paragraph" w:customStyle="1" w:styleId="MarkforTableHeading">
    <w:name w:val="Mark for Table Heading"/>
    <w:basedOn w:val="Normal"/>
    <w:next w:val="Normal"/>
    <w:semiHidden/>
    <w:rsid w:val="00AB343E"/>
    <w:pPr>
      <w:keepNext/>
      <w:tabs>
        <w:tab w:val="left" w:pos="432"/>
      </w:tabs>
      <w:spacing w:after="60" w:line="240" w:lineRule="auto"/>
      <w:jc w:val="both"/>
    </w:pPr>
    <w:rPr>
      <w:rFonts w:ascii="Lucida Sans" w:hAnsi="Lucida Sans"/>
      <w:b/>
      <w:sz w:val="18"/>
      <w:szCs w:val="24"/>
    </w:rPr>
  </w:style>
  <w:style w:type="table" w:customStyle="1" w:styleId="TableGrid1">
    <w:name w:val="Table Grid1"/>
    <w:basedOn w:val="TableNormal"/>
    <w:next w:val="TableGrid"/>
    <w:rsid w:val="003025BA"/>
    <w:pPr>
      <w:spacing w:after="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semiHidden/>
    <w:unhideWhenUsed/>
    <w:rsid w:val="001914CA"/>
    <w:rPr>
      <w:color w:val="605E5C"/>
      <w:shd w:val="clear" w:color="auto" w:fill="E1DFDD"/>
    </w:rPr>
  </w:style>
  <w:style w:type="table" w:customStyle="1" w:styleId="GridTable1Light1">
    <w:name w:val="Grid Table 1 Light1"/>
    <w:basedOn w:val="TableNormal"/>
    <w:next w:val="GridTable1Light"/>
    <w:rsid w:val="007410A9"/>
    <w:pPr>
      <w:spacing w:after="0"/>
    </w:pPr>
    <w:rPr>
      <w:rFonts w:ascii="Calibri" w:eastAsia="Calibri" w:hAnsi="Calibri"/>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rsid w:val="007410A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E06F5D"/>
    <w:pPr>
      <w:spacing w:after="0"/>
    </w:pPr>
    <w:rPr>
      <w:rFonts w:eastAsia="Times New Roman" w:asciiTheme="minorHAnsi" w:hAnsiTheme="minorHAnsi" w:cs="Times New Roman"/>
      <w:szCs w:val="20"/>
    </w:rPr>
  </w:style>
  <w:style w:type="character" w:customStyle="1" w:styleId="empphone">
    <w:name w:val="empphone"/>
    <w:basedOn w:val="DefaultParagraphFont"/>
    <w:semiHidden/>
    <w:rsid w:val="00B60476"/>
  </w:style>
  <w:style w:type="character" w:customStyle="1" w:styleId="empemail">
    <w:name w:val="empemail"/>
    <w:basedOn w:val="DefaultParagraphFont"/>
    <w:semiHidden/>
    <w:rsid w:val="00B60476"/>
  </w:style>
  <w:style w:type="character" w:customStyle="1" w:styleId="emptitle">
    <w:name w:val="emptitle"/>
    <w:basedOn w:val="DefaultParagraphFont"/>
    <w:semiHidden/>
    <w:rsid w:val="00B60476"/>
  </w:style>
  <w:style w:type="paragraph" w:customStyle="1" w:styleId="TT-TableTitle">
    <w:name w:val="TT-Table Title"/>
    <w:basedOn w:val="Heading1"/>
    <w:semiHidden/>
    <w:rsid w:val="001629C7"/>
    <w:pPr>
      <w:tabs>
        <w:tab w:val="clear" w:pos="432"/>
        <w:tab w:val="left" w:pos="1440"/>
      </w:tabs>
      <w:spacing w:before="0" w:after="0" w:line="240" w:lineRule="atLeast"/>
      <w:ind w:left="1152" w:hanging="1152"/>
    </w:pPr>
    <w:rPr>
      <w:rFonts w:ascii="Franklin Gothic Medium" w:hAnsi="Franklin Gothic Medium"/>
      <w:b w:val="0"/>
      <w:caps w:val="0"/>
      <w:color w:val="auto"/>
      <w:sz w:val="22"/>
    </w:rPr>
  </w:style>
  <w:style w:type="paragraph" w:customStyle="1" w:styleId="TH-TableHeading">
    <w:name w:val="TH-Table Heading"/>
    <w:basedOn w:val="Heading1"/>
    <w:semiHidden/>
    <w:rsid w:val="001629C7"/>
    <w:pPr>
      <w:tabs>
        <w:tab w:val="clear" w:pos="432"/>
        <w:tab w:val="left" w:pos="1152"/>
      </w:tabs>
      <w:spacing w:before="0" w:after="0" w:line="240" w:lineRule="atLeast"/>
      <w:ind w:left="0" w:firstLine="0"/>
      <w:jc w:val="center"/>
    </w:pPr>
    <w:rPr>
      <w:rFonts w:ascii="Franklin Gothic Medium" w:hAnsi="Franklin Gothic Medium"/>
      <w:caps w:val="0"/>
      <w:color w:val="auto"/>
      <w:sz w:val="20"/>
    </w:rPr>
  </w:style>
  <w:style w:type="paragraph" w:customStyle="1" w:styleId="TX-TableText">
    <w:name w:val="TX-Table Text"/>
    <w:basedOn w:val="Normal"/>
    <w:semiHidden/>
    <w:rsid w:val="001629C7"/>
    <w:pPr>
      <w:spacing w:after="0" w:line="240" w:lineRule="atLeast"/>
    </w:pPr>
    <w:rPr>
      <w:rFonts w:ascii="Franklin Gothic Medium" w:hAnsi="Franklin Gothic Medium"/>
      <w:sz w:val="20"/>
    </w:rPr>
  </w:style>
  <w:style w:type="paragraph" w:customStyle="1" w:styleId="NormalSS">
    <w:name w:val="NormalSS"/>
    <w:basedOn w:val="Normal"/>
    <w:semiHidden/>
    <w:rsid w:val="00A16239"/>
    <w:pPr>
      <w:tabs>
        <w:tab w:val="left" w:pos="432"/>
      </w:tabs>
      <w:spacing w:line="240" w:lineRule="auto"/>
      <w:ind w:firstLine="432"/>
      <w:jc w:val="both"/>
    </w:pPr>
    <w:rPr>
      <w:rFonts w:ascii="Garamond" w:hAnsi="Garamond"/>
      <w:szCs w:val="24"/>
    </w:rPr>
  </w:style>
  <w:style w:type="character" w:customStyle="1" w:styleId="UnresolvedMention3">
    <w:name w:val="Unresolved Mention3"/>
    <w:basedOn w:val="DefaultParagraphFont"/>
    <w:semiHidden/>
    <w:unhideWhenUsed/>
    <w:rsid w:val="00C34C0B"/>
    <w:rPr>
      <w:color w:val="605E5C"/>
      <w:shd w:val="clear" w:color="auto" w:fill="E1DFDD"/>
    </w:rPr>
  </w:style>
  <w:style w:type="paragraph" w:styleId="BlockText">
    <w:name w:val="Block Text"/>
    <w:basedOn w:val="Normal"/>
    <w:semiHidden/>
    <w:unhideWhenUsed/>
    <w:rsid w:val="00BA49E2"/>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BA49E2"/>
    <w:pPr>
      <w:spacing w:after="120"/>
    </w:pPr>
  </w:style>
  <w:style w:type="character" w:customStyle="1" w:styleId="BodyTextChar">
    <w:name w:val="Body Text Char"/>
    <w:basedOn w:val="DefaultParagraphFont"/>
    <w:link w:val="BodyText"/>
    <w:uiPriority w:val="99"/>
    <w:semiHidden/>
    <w:rsid w:val="00BA49E2"/>
    <w:rPr>
      <w:rFonts w:eastAsia="Times New Roman" w:asciiTheme="minorHAnsi" w:hAnsiTheme="minorHAnsi" w:cs="Times New Roman"/>
      <w:szCs w:val="20"/>
    </w:rPr>
  </w:style>
  <w:style w:type="paragraph" w:styleId="BodyText2">
    <w:name w:val="Body Text 2"/>
    <w:basedOn w:val="Normal"/>
    <w:link w:val="BodyText2Char"/>
    <w:semiHidden/>
    <w:unhideWhenUsed/>
    <w:rsid w:val="00BA49E2"/>
    <w:pPr>
      <w:spacing w:after="120" w:line="480" w:lineRule="auto"/>
    </w:pPr>
  </w:style>
  <w:style w:type="character" w:customStyle="1" w:styleId="BodyText2Char">
    <w:name w:val="Body Text 2 Char"/>
    <w:basedOn w:val="DefaultParagraphFont"/>
    <w:link w:val="BodyText2"/>
    <w:uiPriority w:val="99"/>
    <w:semiHidden/>
    <w:rsid w:val="00BA49E2"/>
    <w:rPr>
      <w:rFonts w:eastAsia="Times New Roman" w:asciiTheme="minorHAnsi" w:hAnsiTheme="minorHAnsi" w:cs="Times New Roman"/>
      <w:szCs w:val="20"/>
    </w:rPr>
  </w:style>
  <w:style w:type="paragraph" w:styleId="BodyText3">
    <w:name w:val="Body Text 3"/>
    <w:basedOn w:val="Normal"/>
    <w:link w:val="BodyText3Char"/>
    <w:semiHidden/>
    <w:unhideWhenUsed/>
    <w:rsid w:val="00BA49E2"/>
    <w:pPr>
      <w:spacing w:after="120"/>
    </w:pPr>
    <w:rPr>
      <w:sz w:val="16"/>
      <w:szCs w:val="16"/>
    </w:rPr>
  </w:style>
  <w:style w:type="character" w:customStyle="1" w:styleId="BodyText3Char">
    <w:name w:val="Body Text 3 Char"/>
    <w:basedOn w:val="DefaultParagraphFont"/>
    <w:link w:val="BodyText3"/>
    <w:uiPriority w:val="99"/>
    <w:semiHidden/>
    <w:rsid w:val="00BA49E2"/>
    <w:rPr>
      <w:rFonts w:eastAsia="Times New Roman" w:asciiTheme="minorHAnsi" w:hAnsiTheme="minorHAnsi" w:cs="Times New Roman"/>
      <w:sz w:val="16"/>
      <w:szCs w:val="16"/>
    </w:rPr>
  </w:style>
  <w:style w:type="paragraph" w:styleId="BodyTextFirstIndent">
    <w:name w:val="Body Text First Indent"/>
    <w:basedOn w:val="BodyText"/>
    <w:link w:val="BodyTextFirstIndentChar"/>
    <w:semiHidden/>
    <w:unhideWhenUsed/>
    <w:rsid w:val="00BA49E2"/>
    <w:pPr>
      <w:spacing w:after="240"/>
      <w:ind w:firstLine="360"/>
    </w:pPr>
  </w:style>
  <w:style w:type="character" w:customStyle="1" w:styleId="BodyTextFirstIndentChar">
    <w:name w:val="Body Text First Indent Char"/>
    <w:basedOn w:val="BodyTextChar"/>
    <w:link w:val="BodyTextFirstIndent"/>
    <w:uiPriority w:val="99"/>
    <w:semiHidden/>
    <w:rsid w:val="00BA49E2"/>
    <w:rPr>
      <w:rFonts w:eastAsia="Times New Roman" w:asciiTheme="minorHAnsi" w:hAnsiTheme="minorHAnsi" w:cs="Times New Roman"/>
      <w:szCs w:val="20"/>
    </w:rPr>
  </w:style>
  <w:style w:type="paragraph" w:styleId="BodyTextIndent">
    <w:name w:val="Body Text Indent"/>
    <w:basedOn w:val="Normal"/>
    <w:link w:val="BodyTextIndentChar"/>
    <w:semiHidden/>
    <w:unhideWhenUsed/>
    <w:rsid w:val="00BA49E2"/>
    <w:pPr>
      <w:spacing w:after="120"/>
      <w:ind w:left="360"/>
    </w:pPr>
  </w:style>
  <w:style w:type="character" w:customStyle="1" w:styleId="BodyTextIndentChar">
    <w:name w:val="Body Text Indent Char"/>
    <w:basedOn w:val="DefaultParagraphFont"/>
    <w:link w:val="BodyTextIndent"/>
    <w:uiPriority w:val="99"/>
    <w:semiHidden/>
    <w:rsid w:val="00BA49E2"/>
    <w:rPr>
      <w:rFonts w:eastAsia="Times New Roman" w:asciiTheme="minorHAnsi" w:hAnsiTheme="minorHAnsi" w:cs="Times New Roman"/>
      <w:szCs w:val="20"/>
    </w:rPr>
  </w:style>
  <w:style w:type="paragraph" w:styleId="BodyTextFirstIndent2">
    <w:name w:val="Body Text First Indent 2"/>
    <w:basedOn w:val="BodyTextIndent"/>
    <w:link w:val="BodyTextFirstIndent2Char"/>
    <w:semiHidden/>
    <w:unhideWhenUsed/>
    <w:rsid w:val="00BA49E2"/>
    <w:pPr>
      <w:spacing w:after="240"/>
      <w:ind w:firstLine="360"/>
    </w:pPr>
  </w:style>
  <w:style w:type="character" w:customStyle="1" w:styleId="BodyTextFirstIndent2Char">
    <w:name w:val="Body Text First Indent 2 Char"/>
    <w:basedOn w:val="BodyTextIndentChar"/>
    <w:link w:val="BodyTextFirstIndent2"/>
    <w:uiPriority w:val="99"/>
    <w:semiHidden/>
    <w:rsid w:val="00BA49E2"/>
    <w:rPr>
      <w:rFonts w:eastAsia="Times New Roman" w:asciiTheme="minorHAnsi" w:hAnsiTheme="minorHAnsi" w:cs="Times New Roman"/>
      <w:szCs w:val="20"/>
    </w:rPr>
  </w:style>
  <w:style w:type="paragraph" w:styleId="BodyTextIndent2">
    <w:name w:val="Body Text Indent 2"/>
    <w:basedOn w:val="Normal"/>
    <w:link w:val="BodyTextIndent2Char"/>
    <w:semiHidden/>
    <w:unhideWhenUsed/>
    <w:rsid w:val="00BA49E2"/>
    <w:pPr>
      <w:spacing w:after="120" w:line="480" w:lineRule="auto"/>
      <w:ind w:left="360"/>
    </w:pPr>
  </w:style>
  <w:style w:type="character" w:customStyle="1" w:styleId="BodyTextIndent2Char">
    <w:name w:val="Body Text Indent 2 Char"/>
    <w:basedOn w:val="DefaultParagraphFont"/>
    <w:link w:val="BodyTextIndent2"/>
    <w:uiPriority w:val="99"/>
    <w:semiHidden/>
    <w:rsid w:val="00BA49E2"/>
    <w:rPr>
      <w:rFonts w:eastAsia="Times New Roman" w:asciiTheme="minorHAnsi" w:hAnsiTheme="minorHAnsi" w:cs="Times New Roman"/>
      <w:szCs w:val="20"/>
    </w:rPr>
  </w:style>
  <w:style w:type="paragraph" w:styleId="BodyTextIndent3">
    <w:name w:val="Body Text Indent 3"/>
    <w:basedOn w:val="Normal"/>
    <w:link w:val="BodyTextIndent3Char"/>
    <w:semiHidden/>
    <w:unhideWhenUsed/>
    <w:rsid w:val="00BA49E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A49E2"/>
    <w:rPr>
      <w:rFonts w:eastAsia="Times New Roman" w:asciiTheme="minorHAnsi" w:hAnsiTheme="minorHAnsi" w:cs="Times New Roman"/>
      <w:sz w:val="16"/>
      <w:szCs w:val="16"/>
    </w:rPr>
  </w:style>
  <w:style w:type="character" w:styleId="BookTitle">
    <w:name w:val="Book Title"/>
    <w:basedOn w:val="DefaultParagraphFont"/>
    <w:semiHidden/>
    <w:rsid w:val="00BA49E2"/>
    <w:rPr>
      <w:b/>
      <w:bCs/>
      <w:i/>
      <w:iCs/>
      <w:spacing w:val="5"/>
    </w:rPr>
  </w:style>
  <w:style w:type="paragraph" w:styleId="E-mailSignature">
    <w:name w:val="E-mail Signature"/>
    <w:basedOn w:val="Normal"/>
    <w:link w:val="E-mailSignatureChar"/>
    <w:semiHidden/>
    <w:unhideWhenUsed/>
    <w:rsid w:val="00BA49E2"/>
    <w:pPr>
      <w:spacing w:after="0" w:line="240" w:lineRule="auto"/>
    </w:pPr>
  </w:style>
  <w:style w:type="character" w:customStyle="1" w:styleId="E-mailSignatureChar">
    <w:name w:val="E-mail Signature Char"/>
    <w:basedOn w:val="DefaultParagraphFont"/>
    <w:link w:val="E-mailSignature"/>
    <w:uiPriority w:val="99"/>
    <w:semiHidden/>
    <w:rsid w:val="00BA49E2"/>
    <w:rPr>
      <w:rFonts w:eastAsia="Times New Roman" w:asciiTheme="minorHAnsi" w:hAnsiTheme="minorHAnsi" w:cs="Times New Roman"/>
      <w:szCs w:val="20"/>
    </w:rPr>
  </w:style>
  <w:style w:type="character" w:styleId="Emphasis">
    <w:name w:val="Emphasis"/>
    <w:basedOn w:val="DefaultParagraphFont"/>
    <w:semiHidden/>
    <w:rsid w:val="00BA49E2"/>
    <w:rPr>
      <w:i/>
      <w:iCs/>
    </w:rPr>
  </w:style>
  <w:style w:type="paragraph" w:styleId="EnvelopeAddress">
    <w:name w:val="envelope address"/>
    <w:basedOn w:val="Normal"/>
    <w:semiHidden/>
    <w:unhideWhenUsed/>
    <w:rsid w:val="00BA49E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BA49E2"/>
    <w:pPr>
      <w:spacing w:after="0" w:line="240" w:lineRule="auto"/>
    </w:pPr>
    <w:rPr>
      <w:rFonts w:asciiTheme="majorHAnsi" w:eastAsiaTheme="majorEastAsia" w:hAnsiTheme="majorHAnsi" w:cstheme="majorBidi"/>
      <w:sz w:val="20"/>
    </w:rPr>
  </w:style>
  <w:style w:type="character" w:customStyle="1" w:styleId="Hashtag1">
    <w:name w:val="Hashtag1"/>
    <w:basedOn w:val="DefaultParagraphFont"/>
    <w:semiHidden/>
    <w:unhideWhenUsed/>
    <w:rsid w:val="00BA49E2"/>
    <w:rPr>
      <w:color w:val="2B579A"/>
      <w:shd w:val="clear" w:color="auto" w:fill="E1DFDD"/>
    </w:rPr>
  </w:style>
  <w:style w:type="character" w:styleId="HTMLAcronym">
    <w:name w:val="HTML Acronym"/>
    <w:basedOn w:val="DefaultParagraphFont"/>
    <w:semiHidden/>
    <w:unhideWhenUsed/>
    <w:rsid w:val="00BA49E2"/>
  </w:style>
  <w:style w:type="paragraph" w:styleId="HTMLAddress">
    <w:name w:val="HTML Address"/>
    <w:basedOn w:val="Normal"/>
    <w:link w:val="HTMLAddressChar"/>
    <w:semiHidden/>
    <w:unhideWhenUsed/>
    <w:rsid w:val="00BA49E2"/>
    <w:pPr>
      <w:spacing w:after="0" w:line="240" w:lineRule="auto"/>
    </w:pPr>
    <w:rPr>
      <w:i/>
      <w:iCs/>
    </w:rPr>
  </w:style>
  <w:style w:type="character" w:customStyle="1" w:styleId="HTMLAddressChar">
    <w:name w:val="HTML Address Char"/>
    <w:basedOn w:val="DefaultParagraphFont"/>
    <w:link w:val="HTMLAddress"/>
    <w:uiPriority w:val="99"/>
    <w:semiHidden/>
    <w:rsid w:val="00BA49E2"/>
    <w:rPr>
      <w:rFonts w:eastAsia="Times New Roman" w:asciiTheme="minorHAnsi" w:hAnsiTheme="minorHAnsi" w:cs="Times New Roman"/>
      <w:i/>
      <w:iCs/>
      <w:szCs w:val="20"/>
    </w:rPr>
  </w:style>
  <w:style w:type="character" w:styleId="HTMLCite">
    <w:name w:val="HTML Cite"/>
    <w:basedOn w:val="DefaultParagraphFont"/>
    <w:semiHidden/>
    <w:unhideWhenUsed/>
    <w:rsid w:val="00BA49E2"/>
    <w:rPr>
      <w:i/>
      <w:iCs/>
    </w:rPr>
  </w:style>
  <w:style w:type="character" w:styleId="HTMLCode">
    <w:name w:val="HTML Code"/>
    <w:basedOn w:val="DefaultParagraphFont"/>
    <w:semiHidden/>
    <w:unhideWhenUsed/>
    <w:rsid w:val="00BA49E2"/>
    <w:rPr>
      <w:rFonts w:ascii="Consolas" w:hAnsi="Consolas"/>
      <w:sz w:val="20"/>
      <w:szCs w:val="20"/>
    </w:rPr>
  </w:style>
  <w:style w:type="character" w:styleId="HTMLDefinition">
    <w:name w:val="HTML Definition"/>
    <w:basedOn w:val="DefaultParagraphFont"/>
    <w:semiHidden/>
    <w:unhideWhenUsed/>
    <w:rsid w:val="00BA49E2"/>
    <w:rPr>
      <w:i/>
      <w:iCs/>
    </w:rPr>
  </w:style>
  <w:style w:type="character" w:styleId="HTMLKeyboard">
    <w:name w:val="HTML Keyboard"/>
    <w:basedOn w:val="DefaultParagraphFont"/>
    <w:semiHidden/>
    <w:unhideWhenUsed/>
    <w:rsid w:val="00BA49E2"/>
    <w:rPr>
      <w:rFonts w:ascii="Consolas" w:hAnsi="Consolas"/>
      <w:sz w:val="20"/>
      <w:szCs w:val="20"/>
    </w:rPr>
  </w:style>
  <w:style w:type="character" w:styleId="HTMLSample">
    <w:name w:val="HTML Sample"/>
    <w:basedOn w:val="DefaultParagraphFont"/>
    <w:semiHidden/>
    <w:unhideWhenUsed/>
    <w:rsid w:val="00BA49E2"/>
    <w:rPr>
      <w:rFonts w:ascii="Consolas" w:hAnsi="Consolas"/>
      <w:sz w:val="24"/>
      <w:szCs w:val="24"/>
    </w:rPr>
  </w:style>
  <w:style w:type="character" w:styleId="HTMLTypewriter">
    <w:name w:val="HTML Typewriter"/>
    <w:basedOn w:val="DefaultParagraphFont"/>
    <w:semiHidden/>
    <w:unhideWhenUsed/>
    <w:rsid w:val="00BA49E2"/>
    <w:rPr>
      <w:rFonts w:ascii="Consolas" w:hAnsi="Consolas"/>
      <w:sz w:val="20"/>
      <w:szCs w:val="20"/>
    </w:rPr>
  </w:style>
  <w:style w:type="character" w:styleId="HTMLVariable">
    <w:name w:val="HTML Variable"/>
    <w:basedOn w:val="DefaultParagraphFont"/>
    <w:semiHidden/>
    <w:unhideWhenUsed/>
    <w:rsid w:val="00BA49E2"/>
    <w:rPr>
      <w:i/>
      <w:iCs/>
    </w:rPr>
  </w:style>
  <w:style w:type="paragraph" w:styleId="Index4">
    <w:name w:val="index 4"/>
    <w:basedOn w:val="Normal"/>
    <w:next w:val="Normal"/>
    <w:autoRedefine/>
    <w:semiHidden/>
    <w:unhideWhenUsed/>
    <w:rsid w:val="00BA49E2"/>
    <w:pPr>
      <w:spacing w:after="0" w:line="240" w:lineRule="auto"/>
      <w:ind w:left="960" w:hanging="240"/>
    </w:pPr>
  </w:style>
  <w:style w:type="paragraph" w:styleId="Index5">
    <w:name w:val="index 5"/>
    <w:basedOn w:val="Normal"/>
    <w:next w:val="Normal"/>
    <w:autoRedefine/>
    <w:semiHidden/>
    <w:unhideWhenUsed/>
    <w:rsid w:val="00BA49E2"/>
    <w:pPr>
      <w:spacing w:after="0" w:line="240" w:lineRule="auto"/>
      <w:ind w:left="1200" w:hanging="240"/>
    </w:pPr>
  </w:style>
  <w:style w:type="paragraph" w:styleId="Index6">
    <w:name w:val="index 6"/>
    <w:basedOn w:val="Normal"/>
    <w:next w:val="Normal"/>
    <w:autoRedefine/>
    <w:semiHidden/>
    <w:unhideWhenUsed/>
    <w:rsid w:val="00BA49E2"/>
    <w:pPr>
      <w:spacing w:after="0" w:line="240" w:lineRule="auto"/>
      <w:ind w:left="1440" w:hanging="240"/>
    </w:pPr>
  </w:style>
  <w:style w:type="paragraph" w:styleId="Index7">
    <w:name w:val="index 7"/>
    <w:basedOn w:val="Normal"/>
    <w:next w:val="Normal"/>
    <w:autoRedefine/>
    <w:semiHidden/>
    <w:unhideWhenUsed/>
    <w:rsid w:val="00BA49E2"/>
    <w:pPr>
      <w:spacing w:after="0" w:line="240" w:lineRule="auto"/>
      <w:ind w:left="1680" w:hanging="240"/>
    </w:pPr>
  </w:style>
  <w:style w:type="paragraph" w:styleId="Index8">
    <w:name w:val="index 8"/>
    <w:basedOn w:val="Normal"/>
    <w:next w:val="Normal"/>
    <w:autoRedefine/>
    <w:semiHidden/>
    <w:unhideWhenUsed/>
    <w:rsid w:val="00BA49E2"/>
    <w:pPr>
      <w:spacing w:after="0" w:line="240" w:lineRule="auto"/>
      <w:ind w:left="1920" w:hanging="240"/>
    </w:pPr>
  </w:style>
  <w:style w:type="paragraph" w:styleId="Index9">
    <w:name w:val="index 9"/>
    <w:basedOn w:val="Normal"/>
    <w:next w:val="Normal"/>
    <w:autoRedefine/>
    <w:semiHidden/>
    <w:unhideWhenUsed/>
    <w:rsid w:val="00BA49E2"/>
    <w:pPr>
      <w:spacing w:after="0" w:line="240" w:lineRule="auto"/>
      <w:ind w:left="2160" w:hanging="240"/>
    </w:pPr>
  </w:style>
  <w:style w:type="paragraph" w:styleId="IndexHeading">
    <w:name w:val="index heading"/>
    <w:basedOn w:val="Normal"/>
    <w:next w:val="Index1"/>
    <w:semiHidden/>
    <w:unhideWhenUsed/>
    <w:rsid w:val="00BA49E2"/>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rsid w:val="00BA49E2"/>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BA49E2"/>
    <w:rPr>
      <w:rFonts w:eastAsia="Times New Roman" w:asciiTheme="minorHAnsi" w:hAnsiTheme="minorHAnsi" w:cs="Times New Roman"/>
      <w:i/>
      <w:iCs/>
      <w:color w:val="0B2949" w:themeColor="accent1"/>
      <w:szCs w:val="20"/>
    </w:rPr>
  </w:style>
  <w:style w:type="character" w:styleId="LineNumber">
    <w:name w:val="line number"/>
    <w:basedOn w:val="DefaultParagraphFont"/>
    <w:semiHidden/>
    <w:unhideWhenUsed/>
    <w:rsid w:val="00BA49E2"/>
  </w:style>
  <w:style w:type="paragraph" w:styleId="ListContinue4">
    <w:name w:val="List Continue 4"/>
    <w:basedOn w:val="Normal"/>
    <w:semiHidden/>
    <w:unhideWhenUsed/>
    <w:rsid w:val="00BA49E2"/>
    <w:pPr>
      <w:spacing w:after="120"/>
      <w:ind w:left="1440"/>
      <w:contextualSpacing/>
    </w:pPr>
  </w:style>
  <w:style w:type="paragraph" w:styleId="ListContinue5">
    <w:name w:val="List Continue 5"/>
    <w:basedOn w:val="Normal"/>
    <w:semiHidden/>
    <w:unhideWhenUsed/>
    <w:rsid w:val="00BA49E2"/>
    <w:pPr>
      <w:spacing w:after="120"/>
      <w:ind w:left="1800"/>
      <w:contextualSpacing/>
    </w:pPr>
  </w:style>
  <w:style w:type="paragraph" w:styleId="ListNumber4">
    <w:name w:val="List Number 4"/>
    <w:basedOn w:val="Normal"/>
    <w:semiHidden/>
    <w:unhideWhenUsed/>
    <w:rsid w:val="00BA49E2"/>
    <w:pPr>
      <w:numPr>
        <w:numId w:val="27"/>
      </w:numPr>
      <w:contextualSpacing/>
    </w:pPr>
  </w:style>
  <w:style w:type="paragraph" w:styleId="ListNumber5">
    <w:name w:val="List Number 5"/>
    <w:basedOn w:val="Normal"/>
    <w:semiHidden/>
    <w:unhideWhenUsed/>
    <w:rsid w:val="00BA49E2"/>
    <w:pPr>
      <w:numPr>
        <w:numId w:val="28"/>
      </w:numPr>
      <w:contextualSpacing/>
    </w:pPr>
  </w:style>
  <w:style w:type="paragraph" w:styleId="Macro">
    <w:name w:val="macro"/>
    <w:link w:val="MacroTextChar"/>
    <w:semiHidden/>
    <w:unhideWhenUsed/>
    <w:rsid w:val="00BA49E2"/>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rPr>
  </w:style>
  <w:style w:type="character" w:customStyle="1" w:styleId="MacroTextChar">
    <w:name w:val="Macro Text Char"/>
    <w:basedOn w:val="DefaultParagraphFont"/>
    <w:link w:val="Macro"/>
    <w:uiPriority w:val="99"/>
    <w:semiHidden/>
    <w:rsid w:val="00BA49E2"/>
    <w:rPr>
      <w:rFonts w:ascii="Consolas" w:eastAsia="Times New Roman" w:hAnsi="Consolas" w:cs="Times New Roman"/>
      <w:sz w:val="20"/>
      <w:szCs w:val="20"/>
    </w:rPr>
  </w:style>
  <w:style w:type="character" w:customStyle="1" w:styleId="Mention1">
    <w:name w:val="Mention1"/>
    <w:basedOn w:val="DefaultParagraphFont"/>
    <w:semiHidden/>
    <w:unhideWhenUsed/>
    <w:rsid w:val="00BA49E2"/>
    <w:rPr>
      <w:color w:val="2B579A"/>
      <w:shd w:val="clear" w:color="auto" w:fill="E1DFDD"/>
    </w:rPr>
  </w:style>
  <w:style w:type="paragraph" w:styleId="MessageHeader">
    <w:name w:val="Message Header"/>
    <w:basedOn w:val="Normal"/>
    <w:link w:val="MessageHeaderChar"/>
    <w:semiHidden/>
    <w:unhideWhenUsed/>
    <w:rsid w:val="00BA49E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BA49E2"/>
    <w:rPr>
      <w:rFonts w:asciiTheme="majorHAnsi" w:eastAsiaTheme="majorEastAsia" w:hAnsiTheme="majorHAnsi" w:cstheme="majorBidi"/>
      <w:shd w:val="pct20" w:color="auto" w:fill="auto"/>
    </w:rPr>
  </w:style>
  <w:style w:type="paragraph" w:styleId="NormalWeb">
    <w:name w:val="Normal (Web)"/>
    <w:basedOn w:val="Normal"/>
    <w:semiHidden/>
    <w:unhideWhenUsed/>
    <w:rsid w:val="00BA49E2"/>
    <w:rPr>
      <w:rFonts w:ascii="Times New Roman" w:hAnsi="Times New Roman"/>
      <w:szCs w:val="24"/>
    </w:rPr>
  </w:style>
  <w:style w:type="paragraph" w:styleId="NormalIndent">
    <w:name w:val="Normal Indent"/>
    <w:basedOn w:val="Normal"/>
    <w:semiHidden/>
    <w:unhideWhenUsed/>
    <w:rsid w:val="00BA49E2"/>
    <w:pPr>
      <w:ind w:left="720"/>
    </w:pPr>
  </w:style>
  <w:style w:type="paragraph" w:styleId="PlainText">
    <w:name w:val="Plain Text"/>
    <w:basedOn w:val="Normal"/>
    <w:link w:val="PlainTextChar"/>
    <w:semiHidden/>
    <w:unhideWhenUsed/>
    <w:rsid w:val="00BA49E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A49E2"/>
    <w:rPr>
      <w:rFonts w:ascii="Consolas" w:eastAsia="Times New Roman" w:hAnsi="Consolas" w:cs="Times New Roman"/>
      <w:sz w:val="21"/>
      <w:szCs w:val="21"/>
    </w:rPr>
  </w:style>
  <w:style w:type="character" w:customStyle="1" w:styleId="SmartHyperlink1">
    <w:name w:val="Smart Hyperlink1"/>
    <w:basedOn w:val="DefaultParagraphFont"/>
    <w:semiHidden/>
    <w:unhideWhenUsed/>
    <w:rsid w:val="00BA49E2"/>
    <w:rPr>
      <w:u w:val="dotted"/>
    </w:rPr>
  </w:style>
  <w:style w:type="character" w:customStyle="1" w:styleId="SmartLink1">
    <w:name w:val="SmartLink1"/>
    <w:basedOn w:val="DefaultParagraphFont"/>
    <w:semiHidden/>
    <w:unhideWhenUsed/>
    <w:rsid w:val="00BA49E2"/>
    <w:rPr>
      <w:color w:val="0000FF"/>
      <w:u w:val="single"/>
      <w:shd w:val="clear" w:color="auto" w:fill="F3F2F1"/>
    </w:rPr>
  </w:style>
  <w:style w:type="character" w:styleId="Strong">
    <w:name w:val="Strong"/>
    <w:basedOn w:val="DefaultParagraphFont"/>
    <w:semiHidden/>
    <w:rsid w:val="00BA49E2"/>
    <w:rPr>
      <w:b/>
      <w:bCs/>
    </w:rPr>
  </w:style>
  <w:style w:type="paragraph" w:styleId="Subtitle">
    <w:name w:val="Subtitle"/>
    <w:basedOn w:val="Normal"/>
    <w:next w:val="Normal"/>
    <w:link w:val="SubtitleChar"/>
    <w:semiHidden/>
    <w:rsid w:val="00BA49E2"/>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BA49E2"/>
    <w:rPr>
      <w:rFonts w:asciiTheme="minorHAnsi" w:hAnsiTheme="minorHAnsi"/>
      <w:color w:val="5A5A5A" w:themeColor="text1" w:themeTint="A5"/>
      <w:spacing w:val="15"/>
      <w:sz w:val="22"/>
      <w:szCs w:val="22"/>
    </w:rPr>
  </w:style>
  <w:style w:type="character" w:styleId="SubtleEmphasis">
    <w:name w:val="Subtle Emphasis"/>
    <w:basedOn w:val="DefaultParagraphFont"/>
    <w:semiHidden/>
    <w:rsid w:val="00BA49E2"/>
    <w:rPr>
      <w:i/>
      <w:iCs/>
      <w:color w:val="404040" w:themeColor="text1" w:themeTint="BF"/>
    </w:rPr>
  </w:style>
  <w:style w:type="character" w:styleId="SubtleReference">
    <w:name w:val="Subtle Reference"/>
    <w:basedOn w:val="DefaultParagraphFont"/>
    <w:semiHidden/>
    <w:rsid w:val="00BA49E2"/>
    <w:rPr>
      <w:smallCaps/>
      <w:color w:val="5A5A5A" w:themeColor="text1" w:themeTint="A5"/>
    </w:rPr>
  </w:style>
  <w:style w:type="paragraph" w:styleId="TableofAuthorities">
    <w:name w:val="table of authorities"/>
    <w:basedOn w:val="Normal"/>
    <w:next w:val="Normal"/>
    <w:semiHidden/>
    <w:unhideWhenUsed/>
    <w:rsid w:val="00BA49E2"/>
    <w:pPr>
      <w:spacing w:after="0"/>
      <w:ind w:left="240" w:hanging="240"/>
    </w:pPr>
  </w:style>
  <w:style w:type="paragraph" w:styleId="TOAHeading">
    <w:name w:val="toa heading"/>
    <w:basedOn w:val="Normal"/>
    <w:next w:val="Normal"/>
    <w:semiHidden/>
    <w:unhideWhenUsed/>
    <w:rsid w:val="00BA49E2"/>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BA49E2"/>
    <w:pPr>
      <w:spacing w:after="100"/>
      <w:ind w:left="1200"/>
    </w:pPr>
  </w:style>
  <w:style w:type="paragraph" w:styleId="TOC7">
    <w:name w:val="toc 7"/>
    <w:basedOn w:val="Normal"/>
    <w:next w:val="Normal"/>
    <w:autoRedefine/>
    <w:semiHidden/>
    <w:unhideWhenUsed/>
    <w:rsid w:val="00BA49E2"/>
    <w:pPr>
      <w:spacing w:after="100"/>
      <w:ind w:left="1440"/>
    </w:pPr>
  </w:style>
  <w:style w:type="paragraph" w:styleId="TOC9">
    <w:name w:val="toc 9"/>
    <w:basedOn w:val="Normal"/>
    <w:next w:val="Normal"/>
    <w:autoRedefine/>
    <w:semiHidden/>
    <w:unhideWhenUsed/>
    <w:rsid w:val="00BA49E2"/>
    <w:pPr>
      <w:spacing w:after="100"/>
      <w:ind w:left="1920"/>
    </w:pPr>
  </w:style>
  <w:style w:type="character" w:customStyle="1" w:styleId="UnresolvedMention4">
    <w:name w:val="Unresolved Mention4"/>
    <w:basedOn w:val="DefaultParagraphFont"/>
    <w:semiHidden/>
    <w:unhideWhenUsed/>
    <w:rsid w:val="00BA49E2"/>
    <w:rPr>
      <w:color w:val="605E5C"/>
      <w:shd w:val="clear" w:color="auto" w:fill="E1DFDD"/>
    </w:rPr>
  </w:style>
  <w:style w:type="table" w:customStyle="1" w:styleId="MathUBaseTable">
    <w:name w:val="MathU Base Table"/>
    <w:basedOn w:val="TableNormal"/>
    <w:rsid w:val="00FF33BE"/>
    <w:pPr>
      <w:spacing w:before="40" w:after="20"/>
    </w:pPr>
    <w:rPr>
      <w:rFonts w:asciiTheme="majorHAnsi" w:eastAsiaTheme="minorHAnsi" w:hAnsiTheme="majorHAnsi"/>
      <w:sz w:val="18"/>
      <w:szCs w:val="22"/>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rPr>
        <w:cantSplit w:val="0"/>
      </w:tr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customStyle="1" w:styleId="Hashtag2">
    <w:name w:val="Hashtag2"/>
    <w:basedOn w:val="DefaultParagraphFont"/>
    <w:semiHidden/>
    <w:unhideWhenUsed/>
    <w:rsid w:val="007A3809"/>
    <w:rPr>
      <w:color w:val="2B579A"/>
      <w:shd w:val="clear" w:color="auto" w:fill="E1DFDD"/>
    </w:rPr>
  </w:style>
  <w:style w:type="character" w:customStyle="1" w:styleId="Mention2">
    <w:name w:val="Mention2"/>
    <w:basedOn w:val="DefaultParagraphFont"/>
    <w:semiHidden/>
    <w:unhideWhenUsed/>
    <w:rsid w:val="007A3809"/>
    <w:rPr>
      <w:color w:val="2B579A"/>
      <w:shd w:val="clear" w:color="auto" w:fill="E1DFDD"/>
    </w:rPr>
  </w:style>
  <w:style w:type="character" w:customStyle="1" w:styleId="SmartHyperlink2">
    <w:name w:val="Smart Hyperlink2"/>
    <w:basedOn w:val="DefaultParagraphFont"/>
    <w:semiHidden/>
    <w:unhideWhenUsed/>
    <w:rsid w:val="007A3809"/>
    <w:rPr>
      <w:u w:val="dotted"/>
    </w:rPr>
  </w:style>
  <w:style w:type="character" w:customStyle="1" w:styleId="SmartLink2">
    <w:name w:val="SmartLink2"/>
    <w:basedOn w:val="DefaultParagraphFont"/>
    <w:semiHidden/>
    <w:unhideWhenUsed/>
    <w:rsid w:val="007A3809"/>
    <w:rPr>
      <w:color w:val="0000FF"/>
      <w:u w:val="single"/>
      <w:shd w:val="clear" w:color="auto" w:fill="F3F2F1"/>
    </w:rPr>
  </w:style>
  <w:style w:type="character" w:customStyle="1" w:styleId="UnresolvedMention5">
    <w:name w:val="Unresolved Mention5"/>
    <w:basedOn w:val="DefaultParagraphFont"/>
    <w:semiHidden/>
    <w:unhideWhenUsed/>
    <w:rsid w:val="007A3809"/>
    <w:rPr>
      <w:color w:val="605E5C"/>
      <w:shd w:val="clear" w:color="auto" w:fill="E1DFDD"/>
    </w:rPr>
  </w:style>
  <w:style w:type="character" w:customStyle="1" w:styleId="Hashtag3">
    <w:name w:val="Hashtag3"/>
    <w:basedOn w:val="DefaultParagraphFont"/>
    <w:semiHidden/>
    <w:unhideWhenUsed/>
    <w:rsid w:val="00011981"/>
    <w:rPr>
      <w:color w:val="2B579A"/>
      <w:shd w:val="clear" w:color="auto" w:fill="E1DFDD"/>
    </w:rPr>
  </w:style>
  <w:style w:type="character" w:customStyle="1" w:styleId="Mention3">
    <w:name w:val="Mention3"/>
    <w:basedOn w:val="DefaultParagraphFont"/>
    <w:semiHidden/>
    <w:unhideWhenUsed/>
    <w:rsid w:val="00011981"/>
    <w:rPr>
      <w:color w:val="2B579A"/>
      <w:shd w:val="clear" w:color="auto" w:fill="E1DFDD"/>
    </w:rPr>
  </w:style>
  <w:style w:type="character" w:customStyle="1" w:styleId="SmartHyperlink3">
    <w:name w:val="Smart Hyperlink3"/>
    <w:basedOn w:val="DefaultParagraphFont"/>
    <w:semiHidden/>
    <w:unhideWhenUsed/>
    <w:rsid w:val="00011981"/>
    <w:rPr>
      <w:u w:val="dotted"/>
    </w:rPr>
  </w:style>
  <w:style w:type="character" w:customStyle="1" w:styleId="SmartLink3">
    <w:name w:val="SmartLink3"/>
    <w:basedOn w:val="DefaultParagraphFont"/>
    <w:semiHidden/>
    <w:unhideWhenUsed/>
    <w:rsid w:val="00011981"/>
    <w:rPr>
      <w:color w:val="0000FF"/>
      <w:u w:val="single"/>
      <w:shd w:val="clear" w:color="auto" w:fill="F3F2F1"/>
    </w:rPr>
  </w:style>
  <w:style w:type="character" w:customStyle="1" w:styleId="UnresolvedMention6">
    <w:name w:val="Unresolved Mention6"/>
    <w:basedOn w:val="DefaultParagraphFont"/>
    <w:semiHidden/>
    <w:unhideWhenUsed/>
    <w:rsid w:val="00011981"/>
    <w:rPr>
      <w:color w:val="605E5C"/>
      <w:shd w:val="clear" w:color="auto" w:fill="E1DFDD"/>
    </w:rPr>
  </w:style>
  <w:style w:type="character" w:customStyle="1" w:styleId="Hashtag4">
    <w:name w:val="Hashtag4"/>
    <w:basedOn w:val="DefaultParagraphFont"/>
    <w:semiHidden/>
    <w:unhideWhenUsed/>
    <w:rsid w:val="00A95A72"/>
    <w:rPr>
      <w:color w:val="2B579A"/>
      <w:shd w:val="clear" w:color="auto" w:fill="E1DFDD"/>
    </w:rPr>
  </w:style>
  <w:style w:type="character" w:customStyle="1" w:styleId="Mention4">
    <w:name w:val="Mention4"/>
    <w:basedOn w:val="DefaultParagraphFont"/>
    <w:semiHidden/>
    <w:unhideWhenUsed/>
    <w:rsid w:val="00A95A72"/>
    <w:rPr>
      <w:color w:val="2B579A"/>
      <w:shd w:val="clear" w:color="auto" w:fill="E1DFDD"/>
    </w:rPr>
  </w:style>
  <w:style w:type="character" w:customStyle="1" w:styleId="SmartHyperlink4">
    <w:name w:val="Smart Hyperlink4"/>
    <w:basedOn w:val="DefaultParagraphFont"/>
    <w:semiHidden/>
    <w:unhideWhenUsed/>
    <w:rsid w:val="00A95A72"/>
    <w:rPr>
      <w:u w:val="dotted"/>
    </w:rPr>
  </w:style>
  <w:style w:type="character" w:customStyle="1" w:styleId="SmartLink4">
    <w:name w:val="SmartLink4"/>
    <w:basedOn w:val="DefaultParagraphFont"/>
    <w:semiHidden/>
    <w:unhideWhenUsed/>
    <w:rsid w:val="00A95A72"/>
    <w:rPr>
      <w:color w:val="0000FF"/>
      <w:u w:val="single"/>
      <w:shd w:val="clear" w:color="auto" w:fill="F3F2F1"/>
    </w:rPr>
  </w:style>
  <w:style w:type="character" w:customStyle="1" w:styleId="UnresolvedMention7">
    <w:name w:val="Unresolved Mention7"/>
    <w:basedOn w:val="DefaultParagraphFont"/>
    <w:semiHidden/>
    <w:unhideWhenUsed/>
    <w:rsid w:val="00A95A72"/>
    <w:rPr>
      <w:color w:val="605E5C"/>
      <w:shd w:val="clear" w:color="auto" w:fill="E1DFDD"/>
    </w:rPr>
  </w:style>
  <w:style w:type="character" w:customStyle="1" w:styleId="Hashtag5">
    <w:name w:val="Hashtag5"/>
    <w:basedOn w:val="DefaultParagraphFont"/>
    <w:semiHidden/>
    <w:unhideWhenUsed/>
    <w:rsid w:val="00C91A44"/>
    <w:rPr>
      <w:color w:val="2B579A"/>
      <w:shd w:val="clear" w:color="auto" w:fill="E1DFDD"/>
    </w:rPr>
  </w:style>
  <w:style w:type="character" w:customStyle="1" w:styleId="Mention5">
    <w:name w:val="Mention5"/>
    <w:basedOn w:val="DefaultParagraphFont"/>
    <w:semiHidden/>
    <w:unhideWhenUsed/>
    <w:rsid w:val="00C91A44"/>
    <w:rPr>
      <w:color w:val="2B579A"/>
      <w:shd w:val="clear" w:color="auto" w:fill="E1DFDD"/>
    </w:rPr>
  </w:style>
  <w:style w:type="character" w:customStyle="1" w:styleId="SmartHyperlink5">
    <w:name w:val="Smart Hyperlink5"/>
    <w:basedOn w:val="DefaultParagraphFont"/>
    <w:semiHidden/>
    <w:unhideWhenUsed/>
    <w:rsid w:val="00C91A44"/>
    <w:rPr>
      <w:u w:val="dotted"/>
    </w:rPr>
  </w:style>
  <w:style w:type="character" w:customStyle="1" w:styleId="SmartLink5">
    <w:name w:val="SmartLink5"/>
    <w:basedOn w:val="DefaultParagraphFont"/>
    <w:semiHidden/>
    <w:unhideWhenUsed/>
    <w:rsid w:val="00C91A44"/>
    <w:rPr>
      <w:color w:val="0000FF"/>
      <w:u w:val="single"/>
      <w:shd w:val="clear" w:color="auto" w:fill="F3F2F1"/>
    </w:rPr>
  </w:style>
  <w:style w:type="character" w:customStyle="1" w:styleId="UnresolvedMention8">
    <w:name w:val="Unresolved Mention8"/>
    <w:basedOn w:val="DefaultParagraphFont"/>
    <w:semiHidden/>
    <w:unhideWhenUsed/>
    <w:rsid w:val="00C91A44"/>
    <w:rPr>
      <w:color w:val="605E5C"/>
      <w:shd w:val="clear" w:color="auto" w:fill="E1DFDD"/>
    </w:rPr>
  </w:style>
  <w:style w:type="table" w:customStyle="1" w:styleId="MathUBaseTable12">
    <w:name w:val="MathU Base Table12"/>
    <w:basedOn w:val="TableNormal"/>
    <w:rsid w:val="0012547F"/>
    <w:pPr>
      <w:spacing w:before="40" w:after="20"/>
    </w:pPr>
    <w:rPr>
      <w:rFonts w:ascii="Arial" w:eastAsia="Times New Roman" w:hAnsi="Arial" w:cs="Times New Roman"/>
      <w:sz w:val="18"/>
      <w:szCs w:val="22"/>
    </w:rPr>
    <w:tblPr>
      <w:tblBorders>
        <w:bottom w:val="single" w:sz="4" w:space="0" w:color="046B5C"/>
        <w:insideH w:val="single" w:sz="4" w:space="0" w:color="046B5C"/>
      </w:tblBorders>
      <w:tblCellMar>
        <w:left w:w="58" w:type="dxa"/>
        <w:right w:w="58" w:type="dxa"/>
      </w:tblCellMar>
    </w:tblPr>
    <w:trPr>
      <w:cantSplit/>
    </w:trPr>
    <w:tcPr>
      <w:shd w:val="clear" w:color="auto" w:fill="FFFFFF"/>
      <w:tcMar>
        <w:top w:w="0" w:type="dxa"/>
        <w:bottom w:w="0" w:type="dxa"/>
      </w:tcMar>
    </w:tcPr>
    <w:tblStylePr w:type="firstRow">
      <w:pPr>
        <w:jc w:val="left"/>
      </w:pPr>
      <w:rPr>
        <w:b/>
        <w:color w:val="FFFFFF"/>
      </w:rPr>
      <w:tblPr/>
      <w:trPr>
        <w:cantSplit w:val="0"/>
      </w:trPr>
      <w:tcPr>
        <w:tcBorders>
          <w:top w:val="nil"/>
          <w:left w:val="nil"/>
          <w:bottom w:val="nil"/>
          <w:right w:val="nil"/>
          <w:insideH w:val="nil"/>
          <w:insideV w:val="nil"/>
          <w:tl2br w:val="nil"/>
          <w:tr2bl w:val="nil"/>
        </w:tcBorders>
        <w:shd w:val="clear" w:color="auto" w:fill="046B5C"/>
        <w:vAlign w:val="bottom"/>
      </w:tcPr>
    </w:tblStylePr>
    <w:tblStylePr w:type="lastRow">
      <w:rPr>
        <w:color w:val="FFFFFF"/>
      </w:rPr>
      <w:tblPr/>
      <w:tcPr>
        <w:tcBorders>
          <w:bottom w:val="single" w:sz="4" w:space="0" w:color="046B5C"/>
        </w:tcBorders>
        <w:shd w:val="clear" w:color="auto" w:fill="FFFFFF"/>
      </w:tcPr>
    </w:tblStylePr>
    <w:tblStylePr w:type="firstCol">
      <w:tblPr/>
      <w:tcPr>
        <w:tcBorders>
          <w:right w:val="single" w:sz="4" w:space="0" w:color="046B5C"/>
        </w:tcBorders>
        <w:shd w:val="clear" w:color="auto" w:fill="FFFFFF"/>
      </w:tcPr>
    </w:tblStylePr>
    <w:tblStylePr w:type="lastCol">
      <w:tblPr/>
      <w:tcPr>
        <w:tcBorders>
          <w:top w:val="nil"/>
          <w:left w:val="nil"/>
          <w:bottom w:val="nil"/>
          <w:right w:val="nil"/>
          <w:insideH w:val="single" w:sz="4" w:space="0" w:color="189394"/>
          <w:insideV w:val="nil"/>
          <w:tl2br w:val="nil"/>
          <w:tr2bl w:val="nil"/>
        </w:tcBorders>
        <w:shd w:val="clear" w:color="auto" w:fill="FFFFFF"/>
      </w:tcPr>
    </w:tblStylePr>
    <w:tblStylePr w:type="neCell">
      <w:pPr>
        <w:jc w:val="left"/>
      </w:pPr>
      <w:tblPr/>
      <w:tcPr>
        <w:tcBorders>
          <w:right w:val="single" w:sz="4" w:space="0" w:color="FFFFFF"/>
        </w:tcBorders>
        <w:shd w:val="clear" w:color="auto" w:fill="046B5C"/>
      </w:tcPr>
    </w:tblStylePr>
  </w:style>
  <w:style w:type="character" w:customStyle="1" w:styleId="Hashtag6">
    <w:name w:val="Hashtag6"/>
    <w:basedOn w:val="DefaultParagraphFont"/>
    <w:semiHidden/>
    <w:unhideWhenUsed/>
    <w:rsid w:val="00CF22FB"/>
    <w:rPr>
      <w:color w:val="2B579A"/>
      <w:shd w:val="clear" w:color="auto" w:fill="E1DFDD"/>
    </w:rPr>
  </w:style>
  <w:style w:type="character" w:customStyle="1" w:styleId="Mention6">
    <w:name w:val="Mention6"/>
    <w:basedOn w:val="DefaultParagraphFont"/>
    <w:semiHidden/>
    <w:unhideWhenUsed/>
    <w:rsid w:val="00CF22FB"/>
    <w:rPr>
      <w:color w:val="2B579A"/>
      <w:shd w:val="clear" w:color="auto" w:fill="E1DFDD"/>
    </w:rPr>
  </w:style>
  <w:style w:type="character" w:customStyle="1" w:styleId="SmartHyperlink6">
    <w:name w:val="Smart Hyperlink6"/>
    <w:basedOn w:val="DefaultParagraphFont"/>
    <w:semiHidden/>
    <w:unhideWhenUsed/>
    <w:rsid w:val="00CF22FB"/>
    <w:rPr>
      <w:u w:val="dotted"/>
    </w:rPr>
  </w:style>
  <w:style w:type="character" w:customStyle="1" w:styleId="SmartLink6">
    <w:name w:val="SmartLink6"/>
    <w:basedOn w:val="DefaultParagraphFont"/>
    <w:semiHidden/>
    <w:unhideWhenUsed/>
    <w:rsid w:val="00CF22FB"/>
    <w:rPr>
      <w:color w:val="0000FF"/>
      <w:u w:val="single"/>
      <w:shd w:val="clear" w:color="auto" w:fill="F3F2F1"/>
    </w:rPr>
  </w:style>
  <w:style w:type="character" w:customStyle="1" w:styleId="UnresolvedMention9">
    <w:name w:val="Unresolved Mention9"/>
    <w:basedOn w:val="DefaultParagraphFont"/>
    <w:semiHidden/>
    <w:unhideWhenUsed/>
    <w:rsid w:val="00CF22FB"/>
    <w:rPr>
      <w:color w:val="605E5C"/>
      <w:shd w:val="clear" w:color="auto" w:fill="E1DFDD"/>
    </w:rPr>
  </w:style>
  <w:style w:type="numbering" w:styleId="111111">
    <w:name w:val="Outline List 2"/>
    <w:basedOn w:val="NoList"/>
    <w:semiHidden/>
    <w:unhideWhenUsed/>
    <w:rsid w:val="00A30C48"/>
    <w:pPr>
      <w:numPr>
        <w:numId w:val="45"/>
      </w:numPr>
    </w:pPr>
  </w:style>
  <w:style w:type="numbering" w:styleId="1ai">
    <w:name w:val="Outline List 1"/>
    <w:basedOn w:val="NoList"/>
    <w:semiHidden/>
    <w:unhideWhenUsed/>
    <w:rsid w:val="00A30C48"/>
    <w:pPr>
      <w:numPr>
        <w:numId w:val="46"/>
      </w:numPr>
    </w:pPr>
  </w:style>
  <w:style w:type="numbering" w:styleId="ArticleSection">
    <w:name w:val="Outline List 3"/>
    <w:basedOn w:val="NoList"/>
    <w:semiHidden/>
    <w:unhideWhenUsed/>
    <w:rsid w:val="00A30C48"/>
    <w:pPr>
      <w:numPr>
        <w:numId w:val="47"/>
      </w:numPr>
    </w:pPr>
  </w:style>
  <w:style w:type="table" w:styleId="ColorfulGrid">
    <w:name w:val="Colorful Grid"/>
    <w:basedOn w:val="TableNormal"/>
    <w:semiHidden/>
    <w:unhideWhenUsed/>
    <w:rsid w:val="00A30C48"/>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semiHidden/>
    <w:unhideWhenUsed/>
    <w:rsid w:val="00A30C48"/>
    <w:pPr>
      <w:spacing w:after="0"/>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semiHidden/>
    <w:unhideWhenUsed/>
    <w:rsid w:val="00A30C48"/>
    <w:pPr>
      <w:spacing w:after="0"/>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semiHidden/>
    <w:unhideWhenUsed/>
    <w:rsid w:val="00A30C48"/>
    <w:pPr>
      <w:spacing w:after="0"/>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semiHidden/>
    <w:unhideWhenUsed/>
    <w:rsid w:val="00A30C48"/>
    <w:pPr>
      <w:spacing w:after="0"/>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semiHidden/>
    <w:unhideWhenUsed/>
    <w:rsid w:val="00A30C48"/>
    <w:pPr>
      <w:spacing w:after="0"/>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rsid w:val="00A30C48"/>
    <w:pPr>
      <w:spacing w:after="0"/>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semiHidden/>
    <w:unhideWhenUsed/>
    <w:rsid w:val="00A30C48"/>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semiHidden/>
    <w:unhideWhenUsed/>
    <w:rsid w:val="00A30C48"/>
    <w:pPr>
      <w:spacing w:after="0"/>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semiHidden/>
    <w:unhideWhenUsed/>
    <w:rsid w:val="00A30C48"/>
    <w:pPr>
      <w:spacing w:after="0"/>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semiHidden/>
    <w:unhideWhenUsed/>
    <w:rsid w:val="00A30C48"/>
    <w:pPr>
      <w:spacing w:after="0"/>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semiHidden/>
    <w:unhideWhenUsed/>
    <w:rsid w:val="00A30C48"/>
    <w:pPr>
      <w:spacing w:after="0"/>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semiHidden/>
    <w:unhideWhenUsed/>
    <w:rsid w:val="00A30C48"/>
    <w:pPr>
      <w:spacing w:after="0"/>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rsid w:val="00A30C48"/>
    <w:pPr>
      <w:spacing w:after="0"/>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semiHidden/>
    <w:unhideWhenUsed/>
    <w:rsid w:val="00A30C48"/>
    <w:pPr>
      <w:spacing w:after="0"/>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semiHidden/>
    <w:unhideWhenUsed/>
    <w:rsid w:val="00A30C48"/>
    <w:pPr>
      <w:spacing w:after="0"/>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semiHidden/>
    <w:unhideWhenUsed/>
    <w:rsid w:val="00A30C48"/>
    <w:pPr>
      <w:spacing w:after="0"/>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semiHidden/>
    <w:unhideWhenUsed/>
    <w:rsid w:val="00A30C48"/>
    <w:pPr>
      <w:spacing w:after="0"/>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semiHidden/>
    <w:unhideWhenUsed/>
    <w:rsid w:val="00A30C48"/>
    <w:pPr>
      <w:spacing w:after="0"/>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semiHidden/>
    <w:unhideWhenUsed/>
    <w:rsid w:val="00A30C48"/>
    <w:pPr>
      <w:spacing w:after="0"/>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rsid w:val="00A30C48"/>
    <w:pPr>
      <w:spacing w:after="0"/>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semiHidden/>
    <w:unhideWhenUsed/>
    <w:rsid w:val="00A30C48"/>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semiHidden/>
    <w:unhideWhenUsed/>
    <w:rsid w:val="00A30C48"/>
    <w:pPr>
      <w:spacing w:after="0"/>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semiHidden/>
    <w:unhideWhenUsed/>
    <w:rsid w:val="00A30C48"/>
    <w:pPr>
      <w:spacing w:after="0"/>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semiHidden/>
    <w:unhideWhenUsed/>
    <w:rsid w:val="00A30C48"/>
    <w:pPr>
      <w:spacing w:after="0"/>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semiHidden/>
    <w:unhideWhenUsed/>
    <w:rsid w:val="00A30C48"/>
    <w:pPr>
      <w:spacing w:after="0"/>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semiHidden/>
    <w:unhideWhenUsed/>
    <w:rsid w:val="00A30C48"/>
    <w:pPr>
      <w:spacing w:after="0"/>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rsid w:val="00A30C48"/>
    <w:pPr>
      <w:spacing w:after="0"/>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table" w:styleId="GridTable1LightAccent1">
    <w:name w:val="Grid Table 1 Light Accent 1"/>
    <w:basedOn w:val="TableNormal"/>
    <w:rsid w:val="00A30C48"/>
    <w:pPr>
      <w:spacing w:after="0"/>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30C48"/>
    <w:pPr>
      <w:spacing w:after="0"/>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30C48"/>
    <w:pPr>
      <w:spacing w:after="0"/>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30C48"/>
    <w:pPr>
      <w:spacing w:after="0"/>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30C48"/>
    <w:pPr>
      <w:spacing w:after="0"/>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30C48"/>
    <w:pPr>
      <w:spacing w:after="0"/>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30C48"/>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rsid w:val="00A30C48"/>
    <w:pPr>
      <w:spacing w:after="0"/>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2Accent2">
    <w:name w:val="Grid Table 2 Accent 2"/>
    <w:basedOn w:val="TableNormal"/>
    <w:rsid w:val="00A30C48"/>
    <w:pPr>
      <w:spacing w:after="0"/>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30C48"/>
    <w:pPr>
      <w:spacing w:after="0"/>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30C48"/>
    <w:pPr>
      <w:spacing w:after="0"/>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30C48"/>
    <w:pPr>
      <w:spacing w:after="0"/>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30C48"/>
    <w:pPr>
      <w:spacing w:after="0"/>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30C4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30C48"/>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30C48"/>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30C48"/>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30C48"/>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30C48"/>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30C48"/>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30C4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rsid w:val="00A30C48"/>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2">
    <w:name w:val="Grid Table 4 Accent 2"/>
    <w:basedOn w:val="TableNormal"/>
    <w:rsid w:val="00A30C48"/>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30C48"/>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30C48"/>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30C48"/>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30C48"/>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30C4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30C4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30C4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30C4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30C4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30C4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30C4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30C4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30C48"/>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30C48"/>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30C48"/>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30C48"/>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30C48"/>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30C48"/>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30C4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30C48"/>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30C48"/>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30C48"/>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30C48"/>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30C48"/>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30C48"/>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unhideWhenUsed/>
    <w:rsid w:val="00A30C48"/>
    <w:rPr>
      <w:color w:val="2B579A"/>
      <w:shd w:val="clear" w:color="auto" w:fill="E1DFDD"/>
    </w:rPr>
  </w:style>
  <w:style w:type="table" w:styleId="LightGrid">
    <w:name w:val="Light Grid"/>
    <w:basedOn w:val="TableNormal"/>
    <w:semiHidden/>
    <w:unhideWhenUsed/>
    <w:rsid w:val="00A30C4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rsid w:val="00A30C48"/>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semiHidden/>
    <w:unhideWhenUsed/>
    <w:rsid w:val="00A30C48"/>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semiHidden/>
    <w:unhideWhenUsed/>
    <w:rsid w:val="00A30C48"/>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semiHidden/>
    <w:unhideWhenUsed/>
    <w:rsid w:val="00A30C48"/>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semiHidden/>
    <w:unhideWhenUsed/>
    <w:rsid w:val="00A30C48"/>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semiHidden/>
    <w:unhideWhenUsed/>
    <w:rsid w:val="00A30C48"/>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Accent1">
    <w:name w:val="Light List Accent 1"/>
    <w:basedOn w:val="TableNormal"/>
    <w:rsid w:val="00A30C48"/>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semiHidden/>
    <w:unhideWhenUsed/>
    <w:rsid w:val="00A30C48"/>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semiHidden/>
    <w:unhideWhenUsed/>
    <w:rsid w:val="00A30C48"/>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semiHidden/>
    <w:unhideWhenUsed/>
    <w:rsid w:val="00A30C48"/>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semiHidden/>
    <w:unhideWhenUsed/>
    <w:rsid w:val="00A30C48"/>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semiHidden/>
    <w:unhideWhenUsed/>
    <w:rsid w:val="00A30C48"/>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semiHidden/>
    <w:unhideWhenUsed/>
    <w:rsid w:val="00A30C48"/>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semiHidden/>
    <w:unhideWhenUsed/>
    <w:rsid w:val="00A30C48"/>
    <w:pPr>
      <w:spacing w:after="0"/>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semiHidden/>
    <w:unhideWhenUsed/>
    <w:rsid w:val="00A30C48"/>
    <w:pPr>
      <w:spacing w:after="0"/>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semiHidden/>
    <w:unhideWhenUsed/>
    <w:rsid w:val="00A30C48"/>
    <w:pPr>
      <w:spacing w:after="0"/>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semiHidden/>
    <w:unhideWhenUsed/>
    <w:rsid w:val="00A30C48"/>
    <w:pPr>
      <w:spacing w:after="0"/>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semiHidden/>
    <w:unhideWhenUsed/>
    <w:rsid w:val="00A30C48"/>
    <w:pPr>
      <w:spacing w:after="0"/>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semiHidden/>
    <w:unhideWhenUsed/>
    <w:rsid w:val="00A30C48"/>
    <w:pPr>
      <w:spacing w:after="0"/>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table" w:styleId="ListTable1Light">
    <w:name w:val="List Table 1 Light"/>
    <w:basedOn w:val="TableNormal"/>
    <w:rsid w:val="00A30C48"/>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30C48"/>
    <w:pPr>
      <w:spacing w:after="0"/>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30C48"/>
    <w:pPr>
      <w:spacing w:after="0"/>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30C48"/>
    <w:pPr>
      <w:spacing w:after="0"/>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30C48"/>
    <w:pPr>
      <w:spacing w:after="0"/>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30C48"/>
    <w:pPr>
      <w:spacing w:after="0"/>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30C48"/>
    <w:pPr>
      <w:spacing w:after="0"/>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30C48"/>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30C48"/>
    <w:pPr>
      <w:spacing w:after="0"/>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30C48"/>
    <w:pPr>
      <w:spacing w:after="0"/>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30C48"/>
    <w:pPr>
      <w:spacing w:after="0"/>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30C48"/>
    <w:pPr>
      <w:spacing w:after="0"/>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30C48"/>
    <w:pPr>
      <w:spacing w:after="0"/>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30C48"/>
    <w:pPr>
      <w:spacing w:after="0"/>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30C4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30C48"/>
    <w:pPr>
      <w:spacing w:after="0"/>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30C48"/>
    <w:pPr>
      <w:spacing w:after="0"/>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30C48"/>
    <w:pPr>
      <w:spacing w:after="0"/>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30C48"/>
    <w:pPr>
      <w:spacing w:after="0"/>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30C48"/>
    <w:pPr>
      <w:spacing w:after="0"/>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30C48"/>
    <w:pPr>
      <w:spacing w:after="0"/>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30C4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30C48"/>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30C48"/>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30C48"/>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30C48"/>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30C48"/>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30C48"/>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30C48"/>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30C48"/>
    <w:pPr>
      <w:spacing w:after="0"/>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30C48"/>
    <w:pPr>
      <w:spacing w:after="0"/>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30C48"/>
    <w:pPr>
      <w:spacing w:after="0"/>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30C48"/>
    <w:pPr>
      <w:spacing w:after="0"/>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30C48"/>
    <w:pPr>
      <w:spacing w:after="0"/>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30C48"/>
    <w:pPr>
      <w:spacing w:after="0"/>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30C48"/>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30C48"/>
    <w:pPr>
      <w:spacing w:after="0"/>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30C48"/>
    <w:pPr>
      <w:spacing w:after="0"/>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30C48"/>
    <w:pPr>
      <w:spacing w:after="0"/>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30C48"/>
    <w:pPr>
      <w:spacing w:after="0"/>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30C48"/>
    <w:pPr>
      <w:spacing w:after="0"/>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30C48"/>
    <w:pPr>
      <w:spacing w:after="0"/>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30C48"/>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30C48"/>
    <w:pPr>
      <w:spacing w:after="0"/>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30C48"/>
    <w:pPr>
      <w:spacing w:after="0"/>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30C48"/>
    <w:pPr>
      <w:spacing w:after="0"/>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30C48"/>
    <w:pPr>
      <w:spacing w:after="0"/>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30C48"/>
    <w:pPr>
      <w:spacing w:after="0"/>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30C48"/>
    <w:pPr>
      <w:spacing w:after="0"/>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semiHidden/>
    <w:unhideWhenUsed/>
    <w:rsid w:val="00A30C4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semiHidden/>
    <w:unhideWhenUsed/>
    <w:rsid w:val="00A30C48"/>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semiHidden/>
    <w:unhideWhenUsed/>
    <w:rsid w:val="00A30C48"/>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semiHidden/>
    <w:unhideWhenUsed/>
    <w:rsid w:val="00A30C48"/>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semiHidden/>
    <w:unhideWhenUsed/>
    <w:rsid w:val="00A30C48"/>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semiHidden/>
    <w:unhideWhenUsed/>
    <w:rsid w:val="00A30C48"/>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semiHidden/>
    <w:unhideWhenUsed/>
    <w:rsid w:val="00A30C48"/>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semiHidden/>
    <w:unhideWhenUsed/>
    <w:rsid w:val="00A30C4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A30C4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A30C4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A30C4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sid w:val="00A30C4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sid w:val="00A30C4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sid w:val="00A30C4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rsid w:val="00A30C4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semiHidden/>
    <w:unhideWhenUsed/>
    <w:rsid w:val="00A30C4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semiHidden/>
    <w:unhideWhenUsed/>
    <w:rsid w:val="00A30C4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semiHidden/>
    <w:unhideWhenUsed/>
    <w:rsid w:val="00A30C4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semiHidden/>
    <w:unhideWhenUsed/>
    <w:rsid w:val="00A30C4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semiHidden/>
    <w:unhideWhenUsed/>
    <w:rsid w:val="00A30C4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rsid w:val="00A30C4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semiHidden/>
    <w:unhideWhenUsed/>
    <w:rsid w:val="00A30C48"/>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semiHidden/>
    <w:unhideWhenUsed/>
    <w:rsid w:val="00A30C48"/>
    <w:pPr>
      <w:spacing w:after="0"/>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semiHidden/>
    <w:unhideWhenUsed/>
    <w:rsid w:val="00A30C48"/>
    <w:pPr>
      <w:spacing w:after="0"/>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semiHidden/>
    <w:unhideWhenUsed/>
    <w:rsid w:val="00A30C48"/>
    <w:pPr>
      <w:spacing w:after="0"/>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semiHidden/>
    <w:unhideWhenUsed/>
    <w:rsid w:val="00A30C48"/>
    <w:pPr>
      <w:spacing w:after="0"/>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semiHidden/>
    <w:unhideWhenUsed/>
    <w:rsid w:val="00A30C48"/>
    <w:pPr>
      <w:spacing w:after="0"/>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semiHidden/>
    <w:unhideWhenUsed/>
    <w:rsid w:val="00A30C48"/>
    <w:pPr>
      <w:spacing w:after="0"/>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semiHidden/>
    <w:unhideWhenUsed/>
    <w:rsid w:val="00A30C4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A30C4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single" w:sz="8" w:space="0" w:color="0B294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rsid w:val="00A30C4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single" w:sz="8" w:space="0" w:color="D02B2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A30C4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single" w:sz="8" w:space="0" w:color="5B67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sid w:val="00A30C4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single" w:sz="8" w:space="0" w:color="F1B51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sid w:val="00A30C4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single" w:sz="8" w:space="0" w:color="18939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sid w:val="00A30C4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single" w:sz="8" w:space="0" w:color="17A67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A30C4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rsid w:val="00A30C48"/>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rsid w:val="00A30C48"/>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rsid w:val="00A30C48"/>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semiHidden/>
    <w:unhideWhenUsed/>
    <w:rsid w:val="00A30C48"/>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semiHidden/>
    <w:unhideWhenUsed/>
    <w:rsid w:val="00A30C48"/>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semiHidden/>
    <w:unhideWhenUsed/>
    <w:rsid w:val="00A30C48"/>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A30C4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rsid w:val="00A30C4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rsid w:val="00A30C4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rsid w:val="00A30C4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semiHidden/>
    <w:unhideWhenUsed/>
    <w:rsid w:val="00A30C4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semiHidden/>
    <w:unhideWhenUsed/>
    <w:rsid w:val="00A30C4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semiHidden/>
    <w:unhideWhenUsed/>
    <w:rsid w:val="00A30C4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semiHidden/>
    <w:unhideWhenUsed/>
    <w:rsid w:val="00A30C48"/>
    <w:rPr>
      <w:color w:val="2B579A"/>
      <w:shd w:val="clear" w:color="auto" w:fill="E1DFDD"/>
    </w:rPr>
  </w:style>
  <w:style w:type="table" w:styleId="PlainTable1">
    <w:name w:val="Plain Table 1"/>
    <w:basedOn w:val="TableNormal"/>
    <w:rsid w:val="00A30C4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30C4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30C4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30C4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30C48"/>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semiHidden/>
    <w:unhideWhenUsed/>
    <w:rsid w:val="00A30C48"/>
    <w:rPr>
      <w:u w:val="dotted"/>
    </w:rPr>
  </w:style>
  <w:style w:type="character" w:styleId="SmartLink">
    <w:name w:val="Smart Link"/>
    <w:basedOn w:val="DefaultParagraphFont"/>
    <w:semiHidden/>
    <w:unhideWhenUsed/>
    <w:rsid w:val="00A30C48"/>
    <w:rPr>
      <w:color w:val="0000FF"/>
      <w:u w:val="single"/>
      <w:shd w:val="clear" w:color="auto" w:fill="F3F2F1"/>
    </w:rPr>
  </w:style>
  <w:style w:type="table" w:styleId="Table3Deffects1">
    <w:name w:val="Table 3D effects 1"/>
    <w:basedOn w:val="TableNormal"/>
    <w:semiHidden/>
    <w:unhideWhenUsed/>
    <w:rsid w:val="00A30C48"/>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A30C48"/>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A30C48"/>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A30C48"/>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A30C48"/>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A30C48"/>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A30C48"/>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A30C48"/>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A30C48"/>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A30C48"/>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A30C48"/>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A30C48"/>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A30C48"/>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A30C48"/>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A30C48"/>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A30C48"/>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A30C48"/>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semiHidden/>
    <w:unhideWhenUsed/>
    <w:rsid w:val="00A30C48"/>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A30C48"/>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A30C48"/>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A30C48"/>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A30C48"/>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A30C48"/>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A30C48"/>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A30C48"/>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A30C48"/>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A30C48"/>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A30C48"/>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A30C48"/>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A30C48"/>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A30C48"/>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A30C48"/>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A30C48"/>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A30C48"/>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A30C48"/>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A30C48"/>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A30C48"/>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30C48"/>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A30C48"/>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A30C48"/>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A30C48"/>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30C48"/>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30C48"/>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UnresolvedMention">
    <w:name w:val="Unresolved Mention"/>
    <w:basedOn w:val="DefaultParagraphFont"/>
    <w:semiHidden/>
    <w:unhideWhenUsed/>
    <w:rsid w:val="00A30C48"/>
    <w:rPr>
      <w:color w:val="605E5C"/>
      <w:shd w:val="clear" w:color="auto" w:fill="E1DFDD"/>
    </w:rPr>
  </w:style>
  <w:style w:type="table" w:customStyle="1" w:styleId="AlternateTable">
    <w:name w:val="Alternate Table"/>
    <w:basedOn w:val="TableNormal"/>
    <w:rsid w:val="008E637D"/>
    <w:pPr>
      <w:spacing w:before="40" w:after="20"/>
    </w:pPr>
    <w:rPr>
      <w:rFonts w:asciiTheme="majorHAnsi" w:eastAsiaTheme="minorHAnsi" w:hAnsiTheme="majorHAnsi"/>
      <w:sz w:val="18"/>
      <w:szCs w:val="22"/>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Darcy.Gungor@usda.gov" TargetMode="External" /><Relationship Id="rId11" Type="http://schemas.openxmlformats.org/officeDocument/2006/relationships/hyperlink" Target="mailto:Conor.McGovern@usda.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yperlink" Target="mailto:KConway@mathematica-mpr.com" TargetMode="External" /><Relationship Id="rId15" Type="http://schemas.openxmlformats.org/officeDocument/2006/relationships/hyperlink" Target="mailto:BCarlson@mathematica-mpr.com" TargetMode="External" /><Relationship Id="rId16" Type="http://schemas.openxmlformats.org/officeDocument/2006/relationships/hyperlink" Target="mailto:AGothro@mathematica-mpr.com" TargetMode="External" /><Relationship Id="rId17" Type="http://schemas.openxmlformats.org/officeDocument/2006/relationships/hyperlink" Target="mailto:EGrau@mathematica-mpr.com" TargetMode="External" /><Relationship Id="rId18" Type="http://schemas.openxmlformats.org/officeDocument/2006/relationships/hyperlink" Target="mailto:JLeftin@mathematica-mpr.com" TargetMode="External" /><Relationship Id="rId19" Type="http://schemas.openxmlformats.org/officeDocument/2006/relationships/hyperlink" Target="mailto:SForrestal@mathematica-mpr.com" TargetMode="External" /><Relationship Id="rId2" Type="http://schemas.openxmlformats.org/officeDocument/2006/relationships/endnotes" Target="endnotes.xml" /><Relationship Id="rId20" Type="http://schemas.openxmlformats.org/officeDocument/2006/relationships/hyperlink" Target="mailto:VSevern@mathematica-mpr.com" TargetMode="External" /><Relationship Id="rId21" Type="http://schemas.openxmlformats.org/officeDocument/2006/relationships/hyperlink" Target="mailto:LWashburn@mathematica-mpr.com" TargetMode="External" /><Relationship Id="rId22" Type="http://schemas.openxmlformats.org/officeDocument/2006/relationships/hyperlink" Target="mailto:EZeidman@mathematica-mpr.com" TargetMode="External" /><Relationship Id="rId23" Type="http://schemas.openxmlformats.org/officeDocument/2006/relationships/hyperlink" Target="mailto:Susannah.Barr@usda.gov" TargetMode="External" /><Relationship Id="rId24" Type="http://schemas.openxmlformats.org/officeDocument/2006/relationships/hyperlink" Target="mailto:Margaret.Applebaum@usda.gov" TargetMode="External" /><Relationship Id="rId25" Type="http://schemas.openxmlformats.org/officeDocument/2006/relationships/hyperlink" Target="file://mathematica.Net/NDrive/Project/Secretaries/NJ1/50926_SMO/MANUAL/PRO0011670%20-%20SMO%20Year%202%20OMB/Janis.Johnston@usda.gov" TargetMode="External" /><Relationship Id="rId26" Type="http://schemas.openxmlformats.org/officeDocument/2006/relationships/hyperlink" Target="mailto:Douglas.Kilburg@usda.gov" TargetMode="External" /><Relationship Id="rId27" Type="http://schemas.openxmlformats.org/officeDocument/2006/relationships/header" Target="header2.xml" /><Relationship Id="rId28" Type="http://schemas.openxmlformats.org/officeDocument/2006/relationships/footer" Target="footer2.xml" /><Relationship Id="rId29" Type="http://schemas.openxmlformats.org/officeDocument/2006/relationships/theme" Target="theme/theme1.xml" /><Relationship Id="rId3" Type="http://schemas.openxmlformats.org/officeDocument/2006/relationships/settings" Target="settings.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604851A816C940AAFFCEF96C07FD05" ma:contentTypeVersion="4" ma:contentTypeDescription="Create a new document." ma:contentTypeScope="" ma:versionID="1692ab5e2e343bed7124d039a8c97acd">
  <xsd:schema xmlns:xsd="http://www.w3.org/2001/XMLSchema" xmlns:xs="http://www.w3.org/2001/XMLSchema" xmlns:p="http://schemas.microsoft.com/office/2006/metadata/properties" xmlns:ns2="5b7f0f2d-462f-41ca-9e4b-99a106db0aaf" xmlns:ns3="c7e16a2c-db39-4dd3-9d62-724cf396e77f" targetNamespace="http://schemas.microsoft.com/office/2006/metadata/properties" ma:root="true" ma:fieldsID="92375448e49ac3cb52ddb817b475834b" ns2:_="" ns3:_="">
    <xsd:import namespace="5b7f0f2d-462f-41ca-9e4b-99a106db0aaf"/>
    <xsd:import namespace="c7e16a2c-db39-4dd3-9d62-724cf396e7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7f0f2d-462f-41ca-9e4b-99a106db0a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e16a2c-db39-4dd3-9d62-724cf396e7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0CB0B-4961-4444-9917-0CD6C903308E}">
  <ds:schemaRefs>
    <ds:schemaRef ds:uri="http://schemas.microsoft.com/sharepoint/v3/contenttype/forms"/>
  </ds:schemaRefs>
</ds:datastoreItem>
</file>

<file path=customXml/itemProps2.xml><?xml version="1.0" encoding="utf-8"?>
<ds:datastoreItem xmlns:ds="http://schemas.openxmlformats.org/officeDocument/2006/customXml" ds:itemID="{9A3E525D-45F7-4DE3-B18E-15081BAAA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7f0f2d-462f-41ca-9e4b-99a106db0aaf"/>
    <ds:schemaRef ds:uri="c7e16a2c-db39-4dd3-9d62-724cf396e7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858E80-24CB-4332-8DF4-68BFB085A3C1}">
  <ds:schemaRefs>
    <ds:schemaRef ds:uri="http://schemas.openxmlformats.org/officeDocument/2006/bibliography"/>
  </ds:schemaRefs>
</ds:datastoreItem>
</file>

<file path=customXml/itemProps4.xml><?xml version="1.0" encoding="utf-8"?>
<ds:datastoreItem xmlns:ds="http://schemas.openxmlformats.org/officeDocument/2006/customXml" ds:itemID="{AAB75007-88C5-440D-B759-BE94E06AE9AD}">
  <ds:schemaRef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2006/metadata/properties"/>
    <ds:schemaRef ds:uri="5b7f0f2d-462f-41ca-9e4b-99a106db0aaf"/>
    <ds:schemaRef ds:uri="c7e16a2c-db39-4dd3-9d62-724cf396e77f"/>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1MathU Report</Template>
  <TotalTime>23</TotalTime>
  <Pages>25</Pages>
  <Words>7308</Words>
  <Characters>43191</Characters>
  <Application>Microsoft Office Word</Application>
  <DocSecurity>0</DocSecurity>
  <Lines>1270</Lines>
  <Paragraphs>691</Paragraphs>
  <ScaleCrop>false</ScaleCrop>
  <HeadingPairs>
    <vt:vector size="2" baseType="variant">
      <vt:variant>
        <vt:lpstr>Title</vt:lpstr>
      </vt:variant>
      <vt:variant>
        <vt:i4>1</vt:i4>
      </vt:variant>
    </vt:vector>
  </HeadingPairs>
  <TitlesOfParts>
    <vt:vector size="1" baseType="lpstr">
      <vt:lpstr>Mathematica Standard Report Template</vt:lpstr>
    </vt:vector>
  </TitlesOfParts>
  <Manager>Addressee</Manager>
  <Company>Mathemaica, Inc</Company>
  <LinksUpToDate>false</LinksUpToDate>
  <CharactersWithSpaces>49808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Standard Report Template</dc:title>
  <dc:creator>MATHEMATICA</dc:creator>
  <cp:lastModifiedBy>Darcy Gungor</cp:lastModifiedBy>
  <cp:revision>8</cp:revision>
  <cp:lastPrinted>2019-04-11T17:18:00Z</cp:lastPrinted>
  <dcterms:created xsi:type="dcterms:W3CDTF">2023-03-09T15:06:00Z</dcterms:created>
  <dcterms:modified xsi:type="dcterms:W3CDTF">2023-04-27T19:37:00Z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0x0101006F604851A816C940AAFFCEF96C07FD05</vt:lpwstr>
  </property>
</Properties>
</file>