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A6F02" w:rsidP="00EE4C70" w14:paraId="24C84373" w14:textId="77777777">
      <w:pPr>
        <w:pStyle w:val="Heading1"/>
        <w:spacing w:before="480" w:beforeAutospacing="0" w:after="0" w:afterAutospacing="0"/>
        <w:ind w:left="0"/>
        <w:jc w:val="center"/>
      </w:pPr>
      <w:r>
        <w:t>SUPPORTING STATEMENT</w:t>
      </w:r>
    </w:p>
    <w:p w:rsidR="009A6F02" w:rsidP="00EE4C70" w14:paraId="31D0608E" w14:textId="77777777">
      <w:pPr>
        <w:spacing w:before="0" w:beforeAutospacing="0" w:after="0" w:afterAutospacing="0" w:line="259" w:lineRule="auto"/>
        <w:ind w:firstLine="14"/>
        <w:jc w:val="center"/>
        <w:rPr>
          <w:b/>
        </w:rPr>
      </w:pPr>
      <w:r>
        <w:rPr>
          <w:b/>
        </w:rPr>
        <w:t>U.S. Department of Commerce</w:t>
      </w:r>
    </w:p>
    <w:p w:rsidR="009A6F02" w:rsidP="00EE4C70" w14:paraId="2214EFE5" w14:textId="77777777">
      <w:pPr>
        <w:spacing w:before="0" w:beforeAutospacing="0" w:after="0" w:afterAutospacing="0" w:line="259" w:lineRule="auto"/>
        <w:ind w:firstLine="14"/>
        <w:jc w:val="center"/>
        <w:rPr>
          <w:b/>
        </w:rPr>
      </w:pPr>
      <w:r>
        <w:rPr>
          <w:b/>
        </w:rPr>
        <w:t>National Oceanic &amp; Atmospheric Administration</w:t>
      </w:r>
    </w:p>
    <w:p w:rsidR="00EB35F2" w:rsidRPr="00EB35F2" w:rsidP="00EE4C70" w14:paraId="245A40AF" w14:textId="77777777">
      <w:pPr>
        <w:spacing w:before="0" w:beforeAutospacing="0" w:after="0" w:afterAutospacing="0" w:line="259" w:lineRule="auto"/>
        <w:ind w:hanging="6"/>
        <w:jc w:val="center"/>
        <w:rPr>
          <w:b/>
          <w:color w:val="000000"/>
          <w:shd w:val="clear" w:color="auto" w:fill="FFFFFF"/>
        </w:rPr>
      </w:pPr>
      <w:r w:rsidRPr="00EB35F2">
        <w:rPr>
          <w:b/>
          <w:color w:val="000000"/>
          <w:shd w:val="clear" w:color="auto" w:fill="FFFFFF"/>
        </w:rPr>
        <w:t>Reporting Requirements for Sea Otter Interactions with the Pacific Sardine Fishery; Coastal Pelagic Species Fishery Management Plan</w:t>
      </w:r>
    </w:p>
    <w:p w:rsidR="009A6F02" w:rsidP="00EE4C70" w14:paraId="7428777D" w14:textId="769A9BDC">
      <w:pPr>
        <w:spacing w:before="0" w:beforeAutospacing="0" w:after="0" w:afterAutospacing="0" w:line="259" w:lineRule="auto"/>
        <w:ind w:hanging="6"/>
        <w:jc w:val="center"/>
        <w:rPr>
          <w:b/>
        </w:rPr>
      </w:pPr>
      <w:r>
        <w:rPr>
          <w:b/>
        </w:rPr>
        <w:t>OMB Control No. 0648-</w:t>
      </w:r>
      <w:r w:rsidR="00164D4C">
        <w:rPr>
          <w:b/>
        </w:rPr>
        <w:t>0566</w:t>
      </w:r>
    </w:p>
    <w:p w:rsidR="009A6F02" w14:paraId="6D3E17CD" w14:textId="14BE2D3D">
      <w:pPr>
        <w:pStyle w:val="Heading1"/>
        <w:spacing w:before="199"/>
        <w:ind w:left="0"/>
      </w:pPr>
      <w:r>
        <w:t>Abstract</w:t>
      </w:r>
    </w:p>
    <w:p w:rsidR="0029081F" w:rsidRPr="008D4D3C" w:rsidP="0029081F" w14:paraId="39CF2B27" w14:textId="18AC942F">
      <w:r>
        <w:t xml:space="preserve">This </w:t>
      </w:r>
      <w:r w:rsidR="00EB35F2">
        <w:t>request is for</w:t>
      </w:r>
      <w:r>
        <w:t xml:space="preserve"> extension of a currently approved collection with no revisions.</w:t>
      </w:r>
    </w:p>
    <w:p w:rsidR="0029081F" w:rsidRPr="00F61399" w:rsidP="00F61399" w14:paraId="2418B1FB" w14:textId="55C930FF">
      <w:pPr>
        <w:spacing w:before="0"/>
      </w:pPr>
      <w:r>
        <w:t>Under</w:t>
      </w:r>
      <w:r w:rsidRPr="008D4D3C">
        <w:t xml:space="preserve"> the Coastal Pelagic Species (CPS) Fishery Management Plan (FMP)</w:t>
      </w:r>
      <w:r>
        <w:t>, CPS fishing vessels are required</w:t>
      </w:r>
      <w:r w:rsidRPr="008D4D3C">
        <w:t xml:space="preserve"> to report any interactions that occur between a CPS vessel </w:t>
      </w:r>
      <w:r w:rsidRPr="008D4D3C">
        <w:t xml:space="preserve">and/or fishing gear and </w:t>
      </w:r>
      <w:r w:rsidR="00EC6D2A">
        <w:t xml:space="preserve">southern </w:t>
      </w:r>
      <w:r w:rsidRPr="008D4D3C">
        <w:t>sea otters</w:t>
      </w:r>
      <w:r w:rsidR="00EC6D2A">
        <w:t>, which are listed as threatened under the Endangered Species Act</w:t>
      </w:r>
      <w:r>
        <w:t>. Th</w:t>
      </w:r>
      <w:r w:rsidR="00DA0AD5">
        <w:t>ese</w:t>
      </w:r>
      <w:r>
        <w:t xml:space="preserve"> reporting requirement</w:t>
      </w:r>
      <w:r w:rsidR="00DA0AD5">
        <w:t>s</w:t>
      </w:r>
      <w:r>
        <w:t xml:space="preserve"> satisf</w:t>
      </w:r>
      <w:r w:rsidR="00DA0AD5">
        <w:t>y</w:t>
      </w:r>
      <w:r>
        <w:t xml:space="preserve"> the reasonable and prudent measures </w:t>
      </w:r>
      <w:r w:rsidR="00DA0AD5">
        <w:t xml:space="preserve">to ensure the continued protection of the species </w:t>
      </w:r>
      <w:r>
        <w:t xml:space="preserve">determined by </w:t>
      </w:r>
      <w:r w:rsidR="000753B7">
        <w:t xml:space="preserve">the U.S. Fish and Wildlife Service (USFWS) in </w:t>
      </w:r>
      <w:r>
        <w:t xml:space="preserve">a biological </w:t>
      </w:r>
      <w:r w:rsidR="000753B7">
        <w:t>opinion</w:t>
      </w:r>
      <w:r w:rsidR="00DA0AD5">
        <w:t xml:space="preserve"> on the CPS fishery: </w:t>
      </w:r>
      <w:r>
        <w:t>If a southern sea otter is entangled in a net, regardless of whether the animal is injured or killed, the vessel operator must report this interaction within 24 hours to the Regi</w:t>
      </w:r>
      <w:r>
        <w:t>onal Administrator. While fishing for CPS, vessel operators must record all observations of otter interactions (defined as otters within encircled nets or coming into contact with nets or vessels, including but not limited to entanglement) with their purse</w:t>
      </w:r>
      <w:r>
        <w:t xml:space="preserve"> seine net(s) or vessel(s). </w:t>
      </w:r>
      <w:r w:rsidR="00DA0AD5">
        <w:t>Reports</w:t>
      </w:r>
      <w:r>
        <w:t xml:space="preserve"> must </w:t>
      </w:r>
      <w:r w:rsidR="00DA0AD5">
        <w:t>include</w:t>
      </w:r>
      <w:r>
        <w:t xml:space="preserve"> the location (latitude and longitude) of the interaction and a description of the interaction itself. </w:t>
      </w:r>
    </w:p>
    <w:p w:rsidR="009A6F02" w14:paraId="6270A1DB" w14:textId="77777777">
      <w:pPr>
        <w:pStyle w:val="Heading1"/>
        <w:spacing w:before="124"/>
        <w:ind w:left="0"/>
      </w:pPr>
      <w:r>
        <w:t>Justification</w:t>
      </w:r>
    </w:p>
    <w:p w:rsidR="009A6F02" w14:paraId="15FE26D4" w14:textId="77777777">
      <w:pPr>
        <w:numPr>
          <w:ilvl w:val="0"/>
          <w:numId w:val="3"/>
        </w:numPr>
        <w:pBdr>
          <w:top w:val="nil"/>
          <w:left w:val="nil"/>
          <w:bottom w:val="nil"/>
          <w:right w:val="nil"/>
          <w:between w:val="nil"/>
        </w:pBdr>
        <w:tabs>
          <w:tab w:val="left" w:pos="360"/>
        </w:tabs>
        <w:spacing w:before="182" w:line="259" w:lineRule="auto"/>
        <w:ind w:left="0" w:firstLine="0"/>
        <w:rPr>
          <w:b/>
          <w:color w:val="000000"/>
        </w:rPr>
      </w:pPr>
      <w:r>
        <w:rPr>
          <w:b/>
          <w:color w:val="000000"/>
        </w:rPr>
        <w:t xml:space="preserve">Explain the circumstances that make the collection of information necessary. Identify any </w:t>
      </w:r>
      <w:r>
        <w:rPr>
          <w:b/>
          <w:color w:val="000000"/>
        </w:rPr>
        <w:t>legal or administrative requirements that necessitate the collection. Attach a copy of the appropriate section of each statute and regulation mandating or authorizing the collection of information.</w:t>
      </w:r>
    </w:p>
    <w:p w:rsidR="0029081F" w:rsidP="004273AE" w14:paraId="7EC216F6" w14:textId="7BC0C263">
      <w:r w:rsidRPr="00DA0AD5">
        <w:rPr>
          <w:lang w:val="en-CA"/>
        </w:rPr>
        <w:fldChar w:fldCharType="begin"/>
      </w:r>
      <w:r w:rsidRPr="00DA0AD5">
        <w:rPr>
          <w:lang w:val="en-CA"/>
        </w:rPr>
        <w:instrText xml:space="preserve"> SEQ CHAPTER \h \r 1</w:instrText>
      </w:r>
      <w:r w:rsidRPr="00DA0AD5">
        <w:rPr>
          <w:lang w:val="en-CA"/>
        </w:rPr>
        <w:fldChar w:fldCharType="separate"/>
      </w:r>
      <w:r w:rsidRPr="00DA0AD5">
        <w:rPr>
          <w:lang w:val="en-CA"/>
        </w:rPr>
        <w:fldChar w:fldCharType="end"/>
      </w:r>
      <w:r w:rsidRPr="007E0586">
        <w:t xml:space="preserve">In accordance with the regulations implementing the </w:t>
      </w:r>
      <w:hyperlink r:id="rId8" w:history="1">
        <w:r w:rsidRPr="00E23201">
          <w:rPr>
            <w:rStyle w:val="Hyperlink"/>
          </w:rPr>
          <w:t>ESA</w:t>
        </w:r>
      </w:hyperlink>
      <w:r w:rsidRPr="007E0586">
        <w:t xml:space="preserve">, </w:t>
      </w:r>
      <w:r>
        <w:t xml:space="preserve">the National Oceanic and Atmospheric Administration’s (NOAA) National Marine </w:t>
      </w:r>
      <w:r w:rsidRPr="007E0586">
        <w:t xml:space="preserve">Fisheries </w:t>
      </w:r>
      <w:r>
        <w:t xml:space="preserve">Service </w:t>
      </w:r>
      <w:r w:rsidRPr="007E0586">
        <w:t xml:space="preserve">(NMFS) initiated an ESA </w:t>
      </w:r>
      <w:r w:rsidR="00DA0AD5">
        <w:t>S</w:t>
      </w:r>
      <w:r w:rsidRPr="007E0586">
        <w:t xml:space="preserve">ection 7 consultation with USFWS regarding the possible effects of implementing </w:t>
      </w:r>
      <w:r w:rsidR="006E3877">
        <w:t>F</w:t>
      </w:r>
      <w:r>
        <w:t xml:space="preserve">inal </w:t>
      </w:r>
      <w:r w:rsidR="006E3877">
        <w:t>R</w:t>
      </w:r>
      <w:r>
        <w:t>ule</w:t>
      </w:r>
      <w:r w:rsidR="006E3877">
        <w:t xml:space="preserve"> 0648-AT11</w:t>
      </w:r>
      <w:r>
        <w:t xml:space="preserve"> </w:t>
      </w:r>
      <w:r w:rsidR="00DA0AD5">
        <w:t xml:space="preserve">codifying </w:t>
      </w:r>
      <w:r w:rsidRPr="007E0586" w:rsidR="00DA0AD5">
        <w:t>Amendment 11 to the</w:t>
      </w:r>
      <w:r w:rsidR="00DA0AD5">
        <w:t xml:space="preserve"> </w:t>
      </w:r>
      <w:r w:rsidRPr="00706AB4" w:rsidR="00DA0AD5">
        <w:t>CPS</w:t>
      </w:r>
      <w:r w:rsidR="00DA0AD5">
        <w:t xml:space="preserve"> </w:t>
      </w:r>
      <w:r w:rsidRPr="00706AB4" w:rsidR="00DA0AD5">
        <w:t>FMP</w:t>
      </w:r>
      <w:r w:rsidR="00DA0AD5">
        <w:t xml:space="preserve"> (</w:t>
      </w:r>
      <w:r>
        <w:t>June 29, 2006</w:t>
      </w:r>
      <w:r w:rsidR="00DA0AD5">
        <w:t xml:space="preserve">; </w:t>
      </w:r>
      <w:hyperlink r:id="rId9" w:history="1">
        <w:r w:rsidRPr="00F61399">
          <w:rPr>
            <w:rStyle w:val="Hyperlink"/>
          </w:rPr>
          <w:t>71 FR 36999</w:t>
        </w:r>
      </w:hyperlink>
      <w:r>
        <w:t xml:space="preserve">), developed under the authority of the </w:t>
      </w:r>
      <w:hyperlink r:id="rId10" w:history="1">
        <w:r w:rsidRPr="00237817">
          <w:rPr>
            <w:rStyle w:val="Hyperlink"/>
          </w:rPr>
          <w:t>Magnuson-Stevens Fishery Conservation and Management Act</w:t>
        </w:r>
      </w:hyperlink>
      <w:r>
        <w:t xml:space="preserve">. </w:t>
      </w:r>
      <w:r w:rsidRPr="007E0586">
        <w:t>USFWS determined that formal consultation was necessary on the possible effects to the threatened southern sea otter. USFWS completed a biological opinion</w:t>
      </w:r>
      <w:r>
        <w:t xml:space="preserve"> </w:t>
      </w:r>
      <w:bookmarkStart w:id="0" w:name="_GoBack"/>
      <w:bookmarkEnd w:id="0"/>
      <w:r w:rsidRPr="007E0586">
        <w:t xml:space="preserve">for this action and </w:t>
      </w:r>
      <w:r>
        <w:t xml:space="preserve">although it was </w:t>
      </w:r>
      <w:r w:rsidRPr="007E0586">
        <w:t xml:space="preserve">concluded that </w:t>
      </w:r>
      <w:r>
        <w:t xml:space="preserve">fishing activities </w:t>
      </w:r>
      <w:r>
        <w:t>were</w:t>
      </w:r>
      <w:r w:rsidRPr="007E0586">
        <w:t xml:space="preserve"> not likely to jeopardize the continued existence of the southern sea otter</w:t>
      </w:r>
      <w:r w:rsidR="00DA0AD5">
        <w:t>,</w:t>
      </w:r>
      <w:r w:rsidRPr="00D865B4">
        <w:t xml:space="preserve"> </w:t>
      </w:r>
      <w:r w:rsidRPr="00090EA9">
        <w:t xml:space="preserve">there remained the potential to incidentally take </w:t>
      </w:r>
      <w:r>
        <w:t xml:space="preserve">southern sea </w:t>
      </w:r>
      <w:r w:rsidRPr="00090EA9">
        <w:t>otters</w:t>
      </w:r>
      <w:r w:rsidRPr="007E0586">
        <w:t xml:space="preserve">. USFWS determined that certain measures </w:t>
      </w:r>
      <w:r>
        <w:t>should be in place</w:t>
      </w:r>
      <w:r w:rsidRPr="007E0586">
        <w:t xml:space="preserve"> to ensure the continued protection</w:t>
      </w:r>
      <w:r>
        <w:t xml:space="preserve"> of the spec</w:t>
      </w:r>
      <w:r>
        <w:t>ies.</w:t>
      </w:r>
      <w:r w:rsidRPr="007E0586">
        <w:t xml:space="preserve"> The </w:t>
      </w:r>
      <w:r>
        <w:t xml:space="preserve">reporting </w:t>
      </w:r>
      <w:r w:rsidRPr="007E0586">
        <w:t>requirements and conservation measures put fort</w:t>
      </w:r>
      <w:r>
        <w:t xml:space="preserve">h in </w:t>
      </w:r>
      <w:r w:rsidRPr="00EE4C70">
        <w:t>Final Rule 0648-AU72</w:t>
      </w:r>
      <w:r w:rsidR="00F61399">
        <w:t xml:space="preserve"> (</w:t>
      </w:r>
      <w:r>
        <w:t>May 30, 2007</w:t>
      </w:r>
      <w:r w:rsidR="00F61399">
        <w:t xml:space="preserve">; </w:t>
      </w:r>
      <w:hyperlink r:id="rId11" w:history="1">
        <w:r w:rsidRPr="00F61399">
          <w:rPr>
            <w:rStyle w:val="Hyperlink"/>
          </w:rPr>
          <w:t>72 FR 29891</w:t>
        </w:r>
      </w:hyperlink>
      <w:r>
        <w:t>), with the announcement of Office of Management and Bu</w:t>
      </w:r>
      <w:r>
        <w:t xml:space="preserve">dget (OMB) approval of the information collection requirements in </w:t>
      </w:r>
      <w:r w:rsidRPr="00EE4C70">
        <w:t>Final Rule 0648-AX31</w:t>
      </w:r>
      <w:r w:rsidR="006E3877">
        <w:t xml:space="preserve"> (</w:t>
      </w:r>
      <w:r>
        <w:t>October 10, 2008</w:t>
      </w:r>
      <w:r w:rsidR="006E3877">
        <w:t xml:space="preserve">; </w:t>
      </w:r>
      <w:hyperlink r:id="rId12" w:history="1">
        <w:r w:rsidRPr="00EE4C70">
          <w:rPr>
            <w:rStyle w:val="Hyperlink"/>
          </w:rPr>
          <w:t>73 FR 60191</w:t>
        </w:r>
      </w:hyperlink>
      <w:r>
        <w:t xml:space="preserve">), are a condition of this </w:t>
      </w:r>
      <w:r w:rsidRPr="007E0586">
        <w:t xml:space="preserve">BO and </w:t>
      </w:r>
      <w:r>
        <w:t>are</w:t>
      </w:r>
      <w:r w:rsidRPr="007E0586">
        <w:t xml:space="preserve"> an attempt to provide further conservation efforts for southern sea otters.</w:t>
      </w:r>
      <w:r>
        <w:t xml:space="preserve"> </w:t>
      </w:r>
    </w:p>
    <w:p w:rsidR="00CA35BA" w:rsidP="00EE4C70" w14:paraId="76F7C863" w14:textId="0216D203">
      <w:pPr>
        <w:rPr>
          <w:b/>
          <w:color w:val="000000"/>
        </w:rPr>
      </w:pPr>
      <w:r>
        <w:t>D</w:t>
      </w:r>
      <w:r w:rsidR="00212E8D">
        <w:t>ue</w:t>
      </w:r>
      <w:r>
        <w:t xml:space="preserve"> to the low number of documented interactions (two) and the small overlap between the fishery and the distribution of southern sea otters</w:t>
      </w:r>
      <w:r w:rsidR="006E3877">
        <w:t>,</w:t>
      </w:r>
      <w:r>
        <w:t xml:space="preserve"> it is believed that</w:t>
      </w:r>
      <w:r w:rsidRPr="00090EA9">
        <w:t xml:space="preserve"> </w:t>
      </w:r>
      <w:r>
        <w:t>cases</w:t>
      </w:r>
      <w:r w:rsidRPr="00090EA9">
        <w:t xml:space="preserve"> as de</w:t>
      </w:r>
      <w:r>
        <w:t>scrib</w:t>
      </w:r>
      <w:r>
        <w:t xml:space="preserve">ed above are extremely rare. </w:t>
      </w:r>
      <w:r>
        <w:t>However, before 2008 no legal requirement for fishermen to report such interactions existed in regulations, and with low to no observer coverage within this fishery</w:t>
      </w:r>
      <w:r w:rsidRPr="002308C6">
        <w:t>, the true frequency and type of interactions occurring is unkn</w:t>
      </w:r>
      <w:r w:rsidRPr="002308C6">
        <w:t>own</w:t>
      </w:r>
      <w:r>
        <w:t xml:space="preserve">. </w:t>
      </w:r>
      <w:r w:rsidRPr="002308C6">
        <w:t xml:space="preserve">The data gathered from this </w:t>
      </w:r>
      <w:r>
        <w:t xml:space="preserve">collection-of-information is valuable in </w:t>
      </w:r>
      <w:r w:rsidR="006E3877">
        <w:t>monitoring</w:t>
      </w:r>
      <w:r>
        <w:t xml:space="preserve"> interactions </w:t>
      </w:r>
      <w:r w:rsidR="006E3877">
        <w:t>and determining</w:t>
      </w:r>
      <w:r>
        <w:t xml:space="preserve"> whether stronger mitigation is necessary to ensure protection for the threatened southern sea otter.</w:t>
      </w:r>
      <w:r w:rsidRPr="009E3A2C">
        <w:t xml:space="preserve"> This information </w:t>
      </w:r>
      <w:r>
        <w:t>will</w:t>
      </w:r>
      <w:r w:rsidRPr="009E3A2C">
        <w:t xml:space="preserve"> prove valuable to b</w:t>
      </w:r>
      <w:r w:rsidRPr="009E3A2C">
        <w:t>oth fishermen and the conservation of sea otters as it will</w:t>
      </w:r>
      <w:r>
        <w:t xml:space="preserve"> continue to</w:t>
      </w:r>
      <w:r w:rsidRPr="009E3A2C">
        <w:t xml:space="preserve"> record sea otter interactions</w:t>
      </w:r>
      <w:r w:rsidR="006E3877">
        <w:t xml:space="preserve"> with the fishery</w:t>
      </w:r>
      <w:r w:rsidRPr="009E3A2C">
        <w:t xml:space="preserve">. </w:t>
      </w:r>
      <w:r>
        <w:t xml:space="preserve">Although no responses have been received </w:t>
      </w:r>
      <w:r w:rsidR="00E271B8">
        <w:t>since this information collection was established</w:t>
      </w:r>
      <w:r>
        <w:t xml:space="preserve">, the </w:t>
      </w:r>
      <w:r w:rsidR="006D5CB9">
        <w:t>fishery</w:t>
      </w:r>
      <w:r>
        <w:t xml:space="preserve"> for Pacific sardine, one of the </w:t>
      </w:r>
      <w:r>
        <w:t>primary CPS fisheries</w:t>
      </w:r>
      <w:r w:rsidR="006E3877">
        <w:t>,</w:t>
      </w:r>
      <w:r>
        <w:t xml:space="preserve"> </w:t>
      </w:r>
      <w:r w:rsidR="006D5CB9">
        <w:t xml:space="preserve">has been closed for the last 8 years due to reduced </w:t>
      </w:r>
      <w:r>
        <w:t>sardine biomass levels, potentially reduc</w:t>
      </w:r>
      <w:r w:rsidR="00F7134C">
        <w:t>ed</w:t>
      </w:r>
      <w:r>
        <w:t xml:space="preserve"> the chance</w:t>
      </w:r>
      <w:r w:rsidR="00F7134C">
        <w:t>s</w:t>
      </w:r>
      <w:r>
        <w:t xml:space="preserve"> </w:t>
      </w:r>
      <w:r w:rsidR="00F7134C">
        <w:t>of fishery interactions with southern sea otters</w:t>
      </w:r>
      <w:r>
        <w:t>. As it is unknown what effect these reduced fishing seasons have or what the</w:t>
      </w:r>
      <w:r>
        <w:t xml:space="preserve"> annual variability in interactions is, the continuance of this collection is important to </w:t>
      </w:r>
      <w:r w:rsidR="00F7134C">
        <w:t>ensure we monitor for interactions between the fishery and this threatened species</w:t>
      </w:r>
      <w:r>
        <w:t>.</w:t>
      </w:r>
    </w:p>
    <w:p w:rsidR="009A6F02" w14:paraId="1ACF62E5" w14:textId="77777777">
      <w:pPr>
        <w:pStyle w:val="Heading1"/>
        <w:numPr>
          <w:ilvl w:val="0"/>
          <w:numId w:val="3"/>
        </w:numPr>
        <w:tabs>
          <w:tab w:val="left" w:pos="360"/>
        </w:tabs>
        <w:spacing w:before="197"/>
        <w:ind w:left="0" w:firstLine="0"/>
      </w:pPr>
      <w:r>
        <w:t>Indicate how, by whom, and for what purpose the information is to be used. Except</w:t>
      </w:r>
      <w:r>
        <w:t xml:space="preserve"> for a new collection, indicate the actual use the agency has made of the information received from the current collection.</w:t>
      </w:r>
    </w:p>
    <w:p w:rsidR="00EE4C70" w:rsidP="00EE4C70" w14:paraId="23679E92" w14:textId="5D7D3093">
      <w:r w:rsidRPr="00EE4C70">
        <w:rPr>
          <w:lang w:val="en-CA"/>
        </w:rPr>
        <w:fldChar w:fldCharType="begin"/>
      </w:r>
      <w:r w:rsidRPr="00EE4C70">
        <w:rPr>
          <w:lang w:val="en-CA"/>
        </w:rPr>
        <w:instrText xml:space="preserve"> SEQ CHAPTER \h \r 1</w:instrText>
      </w:r>
      <w:r w:rsidRPr="00EE4C70">
        <w:rPr>
          <w:lang w:val="en-CA"/>
        </w:rPr>
        <w:fldChar w:fldCharType="separate"/>
      </w:r>
      <w:r w:rsidRPr="00EE4C70">
        <w:rPr>
          <w:lang w:val="en-CA"/>
        </w:rPr>
        <w:fldChar w:fldCharType="end"/>
      </w:r>
      <w:r w:rsidRPr="007E0586">
        <w:t xml:space="preserve">If a southern sea otter is entangled in a net, regardless of whether the animal is injured or killed, such an </w:t>
      </w:r>
      <w:r w:rsidRPr="007E0586">
        <w:t xml:space="preserve">occurrence must be reported within 24 hours to the Regional Administrator, NMFS </w:t>
      </w:r>
      <w:r>
        <w:t xml:space="preserve">West Coast </w:t>
      </w:r>
      <w:r w:rsidRPr="007E0586">
        <w:t>Region.</w:t>
      </w:r>
    </w:p>
    <w:p w:rsidR="00EE4C70" w:rsidP="00EE4C70" w14:paraId="593B1856" w14:textId="1D4E4B16">
      <w:r>
        <w:t>W</w:t>
      </w:r>
      <w:r w:rsidRPr="007E0586">
        <w:t>hile fishing for CPS, vessel operators must record all observations of otter interactions (defined as otters within encircled nets or coming into contact wi</w:t>
      </w:r>
      <w:r w:rsidRPr="007E0586">
        <w:t xml:space="preserve">th nets or vessels, including but not limited to entanglement) with their purse seine net(s) or vessel(s). </w:t>
      </w:r>
      <w:r>
        <w:t>All</w:t>
      </w:r>
      <w:r w:rsidRPr="007E0586">
        <w:t xml:space="preserve"> observations</w:t>
      </w:r>
      <w:r>
        <w:t xml:space="preserve"> other than entanglement</w:t>
      </w:r>
      <w:r w:rsidRPr="007E0586">
        <w:t xml:space="preserve"> must be reported within 20 days to the Regional Administrator.</w:t>
      </w:r>
    </w:p>
    <w:p w:rsidR="00F7134C" w:rsidRPr="00EE4C70" w:rsidP="0029081F" w14:paraId="3BAD796F" w14:textId="3A1A678C">
      <w:pPr>
        <w:pBdr>
          <w:top w:val="nil"/>
          <w:left w:val="nil"/>
          <w:bottom w:val="nil"/>
          <w:right w:val="nil"/>
          <w:between w:val="nil"/>
        </w:pBdr>
        <w:spacing w:before="161"/>
      </w:pPr>
      <w:r w:rsidRPr="00EE4C70">
        <w:t>When contacting NMFS after an interaction</w:t>
      </w:r>
      <w:r w:rsidRPr="00EE4C70" w:rsidR="00EE4C70">
        <w:t xml:space="preserve"> with a southern sea otter</w:t>
      </w:r>
      <w:r w:rsidRPr="00EE4C70">
        <w:t>, vessel operators must provide the location (latitude and longitude) of the interaction and a description of the interaction itself. If available, location information should also include water depth, distance from shore, and relation to port or other lan</w:t>
      </w:r>
      <w:r w:rsidRPr="00EE4C70">
        <w:t>dmarks. Descriptive information of the interaction should include whether or not the otters were seen inside or outside the net; if inside the net, had the net been completely encircled; whether any otters came in contact with either the net or the vessel;</w:t>
      </w:r>
      <w:r w:rsidRPr="00EE4C70">
        <w:t xml:space="preserve"> the number of otters present; duration of interaction; the otter’s behavior during interaction; </w:t>
      </w:r>
      <w:r w:rsidRPr="00EE4C70" w:rsidR="00EE4C70">
        <w:t xml:space="preserve">and </w:t>
      </w:r>
      <w:r w:rsidRPr="00EE4C70">
        <w:t>measures taken to avoid interaction.</w:t>
      </w:r>
    </w:p>
    <w:p w:rsidR="004273AE" w:rsidRPr="004273AE" w:rsidP="004273AE" w14:paraId="67FA58CB" w14:textId="77777777">
      <w:pPr>
        <w:pBdr>
          <w:top w:val="nil"/>
          <w:left w:val="nil"/>
          <w:bottom w:val="nil"/>
          <w:right w:val="nil"/>
          <w:between w:val="nil"/>
        </w:pBdr>
        <w:spacing w:before="199"/>
        <w:rPr>
          <w:b/>
          <w:color w:val="000000"/>
        </w:rPr>
      </w:pPr>
      <w:r w:rsidRPr="00EE4C70">
        <w:t>Th</w:t>
      </w:r>
      <w:r w:rsidRPr="00EE4C70" w:rsidR="00EE4C70">
        <w:t xml:space="preserve">is information </w:t>
      </w:r>
      <w:r w:rsidRPr="00EE4C70">
        <w:t xml:space="preserve">will be used by NMFS and the USFWS to determine whether further mitigation measures </w:t>
      </w:r>
      <w:r w:rsidRPr="00EE4C70" w:rsidR="00EE4C70">
        <w:t xml:space="preserve">are necessary </w:t>
      </w:r>
      <w:r w:rsidRPr="00EE4C70">
        <w:t xml:space="preserve">to </w:t>
      </w:r>
      <w:r w:rsidRPr="00EE4C70">
        <w:t>ensure the continued protection of the threatened southern sea otter. Sea otter entanglement interactions that are reported to NMFS within 24 hours of the occurrence will be examined at that time by NMFS and USFWS; all other observations will be reviewed o</w:t>
      </w:r>
      <w:r w:rsidRPr="00EE4C70">
        <w:t>n an annual basis.</w:t>
      </w:r>
    </w:p>
    <w:p w:rsidR="009A6F02" w:rsidP="00634E8E" w14:paraId="0DDC1B60" w14:textId="1AF29993">
      <w:pPr>
        <w:numPr>
          <w:ilvl w:val="0"/>
          <w:numId w:val="3"/>
        </w:numPr>
        <w:pBdr>
          <w:top w:val="nil"/>
          <w:left w:val="nil"/>
          <w:bottom w:val="nil"/>
          <w:right w:val="nil"/>
          <w:between w:val="nil"/>
        </w:pBdr>
        <w:spacing w:before="199"/>
        <w:ind w:left="0" w:firstLine="0"/>
        <w:rPr>
          <w:b/>
          <w:color w:val="000000"/>
        </w:rPr>
      </w:pPr>
      <w:r>
        <w:rPr>
          <w:b/>
          <w:color w:val="000000"/>
        </w:rPr>
        <w:t xml:space="preserve">Describe whether, and to what extent, the collection of information involves the use of automated, electronic, mechanical, or other technological collection techniques or other forms of information technology, e.g. permitting electronic </w:t>
      </w:r>
      <w:r>
        <w:rPr>
          <w:b/>
          <w:color w:val="000000"/>
        </w:rPr>
        <w:t>submission of responses, and the basis for the decision for adopting this means of collection. Also, describe any consideration of using information technology to reduce burden.</w:t>
      </w:r>
    </w:p>
    <w:p w:rsidR="0029081F" w:rsidP="0029081F" w14:paraId="79C06BE3" w14:textId="2FCC1503">
      <w:r>
        <w:t>There are no specific forms associated with this action.</w:t>
      </w:r>
      <w:r w:rsidR="00634E8E">
        <w:t xml:space="preserve"> </w:t>
      </w:r>
      <w:r>
        <w:t>Information may be su</w:t>
      </w:r>
      <w:r>
        <w:t xml:space="preserve">bmitted via mail (in instances not involving capture </w:t>
      </w:r>
      <w:r w:rsidR="00634E8E">
        <w:t xml:space="preserve">or entanglement </w:t>
      </w:r>
      <w:r>
        <w:t>of an otter in a net, which requires reporting within 24 hours), telephone, fax</w:t>
      </w:r>
      <w:r w:rsidR="00641BC6">
        <w:t>,</w:t>
      </w:r>
      <w:r>
        <w:t xml:space="preserve"> or e-mail. </w:t>
      </w:r>
    </w:p>
    <w:p w:rsidR="009A6F02" w14:paraId="6F85F42E"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Describe efforts to identify duplication. Show specifically why any similar information alread</w:t>
      </w:r>
      <w:r>
        <w:rPr>
          <w:b/>
          <w:color w:val="000000"/>
        </w:rPr>
        <w:t xml:space="preserve">y </w:t>
      </w:r>
      <w:r>
        <w:rPr>
          <w:b/>
          <w:color w:val="000000"/>
        </w:rPr>
        <w:t>available cannot be used or modified for use for the purposes described in Question 2</w:t>
      </w:r>
    </w:p>
    <w:p w:rsidR="0029081F" w:rsidRPr="0029081F" w:rsidP="0029081F" w14:paraId="656A3800" w14:textId="77777777">
      <w:r>
        <w:t>No reporting requirements or other collections are currently gathering the same or similar information.</w:t>
      </w:r>
    </w:p>
    <w:p w:rsidR="009A6F02" w14:paraId="36F333DD"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If the collection of information impacts small businesses or oth</w:t>
      </w:r>
      <w:r>
        <w:rPr>
          <w:b/>
          <w:color w:val="000000"/>
        </w:rPr>
        <w:t>er small entities, describe any methods used to minimize burden.</w:t>
      </w:r>
    </w:p>
    <w:p w:rsidR="0029081F" w:rsidRPr="00634E8E" w:rsidP="00634E8E" w14:paraId="5133EB8B" w14:textId="4EBE584F">
      <w:r>
        <w:t xml:space="preserve">All respondents to this information collection are expected to be small businesses and/or other small entities.  As few responses are expected, the burden is expected to be minimal. The only </w:t>
      </w:r>
      <w:r>
        <w:t>cost involved with this collection of information should be the cost involved in contacting NMFS. In order to minimize the burden, acceptable methods of submission will be mail, phone, fax, or e</w:t>
      </w:r>
      <w:r w:rsidR="00634E8E">
        <w:t>-</w:t>
      </w:r>
      <w:r>
        <w:t xml:space="preserve">mail.  </w:t>
      </w:r>
    </w:p>
    <w:p w:rsidR="009A6F02" w14:paraId="4FE02636"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Describe the consequence to Federal program or policy</w:t>
      </w:r>
      <w:r>
        <w:rPr>
          <w:b/>
          <w:color w:val="000000"/>
        </w:rPr>
        <w:t xml:space="preserve"> activities if the collection is not conducted or is conducted less frequently, as well as any technical or legal obstacles to reducing burden.</w:t>
      </w:r>
    </w:p>
    <w:p w:rsidR="0029081F" w:rsidRPr="00634E8E" w:rsidP="00634E8E" w14:paraId="3CD2B199" w14:textId="04BB17C2">
      <w:r>
        <w:t>This collection is required to meet the terms and conditions put forth by the USFWS, and is necessary for the fi</w:t>
      </w:r>
      <w:r>
        <w:t xml:space="preserve">shery to continue </w:t>
      </w:r>
      <w:r w:rsidR="00634E8E">
        <w:t>its current operations</w:t>
      </w:r>
      <w:r>
        <w:t>. If this collection is not conducted or is conducted less frequently there may be risk to the threatened southern sea otter.</w:t>
      </w:r>
    </w:p>
    <w:p w:rsidR="009A6F02" w14:paraId="79F41A69"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any special circumstances that would cause an information collection to be conduct</w:t>
      </w:r>
      <w:r>
        <w:rPr>
          <w:b/>
          <w:color w:val="000000"/>
        </w:rPr>
        <w:t>ed in a manner inconsistent with OMB guidelines.</w:t>
      </w:r>
    </w:p>
    <w:p w:rsidR="0038220D" w:rsidP="00EB35F2" w14:paraId="55128796" w14:textId="0298AF80">
      <w:pPr>
        <w:rPr>
          <w:color w:val="000000"/>
        </w:rPr>
      </w:pPr>
      <w:r>
        <w:t xml:space="preserve">This information collection does not require respondents to report in any manner inconsistent with OMB guidelines, including frequency of reporting or the ways in which the reports would be analyzed or </w:t>
      </w:r>
      <w:r w:rsidR="001E57EB">
        <w:t>disclosed by the agency</w:t>
      </w:r>
      <w:r w:rsidR="00EB35F2">
        <w:t>.</w:t>
      </w:r>
    </w:p>
    <w:p w:rsidR="009A6F02" w14:paraId="6113DAE0"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If applicable, provide a copy and identify the date and page number of publications in the Federal Register of the agency's notice, required by 5 CFR 1320.8 (d), soliciting comments on the information collection prior to submission to O</w:t>
      </w:r>
      <w:r>
        <w:rPr>
          <w:b/>
          <w:color w:val="000000"/>
        </w:rPr>
        <w:t>MB. Summarize public comments received in response to that notice and describe actions taken by the agency in response to these comments. Specifically address comments received on cost and hour burden.</w:t>
      </w:r>
    </w:p>
    <w:p w:rsidR="0038220D" w:rsidP="0038220D" w14:paraId="527ACED5" w14:textId="32C0B2F0">
      <w:r w:rsidRPr="00F23A69">
        <w:t xml:space="preserve">A </w:t>
      </w:r>
      <w:r w:rsidRPr="00F23A69">
        <w:rPr>
          <w:u w:val="single"/>
        </w:rPr>
        <w:t>Federal Register</w:t>
      </w:r>
      <w:r w:rsidRPr="00F23A69">
        <w:t xml:space="preserve"> Notice published </w:t>
      </w:r>
      <w:r>
        <w:t>September 6, 2022</w:t>
      </w:r>
      <w:r w:rsidRPr="00F23A69">
        <w:t xml:space="preserve"> </w:t>
      </w:r>
      <w:r w:rsidRPr="00F23A69">
        <w:t>(</w:t>
      </w:r>
      <w:hyperlink r:id="rId13" w:history="1">
        <w:r w:rsidRPr="0038220D">
          <w:rPr>
            <w:rStyle w:val="Hyperlink"/>
          </w:rPr>
          <w:t>87 FR 54484</w:t>
        </w:r>
      </w:hyperlink>
      <w:r w:rsidRPr="00F23A69">
        <w:t xml:space="preserve">) and solicited public comments through </w:t>
      </w:r>
      <w:r>
        <w:t>November 7, 2022</w:t>
      </w:r>
      <w:r w:rsidRPr="00EC6F56">
        <w:t>. No comm</w:t>
      </w:r>
      <w:r w:rsidRPr="00EC6F56">
        <w:t xml:space="preserve">ents were received. </w:t>
      </w:r>
    </w:p>
    <w:p w:rsidR="0029081F" w:rsidRPr="0038220D" w:rsidP="0038220D" w14:paraId="689C5CA9" w14:textId="4766226E">
      <w:r>
        <w:t>In 2019</w:t>
      </w:r>
      <w:r w:rsidR="004273AE">
        <w:t xml:space="preserve"> and again in 2023</w:t>
      </w:r>
      <w:r>
        <w:t xml:space="preserve">, </w:t>
      </w:r>
      <w:r w:rsidR="004273AE">
        <w:t xml:space="preserve">we solicited feedback from </w:t>
      </w:r>
      <w:r w:rsidRPr="00F85E5A">
        <w:t>the non-profit organization California Wetfish Producers Association</w:t>
      </w:r>
      <w:r>
        <w:t>, wh</w:t>
      </w:r>
      <w:r w:rsidR="004273AE">
        <w:t>ich</w:t>
      </w:r>
      <w:r>
        <w:t xml:space="preserve"> </w:t>
      </w:r>
      <w:r w:rsidR="00AA6FE7">
        <w:t xml:space="preserve">sits </w:t>
      </w:r>
      <w:r>
        <w:t>on the CPS Advisory Subpanel to the Pacific Fishery Management Council and who</w:t>
      </w:r>
      <w:r w:rsidRPr="00F85E5A">
        <w:t>s</w:t>
      </w:r>
      <w:r>
        <w:t>e</w:t>
      </w:r>
      <w:r w:rsidRPr="00F85E5A">
        <w:t xml:space="preserve"> membership includes the majority of CPS harvesters and processo</w:t>
      </w:r>
      <w:r>
        <w:t>rs operating in California</w:t>
      </w:r>
      <w:r w:rsidR="004273AE">
        <w:t>.</w:t>
      </w:r>
      <w:r>
        <w:t xml:space="preserve"> </w:t>
      </w:r>
      <w:r w:rsidR="004273AE">
        <w:t>We</w:t>
      </w:r>
      <w:r w:rsidRPr="00F85E5A">
        <w:t xml:space="preserve"> contacted </w:t>
      </w:r>
      <w:r w:rsidR="004273AE">
        <w:t>the association to ask for their</w:t>
      </w:r>
      <w:r>
        <w:t xml:space="preserve"> view</w:t>
      </w:r>
      <w:r w:rsidRPr="00F85E5A">
        <w:t xml:space="preserve"> on this collection of information and whether the burden and cos</w:t>
      </w:r>
      <w:r>
        <w:t xml:space="preserve">t are accurate and reasonable. </w:t>
      </w:r>
      <w:r w:rsidR="004273AE">
        <w:t>They</w:t>
      </w:r>
      <w:r>
        <w:t xml:space="preserve"> confirmed tha</w:t>
      </w:r>
      <w:r>
        <w:t xml:space="preserve">t </w:t>
      </w:r>
      <w:r w:rsidR="004273AE">
        <w:t>the fleet</w:t>
      </w:r>
      <w:r>
        <w:t xml:space="preserve"> do</w:t>
      </w:r>
      <w:r w:rsidR="004273AE">
        <w:t>es</w:t>
      </w:r>
      <w:r>
        <w:t xml:space="preserve"> not observe sea otters near their nets while fishing, and that they normally see them near the kelp beds</w:t>
      </w:r>
      <w:r w:rsidR="00AA6FE7">
        <w:t>, which they actively avoid due to entanglement hazards with kelp</w:t>
      </w:r>
      <w:r>
        <w:t xml:space="preserve">. </w:t>
      </w:r>
      <w:r w:rsidR="004273AE">
        <w:t>They agreed that the reporting requirements</w:t>
      </w:r>
      <w:r w:rsidR="00AA6FE7">
        <w:t>, should an interaction with a sea otter occur,</w:t>
      </w:r>
      <w:r w:rsidR="004273AE">
        <w:t xml:space="preserve"> are operable as written in the CFR.</w:t>
      </w:r>
      <w:r>
        <w:t xml:space="preserve"> </w:t>
      </w:r>
    </w:p>
    <w:p w:rsidR="009A6F02" w14:paraId="519BA466"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any decision to provide any payment or gift to respondents, other than remuneration of contractors or grantees.</w:t>
      </w:r>
    </w:p>
    <w:p w:rsidR="009A6F02" w14:paraId="0E0C0003" w14:textId="6FF23D99">
      <w:pPr>
        <w:jc w:val="both"/>
      </w:pPr>
      <w:r>
        <w:t>Neither payments nor gifts have been offered.</w:t>
      </w:r>
    </w:p>
    <w:p w:rsidR="009A6F02" w14:paraId="79D5D5D5"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Describe any assurance of conf</w:t>
      </w:r>
      <w:r>
        <w:rPr>
          <w:b/>
          <w:color w:val="000000"/>
        </w:rPr>
        <w:t>identiality provided to respondents and the basis for the assurance in statute, regulation, or agency policy. If the collection requires a systems of records notice (SORN) or privacy impact assessment (PIA), those should be cited and described here.</w:t>
      </w:r>
    </w:p>
    <w:p w:rsidR="0029081F" w:rsidRPr="00212E8D" w:rsidP="004273AE" w14:paraId="145F85C7" w14:textId="65AF7CF0">
      <w:pPr>
        <w:pBdr>
          <w:top w:val="nil"/>
          <w:left w:val="nil"/>
          <w:bottom w:val="nil"/>
          <w:right w:val="nil"/>
          <w:between w:val="nil"/>
        </w:pBdr>
        <w:spacing w:before="161"/>
      </w:pPr>
      <w:r>
        <w:rPr>
          <w:color w:val="000000"/>
        </w:rPr>
        <w:t>No ass</w:t>
      </w:r>
      <w:r>
        <w:rPr>
          <w:color w:val="000000"/>
        </w:rPr>
        <w:t xml:space="preserve">urance of confidentiality is provided; however, </w:t>
      </w:r>
      <w:r w:rsidRPr="00EE4C70" w:rsidR="00212E8D">
        <w:t>NOAA Fisheries will retain control over the information and safeguard it from improper access, modification, and destruction, consistent with NOAA standards for confidentiality, privacy, and electronic information. The information collection is designed to yield data that meet all applicable information quality guidelines. Although the information collected is not expected to be disseminated directly to the public, results may be used in scientific, management, technical or general informational publications. Should NOAA Fisheries Service decide to disseminate the information, it will be subject to the quality control measures and pre-dissemination review pursuant to Section 515 of Public Law 106-554.</w:t>
      </w:r>
    </w:p>
    <w:p w:rsidR="009A6F02" w14:paraId="2F9BDAE4"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a</w:t>
      </w:r>
      <w:r>
        <w:rPr>
          <w:b/>
          <w:color w:val="000000"/>
        </w:rPr>
        <w:t>dditional justification for any questions of a sensitive nature, such as sexual behavior or attitudes, religious beliefs, and other matters that are commonly considered private. This justification should include the reasons why the agency considers the que</w:t>
      </w:r>
      <w:r>
        <w:rPr>
          <w:b/>
          <w:color w:val="000000"/>
        </w:rPr>
        <w:t>stions necessary, the specific uses to be made of the information, the explanation to be given to persons from whom the information is requested, and any steps to be taken to obtain their consent.</w:t>
      </w:r>
    </w:p>
    <w:p w:rsidR="00EB35F2" w:rsidRPr="00EB35F2" w:rsidP="00EB35F2" w14:paraId="2A1BCF02" w14:textId="6B03B12D">
      <w:pPr>
        <w:pBdr>
          <w:top w:val="nil"/>
          <w:left w:val="nil"/>
          <w:bottom w:val="nil"/>
          <w:right w:val="nil"/>
          <w:between w:val="nil"/>
        </w:pBdr>
        <w:tabs>
          <w:tab w:val="left" w:pos="360"/>
        </w:tabs>
        <w:spacing w:before="80"/>
        <w:rPr>
          <w:color w:val="000000"/>
        </w:rPr>
      </w:pPr>
      <w:r w:rsidRPr="006E6BF4">
        <w:rPr>
          <w:color w:val="000000"/>
        </w:rPr>
        <w:t>No sensitive questions will be asked.</w:t>
      </w:r>
    </w:p>
    <w:p w:rsidR="009A6F02" w:rsidP="006E6BF4" w14:paraId="2453CD6C"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 xml:space="preserve">Provide estimates of </w:t>
      </w:r>
      <w:r>
        <w:rPr>
          <w:b/>
          <w:color w:val="000000"/>
        </w:rPr>
        <w:t>the hour burden of the collection of information.</w:t>
      </w:r>
    </w:p>
    <w:tbl>
      <w:tblPr>
        <w:tblStyle w:val="a0"/>
        <w:tblW w:w="5000" w:type="pct"/>
        <w:tblLook w:val="0400"/>
      </w:tblPr>
      <w:tblGrid>
        <w:gridCol w:w="1028"/>
        <w:gridCol w:w="1108"/>
        <w:gridCol w:w="1455"/>
        <w:gridCol w:w="1030"/>
        <w:gridCol w:w="931"/>
        <w:gridCol w:w="867"/>
        <w:gridCol w:w="759"/>
        <w:gridCol w:w="1080"/>
        <w:gridCol w:w="1802"/>
      </w:tblGrid>
      <w:tr w14:paraId="091ED182" w14:textId="77777777" w:rsidTr="006E6BF4">
        <w:tblPrEx>
          <w:tblW w:w="5000" w:type="pct"/>
          <w:tblLook w:val="0400"/>
        </w:tblPrEx>
        <w:trPr>
          <w:trHeight w:val="1365"/>
        </w:trPr>
        <w:tc>
          <w:tcPr>
            <w:tcW w:w="539" w:type="pct"/>
            <w:tcBorders>
              <w:top w:val="single" w:sz="8" w:space="0" w:color="000000"/>
              <w:left w:val="single" w:sz="8" w:space="0" w:color="000000"/>
              <w:bottom w:val="single" w:sz="8" w:space="0" w:color="000000"/>
              <w:right w:val="single" w:sz="8" w:space="0" w:color="000000"/>
            </w:tcBorders>
            <w:shd w:val="clear" w:color="auto" w:fill="BDD7EE"/>
            <w:vAlign w:val="center"/>
          </w:tcPr>
          <w:p w:rsidR="009A6F02" w14:paraId="3E90C347"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Information Collection</w:t>
            </w:r>
          </w:p>
        </w:tc>
        <w:tc>
          <w:tcPr>
            <w:tcW w:w="534" w:type="pct"/>
            <w:tcBorders>
              <w:top w:val="single" w:sz="8" w:space="0" w:color="000000"/>
              <w:left w:val="nil"/>
              <w:bottom w:val="single" w:sz="8" w:space="0" w:color="000000"/>
              <w:right w:val="single" w:sz="8" w:space="0" w:color="000000"/>
            </w:tcBorders>
            <w:shd w:val="clear" w:color="auto" w:fill="BDD7EE"/>
            <w:vAlign w:val="center"/>
          </w:tcPr>
          <w:p w:rsidR="009A6F02" w14:paraId="52A05D53"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Type of Respondent (e.g., Occupational Title)</w:t>
            </w:r>
          </w:p>
        </w:tc>
        <w:tc>
          <w:tcPr>
            <w:tcW w:w="701" w:type="pct"/>
            <w:tcBorders>
              <w:top w:val="single" w:sz="8" w:space="0" w:color="000000"/>
              <w:left w:val="nil"/>
              <w:bottom w:val="single" w:sz="8" w:space="0" w:color="000000"/>
              <w:right w:val="single" w:sz="8" w:space="0" w:color="000000"/>
            </w:tcBorders>
            <w:shd w:val="clear" w:color="auto" w:fill="BDD7EE"/>
            <w:vAlign w:val="center"/>
          </w:tcPr>
          <w:p w:rsidR="009A6F02" w14:paraId="6D290D85"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of Respondents/year</w:t>
            </w:r>
            <w:r>
              <w:rPr>
                <w:rFonts w:ascii="Calibri" w:eastAsia="Calibri" w:hAnsi="Calibri" w:cs="Calibri"/>
                <w:b/>
                <w:color w:val="000000"/>
                <w:sz w:val="16"/>
                <w:szCs w:val="16"/>
              </w:rPr>
              <w:br/>
              <w:t>(a)</w:t>
            </w:r>
          </w:p>
        </w:tc>
        <w:tc>
          <w:tcPr>
            <w:tcW w:w="496" w:type="pct"/>
            <w:tcBorders>
              <w:top w:val="single" w:sz="8" w:space="0" w:color="000000"/>
              <w:left w:val="nil"/>
              <w:bottom w:val="single" w:sz="8" w:space="0" w:color="000000"/>
              <w:right w:val="single" w:sz="8" w:space="0" w:color="000000"/>
            </w:tcBorders>
            <w:shd w:val="clear" w:color="auto" w:fill="BDD7EE"/>
            <w:vAlign w:val="center"/>
          </w:tcPr>
          <w:p w:rsidR="009A6F02" w14:paraId="5AF89562"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Annual # of Responses / Respondent</w:t>
            </w:r>
            <w:r>
              <w:rPr>
                <w:rFonts w:ascii="Calibri" w:eastAsia="Calibri" w:hAnsi="Calibri" w:cs="Calibri"/>
                <w:b/>
                <w:color w:val="000000"/>
                <w:sz w:val="16"/>
                <w:szCs w:val="16"/>
              </w:rPr>
              <w:br/>
              <w:t>(b)</w:t>
            </w:r>
          </w:p>
        </w:tc>
        <w:tc>
          <w:tcPr>
            <w:tcW w:w="448" w:type="pct"/>
            <w:tcBorders>
              <w:top w:val="single" w:sz="8" w:space="0" w:color="000000"/>
              <w:left w:val="nil"/>
              <w:bottom w:val="single" w:sz="8" w:space="0" w:color="000000"/>
              <w:right w:val="single" w:sz="8" w:space="0" w:color="000000"/>
            </w:tcBorders>
            <w:shd w:val="clear" w:color="auto" w:fill="BDD7EE"/>
            <w:vAlign w:val="center"/>
          </w:tcPr>
          <w:p w:rsidR="009A6F02" w14:paraId="0D87CA5D"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 Total # of Annual Responses</w:t>
            </w:r>
            <w:r>
              <w:rPr>
                <w:rFonts w:ascii="Calibri" w:eastAsia="Calibri" w:hAnsi="Calibri" w:cs="Calibri"/>
                <w:b/>
                <w:color w:val="000000"/>
                <w:sz w:val="16"/>
                <w:szCs w:val="16"/>
              </w:rPr>
              <w:br/>
              <w:t>(c) = (a) x (b)</w:t>
            </w:r>
          </w:p>
        </w:tc>
        <w:tc>
          <w:tcPr>
            <w:tcW w:w="418" w:type="pct"/>
            <w:tcBorders>
              <w:top w:val="single" w:sz="8" w:space="0" w:color="000000"/>
              <w:left w:val="nil"/>
              <w:bottom w:val="single" w:sz="8" w:space="0" w:color="000000"/>
              <w:right w:val="single" w:sz="8" w:space="0" w:color="000000"/>
            </w:tcBorders>
            <w:shd w:val="clear" w:color="auto" w:fill="BDD7EE"/>
            <w:vAlign w:val="center"/>
          </w:tcPr>
          <w:p w:rsidR="009A6F02" w14:paraId="2D6B0BA2"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Burden Hrs / Response</w:t>
            </w:r>
            <w:r>
              <w:rPr>
                <w:rFonts w:ascii="Calibri" w:eastAsia="Calibri" w:hAnsi="Calibri" w:cs="Calibri"/>
                <w:b/>
                <w:color w:val="000000"/>
                <w:sz w:val="16"/>
                <w:szCs w:val="16"/>
              </w:rPr>
              <w:br/>
              <w:t>(d)</w:t>
            </w:r>
          </w:p>
        </w:tc>
        <w:tc>
          <w:tcPr>
            <w:tcW w:w="366" w:type="pct"/>
            <w:tcBorders>
              <w:top w:val="single" w:sz="8" w:space="0" w:color="000000"/>
              <w:left w:val="nil"/>
              <w:bottom w:val="single" w:sz="8" w:space="0" w:color="000000"/>
              <w:right w:val="single" w:sz="8" w:space="0" w:color="000000"/>
            </w:tcBorders>
            <w:shd w:val="clear" w:color="auto" w:fill="BDD7EE"/>
            <w:vAlign w:val="center"/>
          </w:tcPr>
          <w:p w:rsidR="009A6F02" w14:paraId="7EAA0204"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Annual Burden Hrs</w:t>
            </w:r>
            <w:r>
              <w:rPr>
                <w:rFonts w:ascii="Calibri" w:eastAsia="Calibri" w:hAnsi="Calibri" w:cs="Calibri"/>
                <w:b/>
                <w:color w:val="000000"/>
                <w:sz w:val="16"/>
                <w:szCs w:val="16"/>
              </w:rPr>
              <w:br/>
              <w:t>(e)  = (c) x (d)</w:t>
            </w:r>
          </w:p>
        </w:tc>
        <w:tc>
          <w:tcPr>
            <w:tcW w:w="544" w:type="pct"/>
            <w:tcBorders>
              <w:top w:val="single" w:sz="8" w:space="0" w:color="000000"/>
              <w:left w:val="nil"/>
              <w:bottom w:val="single" w:sz="8" w:space="0" w:color="000000"/>
              <w:right w:val="single" w:sz="8" w:space="0" w:color="000000"/>
            </w:tcBorders>
            <w:shd w:val="clear" w:color="auto" w:fill="BDD7EE"/>
            <w:vAlign w:val="center"/>
          </w:tcPr>
          <w:p w:rsidR="009A6F02" w14:paraId="5B1C4E2F" w14:textId="539C3AC9">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Hourly Wage Rate</w:t>
            </w:r>
            <w:r w:rsidR="006E6BF4">
              <w:rPr>
                <w:rFonts w:ascii="Calibri" w:eastAsia="Calibri" w:hAnsi="Calibri" w:cs="Calibri"/>
                <w:b/>
                <w:color w:val="000000"/>
                <w:sz w:val="16"/>
                <w:szCs w:val="16"/>
              </w:rPr>
              <w:br/>
            </w:r>
            <w:r>
              <w:rPr>
                <w:rFonts w:ascii="Calibri" w:eastAsia="Calibri" w:hAnsi="Calibri" w:cs="Calibri"/>
                <w:b/>
                <w:color w:val="000000"/>
                <w:sz w:val="16"/>
                <w:szCs w:val="16"/>
              </w:rPr>
              <w:t>(for Type of Respondent)</w:t>
            </w:r>
            <w:r>
              <w:rPr>
                <w:rFonts w:ascii="Calibri" w:eastAsia="Calibri" w:hAnsi="Calibri" w:cs="Calibri"/>
                <w:b/>
                <w:color w:val="000000"/>
                <w:sz w:val="16"/>
                <w:szCs w:val="16"/>
              </w:rPr>
              <w:br/>
              <w:t>(f)</w:t>
            </w:r>
          </w:p>
        </w:tc>
        <w:tc>
          <w:tcPr>
            <w:tcW w:w="954" w:type="pct"/>
            <w:tcBorders>
              <w:top w:val="single" w:sz="8" w:space="0" w:color="000000"/>
              <w:left w:val="nil"/>
              <w:bottom w:val="single" w:sz="8" w:space="0" w:color="000000"/>
              <w:right w:val="single" w:sz="8" w:space="0" w:color="000000"/>
            </w:tcBorders>
            <w:shd w:val="clear" w:color="auto" w:fill="BDD7EE"/>
            <w:vAlign w:val="center"/>
          </w:tcPr>
          <w:p w:rsidR="009A6F02" w14:paraId="67F04F4B" w14:textId="77777777">
            <w:pPr>
              <w:widowControl/>
              <w:ind w:right="106"/>
              <w:jc w:val="center"/>
              <w:rPr>
                <w:rFonts w:ascii="Calibri" w:eastAsia="Calibri" w:hAnsi="Calibri" w:cs="Calibri"/>
                <w:b/>
                <w:color w:val="000000"/>
                <w:sz w:val="16"/>
                <w:szCs w:val="16"/>
              </w:rPr>
            </w:pPr>
            <w:r>
              <w:rPr>
                <w:rFonts w:ascii="Calibri" w:eastAsia="Calibri" w:hAnsi="Calibri" w:cs="Calibri"/>
                <w:b/>
                <w:color w:val="000000"/>
                <w:sz w:val="16"/>
                <w:szCs w:val="16"/>
              </w:rPr>
              <w:t>Total Annual Wage Burden Costs</w:t>
            </w:r>
            <w:r>
              <w:rPr>
                <w:rFonts w:ascii="Calibri" w:eastAsia="Calibri" w:hAnsi="Calibri" w:cs="Calibri"/>
                <w:b/>
                <w:color w:val="000000"/>
                <w:sz w:val="16"/>
                <w:szCs w:val="16"/>
              </w:rPr>
              <w:br/>
              <w:t>(g) = (e) x (f)</w:t>
            </w:r>
          </w:p>
        </w:tc>
      </w:tr>
      <w:tr w14:paraId="44CF0149" w14:textId="77777777" w:rsidTr="006E6BF4">
        <w:tblPrEx>
          <w:tblW w:w="5000" w:type="pct"/>
          <w:tblLook w:val="0400"/>
        </w:tblPrEx>
        <w:trPr>
          <w:trHeight w:val="300"/>
        </w:trPr>
        <w:tc>
          <w:tcPr>
            <w:tcW w:w="539" w:type="pct"/>
            <w:tcBorders>
              <w:top w:val="nil"/>
              <w:left w:val="single" w:sz="8" w:space="0" w:color="000000"/>
              <w:bottom w:val="single" w:sz="4" w:space="0" w:color="000000"/>
              <w:right w:val="single" w:sz="4" w:space="0" w:color="000000"/>
            </w:tcBorders>
            <w:shd w:val="clear" w:color="auto" w:fill="auto"/>
            <w:vAlign w:val="bottom"/>
          </w:tcPr>
          <w:p w:rsidR="009A6F02" w14:paraId="7E5812DB" w14:textId="2B881008">
            <w:pPr>
              <w:widowControl/>
              <w:rPr>
                <w:rFonts w:ascii="Calibri" w:eastAsia="Calibri" w:hAnsi="Calibri" w:cs="Calibri"/>
                <w:color w:val="000000"/>
                <w:sz w:val="16"/>
                <w:szCs w:val="16"/>
              </w:rPr>
            </w:pPr>
            <w:r>
              <w:rPr>
                <w:rFonts w:ascii="Calibri" w:eastAsia="Calibri" w:hAnsi="Calibri" w:cs="Calibri"/>
                <w:color w:val="000000"/>
                <w:sz w:val="16"/>
                <w:szCs w:val="16"/>
              </w:rPr>
              <w:t>Sea otter interactions with CPS fishing gear</w:t>
            </w:r>
          </w:p>
        </w:tc>
        <w:tc>
          <w:tcPr>
            <w:tcW w:w="534" w:type="pct"/>
            <w:tcBorders>
              <w:top w:val="nil"/>
              <w:left w:val="nil"/>
              <w:bottom w:val="single" w:sz="4" w:space="0" w:color="000000"/>
              <w:right w:val="single" w:sz="4" w:space="0" w:color="000000"/>
            </w:tcBorders>
            <w:shd w:val="clear" w:color="auto" w:fill="auto"/>
            <w:vAlign w:val="bottom"/>
          </w:tcPr>
          <w:p w:rsidR="009A6F02" w14:paraId="13D86953" w14:textId="047AFE65">
            <w:pPr>
              <w:widowControl/>
              <w:jc w:val="center"/>
              <w:rPr>
                <w:rFonts w:ascii="Calibri" w:eastAsia="Calibri" w:hAnsi="Calibri" w:cs="Calibri"/>
                <w:color w:val="000000"/>
                <w:sz w:val="16"/>
                <w:szCs w:val="16"/>
              </w:rPr>
            </w:pPr>
            <w:r>
              <w:rPr>
                <w:rFonts w:ascii="Calibri" w:eastAsia="Calibri" w:hAnsi="Calibri" w:cs="Calibri"/>
                <w:color w:val="000000"/>
                <w:sz w:val="16"/>
                <w:szCs w:val="16"/>
              </w:rPr>
              <w:t>Fishing vessel operators</w:t>
            </w:r>
          </w:p>
        </w:tc>
        <w:tc>
          <w:tcPr>
            <w:tcW w:w="701" w:type="pct"/>
            <w:tcBorders>
              <w:top w:val="nil"/>
              <w:left w:val="nil"/>
              <w:bottom w:val="single" w:sz="4" w:space="0" w:color="000000"/>
              <w:right w:val="single" w:sz="4" w:space="0" w:color="000000"/>
            </w:tcBorders>
            <w:shd w:val="clear" w:color="auto" w:fill="auto"/>
            <w:vAlign w:val="bottom"/>
          </w:tcPr>
          <w:p w:rsidR="009A6F02" w14:paraId="704D621A" w14:textId="7D7E1C77">
            <w:pPr>
              <w:widowControl/>
              <w:jc w:val="right"/>
              <w:rPr>
                <w:rFonts w:ascii="Calibri" w:eastAsia="Calibri" w:hAnsi="Calibri" w:cs="Calibri"/>
                <w:color w:val="000000"/>
                <w:sz w:val="16"/>
                <w:szCs w:val="16"/>
              </w:rPr>
            </w:pPr>
            <w:r>
              <w:rPr>
                <w:rFonts w:ascii="Calibri" w:eastAsia="Calibri" w:hAnsi="Calibri" w:cs="Calibri"/>
                <w:color w:val="000000"/>
                <w:sz w:val="16"/>
                <w:szCs w:val="16"/>
              </w:rPr>
              <w:t>2</w:t>
            </w:r>
          </w:p>
        </w:tc>
        <w:tc>
          <w:tcPr>
            <w:tcW w:w="496" w:type="pct"/>
            <w:tcBorders>
              <w:top w:val="nil"/>
              <w:left w:val="nil"/>
              <w:bottom w:val="single" w:sz="4" w:space="0" w:color="000000"/>
              <w:right w:val="single" w:sz="4" w:space="0" w:color="000000"/>
            </w:tcBorders>
            <w:shd w:val="clear" w:color="auto" w:fill="auto"/>
            <w:vAlign w:val="bottom"/>
          </w:tcPr>
          <w:p w:rsidR="009A6F02" w14:paraId="63B96E30" w14:textId="6A16EEC6">
            <w:pPr>
              <w:widowControl/>
              <w:jc w:val="right"/>
              <w:rPr>
                <w:rFonts w:ascii="Calibri" w:eastAsia="Calibri" w:hAnsi="Calibri" w:cs="Calibri"/>
                <w:color w:val="000000"/>
                <w:sz w:val="16"/>
                <w:szCs w:val="16"/>
              </w:rPr>
            </w:pPr>
            <w:r>
              <w:rPr>
                <w:rFonts w:ascii="Calibri" w:eastAsia="Calibri" w:hAnsi="Calibri" w:cs="Calibri"/>
                <w:color w:val="000000"/>
                <w:sz w:val="16"/>
                <w:szCs w:val="16"/>
              </w:rPr>
              <w:t>1</w:t>
            </w:r>
          </w:p>
        </w:tc>
        <w:tc>
          <w:tcPr>
            <w:tcW w:w="448" w:type="pct"/>
            <w:tcBorders>
              <w:top w:val="nil"/>
              <w:left w:val="nil"/>
              <w:bottom w:val="single" w:sz="4" w:space="0" w:color="000000"/>
              <w:right w:val="single" w:sz="4" w:space="0" w:color="000000"/>
            </w:tcBorders>
            <w:shd w:val="clear" w:color="auto" w:fill="auto"/>
            <w:vAlign w:val="bottom"/>
          </w:tcPr>
          <w:p w:rsidR="009A6F02" w14:paraId="5BC51342" w14:textId="0CD3115A">
            <w:pPr>
              <w:widowControl/>
              <w:jc w:val="right"/>
              <w:rPr>
                <w:rFonts w:ascii="Calibri" w:eastAsia="Calibri" w:hAnsi="Calibri" w:cs="Calibri"/>
                <w:color w:val="000000"/>
                <w:sz w:val="16"/>
                <w:szCs w:val="16"/>
              </w:rPr>
            </w:pPr>
            <w:r>
              <w:rPr>
                <w:rFonts w:ascii="Calibri" w:eastAsia="Calibri" w:hAnsi="Calibri" w:cs="Calibri"/>
                <w:color w:val="000000"/>
                <w:sz w:val="16"/>
                <w:szCs w:val="16"/>
              </w:rPr>
              <w:t>2</w:t>
            </w:r>
          </w:p>
        </w:tc>
        <w:tc>
          <w:tcPr>
            <w:tcW w:w="418" w:type="pct"/>
            <w:tcBorders>
              <w:top w:val="nil"/>
              <w:left w:val="nil"/>
              <w:bottom w:val="single" w:sz="4" w:space="0" w:color="000000"/>
              <w:right w:val="single" w:sz="4" w:space="0" w:color="000000"/>
            </w:tcBorders>
            <w:shd w:val="clear" w:color="auto" w:fill="auto"/>
            <w:vAlign w:val="bottom"/>
          </w:tcPr>
          <w:p w:rsidR="009A6F02" w14:paraId="3280B36E" w14:textId="184D60FF">
            <w:pPr>
              <w:widowControl/>
              <w:jc w:val="right"/>
              <w:rPr>
                <w:rFonts w:ascii="Calibri" w:eastAsia="Calibri" w:hAnsi="Calibri" w:cs="Calibri"/>
                <w:color w:val="000000"/>
                <w:sz w:val="16"/>
                <w:szCs w:val="16"/>
              </w:rPr>
            </w:pPr>
            <w:r>
              <w:rPr>
                <w:rFonts w:ascii="Calibri" w:eastAsia="Calibri" w:hAnsi="Calibri" w:cs="Calibri"/>
                <w:color w:val="000000"/>
                <w:sz w:val="16"/>
                <w:szCs w:val="16"/>
              </w:rPr>
              <w:t>15 minutes or less</w:t>
            </w:r>
          </w:p>
        </w:tc>
        <w:tc>
          <w:tcPr>
            <w:tcW w:w="366" w:type="pct"/>
            <w:tcBorders>
              <w:top w:val="nil"/>
              <w:left w:val="nil"/>
              <w:bottom w:val="single" w:sz="4" w:space="0" w:color="000000"/>
              <w:right w:val="single" w:sz="4" w:space="0" w:color="000000"/>
            </w:tcBorders>
            <w:shd w:val="clear" w:color="auto" w:fill="auto"/>
            <w:vAlign w:val="bottom"/>
          </w:tcPr>
          <w:p w:rsidR="009A6F02" w14:paraId="0E703E62" w14:textId="6B8ECC0F">
            <w:pPr>
              <w:widowControl/>
              <w:jc w:val="right"/>
              <w:rPr>
                <w:rFonts w:ascii="Calibri" w:eastAsia="Calibri" w:hAnsi="Calibri" w:cs="Calibri"/>
                <w:color w:val="000000"/>
                <w:sz w:val="16"/>
                <w:szCs w:val="16"/>
              </w:rPr>
            </w:pPr>
            <w:r>
              <w:rPr>
                <w:rFonts w:ascii="Calibri" w:eastAsia="Calibri" w:hAnsi="Calibri" w:cs="Calibri"/>
                <w:color w:val="000000"/>
                <w:sz w:val="16"/>
                <w:szCs w:val="16"/>
              </w:rPr>
              <w:t>30 minutes or less</w:t>
            </w:r>
          </w:p>
        </w:tc>
        <w:tc>
          <w:tcPr>
            <w:tcW w:w="544" w:type="pct"/>
            <w:tcBorders>
              <w:top w:val="nil"/>
              <w:left w:val="nil"/>
              <w:bottom w:val="single" w:sz="4" w:space="0" w:color="000000"/>
              <w:right w:val="single" w:sz="4" w:space="0" w:color="000000"/>
            </w:tcBorders>
            <w:shd w:val="clear" w:color="auto" w:fill="auto"/>
            <w:vAlign w:val="bottom"/>
          </w:tcPr>
          <w:p w:rsidR="009A6F02" w14:paraId="0315EAA8" w14:textId="603748D8">
            <w:pPr>
              <w:widowControl/>
              <w:jc w:val="right"/>
              <w:rPr>
                <w:rFonts w:ascii="Calibri" w:eastAsia="Calibri" w:hAnsi="Calibri" w:cs="Calibri"/>
                <w:color w:val="000000"/>
                <w:sz w:val="16"/>
                <w:szCs w:val="16"/>
              </w:rPr>
            </w:pPr>
            <w:r>
              <w:rPr>
                <w:rFonts w:ascii="Calibri" w:eastAsia="Calibri" w:hAnsi="Calibri" w:cs="Calibri"/>
                <w:color w:val="000000"/>
                <w:sz w:val="16"/>
                <w:szCs w:val="16"/>
              </w:rPr>
              <w:t>$13.23</w:t>
            </w:r>
          </w:p>
        </w:tc>
        <w:tc>
          <w:tcPr>
            <w:tcW w:w="954" w:type="pct"/>
            <w:tcBorders>
              <w:top w:val="nil"/>
              <w:left w:val="nil"/>
              <w:bottom w:val="single" w:sz="4" w:space="0" w:color="000000"/>
              <w:right w:val="single" w:sz="8" w:space="0" w:color="000000"/>
            </w:tcBorders>
            <w:shd w:val="clear" w:color="auto" w:fill="auto"/>
            <w:vAlign w:val="bottom"/>
          </w:tcPr>
          <w:p w:rsidR="009A6F02" w14:paraId="7AD7D338" w14:textId="43F267CD">
            <w:pPr>
              <w:widowControl/>
              <w:jc w:val="right"/>
              <w:rPr>
                <w:rFonts w:ascii="Calibri" w:eastAsia="Calibri" w:hAnsi="Calibri" w:cs="Calibri"/>
                <w:color w:val="000000"/>
                <w:sz w:val="16"/>
                <w:szCs w:val="16"/>
              </w:rPr>
            </w:pPr>
            <w:r>
              <w:rPr>
                <w:rFonts w:ascii="Calibri" w:eastAsia="Calibri" w:hAnsi="Calibri" w:cs="Calibri"/>
                <w:color w:val="000000"/>
                <w:sz w:val="16"/>
                <w:szCs w:val="16"/>
              </w:rPr>
              <w:t>$</w:t>
            </w:r>
            <w:r w:rsidR="0057223A">
              <w:rPr>
                <w:rFonts w:ascii="Calibri" w:eastAsia="Calibri" w:hAnsi="Calibri" w:cs="Calibri"/>
                <w:color w:val="000000"/>
                <w:sz w:val="16"/>
                <w:szCs w:val="16"/>
              </w:rPr>
              <w:t>9.15</w:t>
            </w:r>
          </w:p>
        </w:tc>
      </w:tr>
      <w:tr w14:paraId="4CB346A6" w14:textId="77777777" w:rsidTr="006E6BF4">
        <w:tblPrEx>
          <w:tblW w:w="5000" w:type="pct"/>
          <w:tblLook w:val="0400"/>
        </w:tblPrEx>
        <w:trPr>
          <w:trHeight w:val="615"/>
        </w:trPr>
        <w:tc>
          <w:tcPr>
            <w:tcW w:w="539" w:type="pct"/>
            <w:tcBorders>
              <w:top w:val="nil"/>
              <w:left w:val="single" w:sz="8" w:space="0" w:color="000000"/>
              <w:bottom w:val="single" w:sz="8" w:space="0" w:color="000000"/>
              <w:right w:val="single" w:sz="8" w:space="0" w:color="000000"/>
            </w:tcBorders>
            <w:shd w:val="clear" w:color="auto" w:fill="DDEBF7"/>
            <w:vAlign w:val="bottom"/>
          </w:tcPr>
          <w:p w:rsidR="009A6F02" w14:paraId="36FA1D25" w14:textId="77777777">
            <w:pPr>
              <w:widowControl/>
              <w:rPr>
                <w:rFonts w:ascii="Calibri" w:eastAsia="Calibri" w:hAnsi="Calibri" w:cs="Calibri"/>
                <w:b/>
                <w:color w:val="000000"/>
              </w:rPr>
            </w:pPr>
            <w:r>
              <w:rPr>
                <w:rFonts w:ascii="Calibri" w:eastAsia="Calibri" w:hAnsi="Calibri" w:cs="Calibri"/>
                <w:b/>
                <w:color w:val="000000"/>
              </w:rPr>
              <w:t>Totals</w:t>
            </w:r>
          </w:p>
        </w:tc>
        <w:tc>
          <w:tcPr>
            <w:tcW w:w="534" w:type="pct"/>
            <w:tcBorders>
              <w:top w:val="nil"/>
              <w:left w:val="nil"/>
              <w:bottom w:val="single" w:sz="8" w:space="0" w:color="000000"/>
              <w:right w:val="single" w:sz="8" w:space="0" w:color="000000"/>
            </w:tcBorders>
            <w:shd w:val="clear" w:color="auto" w:fill="000000"/>
            <w:vAlign w:val="bottom"/>
          </w:tcPr>
          <w:p w:rsidR="009A6F02" w14:paraId="343CD4BB" w14:textId="77777777">
            <w:pPr>
              <w:widowControl/>
              <w:rPr>
                <w:rFonts w:ascii="Calibri" w:eastAsia="Calibri" w:hAnsi="Calibri" w:cs="Calibri"/>
                <w:b/>
                <w:color w:val="000000"/>
              </w:rPr>
            </w:pPr>
            <w:r>
              <w:rPr>
                <w:rFonts w:ascii="Calibri" w:eastAsia="Calibri" w:hAnsi="Calibri" w:cs="Calibri"/>
                <w:b/>
                <w:color w:val="000000"/>
              </w:rPr>
              <w:t> </w:t>
            </w:r>
          </w:p>
        </w:tc>
        <w:tc>
          <w:tcPr>
            <w:tcW w:w="701" w:type="pct"/>
            <w:tcBorders>
              <w:top w:val="nil"/>
              <w:left w:val="nil"/>
              <w:bottom w:val="single" w:sz="8" w:space="0" w:color="000000"/>
              <w:right w:val="single" w:sz="8" w:space="0" w:color="000000"/>
            </w:tcBorders>
            <w:shd w:val="clear" w:color="auto" w:fill="000000"/>
            <w:vAlign w:val="bottom"/>
          </w:tcPr>
          <w:p w:rsidR="009A6F02" w14:paraId="1CB9DDEE" w14:textId="77777777">
            <w:pPr>
              <w:widowControl/>
              <w:rPr>
                <w:rFonts w:ascii="Calibri" w:eastAsia="Calibri" w:hAnsi="Calibri" w:cs="Calibri"/>
                <w:b/>
                <w:color w:val="000000"/>
              </w:rPr>
            </w:pPr>
            <w:r>
              <w:rPr>
                <w:rFonts w:ascii="Calibri" w:eastAsia="Calibri" w:hAnsi="Calibri" w:cs="Calibri"/>
                <w:b/>
                <w:color w:val="000000"/>
              </w:rPr>
              <w:t> </w:t>
            </w:r>
          </w:p>
        </w:tc>
        <w:tc>
          <w:tcPr>
            <w:tcW w:w="496" w:type="pct"/>
            <w:tcBorders>
              <w:top w:val="nil"/>
              <w:left w:val="nil"/>
              <w:bottom w:val="single" w:sz="8" w:space="0" w:color="000000"/>
              <w:right w:val="single" w:sz="8" w:space="0" w:color="000000"/>
            </w:tcBorders>
            <w:shd w:val="clear" w:color="auto" w:fill="000000"/>
            <w:vAlign w:val="bottom"/>
          </w:tcPr>
          <w:p w:rsidR="009A6F02" w14:paraId="2183BEB1" w14:textId="77777777">
            <w:pPr>
              <w:widowControl/>
              <w:rPr>
                <w:rFonts w:ascii="Calibri" w:eastAsia="Calibri" w:hAnsi="Calibri" w:cs="Calibri"/>
                <w:b/>
                <w:color w:val="000000"/>
              </w:rPr>
            </w:pPr>
            <w:r>
              <w:rPr>
                <w:rFonts w:ascii="Calibri" w:eastAsia="Calibri" w:hAnsi="Calibri" w:cs="Calibri"/>
                <w:b/>
                <w:color w:val="000000"/>
              </w:rPr>
              <w:t> </w:t>
            </w:r>
          </w:p>
        </w:tc>
        <w:tc>
          <w:tcPr>
            <w:tcW w:w="448" w:type="pct"/>
            <w:tcBorders>
              <w:top w:val="nil"/>
              <w:left w:val="nil"/>
              <w:bottom w:val="single" w:sz="8" w:space="0" w:color="000000"/>
              <w:right w:val="single" w:sz="8" w:space="0" w:color="000000"/>
            </w:tcBorders>
            <w:shd w:val="clear" w:color="auto" w:fill="DDEBF7"/>
            <w:vAlign w:val="bottom"/>
          </w:tcPr>
          <w:p w:rsidR="009A6F02" w:rsidP="0057223A" w14:paraId="56374DDD" w14:textId="4584FB70">
            <w:pPr>
              <w:widowControl/>
              <w:jc w:val="right"/>
              <w:rPr>
                <w:rFonts w:ascii="Calibri" w:eastAsia="Calibri" w:hAnsi="Calibri" w:cs="Calibri"/>
                <w:b/>
                <w:color w:val="000000"/>
              </w:rPr>
            </w:pPr>
            <w:r>
              <w:rPr>
                <w:rFonts w:ascii="Calibri" w:eastAsia="Calibri" w:hAnsi="Calibri" w:cs="Calibri"/>
                <w:b/>
                <w:color w:val="000000"/>
              </w:rPr>
              <w:t>2</w:t>
            </w:r>
          </w:p>
        </w:tc>
        <w:tc>
          <w:tcPr>
            <w:tcW w:w="418" w:type="pct"/>
            <w:tcBorders>
              <w:top w:val="nil"/>
              <w:left w:val="nil"/>
              <w:bottom w:val="single" w:sz="8" w:space="0" w:color="000000"/>
              <w:right w:val="single" w:sz="8" w:space="0" w:color="000000"/>
            </w:tcBorders>
            <w:shd w:val="clear" w:color="auto" w:fill="000000"/>
            <w:vAlign w:val="bottom"/>
          </w:tcPr>
          <w:p w:rsidR="009A6F02" w:rsidP="0057223A" w14:paraId="22B2EEA7" w14:textId="77777777">
            <w:pPr>
              <w:widowControl/>
              <w:jc w:val="right"/>
              <w:rPr>
                <w:rFonts w:ascii="Calibri" w:eastAsia="Calibri" w:hAnsi="Calibri" w:cs="Calibri"/>
                <w:b/>
                <w:color w:val="000000"/>
              </w:rPr>
            </w:pPr>
            <w:r>
              <w:rPr>
                <w:rFonts w:ascii="Calibri" w:eastAsia="Calibri" w:hAnsi="Calibri" w:cs="Calibri"/>
                <w:b/>
                <w:color w:val="000000"/>
              </w:rPr>
              <w:t> </w:t>
            </w:r>
          </w:p>
        </w:tc>
        <w:tc>
          <w:tcPr>
            <w:tcW w:w="366" w:type="pct"/>
            <w:tcBorders>
              <w:top w:val="nil"/>
              <w:left w:val="nil"/>
              <w:bottom w:val="single" w:sz="8" w:space="0" w:color="000000"/>
              <w:right w:val="single" w:sz="8" w:space="0" w:color="000000"/>
            </w:tcBorders>
            <w:shd w:val="clear" w:color="auto" w:fill="DDEBF7"/>
            <w:vAlign w:val="bottom"/>
          </w:tcPr>
          <w:p w:rsidR="009A6F02" w:rsidP="0057223A" w14:paraId="457A4E91" w14:textId="19AEDAF8">
            <w:pPr>
              <w:widowControl/>
              <w:jc w:val="right"/>
              <w:rPr>
                <w:rFonts w:ascii="Calibri" w:eastAsia="Calibri" w:hAnsi="Calibri" w:cs="Calibri"/>
                <w:b/>
                <w:color w:val="000000"/>
              </w:rPr>
            </w:pPr>
            <w:r>
              <w:rPr>
                <w:rFonts w:ascii="Calibri" w:eastAsia="Calibri" w:hAnsi="Calibri" w:cs="Calibri"/>
                <w:b/>
                <w:color w:val="000000"/>
              </w:rPr>
              <w:t>30 min</w:t>
            </w:r>
          </w:p>
        </w:tc>
        <w:tc>
          <w:tcPr>
            <w:tcW w:w="544" w:type="pct"/>
            <w:tcBorders>
              <w:top w:val="nil"/>
              <w:left w:val="nil"/>
              <w:bottom w:val="single" w:sz="8" w:space="0" w:color="000000"/>
              <w:right w:val="single" w:sz="8" w:space="0" w:color="000000"/>
            </w:tcBorders>
            <w:shd w:val="clear" w:color="auto" w:fill="000000"/>
            <w:vAlign w:val="bottom"/>
          </w:tcPr>
          <w:p w:rsidR="009A6F02" w:rsidP="0057223A" w14:paraId="0024D89C" w14:textId="77777777">
            <w:pPr>
              <w:widowControl/>
              <w:jc w:val="right"/>
              <w:rPr>
                <w:rFonts w:ascii="Calibri" w:eastAsia="Calibri" w:hAnsi="Calibri" w:cs="Calibri"/>
                <w:b/>
                <w:color w:val="000000"/>
              </w:rPr>
            </w:pPr>
            <w:r>
              <w:rPr>
                <w:rFonts w:ascii="Calibri" w:eastAsia="Calibri" w:hAnsi="Calibri" w:cs="Calibri"/>
                <w:b/>
                <w:color w:val="000000"/>
              </w:rPr>
              <w:t> </w:t>
            </w:r>
          </w:p>
        </w:tc>
        <w:tc>
          <w:tcPr>
            <w:tcW w:w="954" w:type="pct"/>
            <w:tcBorders>
              <w:top w:val="nil"/>
              <w:left w:val="nil"/>
              <w:bottom w:val="single" w:sz="8" w:space="0" w:color="000000"/>
              <w:right w:val="single" w:sz="8" w:space="0" w:color="000000"/>
            </w:tcBorders>
            <w:shd w:val="clear" w:color="auto" w:fill="DDEBF7"/>
            <w:vAlign w:val="bottom"/>
          </w:tcPr>
          <w:p w:rsidR="009A6F02" w:rsidP="0057223A" w14:paraId="20969A89" w14:textId="6413296B">
            <w:pPr>
              <w:widowControl/>
              <w:jc w:val="right"/>
              <w:rPr>
                <w:rFonts w:ascii="Calibri" w:eastAsia="Calibri" w:hAnsi="Calibri" w:cs="Calibri"/>
                <w:b/>
                <w:color w:val="000000"/>
              </w:rPr>
            </w:pPr>
            <w:r>
              <w:rPr>
                <w:rFonts w:ascii="Calibri" w:eastAsia="Calibri" w:hAnsi="Calibri" w:cs="Calibri"/>
                <w:b/>
                <w:color w:val="000000"/>
              </w:rPr>
              <w:t>$9.15</w:t>
            </w:r>
          </w:p>
        </w:tc>
      </w:tr>
    </w:tbl>
    <w:p w:rsidR="00EB35F2" w:rsidP="0029081F" w14:paraId="5A4D8F36" w14:textId="13213F2B">
      <w:pPr>
        <w:spacing w:line="259" w:lineRule="auto"/>
      </w:pPr>
    </w:p>
    <w:p w:rsidR="009A6F02" w14:paraId="5B6B6F29"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 xml:space="preserve">Provide an estimate for the total annual cost burden to respondents or record keepers resulting from the collection of information. (Do not include the cost of any hour burden already reflected on the burden </w:t>
      </w:r>
      <w:r>
        <w:rPr>
          <w:b/>
          <w:color w:val="000000"/>
        </w:rPr>
        <w:t>worksheet).</w:t>
      </w:r>
    </w:p>
    <w:tbl>
      <w:tblPr>
        <w:tblStyle w:val="a1"/>
        <w:tblW w:w="10275" w:type="dxa"/>
        <w:tblInd w:w="-25" w:type="dxa"/>
        <w:tblLayout w:type="fixed"/>
        <w:tblLook w:val="0400"/>
      </w:tblPr>
      <w:tblGrid>
        <w:gridCol w:w="2791"/>
        <w:gridCol w:w="1441"/>
        <w:gridCol w:w="1453"/>
        <w:gridCol w:w="1620"/>
        <w:gridCol w:w="1440"/>
        <w:gridCol w:w="1530"/>
      </w:tblGrid>
      <w:tr w14:paraId="733AA7CD" w14:textId="77777777">
        <w:tblPrEx>
          <w:tblW w:w="10275" w:type="dxa"/>
          <w:tblInd w:w="-25" w:type="dxa"/>
          <w:tblLayout w:type="fixed"/>
          <w:tblLook w:val="0400"/>
        </w:tblPrEx>
        <w:trPr>
          <w:trHeight w:val="915"/>
        </w:trPr>
        <w:tc>
          <w:tcPr>
            <w:tcW w:w="2791"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9A6F02" w14:paraId="7AB49754"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Information Collection</w:t>
            </w:r>
          </w:p>
        </w:tc>
        <w:tc>
          <w:tcPr>
            <w:tcW w:w="1441" w:type="dxa"/>
            <w:tcBorders>
              <w:top w:val="single" w:sz="8" w:space="0" w:color="000000"/>
              <w:left w:val="nil"/>
              <w:bottom w:val="single" w:sz="8" w:space="0" w:color="000000"/>
              <w:right w:val="single" w:sz="8" w:space="0" w:color="000000"/>
            </w:tcBorders>
            <w:shd w:val="clear" w:color="auto" w:fill="BDD7EE"/>
            <w:vAlign w:val="center"/>
          </w:tcPr>
          <w:p w:rsidR="009A6F02" w14:paraId="7D1E583D"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of Respondents/year</w:t>
            </w:r>
            <w:r>
              <w:rPr>
                <w:rFonts w:ascii="Calibri" w:eastAsia="Calibri" w:hAnsi="Calibri" w:cs="Calibri"/>
                <w:b/>
                <w:color w:val="000000"/>
                <w:sz w:val="16"/>
                <w:szCs w:val="16"/>
              </w:rPr>
              <w:br/>
              <w:t>(a)</w:t>
            </w:r>
          </w:p>
        </w:tc>
        <w:tc>
          <w:tcPr>
            <w:tcW w:w="1453" w:type="dxa"/>
            <w:tcBorders>
              <w:top w:val="single" w:sz="8" w:space="0" w:color="000000"/>
              <w:left w:val="nil"/>
              <w:bottom w:val="single" w:sz="8" w:space="0" w:color="000000"/>
              <w:right w:val="single" w:sz="8" w:space="0" w:color="000000"/>
            </w:tcBorders>
            <w:shd w:val="clear" w:color="auto" w:fill="BDD7EE"/>
            <w:vAlign w:val="center"/>
          </w:tcPr>
          <w:p w:rsidR="009A6F02" w14:paraId="102C1D91"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Annual # of Responses / Respondent</w:t>
            </w:r>
            <w:r>
              <w:rPr>
                <w:rFonts w:ascii="Calibri" w:eastAsia="Calibri" w:hAnsi="Calibri" w:cs="Calibri"/>
                <w:b/>
                <w:color w:val="000000"/>
                <w:sz w:val="16"/>
                <w:szCs w:val="16"/>
              </w:rPr>
              <w:br/>
              <w:t>(b)</w:t>
            </w:r>
          </w:p>
        </w:tc>
        <w:tc>
          <w:tcPr>
            <w:tcW w:w="1620" w:type="dxa"/>
            <w:tcBorders>
              <w:top w:val="single" w:sz="8" w:space="0" w:color="000000"/>
              <w:left w:val="nil"/>
              <w:bottom w:val="single" w:sz="8" w:space="0" w:color="000000"/>
              <w:right w:val="single" w:sz="8" w:space="0" w:color="000000"/>
            </w:tcBorders>
            <w:shd w:val="clear" w:color="auto" w:fill="BDD7EE"/>
            <w:vAlign w:val="center"/>
          </w:tcPr>
          <w:p w:rsidR="009A6F02" w14:paraId="0776EB77"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 Total # of Annual Responses</w:t>
            </w:r>
            <w:r>
              <w:rPr>
                <w:rFonts w:ascii="Calibri" w:eastAsia="Calibri" w:hAnsi="Calibri" w:cs="Calibri"/>
                <w:b/>
                <w:color w:val="000000"/>
                <w:sz w:val="16"/>
                <w:szCs w:val="16"/>
              </w:rPr>
              <w:br/>
              <w:t>(c) = (a) x (b)</w:t>
            </w:r>
          </w:p>
        </w:tc>
        <w:tc>
          <w:tcPr>
            <w:tcW w:w="1440" w:type="dxa"/>
            <w:tcBorders>
              <w:top w:val="single" w:sz="8" w:space="0" w:color="000000"/>
              <w:left w:val="nil"/>
              <w:bottom w:val="single" w:sz="8" w:space="0" w:color="000000"/>
              <w:right w:val="single" w:sz="8" w:space="0" w:color="000000"/>
            </w:tcBorders>
            <w:shd w:val="clear" w:color="auto" w:fill="BDD7EE"/>
            <w:vAlign w:val="center"/>
          </w:tcPr>
          <w:p w:rsidR="009A6F02" w14:paraId="7833F903"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Cost Burden / Respondent</w:t>
            </w:r>
            <w:r>
              <w:rPr>
                <w:rFonts w:ascii="Calibri" w:eastAsia="Calibri" w:hAnsi="Calibri" w:cs="Calibri"/>
                <w:b/>
                <w:color w:val="000000"/>
                <w:sz w:val="16"/>
                <w:szCs w:val="16"/>
              </w:rPr>
              <w:br/>
              <w:t>(h)</w:t>
            </w:r>
          </w:p>
        </w:tc>
        <w:tc>
          <w:tcPr>
            <w:tcW w:w="1530" w:type="dxa"/>
            <w:tcBorders>
              <w:top w:val="single" w:sz="8" w:space="0" w:color="000000"/>
              <w:left w:val="nil"/>
              <w:bottom w:val="single" w:sz="8" w:space="0" w:color="000000"/>
              <w:right w:val="single" w:sz="8" w:space="0" w:color="000000"/>
            </w:tcBorders>
            <w:shd w:val="clear" w:color="auto" w:fill="BDD7EE"/>
            <w:vAlign w:val="center"/>
          </w:tcPr>
          <w:p w:rsidR="009A6F02" w14:paraId="7CE4DE8C"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Annual Cost Burden</w:t>
            </w:r>
            <w:r>
              <w:rPr>
                <w:rFonts w:ascii="Calibri" w:eastAsia="Calibri" w:hAnsi="Calibri" w:cs="Calibri"/>
                <w:b/>
                <w:color w:val="000000"/>
                <w:sz w:val="16"/>
                <w:szCs w:val="16"/>
              </w:rPr>
              <w:br/>
              <w:t>(i) = (c) x (h)</w:t>
            </w:r>
          </w:p>
        </w:tc>
      </w:tr>
      <w:tr w14:paraId="12B78BC1" w14:textId="77777777">
        <w:tblPrEx>
          <w:tblW w:w="10275" w:type="dxa"/>
          <w:tblInd w:w="-25" w:type="dxa"/>
          <w:tblLayout w:type="fixed"/>
          <w:tblLook w:val="0400"/>
        </w:tblPrEx>
        <w:trPr>
          <w:trHeight w:val="300"/>
        </w:trPr>
        <w:tc>
          <w:tcPr>
            <w:tcW w:w="2791" w:type="dxa"/>
            <w:tcBorders>
              <w:top w:val="nil"/>
              <w:left w:val="single" w:sz="4" w:space="0" w:color="000000"/>
              <w:bottom w:val="single" w:sz="4" w:space="0" w:color="000000"/>
              <w:right w:val="single" w:sz="4" w:space="0" w:color="000000"/>
            </w:tcBorders>
            <w:shd w:val="clear" w:color="auto" w:fill="auto"/>
            <w:vAlign w:val="center"/>
          </w:tcPr>
          <w:p w:rsidR="009A6F02" w14:paraId="2C4468EC" w14:textId="717D7609">
            <w:pPr>
              <w:widowControl/>
              <w:rPr>
                <w:rFonts w:ascii="Calibri" w:eastAsia="Calibri" w:hAnsi="Calibri" w:cs="Calibri"/>
                <w:color w:val="000000"/>
                <w:sz w:val="16"/>
                <w:szCs w:val="16"/>
              </w:rPr>
            </w:pPr>
            <w:r>
              <w:rPr>
                <w:rFonts w:ascii="Calibri" w:eastAsia="Calibri" w:hAnsi="Calibri" w:cs="Calibri"/>
                <w:color w:val="000000"/>
                <w:sz w:val="16"/>
                <w:szCs w:val="16"/>
              </w:rPr>
              <w:t> </w:t>
            </w:r>
            <w:r w:rsidR="0057223A">
              <w:rPr>
                <w:rFonts w:ascii="Calibri" w:eastAsia="Calibri" w:hAnsi="Calibri" w:cs="Calibri"/>
                <w:color w:val="000000"/>
                <w:sz w:val="16"/>
                <w:szCs w:val="16"/>
              </w:rPr>
              <w:t>Sea otter interactions with CPS fishing gear</w:t>
            </w:r>
          </w:p>
        </w:tc>
        <w:tc>
          <w:tcPr>
            <w:tcW w:w="1441" w:type="dxa"/>
            <w:tcBorders>
              <w:top w:val="nil"/>
              <w:left w:val="nil"/>
              <w:bottom w:val="single" w:sz="4" w:space="0" w:color="000000"/>
              <w:right w:val="single" w:sz="4" w:space="0" w:color="000000"/>
            </w:tcBorders>
            <w:shd w:val="clear" w:color="auto" w:fill="FFFFFF"/>
            <w:vAlign w:val="center"/>
          </w:tcPr>
          <w:p w:rsidR="009A6F02" w14:paraId="5779EC8A" w14:textId="197CC385">
            <w:pPr>
              <w:widowControl/>
              <w:jc w:val="right"/>
              <w:rPr>
                <w:rFonts w:ascii="Calibri" w:eastAsia="Calibri" w:hAnsi="Calibri" w:cs="Calibri"/>
                <w:color w:val="000000"/>
                <w:sz w:val="16"/>
                <w:szCs w:val="16"/>
              </w:rPr>
            </w:pPr>
            <w:r>
              <w:rPr>
                <w:rFonts w:ascii="Calibri" w:eastAsia="Calibri" w:hAnsi="Calibri" w:cs="Calibri"/>
                <w:color w:val="000000"/>
                <w:sz w:val="16"/>
                <w:szCs w:val="16"/>
              </w:rPr>
              <w:t>2</w:t>
            </w:r>
          </w:p>
        </w:tc>
        <w:tc>
          <w:tcPr>
            <w:tcW w:w="1453" w:type="dxa"/>
            <w:tcBorders>
              <w:top w:val="nil"/>
              <w:left w:val="nil"/>
              <w:bottom w:val="single" w:sz="4" w:space="0" w:color="000000"/>
              <w:right w:val="single" w:sz="4" w:space="0" w:color="000000"/>
            </w:tcBorders>
            <w:shd w:val="clear" w:color="auto" w:fill="FFFFFF"/>
            <w:vAlign w:val="center"/>
          </w:tcPr>
          <w:p w:rsidR="009A6F02" w14:paraId="7B745CEB" w14:textId="62658993">
            <w:pPr>
              <w:widowControl/>
              <w:jc w:val="right"/>
              <w:rPr>
                <w:rFonts w:ascii="Calibri" w:eastAsia="Calibri" w:hAnsi="Calibri" w:cs="Calibri"/>
                <w:color w:val="000000"/>
                <w:sz w:val="16"/>
                <w:szCs w:val="16"/>
              </w:rPr>
            </w:pPr>
            <w:r>
              <w:rPr>
                <w:rFonts w:ascii="Calibri" w:eastAsia="Calibri" w:hAnsi="Calibri" w:cs="Calibri"/>
                <w:color w:val="000000"/>
                <w:sz w:val="16"/>
                <w:szCs w:val="16"/>
              </w:rPr>
              <w:t>1</w:t>
            </w:r>
          </w:p>
        </w:tc>
        <w:tc>
          <w:tcPr>
            <w:tcW w:w="1620" w:type="dxa"/>
            <w:tcBorders>
              <w:top w:val="nil"/>
              <w:left w:val="nil"/>
              <w:bottom w:val="single" w:sz="4" w:space="0" w:color="000000"/>
              <w:right w:val="single" w:sz="4" w:space="0" w:color="000000"/>
            </w:tcBorders>
            <w:shd w:val="clear" w:color="auto" w:fill="FFFFFF"/>
            <w:vAlign w:val="center"/>
          </w:tcPr>
          <w:p w:rsidR="009A6F02" w14:paraId="3A1DAE10" w14:textId="6C5BB872">
            <w:pPr>
              <w:widowControl/>
              <w:jc w:val="right"/>
              <w:rPr>
                <w:rFonts w:ascii="Calibri" w:eastAsia="Calibri" w:hAnsi="Calibri" w:cs="Calibri"/>
                <w:color w:val="000000"/>
                <w:sz w:val="16"/>
                <w:szCs w:val="16"/>
              </w:rPr>
            </w:pPr>
            <w:r>
              <w:rPr>
                <w:rFonts w:ascii="Calibri" w:eastAsia="Calibri" w:hAnsi="Calibri" w:cs="Calibri"/>
                <w:color w:val="000000"/>
                <w:sz w:val="16"/>
                <w:szCs w:val="16"/>
              </w:rPr>
              <w:t>2</w:t>
            </w:r>
          </w:p>
        </w:tc>
        <w:tc>
          <w:tcPr>
            <w:tcW w:w="1440" w:type="dxa"/>
            <w:tcBorders>
              <w:top w:val="nil"/>
              <w:left w:val="nil"/>
              <w:bottom w:val="single" w:sz="4" w:space="0" w:color="000000"/>
              <w:right w:val="single" w:sz="4" w:space="0" w:color="000000"/>
            </w:tcBorders>
            <w:shd w:val="clear" w:color="auto" w:fill="FFFFFF"/>
            <w:vAlign w:val="center"/>
          </w:tcPr>
          <w:p w:rsidR="009A6F02" w14:paraId="1FAB7E0C" w14:textId="15BFEAC6">
            <w:pPr>
              <w:widowControl/>
              <w:jc w:val="right"/>
              <w:rPr>
                <w:rFonts w:ascii="Calibri" w:eastAsia="Calibri" w:hAnsi="Calibri" w:cs="Calibri"/>
                <w:color w:val="000000"/>
                <w:sz w:val="16"/>
                <w:szCs w:val="16"/>
              </w:rPr>
            </w:pPr>
            <w:r>
              <w:rPr>
                <w:rFonts w:ascii="Calibri" w:eastAsia="Calibri" w:hAnsi="Calibri" w:cs="Calibri"/>
                <w:color w:val="000000"/>
                <w:sz w:val="16"/>
                <w:szCs w:val="16"/>
              </w:rPr>
              <w:t>$5</w:t>
            </w:r>
          </w:p>
        </w:tc>
        <w:tc>
          <w:tcPr>
            <w:tcW w:w="1530" w:type="dxa"/>
            <w:tcBorders>
              <w:top w:val="nil"/>
              <w:left w:val="nil"/>
              <w:bottom w:val="single" w:sz="4" w:space="0" w:color="000000"/>
              <w:right w:val="single" w:sz="8" w:space="0" w:color="000000"/>
            </w:tcBorders>
            <w:shd w:val="clear" w:color="auto" w:fill="FFFFFF"/>
            <w:vAlign w:val="center"/>
          </w:tcPr>
          <w:p w:rsidR="009A6F02" w14:paraId="110F4ADC" w14:textId="7E9E5D0E">
            <w:pPr>
              <w:widowControl/>
              <w:jc w:val="right"/>
              <w:rPr>
                <w:rFonts w:ascii="Calibri" w:eastAsia="Calibri" w:hAnsi="Calibri" w:cs="Calibri"/>
                <w:color w:val="000000"/>
                <w:sz w:val="16"/>
                <w:szCs w:val="16"/>
              </w:rPr>
            </w:pPr>
            <w:r>
              <w:rPr>
                <w:rFonts w:ascii="Calibri" w:eastAsia="Calibri" w:hAnsi="Calibri" w:cs="Calibri"/>
                <w:color w:val="000000"/>
                <w:sz w:val="16"/>
                <w:szCs w:val="16"/>
              </w:rPr>
              <w:t>$10</w:t>
            </w:r>
          </w:p>
        </w:tc>
      </w:tr>
      <w:tr w14:paraId="7C6F2897" w14:textId="77777777">
        <w:tblPrEx>
          <w:tblW w:w="10275" w:type="dxa"/>
          <w:tblInd w:w="-25" w:type="dxa"/>
          <w:tblLayout w:type="fixed"/>
          <w:tblLook w:val="0400"/>
        </w:tblPrEx>
        <w:trPr>
          <w:trHeight w:val="315"/>
        </w:trPr>
        <w:tc>
          <w:tcPr>
            <w:tcW w:w="2791" w:type="dxa"/>
            <w:tcBorders>
              <w:top w:val="single" w:sz="8" w:space="0" w:color="000000"/>
              <w:left w:val="single" w:sz="8" w:space="0" w:color="000000"/>
              <w:bottom w:val="single" w:sz="8" w:space="0" w:color="000000"/>
              <w:right w:val="single" w:sz="4" w:space="0" w:color="000000"/>
            </w:tcBorders>
            <w:shd w:val="clear" w:color="auto" w:fill="DDEBF7"/>
            <w:vAlign w:val="center"/>
          </w:tcPr>
          <w:p w:rsidR="009A6F02" w14:paraId="0A1823BE" w14:textId="77777777">
            <w:pPr>
              <w:widowControl/>
              <w:jc w:val="right"/>
              <w:rPr>
                <w:rFonts w:ascii="Calibri" w:eastAsia="Calibri" w:hAnsi="Calibri" w:cs="Calibri"/>
                <w:b/>
                <w:color w:val="000000"/>
                <w:sz w:val="16"/>
                <w:szCs w:val="16"/>
              </w:rPr>
            </w:pPr>
            <w:r>
              <w:rPr>
                <w:rFonts w:ascii="Calibri" w:eastAsia="Calibri" w:hAnsi="Calibri" w:cs="Calibri"/>
                <w:b/>
                <w:color w:val="000000"/>
                <w:sz w:val="16"/>
                <w:szCs w:val="16"/>
              </w:rPr>
              <w:t>TOTALS</w:t>
            </w:r>
          </w:p>
        </w:tc>
        <w:tc>
          <w:tcPr>
            <w:tcW w:w="1441" w:type="dxa"/>
            <w:tcBorders>
              <w:top w:val="single" w:sz="8" w:space="0" w:color="000000"/>
              <w:left w:val="nil"/>
              <w:bottom w:val="single" w:sz="8" w:space="0" w:color="000000"/>
              <w:right w:val="single" w:sz="4" w:space="0" w:color="000000"/>
            </w:tcBorders>
            <w:shd w:val="clear" w:color="auto" w:fill="DDEBF7"/>
            <w:vAlign w:val="center"/>
          </w:tcPr>
          <w:p w:rsidR="009A6F02" w14:paraId="5B1FECDD" w14:textId="1C64EBF5">
            <w:pPr>
              <w:widowControl/>
              <w:jc w:val="right"/>
              <w:rPr>
                <w:rFonts w:ascii="Calibri" w:eastAsia="Calibri" w:hAnsi="Calibri" w:cs="Calibri"/>
                <w:b/>
                <w:color w:val="000000"/>
                <w:sz w:val="16"/>
                <w:szCs w:val="16"/>
              </w:rPr>
            </w:pPr>
            <w:r>
              <w:rPr>
                <w:rFonts w:ascii="Calibri" w:eastAsia="Calibri" w:hAnsi="Calibri" w:cs="Calibri"/>
                <w:b/>
                <w:color w:val="000000"/>
                <w:sz w:val="16"/>
                <w:szCs w:val="16"/>
              </w:rPr>
              <w:t>2</w:t>
            </w:r>
          </w:p>
        </w:tc>
        <w:tc>
          <w:tcPr>
            <w:tcW w:w="1453" w:type="dxa"/>
            <w:tcBorders>
              <w:top w:val="single" w:sz="8" w:space="0" w:color="000000"/>
              <w:left w:val="nil"/>
              <w:bottom w:val="single" w:sz="8" w:space="0" w:color="000000"/>
              <w:right w:val="single" w:sz="4" w:space="0" w:color="000000"/>
            </w:tcBorders>
            <w:shd w:val="clear" w:color="auto" w:fill="DDEBF7"/>
            <w:vAlign w:val="center"/>
          </w:tcPr>
          <w:p w:rsidR="009A6F02" w14:paraId="72CEC701" w14:textId="66BCD1DF">
            <w:pPr>
              <w:widowControl/>
              <w:jc w:val="right"/>
              <w:rPr>
                <w:rFonts w:ascii="Calibri" w:eastAsia="Calibri" w:hAnsi="Calibri" w:cs="Calibri"/>
                <w:b/>
                <w:color w:val="000000"/>
                <w:sz w:val="16"/>
                <w:szCs w:val="16"/>
              </w:rPr>
            </w:pPr>
            <w:r>
              <w:rPr>
                <w:rFonts w:ascii="Calibri" w:eastAsia="Calibri" w:hAnsi="Calibri" w:cs="Calibri"/>
                <w:b/>
                <w:color w:val="000000"/>
                <w:sz w:val="16"/>
                <w:szCs w:val="16"/>
              </w:rPr>
              <w:t>1</w:t>
            </w:r>
          </w:p>
        </w:tc>
        <w:tc>
          <w:tcPr>
            <w:tcW w:w="1620" w:type="dxa"/>
            <w:tcBorders>
              <w:top w:val="single" w:sz="8" w:space="0" w:color="000000"/>
              <w:left w:val="nil"/>
              <w:bottom w:val="single" w:sz="8" w:space="0" w:color="000000"/>
              <w:right w:val="single" w:sz="4" w:space="0" w:color="000000"/>
            </w:tcBorders>
            <w:shd w:val="clear" w:color="auto" w:fill="DDEBF7"/>
            <w:vAlign w:val="center"/>
          </w:tcPr>
          <w:p w:rsidR="009A6F02" w14:paraId="01B560B6" w14:textId="74CC36DE">
            <w:pPr>
              <w:widowControl/>
              <w:jc w:val="right"/>
              <w:rPr>
                <w:rFonts w:ascii="Calibri" w:eastAsia="Calibri" w:hAnsi="Calibri" w:cs="Calibri"/>
                <w:b/>
                <w:color w:val="000000"/>
                <w:sz w:val="16"/>
                <w:szCs w:val="16"/>
              </w:rPr>
            </w:pPr>
            <w:r>
              <w:rPr>
                <w:rFonts w:ascii="Calibri" w:eastAsia="Calibri" w:hAnsi="Calibri" w:cs="Calibri"/>
                <w:b/>
                <w:color w:val="000000"/>
                <w:sz w:val="16"/>
                <w:szCs w:val="16"/>
              </w:rPr>
              <w:t>2</w:t>
            </w:r>
          </w:p>
        </w:tc>
        <w:tc>
          <w:tcPr>
            <w:tcW w:w="1440" w:type="dxa"/>
            <w:tcBorders>
              <w:top w:val="single" w:sz="8" w:space="0" w:color="000000"/>
              <w:left w:val="nil"/>
              <w:bottom w:val="single" w:sz="8" w:space="0" w:color="000000"/>
              <w:right w:val="single" w:sz="4" w:space="0" w:color="000000"/>
            </w:tcBorders>
            <w:shd w:val="clear" w:color="auto" w:fill="DDEBF7"/>
            <w:vAlign w:val="center"/>
          </w:tcPr>
          <w:p w:rsidR="009A6F02" w14:paraId="264BD699" w14:textId="5961E133">
            <w:pPr>
              <w:widowControl/>
              <w:jc w:val="right"/>
              <w:rPr>
                <w:rFonts w:ascii="Calibri" w:eastAsia="Calibri" w:hAnsi="Calibri" w:cs="Calibri"/>
                <w:b/>
                <w:color w:val="000000"/>
                <w:sz w:val="16"/>
                <w:szCs w:val="16"/>
              </w:rPr>
            </w:pPr>
            <w:r>
              <w:rPr>
                <w:rFonts w:ascii="Calibri" w:eastAsia="Calibri" w:hAnsi="Calibri" w:cs="Calibri"/>
                <w:b/>
                <w:color w:val="000000"/>
                <w:sz w:val="16"/>
                <w:szCs w:val="16"/>
              </w:rPr>
              <w:t>$5</w:t>
            </w:r>
          </w:p>
        </w:tc>
        <w:tc>
          <w:tcPr>
            <w:tcW w:w="1530" w:type="dxa"/>
            <w:tcBorders>
              <w:top w:val="single" w:sz="8" w:space="0" w:color="000000"/>
              <w:left w:val="nil"/>
              <w:bottom w:val="single" w:sz="8" w:space="0" w:color="000000"/>
              <w:right w:val="single" w:sz="8" w:space="0" w:color="000000"/>
            </w:tcBorders>
            <w:shd w:val="clear" w:color="auto" w:fill="DDEBF7"/>
            <w:vAlign w:val="center"/>
          </w:tcPr>
          <w:p w:rsidR="009A6F02" w14:paraId="46747311" w14:textId="1B0959CA">
            <w:pPr>
              <w:widowControl/>
              <w:jc w:val="right"/>
              <w:rPr>
                <w:rFonts w:ascii="Calibri" w:eastAsia="Calibri" w:hAnsi="Calibri" w:cs="Calibri"/>
                <w:b/>
                <w:color w:val="000000"/>
                <w:sz w:val="16"/>
                <w:szCs w:val="16"/>
              </w:rPr>
            </w:pPr>
            <w:r>
              <w:rPr>
                <w:rFonts w:ascii="Calibri" w:eastAsia="Calibri" w:hAnsi="Calibri" w:cs="Calibri"/>
                <w:b/>
                <w:color w:val="000000"/>
                <w:sz w:val="16"/>
                <w:szCs w:val="16"/>
              </w:rPr>
              <w:t>$10</w:t>
            </w:r>
          </w:p>
        </w:tc>
      </w:tr>
    </w:tbl>
    <w:p w:rsidR="0029081F" w:rsidRPr="00EB35F2" w:rsidP="00EB35F2" w14:paraId="25CA766F" w14:textId="5F857627">
      <w:pPr>
        <w:rPr>
          <w:b/>
        </w:rPr>
      </w:pPr>
      <w:r>
        <w:rPr>
          <w:b/>
          <w:color w:val="FF0000"/>
        </w:rPr>
        <w:t xml:space="preserve">*There are no capital costs or operating and maintenance costs associated with this information </w:t>
      </w:r>
      <w:r>
        <w:rPr>
          <w:b/>
          <w:color w:val="FF0000"/>
        </w:rPr>
        <w:t>collection.</w:t>
      </w:r>
    </w:p>
    <w:p w:rsidR="009A6F02" w14:paraId="632E3BE4"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 xml:space="preserve">Provide estimates of annualized cost to the Federal government. Also, provide a description of the method </w:t>
      </w:r>
      <w:r>
        <w:rPr>
          <w:b/>
          <w:color w:val="000000"/>
        </w:rPr>
        <w:t>used to estimate cost, which should include quantification of hours, operational expenses (such as equipment, overhead, printing, and support staff), and any other expense that would not have been incurred without this collection of information.</w:t>
      </w:r>
    </w:p>
    <w:tbl>
      <w:tblPr>
        <w:tblStyle w:val="a2"/>
        <w:tblW w:w="8240" w:type="dxa"/>
        <w:tblInd w:w="-25" w:type="dxa"/>
        <w:tblLayout w:type="fixed"/>
        <w:tblLook w:val="0400"/>
      </w:tblPr>
      <w:tblGrid>
        <w:gridCol w:w="2280"/>
        <w:gridCol w:w="1120"/>
        <w:gridCol w:w="1140"/>
        <w:gridCol w:w="1120"/>
        <w:gridCol w:w="1280"/>
        <w:gridCol w:w="1300"/>
      </w:tblGrid>
      <w:tr w14:paraId="676FCC67" w14:textId="77777777">
        <w:tblPrEx>
          <w:tblW w:w="8240" w:type="dxa"/>
          <w:tblInd w:w="-25" w:type="dxa"/>
          <w:tblLayout w:type="fixed"/>
          <w:tblLook w:val="0400"/>
        </w:tblPrEx>
        <w:trPr>
          <w:trHeight w:val="450"/>
        </w:trPr>
        <w:tc>
          <w:tcPr>
            <w:tcW w:w="2280" w:type="dxa"/>
            <w:tcBorders>
              <w:top w:val="single" w:sz="8" w:space="0" w:color="000000"/>
              <w:left w:val="single" w:sz="8" w:space="0" w:color="000000"/>
              <w:bottom w:val="nil"/>
              <w:right w:val="single" w:sz="8" w:space="0" w:color="000000"/>
            </w:tcBorders>
            <w:shd w:val="clear" w:color="auto" w:fill="BDD7EE"/>
            <w:vAlign w:val="center"/>
          </w:tcPr>
          <w:p w:rsidR="009A6F02" w14:paraId="233397F8"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Cost </w:t>
            </w:r>
            <w:r>
              <w:rPr>
                <w:rFonts w:ascii="Calibri" w:eastAsia="Calibri" w:hAnsi="Calibri" w:cs="Calibri"/>
                <w:b/>
                <w:color w:val="000000"/>
                <w:sz w:val="16"/>
                <w:szCs w:val="16"/>
              </w:rPr>
              <w:t>Descriptions</w:t>
            </w:r>
          </w:p>
        </w:tc>
        <w:tc>
          <w:tcPr>
            <w:tcW w:w="1120" w:type="dxa"/>
            <w:tcBorders>
              <w:top w:val="single" w:sz="8" w:space="0" w:color="000000"/>
              <w:left w:val="nil"/>
              <w:bottom w:val="nil"/>
              <w:right w:val="single" w:sz="8" w:space="0" w:color="000000"/>
            </w:tcBorders>
            <w:shd w:val="clear" w:color="auto" w:fill="BDD7EE"/>
            <w:vAlign w:val="center"/>
          </w:tcPr>
          <w:p w:rsidR="009A6F02" w14:paraId="0D59BF05"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Grade/Step</w:t>
            </w:r>
          </w:p>
        </w:tc>
        <w:tc>
          <w:tcPr>
            <w:tcW w:w="1140" w:type="dxa"/>
            <w:tcBorders>
              <w:top w:val="single" w:sz="8" w:space="0" w:color="000000"/>
              <w:left w:val="nil"/>
              <w:bottom w:val="nil"/>
              <w:right w:val="single" w:sz="8" w:space="0" w:color="000000"/>
            </w:tcBorders>
            <w:shd w:val="clear" w:color="auto" w:fill="BDD7EE"/>
            <w:vAlign w:val="center"/>
          </w:tcPr>
          <w:p w:rsidR="009A6F02" w14:paraId="4701D697"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Loaded Salary /Cost</w:t>
            </w:r>
          </w:p>
        </w:tc>
        <w:tc>
          <w:tcPr>
            <w:tcW w:w="1120" w:type="dxa"/>
            <w:tcBorders>
              <w:top w:val="single" w:sz="8" w:space="0" w:color="000000"/>
              <w:left w:val="nil"/>
              <w:bottom w:val="nil"/>
              <w:right w:val="single" w:sz="8" w:space="0" w:color="000000"/>
            </w:tcBorders>
            <w:shd w:val="clear" w:color="auto" w:fill="BDD7EE"/>
            <w:vAlign w:val="center"/>
          </w:tcPr>
          <w:p w:rsidR="009A6F02" w14:paraId="2C924C67"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of Effort</w:t>
            </w:r>
          </w:p>
        </w:tc>
        <w:tc>
          <w:tcPr>
            <w:tcW w:w="1280" w:type="dxa"/>
            <w:tcBorders>
              <w:top w:val="single" w:sz="8" w:space="0" w:color="000000"/>
              <w:left w:val="nil"/>
              <w:bottom w:val="nil"/>
              <w:right w:val="single" w:sz="8" w:space="0" w:color="000000"/>
            </w:tcBorders>
            <w:shd w:val="clear" w:color="auto" w:fill="BDD7EE"/>
            <w:vAlign w:val="center"/>
          </w:tcPr>
          <w:p w:rsidR="009A6F02" w14:paraId="0389D454"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Fringe (if Applicable)</w:t>
            </w:r>
          </w:p>
        </w:tc>
        <w:tc>
          <w:tcPr>
            <w:tcW w:w="1300" w:type="dxa"/>
            <w:tcBorders>
              <w:top w:val="single" w:sz="8" w:space="0" w:color="000000"/>
              <w:left w:val="nil"/>
              <w:bottom w:val="nil"/>
              <w:right w:val="single" w:sz="8" w:space="0" w:color="000000"/>
            </w:tcBorders>
            <w:shd w:val="clear" w:color="auto" w:fill="BDD7EE"/>
            <w:vAlign w:val="center"/>
          </w:tcPr>
          <w:p w:rsidR="009A6F02" w14:paraId="59A343E0"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Cost to Government</w:t>
            </w:r>
          </w:p>
        </w:tc>
      </w:tr>
      <w:tr w14:paraId="1DDDF276" w14:textId="77777777">
        <w:tblPrEx>
          <w:tblW w:w="8240" w:type="dxa"/>
          <w:tblInd w:w="-25" w:type="dxa"/>
          <w:tblLayout w:type="fixed"/>
          <w:tblLook w:val="0400"/>
        </w:tblPrEx>
        <w:trPr>
          <w:trHeight w:val="465"/>
        </w:trPr>
        <w:tc>
          <w:tcPr>
            <w:tcW w:w="2280" w:type="dxa"/>
            <w:tcBorders>
              <w:top w:val="single" w:sz="4" w:space="0" w:color="000000"/>
              <w:left w:val="single" w:sz="8" w:space="0" w:color="000000"/>
              <w:bottom w:val="single" w:sz="4" w:space="0" w:color="000000"/>
              <w:right w:val="single" w:sz="8" w:space="0" w:color="000000"/>
            </w:tcBorders>
            <w:shd w:val="clear" w:color="auto" w:fill="auto"/>
            <w:vAlign w:val="bottom"/>
          </w:tcPr>
          <w:p w:rsidR="009A6F02" w14:paraId="47017810" w14:textId="77777777">
            <w:pPr>
              <w:widowControl/>
              <w:rPr>
                <w:rFonts w:ascii="Calibri" w:eastAsia="Calibri" w:hAnsi="Calibri" w:cs="Calibri"/>
                <w:b/>
                <w:color w:val="000000"/>
                <w:sz w:val="16"/>
                <w:szCs w:val="16"/>
              </w:rPr>
            </w:pPr>
            <w:r>
              <w:rPr>
                <w:rFonts w:ascii="Calibri" w:eastAsia="Calibri" w:hAnsi="Calibri" w:cs="Calibri"/>
                <w:b/>
                <w:color w:val="000000"/>
                <w:sz w:val="16"/>
                <w:szCs w:val="16"/>
              </w:rPr>
              <w:t>Federal Oversight</w:t>
            </w:r>
          </w:p>
        </w:tc>
        <w:tc>
          <w:tcPr>
            <w:tcW w:w="1120" w:type="dxa"/>
            <w:tcBorders>
              <w:top w:val="single" w:sz="4" w:space="0" w:color="000000"/>
              <w:left w:val="nil"/>
              <w:bottom w:val="single" w:sz="4" w:space="0" w:color="000000"/>
              <w:right w:val="single" w:sz="4" w:space="0" w:color="000000"/>
            </w:tcBorders>
            <w:shd w:val="clear" w:color="auto" w:fill="auto"/>
            <w:vAlign w:val="bottom"/>
          </w:tcPr>
          <w:p w:rsidR="009A6F02" w:rsidP="009532D4" w14:paraId="1E67E631" w14:textId="79728C7A">
            <w:pPr>
              <w:widowControl/>
              <w:rPr>
                <w:rFonts w:ascii="Calibri" w:eastAsia="Calibri" w:hAnsi="Calibri" w:cs="Calibri"/>
                <w:color w:val="000000"/>
                <w:sz w:val="16"/>
                <w:szCs w:val="16"/>
              </w:rPr>
            </w:pPr>
            <w:r>
              <w:rPr>
                <w:rFonts w:ascii="Calibri" w:eastAsia="Calibri" w:hAnsi="Calibri" w:cs="Calibri"/>
                <w:color w:val="000000"/>
                <w:sz w:val="16"/>
                <w:szCs w:val="16"/>
              </w:rPr>
              <w:t>ZPIII/2</w:t>
            </w:r>
          </w:p>
        </w:tc>
        <w:tc>
          <w:tcPr>
            <w:tcW w:w="1140" w:type="dxa"/>
            <w:tcBorders>
              <w:top w:val="single" w:sz="4" w:space="0" w:color="000000"/>
              <w:left w:val="nil"/>
              <w:bottom w:val="single" w:sz="4" w:space="0" w:color="000000"/>
              <w:right w:val="single" w:sz="4" w:space="0" w:color="000000"/>
            </w:tcBorders>
            <w:shd w:val="clear" w:color="auto" w:fill="auto"/>
            <w:vAlign w:val="bottom"/>
          </w:tcPr>
          <w:p w:rsidR="009A6F02" w:rsidP="009532D4" w14:paraId="12F69A41" w14:textId="0DE501CB">
            <w:pPr>
              <w:widowControl/>
              <w:rPr>
                <w:rFonts w:ascii="Calibri" w:eastAsia="Calibri" w:hAnsi="Calibri" w:cs="Calibri"/>
                <w:color w:val="000000"/>
                <w:sz w:val="16"/>
                <w:szCs w:val="16"/>
              </w:rPr>
            </w:pPr>
            <w:r>
              <w:rPr>
                <w:rFonts w:ascii="Calibri" w:eastAsia="Calibri" w:hAnsi="Calibri" w:cs="Calibri"/>
                <w:color w:val="000000"/>
                <w:sz w:val="16"/>
                <w:szCs w:val="16"/>
              </w:rPr>
              <w:t>$</w:t>
            </w:r>
            <w:r w:rsidR="009532D4">
              <w:rPr>
                <w:rFonts w:ascii="Calibri" w:eastAsia="Calibri" w:hAnsi="Calibri" w:cs="Calibri"/>
                <w:color w:val="000000"/>
                <w:sz w:val="16"/>
                <w:szCs w:val="16"/>
              </w:rPr>
              <w:t>104,000</w:t>
            </w:r>
          </w:p>
        </w:tc>
        <w:tc>
          <w:tcPr>
            <w:tcW w:w="1120" w:type="dxa"/>
            <w:tcBorders>
              <w:top w:val="single" w:sz="4" w:space="0" w:color="000000"/>
              <w:left w:val="nil"/>
              <w:bottom w:val="single" w:sz="4" w:space="0" w:color="000000"/>
              <w:right w:val="single" w:sz="4" w:space="0" w:color="000000"/>
            </w:tcBorders>
            <w:shd w:val="clear" w:color="auto" w:fill="auto"/>
            <w:vAlign w:val="bottom"/>
          </w:tcPr>
          <w:p w:rsidR="009A6F02" w14:paraId="198868C9" w14:textId="3DEE048B">
            <w:pPr>
              <w:widowControl/>
              <w:rPr>
                <w:rFonts w:ascii="Calibri" w:eastAsia="Calibri" w:hAnsi="Calibri" w:cs="Calibri"/>
                <w:color w:val="000000"/>
                <w:sz w:val="16"/>
                <w:szCs w:val="16"/>
              </w:rPr>
            </w:pPr>
            <w:r>
              <w:rPr>
                <w:rFonts w:ascii="Calibri" w:eastAsia="Calibri" w:hAnsi="Calibri" w:cs="Calibri"/>
                <w:color w:val="000000"/>
                <w:sz w:val="16"/>
                <w:szCs w:val="16"/>
              </w:rPr>
              <w:t> </w:t>
            </w:r>
            <w:r w:rsidR="009532D4">
              <w:rPr>
                <w:rFonts w:ascii="Calibri" w:eastAsia="Calibri" w:hAnsi="Calibri" w:cs="Calibri"/>
                <w:color w:val="000000"/>
                <w:sz w:val="16"/>
                <w:szCs w:val="16"/>
              </w:rPr>
              <w:t>1hr</w:t>
            </w:r>
          </w:p>
        </w:tc>
        <w:tc>
          <w:tcPr>
            <w:tcW w:w="1280" w:type="dxa"/>
            <w:tcBorders>
              <w:top w:val="single" w:sz="4" w:space="0" w:color="000000"/>
              <w:left w:val="nil"/>
              <w:bottom w:val="single" w:sz="4" w:space="0" w:color="000000"/>
              <w:right w:val="single" w:sz="4" w:space="0" w:color="000000"/>
            </w:tcBorders>
            <w:shd w:val="clear" w:color="auto" w:fill="808080"/>
            <w:vAlign w:val="bottom"/>
          </w:tcPr>
          <w:p w:rsidR="009A6F02" w14:paraId="2128B133"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single" w:sz="4" w:space="0" w:color="000000"/>
              <w:left w:val="nil"/>
              <w:bottom w:val="single" w:sz="4" w:space="0" w:color="000000"/>
              <w:right w:val="single" w:sz="8" w:space="0" w:color="000000"/>
            </w:tcBorders>
            <w:shd w:val="clear" w:color="auto" w:fill="auto"/>
            <w:vAlign w:val="bottom"/>
          </w:tcPr>
          <w:p w:rsidR="009A6F02" w14:paraId="3122C4A0" w14:textId="20387EE2">
            <w:pPr>
              <w:widowControl/>
              <w:rPr>
                <w:rFonts w:ascii="Calibri" w:eastAsia="Calibri" w:hAnsi="Calibri" w:cs="Calibri"/>
                <w:color w:val="000000"/>
                <w:sz w:val="16"/>
                <w:szCs w:val="16"/>
              </w:rPr>
            </w:pPr>
            <w:r>
              <w:rPr>
                <w:rFonts w:ascii="Calibri" w:eastAsia="Calibri" w:hAnsi="Calibri" w:cs="Calibri"/>
                <w:color w:val="000000"/>
                <w:sz w:val="16"/>
                <w:szCs w:val="16"/>
              </w:rPr>
              <w:t>$50</w:t>
            </w:r>
          </w:p>
        </w:tc>
      </w:tr>
      <w:tr w14:paraId="358930BD" w14:textId="77777777">
        <w:tblPrEx>
          <w:tblW w:w="8240" w:type="dxa"/>
          <w:tblInd w:w="-25"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9A6F02" w14:paraId="66AB6584"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Other Federal Positions</w:t>
            </w:r>
          </w:p>
        </w:tc>
        <w:tc>
          <w:tcPr>
            <w:tcW w:w="1120" w:type="dxa"/>
            <w:tcBorders>
              <w:top w:val="nil"/>
              <w:left w:val="nil"/>
              <w:bottom w:val="single" w:sz="4" w:space="0" w:color="000000"/>
              <w:right w:val="single" w:sz="4" w:space="0" w:color="000000"/>
            </w:tcBorders>
            <w:shd w:val="clear" w:color="auto" w:fill="auto"/>
            <w:vAlign w:val="bottom"/>
          </w:tcPr>
          <w:p w:rsidR="009A6F02" w14:paraId="58627230"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auto"/>
            <w:vAlign w:val="bottom"/>
          </w:tcPr>
          <w:p w:rsidR="009A6F02" w14:paraId="53C3713B"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bottom"/>
          </w:tcPr>
          <w:p w:rsidR="009A6F02" w14:paraId="0BDBBD74"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808080"/>
            <w:vAlign w:val="bottom"/>
          </w:tcPr>
          <w:p w:rsidR="009A6F02" w14:paraId="07FFB687"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9A6F02" w14:paraId="780A1309"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r>
      <w:tr w14:paraId="1ED0B4A3" w14:textId="77777777">
        <w:tblPrEx>
          <w:tblW w:w="8240" w:type="dxa"/>
          <w:tblInd w:w="-25"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9A6F02" w14:paraId="6B1F8EDC"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bottom"/>
          </w:tcPr>
          <w:p w:rsidR="009A6F02" w14:paraId="34B883B6"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auto"/>
            <w:vAlign w:val="bottom"/>
          </w:tcPr>
          <w:p w:rsidR="009A6F02" w14:paraId="25A1A546"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bottom"/>
          </w:tcPr>
          <w:p w:rsidR="009A6F02" w14:paraId="454E4532"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808080"/>
            <w:vAlign w:val="bottom"/>
          </w:tcPr>
          <w:p w:rsidR="009A6F02" w14:paraId="66C1760A"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9A6F02" w14:paraId="26DA4689"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r>
      <w:tr w14:paraId="0D172CE4" w14:textId="77777777">
        <w:tblPrEx>
          <w:tblW w:w="8240" w:type="dxa"/>
          <w:tblInd w:w="-25"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9A6F02" w14:paraId="47AE93E7"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bottom"/>
          </w:tcPr>
          <w:p w:rsidR="009A6F02" w14:paraId="0F6CD1B9"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auto"/>
            <w:vAlign w:val="bottom"/>
          </w:tcPr>
          <w:p w:rsidR="009A6F02" w14:paraId="5CB660A6"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bottom"/>
          </w:tcPr>
          <w:p w:rsidR="009A6F02" w14:paraId="5BA6B438"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808080"/>
            <w:vAlign w:val="bottom"/>
          </w:tcPr>
          <w:p w:rsidR="009A6F02" w14:paraId="255CA21C"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9A6F02" w14:paraId="6DC3D6DF"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r>
      <w:tr w14:paraId="5B0EA126" w14:textId="77777777">
        <w:tblPrEx>
          <w:tblW w:w="8240" w:type="dxa"/>
          <w:tblInd w:w="-25" w:type="dxa"/>
          <w:tblLayout w:type="fixed"/>
          <w:tblLook w:val="0400"/>
        </w:tblPrEx>
        <w:trPr>
          <w:trHeight w:val="465"/>
        </w:trPr>
        <w:tc>
          <w:tcPr>
            <w:tcW w:w="2280" w:type="dxa"/>
            <w:tcBorders>
              <w:top w:val="nil"/>
              <w:left w:val="single" w:sz="8" w:space="0" w:color="000000"/>
              <w:bottom w:val="single" w:sz="4" w:space="0" w:color="000000"/>
              <w:right w:val="single" w:sz="8" w:space="0" w:color="000000"/>
            </w:tcBorders>
            <w:shd w:val="clear" w:color="auto" w:fill="auto"/>
            <w:vAlign w:val="bottom"/>
          </w:tcPr>
          <w:p w:rsidR="009A6F02" w14:paraId="4D21CE51" w14:textId="77777777">
            <w:pPr>
              <w:widowControl/>
              <w:rPr>
                <w:rFonts w:ascii="Calibri" w:eastAsia="Calibri" w:hAnsi="Calibri" w:cs="Calibri"/>
                <w:b/>
                <w:color w:val="000000"/>
                <w:sz w:val="16"/>
                <w:szCs w:val="16"/>
              </w:rPr>
            </w:pPr>
            <w:r>
              <w:rPr>
                <w:rFonts w:ascii="Calibri" w:eastAsia="Calibri" w:hAnsi="Calibri" w:cs="Calibri"/>
                <w:b/>
                <w:color w:val="000000"/>
                <w:sz w:val="16"/>
                <w:szCs w:val="16"/>
              </w:rPr>
              <w:t>Contractor Cost</w:t>
            </w:r>
          </w:p>
        </w:tc>
        <w:tc>
          <w:tcPr>
            <w:tcW w:w="1120" w:type="dxa"/>
            <w:tcBorders>
              <w:top w:val="nil"/>
              <w:left w:val="nil"/>
              <w:bottom w:val="single" w:sz="4" w:space="0" w:color="000000"/>
              <w:right w:val="single" w:sz="4" w:space="0" w:color="000000"/>
            </w:tcBorders>
            <w:shd w:val="clear" w:color="auto" w:fill="808080"/>
            <w:vAlign w:val="bottom"/>
          </w:tcPr>
          <w:p w:rsidR="009A6F02" w14:paraId="24F4C8B4"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auto"/>
            <w:vAlign w:val="bottom"/>
          </w:tcPr>
          <w:p w:rsidR="009A6F02" w14:paraId="5DC45B9C"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bottom"/>
          </w:tcPr>
          <w:p w:rsidR="009A6F02" w14:paraId="50FB4EAE"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auto"/>
            <w:vAlign w:val="bottom"/>
          </w:tcPr>
          <w:p w:rsidR="009A6F02" w14:paraId="54064F56"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9A6F02" w14:paraId="111E8630"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r>
      <w:tr w14:paraId="798D1247" w14:textId="77777777">
        <w:tblPrEx>
          <w:tblW w:w="8240" w:type="dxa"/>
          <w:tblInd w:w="-25"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9A6F02" w14:paraId="5B49141B"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bottom"/>
          </w:tcPr>
          <w:p w:rsidR="009A6F02" w14:paraId="1D953FD4"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auto"/>
            <w:vAlign w:val="bottom"/>
          </w:tcPr>
          <w:p w:rsidR="009A6F02" w14:paraId="01BE70B3"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bottom"/>
          </w:tcPr>
          <w:p w:rsidR="009A6F02" w14:paraId="01F63DDA"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auto"/>
            <w:vAlign w:val="bottom"/>
          </w:tcPr>
          <w:p w:rsidR="009A6F02" w14:paraId="5EAF77DD"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9A6F02" w14:paraId="0C963572"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r>
      <w:tr w14:paraId="3CD5E675" w14:textId="77777777">
        <w:tblPrEx>
          <w:tblW w:w="8240" w:type="dxa"/>
          <w:tblInd w:w="-25"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9A6F02" w14:paraId="34033304"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bottom"/>
          </w:tcPr>
          <w:p w:rsidR="009A6F02" w14:paraId="79C8F8CA"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auto"/>
            <w:vAlign w:val="bottom"/>
          </w:tcPr>
          <w:p w:rsidR="009A6F02" w14:paraId="2DFD6382"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bottom"/>
          </w:tcPr>
          <w:p w:rsidR="009A6F02" w14:paraId="6CDF2B18"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auto"/>
            <w:vAlign w:val="bottom"/>
          </w:tcPr>
          <w:p w:rsidR="009A6F02" w14:paraId="488532C0"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9A6F02" w14:paraId="38F8D37B"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r>
      <w:tr w14:paraId="1AFE7F58" w14:textId="77777777">
        <w:tblPrEx>
          <w:tblW w:w="8240" w:type="dxa"/>
          <w:tblInd w:w="-25"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9A6F02" w14:paraId="74F6E8FF" w14:textId="77777777">
            <w:pPr>
              <w:widowControl/>
              <w:rPr>
                <w:rFonts w:ascii="Calibri" w:eastAsia="Calibri" w:hAnsi="Calibri" w:cs="Calibri"/>
                <w:b/>
                <w:color w:val="000000"/>
                <w:sz w:val="16"/>
                <w:szCs w:val="16"/>
              </w:rPr>
            </w:pPr>
            <w:r>
              <w:rPr>
                <w:rFonts w:ascii="Calibri" w:eastAsia="Calibri" w:hAnsi="Calibri" w:cs="Calibri"/>
                <w:b/>
                <w:color w:val="000000"/>
                <w:sz w:val="16"/>
                <w:szCs w:val="16"/>
              </w:rPr>
              <w:t>Travel</w:t>
            </w:r>
          </w:p>
        </w:tc>
        <w:tc>
          <w:tcPr>
            <w:tcW w:w="1120" w:type="dxa"/>
            <w:tcBorders>
              <w:top w:val="nil"/>
              <w:left w:val="nil"/>
              <w:bottom w:val="single" w:sz="4" w:space="0" w:color="000000"/>
              <w:right w:val="single" w:sz="4" w:space="0" w:color="000000"/>
            </w:tcBorders>
            <w:shd w:val="clear" w:color="auto" w:fill="808080"/>
            <w:vAlign w:val="bottom"/>
          </w:tcPr>
          <w:p w:rsidR="009A6F02" w14:paraId="3F557E51"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808080"/>
            <w:vAlign w:val="bottom"/>
          </w:tcPr>
          <w:p w:rsidR="009A6F02" w14:paraId="4DDBB0AF"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808080"/>
            <w:vAlign w:val="bottom"/>
          </w:tcPr>
          <w:p w:rsidR="009A6F02" w14:paraId="0015F974"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808080"/>
            <w:vAlign w:val="bottom"/>
          </w:tcPr>
          <w:p w:rsidR="009A6F02" w14:paraId="660F7C61"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9A6F02" w14:paraId="7B2379A4"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r>
      <w:tr w14:paraId="1264C1A9" w14:textId="77777777">
        <w:tblPrEx>
          <w:tblW w:w="8240" w:type="dxa"/>
          <w:tblInd w:w="-25" w:type="dxa"/>
          <w:tblLayout w:type="fixed"/>
          <w:tblLook w:val="0400"/>
        </w:tblPrEx>
        <w:trPr>
          <w:trHeight w:val="525"/>
        </w:trPr>
        <w:tc>
          <w:tcPr>
            <w:tcW w:w="2280" w:type="dxa"/>
            <w:tcBorders>
              <w:top w:val="nil"/>
              <w:left w:val="single" w:sz="8" w:space="0" w:color="000000"/>
              <w:bottom w:val="nil"/>
              <w:right w:val="single" w:sz="8" w:space="0" w:color="000000"/>
            </w:tcBorders>
            <w:shd w:val="clear" w:color="auto" w:fill="auto"/>
            <w:vAlign w:val="center"/>
          </w:tcPr>
          <w:p w:rsidR="009A6F02" w14:paraId="306802B3" w14:textId="77777777">
            <w:pPr>
              <w:widowControl/>
              <w:rPr>
                <w:rFonts w:ascii="Calibri" w:eastAsia="Calibri" w:hAnsi="Calibri" w:cs="Calibri"/>
                <w:b/>
                <w:color w:val="000000"/>
                <w:sz w:val="16"/>
                <w:szCs w:val="16"/>
              </w:rPr>
            </w:pPr>
            <w:r>
              <w:rPr>
                <w:rFonts w:ascii="Calibri" w:eastAsia="Calibri" w:hAnsi="Calibri" w:cs="Calibri"/>
                <w:b/>
                <w:color w:val="000000"/>
                <w:sz w:val="16"/>
                <w:szCs w:val="16"/>
              </w:rPr>
              <w:t xml:space="preserve">Other Costs: </w:t>
            </w:r>
          </w:p>
        </w:tc>
        <w:tc>
          <w:tcPr>
            <w:tcW w:w="1120" w:type="dxa"/>
            <w:tcBorders>
              <w:top w:val="nil"/>
              <w:left w:val="nil"/>
              <w:bottom w:val="single" w:sz="4" w:space="0" w:color="000000"/>
              <w:right w:val="single" w:sz="4" w:space="0" w:color="000000"/>
            </w:tcBorders>
            <w:shd w:val="clear" w:color="auto" w:fill="808080"/>
            <w:vAlign w:val="bottom"/>
          </w:tcPr>
          <w:p w:rsidR="009A6F02" w14:paraId="213C5B8E"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808080"/>
            <w:vAlign w:val="bottom"/>
          </w:tcPr>
          <w:p w:rsidR="009A6F02" w14:paraId="239117DA"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808080"/>
            <w:vAlign w:val="bottom"/>
          </w:tcPr>
          <w:p w:rsidR="009A6F02" w14:paraId="104CC1B1"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808080"/>
            <w:vAlign w:val="bottom"/>
          </w:tcPr>
          <w:p w:rsidR="009A6F02" w14:paraId="6BAF5F51"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9A6F02" w14:paraId="41E89339"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r>
      <w:tr w14:paraId="74EFEA1D" w14:textId="77777777">
        <w:tblPrEx>
          <w:tblW w:w="8240" w:type="dxa"/>
          <w:tblInd w:w="-25" w:type="dxa"/>
          <w:tblLayout w:type="fixed"/>
          <w:tblLook w:val="0400"/>
        </w:tblPrEx>
        <w:trPr>
          <w:trHeight w:val="315"/>
        </w:trPr>
        <w:tc>
          <w:tcPr>
            <w:tcW w:w="2280" w:type="dxa"/>
            <w:tcBorders>
              <w:top w:val="single" w:sz="8" w:space="0" w:color="000000"/>
              <w:left w:val="single" w:sz="8" w:space="0" w:color="000000"/>
              <w:bottom w:val="single" w:sz="8" w:space="0" w:color="000000"/>
              <w:right w:val="single" w:sz="8" w:space="0" w:color="000000"/>
            </w:tcBorders>
            <w:shd w:val="clear" w:color="auto" w:fill="DDEBF7"/>
            <w:vAlign w:val="bottom"/>
          </w:tcPr>
          <w:p w:rsidR="009A6F02" w14:paraId="3E661C9A" w14:textId="77777777">
            <w:pPr>
              <w:widowControl/>
              <w:rPr>
                <w:rFonts w:ascii="Calibri" w:eastAsia="Calibri" w:hAnsi="Calibri" w:cs="Calibri"/>
                <w:b/>
                <w:color w:val="000000"/>
                <w:sz w:val="16"/>
                <w:szCs w:val="16"/>
              </w:rPr>
            </w:pPr>
            <w:r>
              <w:rPr>
                <w:rFonts w:ascii="Calibri" w:eastAsia="Calibri" w:hAnsi="Calibri" w:cs="Calibri"/>
                <w:b/>
                <w:color w:val="000000"/>
                <w:sz w:val="16"/>
                <w:szCs w:val="16"/>
              </w:rPr>
              <w:t>TOTAL</w:t>
            </w:r>
          </w:p>
        </w:tc>
        <w:tc>
          <w:tcPr>
            <w:tcW w:w="1120" w:type="dxa"/>
            <w:tcBorders>
              <w:top w:val="single" w:sz="8" w:space="0" w:color="000000"/>
              <w:left w:val="nil"/>
              <w:bottom w:val="single" w:sz="8" w:space="0" w:color="000000"/>
              <w:right w:val="single" w:sz="8" w:space="0" w:color="000000"/>
            </w:tcBorders>
            <w:shd w:val="clear" w:color="auto" w:fill="808080"/>
            <w:vAlign w:val="bottom"/>
          </w:tcPr>
          <w:p w:rsidR="009A6F02" w14:paraId="6E64203A"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single" w:sz="8" w:space="0" w:color="000000"/>
              <w:left w:val="nil"/>
              <w:bottom w:val="single" w:sz="8" w:space="0" w:color="000000"/>
              <w:right w:val="single" w:sz="8" w:space="0" w:color="000000"/>
            </w:tcBorders>
            <w:shd w:val="clear" w:color="auto" w:fill="808080"/>
            <w:vAlign w:val="bottom"/>
          </w:tcPr>
          <w:p w:rsidR="009A6F02" w14:paraId="12353A93"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single" w:sz="8" w:space="0" w:color="000000"/>
              <w:left w:val="nil"/>
              <w:bottom w:val="single" w:sz="8" w:space="0" w:color="000000"/>
              <w:right w:val="single" w:sz="8" w:space="0" w:color="000000"/>
            </w:tcBorders>
            <w:shd w:val="clear" w:color="auto" w:fill="757171"/>
            <w:vAlign w:val="bottom"/>
          </w:tcPr>
          <w:p w:rsidR="009A6F02" w14:paraId="1F14C34A"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single" w:sz="8" w:space="0" w:color="000000"/>
              <w:left w:val="nil"/>
              <w:bottom w:val="single" w:sz="8" w:space="0" w:color="000000"/>
              <w:right w:val="single" w:sz="8" w:space="0" w:color="000000"/>
            </w:tcBorders>
            <w:shd w:val="clear" w:color="auto" w:fill="DDEBF7"/>
            <w:vAlign w:val="bottom"/>
          </w:tcPr>
          <w:p w:rsidR="009A6F02" w14:paraId="7A94B5F6"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single" w:sz="8" w:space="0" w:color="000000"/>
              <w:left w:val="nil"/>
              <w:bottom w:val="single" w:sz="8" w:space="0" w:color="000000"/>
              <w:right w:val="single" w:sz="8" w:space="0" w:color="000000"/>
            </w:tcBorders>
            <w:shd w:val="clear" w:color="auto" w:fill="DDEBF7"/>
            <w:vAlign w:val="bottom"/>
          </w:tcPr>
          <w:p w:rsidR="009A6F02" w14:paraId="36159488" w14:textId="32687999">
            <w:pPr>
              <w:widowControl/>
              <w:rPr>
                <w:rFonts w:ascii="Calibri" w:eastAsia="Calibri" w:hAnsi="Calibri" w:cs="Calibri"/>
                <w:color w:val="000000"/>
                <w:sz w:val="16"/>
                <w:szCs w:val="16"/>
              </w:rPr>
            </w:pPr>
            <w:r>
              <w:rPr>
                <w:rFonts w:ascii="Calibri" w:eastAsia="Calibri" w:hAnsi="Calibri" w:cs="Calibri"/>
                <w:color w:val="000000"/>
                <w:sz w:val="16"/>
                <w:szCs w:val="16"/>
              </w:rPr>
              <w:t>$50</w:t>
            </w:r>
          </w:p>
        </w:tc>
      </w:tr>
    </w:tbl>
    <w:p w:rsidR="00EB35F2" w14:paraId="501552A3" w14:textId="035EA568">
      <w:pPr>
        <w:pBdr>
          <w:top w:val="nil"/>
          <w:left w:val="nil"/>
          <w:bottom w:val="nil"/>
          <w:right w:val="nil"/>
          <w:between w:val="nil"/>
        </w:pBdr>
        <w:spacing w:before="9" w:after="1"/>
        <w:rPr>
          <w:b/>
          <w:color w:val="000000"/>
        </w:rPr>
      </w:pPr>
    </w:p>
    <w:p w:rsidR="009A6F02" w14:paraId="08A01243"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the reasons for any program changes or adjustments reported in ROCIS.</w:t>
      </w:r>
    </w:p>
    <w:p w:rsidR="009A6F02" w:rsidRPr="00EB35F2" w:rsidP="00EB35F2" w14:paraId="196C5E63" w14:textId="013F86BE">
      <w:pPr>
        <w:spacing w:before="161"/>
      </w:pPr>
      <w:r w:rsidRPr="0021563F">
        <w:t>There are no changes to the information collection since the last OMB approval.</w:t>
      </w:r>
    </w:p>
    <w:p w:rsidR="009A6F02" w14:paraId="6D6DBD73"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For collections of information whose results will be published, outline plans for tabulation and publication. Address any complex analytical techniques that will be used. Provide the time schedule for the entire project, including beginning and ending date</w:t>
      </w:r>
      <w:r>
        <w:rPr>
          <w:b/>
          <w:color w:val="000000"/>
        </w:rPr>
        <w:t>s of the collection of information, completion of report, publication dates, and other actions.</w:t>
      </w:r>
    </w:p>
    <w:p w:rsidR="0029081F" w14:paraId="79466698" w14:textId="193C70C5">
      <w:pPr>
        <w:pBdr>
          <w:top w:val="nil"/>
          <w:left w:val="nil"/>
          <w:bottom w:val="nil"/>
          <w:right w:val="nil"/>
          <w:between w:val="nil"/>
        </w:pBdr>
        <w:spacing w:before="160"/>
        <w:rPr>
          <w:color w:val="000000"/>
        </w:rPr>
      </w:pPr>
      <w:r>
        <w:rPr>
          <w:color w:val="000000"/>
        </w:rPr>
        <w:t>There are no plans to publish the results of this collection.</w:t>
      </w:r>
    </w:p>
    <w:p w:rsidR="009A6F02" w14:paraId="1CDABCD9"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If seeking approval to not display the expiration date for OMB approval of the information collect</w:t>
      </w:r>
      <w:r>
        <w:rPr>
          <w:b/>
          <w:color w:val="000000"/>
        </w:rPr>
        <w:t>ion, explain the reasons that display would be inappropriate.</w:t>
      </w:r>
    </w:p>
    <w:p w:rsidR="009A6F02" w:rsidRPr="0021563F" w14:paraId="5185B009" w14:textId="2880E0A2">
      <w:pPr>
        <w:spacing w:before="161"/>
      </w:pPr>
      <w:r w:rsidRPr="0021563F">
        <w:t>There are no instruments of collection; however, if outreach is conducted for this collection, the agency plans to display the expiration date for OMB approval of the information collection on a</w:t>
      </w:r>
      <w:r w:rsidRPr="0021563F">
        <w:t xml:space="preserve">ll </w:t>
      </w:r>
      <w:r>
        <w:t xml:space="preserve">instruments of </w:t>
      </w:r>
      <w:r w:rsidRPr="0021563F">
        <w:t>communication.</w:t>
      </w:r>
    </w:p>
    <w:p w:rsidR="009A6F02" w14:paraId="10BF34A5"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each exception to the certification statement identified in “Certification for Paperwork Reduction Act Submissions."</w:t>
      </w:r>
    </w:p>
    <w:p w:rsidR="009A6F02" w:rsidRPr="00EB35F2" w14:paraId="2E7FBC4B" w14:textId="1C502C30">
      <w:pPr>
        <w:spacing w:before="221" w:line="259" w:lineRule="auto"/>
        <w:jc w:val="both"/>
      </w:pPr>
      <w:r>
        <w:t xml:space="preserve">The agency certifies compliance with </w:t>
      </w:r>
      <w:hyperlink r:id="rId14">
        <w:r>
          <w:rPr>
            <w:color w:val="0563C1"/>
            <w:u w:val="single"/>
          </w:rPr>
          <w:t>5 CFR 1320.9</w:t>
        </w:r>
      </w:hyperlink>
      <w:hyperlink r:id="rId14">
        <w:r>
          <w:rPr>
            <w:color w:val="0563C1"/>
          </w:rPr>
          <w:t xml:space="preserve"> </w:t>
        </w:r>
      </w:hyperlink>
      <w:r>
        <w:t xml:space="preserve">and the related provisions of </w:t>
      </w:r>
      <w:hyperlink r:id="rId15">
        <w:r>
          <w:rPr>
            <w:color w:val="0563C1"/>
            <w:u w:val="single"/>
          </w:rPr>
          <w:t>5 CFR</w:t>
        </w:r>
      </w:hyperlink>
      <w:r>
        <w:rPr>
          <w:color w:val="0563C1"/>
        </w:rPr>
        <w:t xml:space="preserve"> </w:t>
      </w:r>
      <w:hyperlink r:id="rId15">
        <w:r>
          <w:rPr>
            <w:color w:val="0563C1"/>
            <w:u w:val="single"/>
          </w:rPr>
          <w:t>1320.8(b)(3)</w:t>
        </w:r>
      </w:hyperlink>
      <w:r>
        <w:t>.</w:t>
      </w:r>
      <w:bookmarkStart w:id="1" w:name="_heading=h.gjdgxs" w:colFirst="0" w:colLast="0"/>
      <w:bookmarkEnd w:id="1"/>
    </w:p>
    <w:sectPr>
      <w:footerReference w:type="default" r:id="rId16"/>
      <w:pgSz w:w="12240" w:h="15840"/>
      <w:pgMar w:top="640" w:right="1080" w:bottom="1200" w:left="108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AA7C56" w14:paraId="053AC0B3" w14:textId="77777777">
      <w:pPr>
        <w:spacing w:before="0" w:after="0"/>
      </w:pPr>
      <w:r>
        <w:separator/>
      </w:r>
    </w:p>
  </w:endnote>
  <w:endnote w:type="continuationSeparator" w:id="1">
    <w:p w:rsidR="00AA7C56" w14:paraId="118B512D"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5CB9" w:rsidP="00164D4C" w14:paraId="14A7F5A7" w14:textId="4875269C">
    <w:pPr>
      <w:spacing w:line="245" w:lineRule="auto"/>
      <w:ind w:left="20" w:firstLine="20"/>
      <w:textDirection w:val="btLr"/>
      <w:rPr>
        <w:color w:val="000000"/>
        <w:sz w:val="20"/>
        <w:szCs w:val="20"/>
      </w:rPr>
    </w:pPr>
    <w:r>
      <w:rPr>
        <w:rFonts w:ascii="Calibri" w:eastAsia="Calibri" w:hAnsi="Calibri" w:cs="Calibri"/>
        <w:b/>
        <w:color w:val="000000"/>
      </w:rPr>
      <w:t xml:space="preserve">Page | </w:t>
    </w:r>
    <w:r w:rsidRPr="00164D4C">
      <w:rPr>
        <w:rFonts w:ascii="Calibri" w:eastAsia="Calibri" w:hAnsi="Calibri" w:cs="Calibri"/>
        <w:b/>
        <w:color w:val="000000"/>
      </w:rPr>
      <w:fldChar w:fldCharType="begin"/>
    </w:r>
    <w:r w:rsidRPr="00164D4C">
      <w:rPr>
        <w:rFonts w:ascii="Calibri" w:eastAsia="Calibri" w:hAnsi="Calibri" w:cs="Calibri"/>
        <w:b/>
        <w:color w:val="000000"/>
      </w:rPr>
      <w:instrText xml:space="preserve"> PAGE   \* MERGEFORMAT </w:instrText>
    </w:r>
    <w:r w:rsidRPr="00164D4C">
      <w:rPr>
        <w:rFonts w:ascii="Calibri" w:eastAsia="Calibri" w:hAnsi="Calibri" w:cs="Calibri"/>
        <w:b/>
        <w:color w:val="000000"/>
      </w:rPr>
      <w:fldChar w:fldCharType="separate"/>
    </w:r>
    <w:r w:rsidR="00CC0D5C">
      <w:rPr>
        <w:rFonts w:ascii="Calibri" w:eastAsia="Calibri" w:hAnsi="Calibri" w:cs="Calibri"/>
        <w:b/>
        <w:noProof/>
        <w:color w:val="000000"/>
      </w:rPr>
      <w:t>2</w:t>
    </w:r>
    <w:r w:rsidRPr="00164D4C">
      <w:rPr>
        <w:rFonts w:ascii="Calibri" w:eastAsia="Calibri" w:hAnsi="Calibri" w:cs="Calibri"/>
        <w:b/>
        <w:noProof/>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AA7C56" w14:paraId="4C4E43D8" w14:textId="77777777">
      <w:pPr>
        <w:spacing w:before="0" w:after="0"/>
      </w:pPr>
      <w:r>
        <w:separator/>
      </w:r>
    </w:p>
  </w:footnote>
  <w:footnote w:type="continuationSeparator" w:id="1">
    <w:p w:rsidR="00AA7C56" w14:paraId="5ECB1ADA" w14:textId="77777777">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144C4B"/>
    <w:multiLevelType w:val="multilevel"/>
    <w:tmpl w:val="20CA3AF8"/>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1">
    <w:nsid w:val="1133120E"/>
    <w:multiLevelType w:val="multilevel"/>
    <w:tmpl w:val="8D4AB84E"/>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2">
    <w:nsid w:val="20FA561B"/>
    <w:multiLevelType w:val="hybridMultilevel"/>
    <w:tmpl w:val="06D2DE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5475412"/>
    <w:multiLevelType w:val="multilevel"/>
    <w:tmpl w:val="EF645D1A"/>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4">
    <w:nsid w:val="28F16251"/>
    <w:multiLevelType w:val="multilevel"/>
    <w:tmpl w:val="F200999C"/>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5">
    <w:nsid w:val="2B6F7D8D"/>
    <w:multiLevelType w:val="multilevel"/>
    <w:tmpl w:val="F61897BE"/>
    <w:lvl w:ilvl="0">
      <w:start w:val="1"/>
      <w:numFmt w:val="decimal"/>
      <w:lvlText w:val="%1."/>
      <w:lvlJc w:val="left"/>
      <w:pPr>
        <w:ind w:left="400" w:hanging="269"/>
      </w:pPr>
      <w:rPr>
        <w:rFonts w:ascii="Arial" w:eastAsia="Arial" w:hAnsi="Arial" w:cs="Arial"/>
        <w:b/>
        <w:sz w:val="22"/>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6">
    <w:nsid w:val="2FE51F5C"/>
    <w:multiLevelType w:val="hybridMultilevel"/>
    <w:tmpl w:val="7DFA5C9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D6A5C30"/>
    <w:multiLevelType w:val="multilevel"/>
    <w:tmpl w:val="E7649ACE"/>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8">
    <w:nsid w:val="488261E7"/>
    <w:multiLevelType w:val="multilevel"/>
    <w:tmpl w:val="6AEA06CC"/>
    <w:lvl w:ilvl="0">
      <w:start w:val="1"/>
      <w:numFmt w:val="lowerLetter"/>
      <w:lvlText w:val="(%1)"/>
      <w:lvlJc w:val="left"/>
      <w:pPr>
        <w:ind w:left="1839" w:hanging="720"/>
      </w:pPr>
      <w:rPr>
        <w:rFonts w:ascii="Arial" w:eastAsia="Arial" w:hAnsi="Arial" w:cs="Arial"/>
        <w:color w:val="2F5496"/>
        <w:sz w:val="22"/>
        <w:szCs w:val="22"/>
      </w:rPr>
    </w:lvl>
    <w:lvl w:ilvl="1">
      <w:start w:val="1"/>
      <w:numFmt w:val="bullet"/>
      <w:lvlText w:val="•"/>
      <w:lvlJc w:val="left"/>
      <w:pPr>
        <w:ind w:left="2806" w:hanging="720"/>
      </w:pPr>
    </w:lvl>
    <w:lvl w:ilvl="2">
      <w:start w:val="1"/>
      <w:numFmt w:val="bullet"/>
      <w:lvlText w:val="•"/>
      <w:lvlJc w:val="left"/>
      <w:pPr>
        <w:ind w:left="3772" w:hanging="720"/>
      </w:pPr>
    </w:lvl>
    <w:lvl w:ilvl="3">
      <w:start w:val="1"/>
      <w:numFmt w:val="bullet"/>
      <w:lvlText w:val="•"/>
      <w:lvlJc w:val="left"/>
      <w:pPr>
        <w:ind w:left="4738" w:hanging="720"/>
      </w:pPr>
    </w:lvl>
    <w:lvl w:ilvl="4">
      <w:start w:val="1"/>
      <w:numFmt w:val="bullet"/>
      <w:lvlText w:val="•"/>
      <w:lvlJc w:val="left"/>
      <w:pPr>
        <w:ind w:left="5704" w:hanging="720"/>
      </w:pPr>
    </w:lvl>
    <w:lvl w:ilvl="5">
      <w:start w:val="1"/>
      <w:numFmt w:val="bullet"/>
      <w:lvlText w:val="•"/>
      <w:lvlJc w:val="left"/>
      <w:pPr>
        <w:ind w:left="6670" w:hanging="720"/>
      </w:pPr>
    </w:lvl>
    <w:lvl w:ilvl="6">
      <w:start w:val="1"/>
      <w:numFmt w:val="bullet"/>
      <w:lvlText w:val="•"/>
      <w:lvlJc w:val="left"/>
      <w:pPr>
        <w:ind w:left="7636" w:hanging="720"/>
      </w:pPr>
    </w:lvl>
    <w:lvl w:ilvl="7">
      <w:start w:val="1"/>
      <w:numFmt w:val="bullet"/>
      <w:lvlText w:val="•"/>
      <w:lvlJc w:val="left"/>
      <w:pPr>
        <w:ind w:left="8602" w:hanging="720"/>
      </w:pPr>
    </w:lvl>
    <w:lvl w:ilvl="8">
      <w:start w:val="1"/>
      <w:numFmt w:val="bullet"/>
      <w:lvlText w:val="•"/>
      <w:lvlJc w:val="left"/>
      <w:pPr>
        <w:ind w:left="9568" w:hanging="720"/>
      </w:pPr>
    </w:lvl>
  </w:abstractNum>
  <w:abstractNum w:abstractNumId="9">
    <w:nsid w:val="4A560A6B"/>
    <w:multiLevelType w:val="multilevel"/>
    <w:tmpl w:val="B46291FE"/>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10">
    <w:nsid w:val="6226089A"/>
    <w:multiLevelType w:val="multilevel"/>
    <w:tmpl w:val="5CC465F6"/>
    <w:lvl w:ilvl="0">
      <w:start w:val="1"/>
      <w:numFmt w:val="bullet"/>
      <w:lvlText w:val="●"/>
      <w:lvlJc w:val="left"/>
      <w:pPr>
        <w:ind w:left="1120" w:hanging="360"/>
      </w:pPr>
      <w:rPr>
        <w:rFonts w:ascii="Noto Sans Symbols" w:eastAsia="Noto Sans Symbols" w:hAnsi="Noto Sans Symbols" w:cs="Noto Sans Symbols"/>
        <w:color w:val="2F5496"/>
        <w:sz w:val="20"/>
        <w:szCs w:val="20"/>
      </w:rPr>
    </w:lvl>
    <w:lvl w:ilvl="1">
      <w:start w:val="1"/>
      <w:numFmt w:val="bullet"/>
      <w:lvlText w:val="•"/>
      <w:lvlJc w:val="left"/>
      <w:pPr>
        <w:ind w:left="2158" w:hanging="360"/>
      </w:pPr>
    </w:lvl>
    <w:lvl w:ilvl="2">
      <w:start w:val="1"/>
      <w:numFmt w:val="bullet"/>
      <w:lvlText w:val="•"/>
      <w:lvlJc w:val="left"/>
      <w:pPr>
        <w:ind w:left="3196" w:hanging="360"/>
      </w:pPr>
    </w:lvl>
    <w:lvl w:ilvl="3">
      <w:start w:val="1"/>
      <w:numFmt w:val="bullet"/>
      <w:lvlText w:val="•"/>
      <w:lvlJc w:val="left"/>
      <w:pPr>
        <w:ind w:left="4234" w:hanging="360"/>
      </w:pPr>
    </w:lvl>
    <w:lvl w:ilvl="4">
      <w:start w:val="1"/>
      <w:numFmt w:val="bullet"/>
      <w:lvlText w:val="•"/>
      <w:lvlJc w:val="left"/>
      <w:pPr>
        <w:ind w:left="5272" w:hanging="360"/>
      </w:pPr>
    </w:lvl>
    <w:lvl w:ilvl="5">
      <w:start w:val="1"/>
      <w:numFmt w:val="bullet"/>
      <w:lvlText w:val="•"/>
      <w:lvlJc w:val="left"/>
      <w:pPr>
        <w:ind w:left="6310" w:hanging="360"/>
      </w:pPr>
    </w:lvl>
    <w:lvl w:ilvl="6">
      <w:start w:val="1"/>
      <w:numFmt w:val="bullet"/>
      <w:lvlText w:val="•"/>
      <w:lvlJc w:val="left"/>
      <w:pPr>
        <w:ind w:left="7348" w:hanging="360"/>
      </w:pPr>
    </w:lvl>
    <w:lvl w:ilvl="7">
      <w:start w:val="1"/>
      <w:numFmt w:val="bullet"/>
      <w:lvlText w:val="•"/>
      <w:lvlJc w:val="left"/>
      <w:pPr>
        <w:ind w:left="8386" w:hanging="360"/>
      </w:pPr>
    </w:lvl>
    <w:lvl w:ilvl="8">
      <w:start w:val="1"/>
      <w:numFmt w:val="bullet"/>
      <w:lvlText w:val="•"/>
      <w:lvlJc w:val="left"/>
      <w:pPr>
        <w:ind w:left="9424" w:hanging="360"/>
      </w:pPr>
    </w:lvl>
  </w:abstractNum>
  <w:abstractNum w:abstractNumId="11">
    <w:nsid w:val="742F0976"/>
    <w:multiLevelType w:val="hybridMultilevel"/>
    <w:tmpl w:val="096E31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7E30BFF"/>
    <w:multiLevelType w:val="multilevel"/>
    <w:tmpl w:val="D6A8893E"/>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13">
    <w:nsid w:val="7A1E142C"/>
    <w:multiLevelType w:val="hybridMultilevel"/>
    <w:tmpl w:val="4D02972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B000BEE"/>
    <w:multiLevelType w:val="multilevel"/>
    <w:tmpl w:val="B9E640DA"/>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num w:numId="1">
    <w:abstractNumId w:val="4"/>
  </w:num>
  <w:num w:numId="2">
    <w:abstractNumId w:val="9"/>
  </w:num>
  <w:num w:numId="3">
    <w:abstractNumId w:val="5"/>
  </w:num>
  <w:num w:numId="4">
    <w:abstractNumId w:val="14"/>
  </w:num>
  <w:num w:numId="5">
    <w:abstractNumId w:val="7"/>
  </w:num>
  <w:num w:numId="6">
    <w:abstractNumId w:val="3"/>
  </w:num>
  <w:num w:numId="7">
    <w:abstractNumId w:val="1"/>
  </w:num>
  <w:num w:numId="8">
    <w:abstractNumId w:val="0"/>
  </w:num>
  <w:num w:numId="9">
    <w:abstractNumId w:val="10"/>
  </w:num>
  <w:num w:numId="10">
    <w:abstractNumId w:val="12"/>
  </w:num>
  <w:num w:numId="11">
    <w:abstractNumId w:val="8"/>
  </w:num>
  <w:num w:numId="12">
    <w:abstractNumId w:val="13"/>
  </w:num>
  <w:num w:numId="13">
    <w:abstractNumId w:val="2"/>
  </w:num>
  <w:num w:numId="14">
    <w:abstractNumId w:val="6"/>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F02"/>
    <w:rsid w:val="000753B7"/>
    <w:rsid w:val="00090EA9"/>
    <w:rsid w:val="00164D4C"/>
    <w:rsid w:val="001E57EB"/>
    <w:rsid w:val="00212E8D"/>
    <w:rsid w:val="0021563F"/>
    <w:rsid w:val="002308C6"/>
    <w:rsid w:val="00237817"/>
    <w:rsid w:val="0029081F"/>
    <w:rsid w:val="0038220D"/>
    <w:rsid w:val="003D4E17"/>
    <w:rsid w:val="004273AE"/>
    <w:rsid w:val="0057223A"/>
    <w:rsid w:val="005D3B19"/>
    <w:rsid w:val="00634E8E"/>
    <w:rsid w:val="00641BC6"/>
    <w:rsid w:val="00641D2C"/>
    <w:rsid w:val="00683CC7"/>
    <w:rsid w:val="006D5CB9"/>
    <w:rsid w:val="006E3877"/>
    <w:rsid w:val="006E6BF4"/>
    <w:rsid w:val="00706AB4"/>
    <w:rsid w:val="007E0586"/>
    <w:rsid w:val="008609EB"/>
    <w:rsid w:val="00863480"/>
    <w:rsid w:val="00896917"/>
    <w:rsid w:val="00896ACB"/>
    <w:rsid w:val="008B4B02"/>
    <w:rsid w:val="008D4D3C"/>
    <w:rsid w:val="009532D4"/>
    <w:rsid w:val="009908F5"/>
    <w:rsid w:val="009A6F02"/>
    <w:rsid w:val="009E3A2C"/>
    <w:rsid w:val="00A623A0"/>
    <w:rsid w:val="00AA6FE7"/>
    <w:rsid w:val="00AA7C56"/>
    <w:rsid w:val="00AC6043"/>
    <w:rsid w:val="00B87A7A"/>
    <w:rsid w:val="00C01F1C"/>
    <w:rsid w:val="00CA35BA"/>
    <w:rsid w:val="00CC0D5C"/>
    <w:rsid w:val="00D865B4"/>
    <w:rsid w:val="00DA0AD5"/>
    <w:rsid w:val="00E23201"/>
    <w:rsid w:val="00E271B8"/>
    <w:rsid w:val="00E8753B"/>
    <w:rsid w:val="00EB35F2"/>
    <w:rsid w:val="00EC6D2A"/>
    <w:rsid w:val="00EC6F56"/>
    <w:rsid w:val="00ED6F14"/>
    <w:rsid w:val="00EE4C70"/>
    <w:rsid w:val="00F01CCE"/>
    <w:rsid w:val="00F23A69"/>
    <w:rsid w:val="00F47BCB"/>
    <w:rsid w:val="00F61399"/>
    <w:rsid w:val="00F7134C"/>
    <w:rsid w:val="00F85E5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5C3FB0"/>
  <w15:docId w15:val="{8F19520A-2545-475E-8300-D817D587E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C70"/>
    <w:pPr>
      <w:spacing w:before="100" w:beforeAutospacing="1" w:after="100" w:afterAutospacing="1"/>
    </w:pPr>
  </w:style>
  <w:style w:type="paragraph" w:styleId="Heading1">
    <w:name w:val="heading 1"/>
    <w:basedOn w:val="Normal"/>
    <w:uiPriority w:val="9"/>
    <w:qFormat/>
    <w:pPr>
      <w:spacing w:before="80"/>
      <w:ind w:left="400"/>
      <w:outlineLvl w:val="0"/>
    </w:pPr>
    <w:rPr>
      <w:b/>
      <w:b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left w:w="115" w:type="dxa"/>
        <w:right w:w="115" w:type="dxa"/>
      </w:tblCellMar>
    </w:tblPr>
  </w:style>
  <w:style w:type="table" w:customStyle="1" w:styleId="a5">
    <w:name w:val="a5"/>
    <w:basedOn w:val="TableNormal"/>
    <w:tblPr>
      <w:tblStyleRowBandSize w:val="1"/>
      <w:tblStyleColBandSize w:val="1"/>
      <w:tblCellMar>
        <w:left w:w="0" w:type="dxa"/>
        <w:right w:w="0" w:type="dxa"/>
      </w:tblCellMar>
    </w:tblPr>
  </w:style>
  <w:style w:type="paragraph" w:customStyle="1" w:styleId="indent-2">
    <w:name w:val="indent-2"/>
    <w:basedOn w:val="Normal"/>
    <w:rsid w:val="0029081F"/>
    <w:pPr>
      <w:widowControl/>
    </w:pPr>
  </w:style>
  <w:style w:type="character" w:customStyle="1" w:styleId="paragraph-hierarchy">
    <w:name w:val="paragraph-hierarchy"/>
    <w:basedOn w:val="DefaultParagraphFont"/>
    <w:rsid w:val="0029081F"/>
  </w:style>
  <w:style w:type="character" w:customStyle="1" w:styleId="paren">
    <w:name w:val="paren"/>
    <w:basedOn w:val="DefaultParagraphFont"/>
    <w:rsid w:val="0029081F"/>
  </w:style>
  <w:style w:type="paragraph" w:styleId="CommentSubject">
    <w:name w:val="annotation subject"/>
    <w:basedOn w:val="CommentText"/>
    <w:next w:val="CommentText"/>
    <w:link w:val="CommentSubjectChar"/>
    <w:uiPriority w:val="99"/>
    <w:semiHidden/>
    <w:unhideWhenUsed/>
    <w:rsid w:val="0029081F"/>
    <w:pPr>
      <w:widowControl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29081F"/>
    <w:rPr>
      <w:rFonts w:ascii="Arial" w:eastAsia="Arial" w:hAnsi="Arial" w:cs="Arial"/>
      <w:b/>
      <w:bCs/>
      <w:color w:val="2E5395"/>
      <w:sz w:val="20"/>
      <w:szCs w:val="20"/>
    </w:rPr>
  </w:style>
  <w:style w:type="character" w:customStyle="1" w:styleId="UnresolvedMention1">
    <w:name w:val="Unresolved Mention1"/>
    <w:basedOn w:val="DefaultParagraphFont"/>
    <w:uiPriority w:val="99"/>
    <w:semiHidden/>
    <w:unhideWhenUsed/>
    <w:rsid w:val="00F613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nmfs.noaa.gov/msa2005/docs/MSA_amended_msa%20_20070112_FINAL.pdf" TargetMode="External" /><Relationship Id="rId11" Type="http://schemas.openxmlformats.org/officeDocument/2006/relationships/hyperlink" Target="https://www.govinfo.gov/content/pkg/FR-2007-05-30/pdf/E7-10379.pdf" TargetMode="External" /><Relationship Id="rId12" Type="http://schemas.openxmlformats.org/officeDocument/2006/relationships/hyperlink" Target="http://edocket.access.gpo.gov/2008/pdf/E8-24201.pdf" TargetMode="External" /><Relationship Id="rId13" Type="http://schemas.openxmlformats.org/officeDocument/2006/relationships/hyperlink" Target="https://www.federalregister.gov/documents/2022/09/06/2022-19200/agency-information-collection-activities-submission-to-the-office-of-management-and-budget-omb-for" TargetMode="External" /><Relationship Id="rId14" Type="http://schemas.openxmlformats.org/officeDocument/2006/relationships/hyperlink" Target="http://www.gpo.gov/fdsys/pkg/CFR-2014-title5-vol3/pdf/CFR-2014-title5-vol3-sec1320-9.pdf" TargetMode="External" /><Relationship Id="rId15" Type="http://schemas.openxmlformats.org/officeDocument/2006/relationships/hyperlink" Target="http://www.gpo.gov/fdsys/pkg/CFR-2014-title5-vol3/pdf/CFR-2014-title5-vol3-sec1320-8.pdf" TargetMode="Externa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hyperlink" Target="http://www.nmfs.noaa.gov/pr/pdfs/laws/esa.pdf" TargetMode="External" /><Relationship Id="rId9" Type="http://schemas.openxmlformats.org/officeDocument/2006/relationships/hyperlink" Target="https://www.federalregister.gov/documents/2006/06/29/06-5816/fisheries-off-west-coast-states-coastal-pelagic-species-fisheries-amendment-1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0X+Rgwo6KWsEiVmTPx4tTOz3gw==">AMUW2mXaRh70D1fOVQ0TZYx+LKFw0B0VmFLfX7mqouGesqmYGx0SBYN0YDw/imtcRAHcr9X/+uA+qzIYoSLJAPBhn0KXLy6P9QAqy+6ckwXUNmXa0DkLHYnqcwYbi8BsUfBGegCsq9R5</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4D7BAB8-50C9-407C-BC33-CCFCB10D1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2371</Words>
  <Characters>13521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Janet.Peery</cp:lastModifiedBy>
  <cp:revision>8</cp:revision>
  <dcterms:created xsi:type="dcterms:W3CDTF">2023-01-06T19:25:00Z</dcterms:created>
  <dcterms:modified xsi:type="dcterms:W3CDTF">2023-01-12T14:18:00Z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