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5DB7" w:rsidRPr="003A6EFA" w:rsidP="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3F6A2C">
        <w:rPr>
          <w:rFonts w:ascii="Times New Roman" w:hAnsi="Times New Roman" w:cs="Times New Roman"/>
          <w:sz w:val="18"/>
          <w:szCs w:val="18"/>
        </w:rPr>
        <w:t>XX/XX/20XX</w:t>
      </w:r>
    </w:p>
    <w:tbl>
      <w:tblPr>
        <w:tblStyle w:val="TableGrid"/>
        <w:tblW w:w="0" w:type="auto"/>
        <w:tblLook w:val="04A0"/>
      </w:tblPr>
      <w:tblGrid>
        <w:gridCol w:w="1681"/>
        <w:gridCol w:w="3276"/>
        <w:gridCol w:w="4393"/>
      </w:tblGrid>
      <w:tr w:rsidTr="00074C6E">
        <w:tblPrEx>
          <w:tblW w:w="0" w:type="auto"/>
          <w:tblLook w:val="04A0"/>
        </w:tblPrEx>
        <w:tc>
          <w:tcPr>
            <w:tcW w:w="1818" w:type="dxa"/>
          </w:tcPr>
          <w:p w:rsidR="00EA5DB7" w:rsidRPr="008915DB" w:rsidP="00074C6E">
            <w:pPr>
              <w:rPr>
                <w:rFonts w:ascii="Times New Roman" w:hAnsi="Times New Roman" w:cs="Times New Roman"/>
                <w:sz w:val="40"/>
                <w:szCs w:val="40"/>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73405"/>
                              </a:xfrm>
                              <a:prstGeom prst="rect">
                                <a:avLst/>
                              </a:prstGeom>
                              <a:noFill/>
                              <a:ln>
                                <a:noFill/>
                              </a:ln>
                              <a:effectLst/>
                            </wps:spPr>
                            <wps:txbx>
                              <w:txbxContent>
                                <w:p w:rsidR="00EA5DB7" w:rsidRPr="008915DB"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in;height:45.15pt;margin-top:22pt;margin-left:0.7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EA5DB7" w:rsidRPr="008915DB"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P="00074C6E">
            <w:pPr>
              <w:jc w:val="center"/>
              <w:rPr>
                <w:rFonts w:ascii="Times New Roman" w:hAnsi="Times New Roman" w:cs="Times New Roman"/>
                <w:sz w:val="24"/>
                <w:szCs w:val="24"/>
              </w:rPr>
            </w:pPr>
          </w:p>
        </w:tc>
        <w:tc>
          <w:tcPr>
            <w:tcW w:w="3365" w:type="dxa"/>
            <w:vAlign w:val="center"/>
          </w:tcPr>
          <w:p w:rsidR="00EA5DB7" w:rsidRPr="008915DB" w:rsidP="00074C6E">
            <w:pPr>
              <w:jc w:val="center"/>
              <w:rPr>
                <w:rFonts w:ascii="Times New Roman" w:hAnsi="Times New Roman" w:cs="Times New Roman"/>
                <w:b/>
                <w:sz w:val="28"/>
                <w:szCs w:val="28"/>
              </w:rPr>
            </w:pPr>
            <w:r w:rsidRPr="008915DB">
              <w:rPr>
                <w:rFonts w:ascii="Times New Roman" w:hAnsi="Times New Roman" w:cs="Times New Roman"/>
                <w:b/>
                <w:sz w:val="28"/>
                <w:szCs w:val="28"/>
              </w:rPr>
              <w:t>AMENDMENT 80</w:t>
            </w:r>
            <w:r>
              <w:rPr>
                <w:rFonts w:ascii="Times New Roman" w:hAnsi="Times New Roman" w:cs="Times New Roman"/>
                <w:b/>
                <w:sz w:val="28"/>
                <w:szCs w:val="28"/>
              </w:rPr>
              <w:t xml:space="preserve"> </w:t>
            </w:r>
            <w:r w:rsidRPr="008915DB">
              <w:rPr>
                <w:rFonts w:ascii="Times New Roman" w:hAnsi="Times New Roman" w:cs="Times New Roman"/>
                <w:b/>
                <w:sz w:val="28"/>
                <w:szCs w:val="28"/>
              </w:rPr>
              <w:t xml:space="preserve"> </w:t>
            </w:r>
          </w:p>
          <w:p w:rsidR="00EA5DB7" w:rsidP="00847FFB">
            <w:pPr>
              <w:jc w:val="center"/>
              <w:rPr>
                <w:rFonts w:ascii="Times New Roman" w:hAnsi="Times New Roman" w:cs="Times New Roman"/>
                <w:sz w:val="24"/>
                <w:szCs w:val="24"/>
              </w:rPr>
            </w:pPr>
            <w:r>
              <w:rPr>
                <w:rFonts w:ascii="Times New Roman" w:hAnsi="Times New Roman" w:cs="Times New Roman"/>
                <w:b/>
                <w:sz w:val="28"/>
                <w:szCs w:val="28"/>
              </w:rPr>
              <w:t>HALIBUT PSC</w:t>
            </w:r>
            <w:r w:rsidR="00847FFB">
              <w:rPr>
                <w:rFonts w:ascii="Times New Roman" w:hAnsi="Times New Roman" w:cs="Times New Roman"/>
                <w:b/>
                <w:sz w:val="28"/>
                <w:szCs w:val="28"/>
              </w:rPr>
              <w:t xml:space="preserve"> MANAGEMENT </w:t>
            </w:r>
            <w:r>
              <w:rPr>
                <w:rFonts w:ascii="Times New Roman" w:hAnsi="Times New Roman" w:cs="Times New Roman"/>
                <w:b/>
                <w:sz w:val="28"/>
                <w:szCs w:val="28"/>
              </w:rPr>
              <w:t>PLAN</w:t>
            </w:r>
          </w:p>
        </w:tc>
        <w:tc>
          <w:tcPr>
            <w:tcW w:w="4393" w:type="dxa"/>
          </w:tcPr>
          <w:p w:rsidR="00EA5DB7" w:rsidRPr="00C15CE4"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8240" behindDoc="0" locked="0" layoutInCell="1" allowOverlap="1">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4" r:link="rId5" cstate="prin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P="00EA5DB7">
      <w:pPr>
        <w:spacing w:after="0" w:line="240" w:lineRule="auto"/>
        <w:rPr>
          <w:rFonts w:ascii="Times New Roman" w:hAnsi="Times New Roman" w:cs="Times New Roman"/>
          <w:sz w:val="24"/>
          <w:szCs w:val="24"/>
        </w:rPr>
      </w:pPr>
    </w:p>
    <w:p w:rsidR="00FB033F" w:rsidRPr="0029325C" w:rsidP="00FB033F">
      <w:pPr>
        <w:spacing w:after="0" w:line="240" w:lineRule="auto"/>
        <w:rPr>
          <w:rFonts w:ascii="Times New Roman" w:hAnsi="Times New Roman" w:cs="Times New Roman"/>
        </w:rPr>
      </w:pPr>
      <w:r w:rsidRPr="00FB033F">
        <w:rPr>
          <w:rFonts w:ascii="Times New Roman" w:hAnsi="Times New Roman" w:cs="Times New Roman"/>
        </w:rPr>
        <w:t xml:space="preserve">The Council requested that Amendment 80 cooperatives provide a Halibut PSC </w:t>
      </w:r>
      <w:r>
        <w:rPr>
          <w:rFonts w:ascii="Times New Roman" w:hAnsi="Times New Roman" w:cs="Times New Roman"/>
        </w:rPr>
        <w:t>M</w:t>
      </w:r>
      <w:r w:rsidRPr="00FB033F">
        <w:rPr>
          <w:rFonts w:ascii="Times New Roman" w:hAnsi="Times New Roman" w:cs="Times New Roman"/>
        </w:rPr>
        <w:t xml:space="preserve">anagement </w:t>
      </w:r>
      <w:r>
        <w:rPr>
          <w:rFonts w:ascii="Times New Roman" w:hAnsi="Times New Roman" w:cs="Times New Roman"/>
        </w:rPr>
        <w:t>P</w:t>
      </w:r>
      <w:r w:rsidRPr="00FB033F">
        <w:rPr>
          <w:rFonts w:ascii="Times New Roman" w:hAnsi="Times New Roman" w:cs="Times New Roman"/>
        </w:rPr>
        <w:t xml:space="preserve">lan to inform the Council of their progress on voluntary, non-regulatory methods used within their fishery cooperatives to avoid halibut bycatch in the BSAI groundfish fisheries.  </w:t>
      </w:r>
      <w:r w:rsidRPr="0029325C">
        <w:rPr>
          <w:rFonts w:ascii="Times New Roman" w:hAnsi="Times New Roman" w:cs="Times New Roman"/>
        </w:rPr>
        <w:t xml:space="preserve">Since 2011, all vessels and companies participating in the Amendment 80 sector have been affiliated with one of two Amendment 80 cooperatives, the Alaska Seafood Cooperative or the Alaska Groundfish Cooperative.  </w:t>
      </w:r>
    </w:p>
    <w:p w:rsidR="00FB033F" w:rsidRPr="00FB033F" w:rsidP="00FB033F">
      <w:pPr>
        <w:spacing w:after="0" w:line="240" w:lineRule="auto"/>
        <w:rPr>
          <w:rFonts w:ascii="Times New Roman" w:hAnsi="Times New Roman" w:cs="Times New Roman"/>
        </w:rPr>
      </w:pPr>
    </w:p>
    <w:p w:rsidR="00FB033F" w:rsidRPr="00FB033F" w:rsidP="00FB033F">
      <w:pPr>
        <w:spacing w:after="0" w:line="240" w:lineRule="auto"/>
        <w:rPr>
          <w:rFonts w:ascii="Times New Roman" w:hAnsi="Times New Roman" w:cs="Times New Roman"/>
        </w:rPr>
      </w:pPr>
      <w:r w:rsidRPr="00FB033F">
        <w:rPr>
          <w:rFonts w:ascii="Times New Roman" w:hAnsi="Times New Roman" w:cs="Times New Roman"/>
        </w:rPr>
        <w:t>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00FB033F" w:rsidRPr="00FB033F" w:rsidP="00FB033F">
      <w:pPr>
        <w:spacing w:after="0" w:line="240" w:lineRule="auto"/>
        <w:rPr>
          <w:rFonts w:ascii="Times New Roman" w:hAnsi="Times New Roman" w:cs="Times New Roman"/>
        </w:rPr>
      </w:pP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The annual A80 Halibut PSC Management Plan for the prior calendar year must be received by the Regional Administrator not later than 1700 hours, A.l.t. on March 1 of each year.</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When complete, submit the annual A80 Halibut PSC Management Plan:</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Online</w:t>
      </w:r>
      <w:r w:rsidRPr="0029325C">
        <w:rPr>
          <w:rFonts w:ascii="Times New Roman" w:hAnsi="Times New Roman" w:cs="Times New Roman"/>
        </w:rPr>
        <w:t xml:space="preserve"> at:                               https://alaskafisheries.noaa.gov/webapps/efish/login</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By</w:t>
      </w:r>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or</w:t>
      </w:r>
      <w:r w:rsidRPr="0029325C">
        <w:rPr>
          <w:rFonts w:ascii="Times New Roman" w:hAnsi="Times New Roman" w:cs="Times New Roman"/>
        </w:rPr>
        <w:t xml:space="preserve"> by mail to:                         Regional Administrator</w:t>
      </w:r>
    </w:p>
    <w:p w:rsidR="005B5E05" w:rsidRPr="0029325C"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NMFS Alaska Region</w:t>
      </w:r>
    </w:p>
    <w:p w:rsidR="005B5E05" w:rsidRPr="0029325C"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P.O. Box 21668</w:t>
      </w:r>
    </w:p>
    <w:p w:rsidR="005B5E05" w:rsidRPr="0029325C"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Juneau, AK 99802-1668</w:t>
      </w:r>
    </w:p>
    <w:p w:rsidR="005B5E05" w:rsidRPr="0029325C" w:rsidP="00660190">
      <w:pPr>
        <w:tabs>
          <w:tab w:val="left" w:pos="3240"/>
        </w:tabs>
        <w:spacing w:after="0" w:line="240" w:lineRule="auto"/>
        <w:rPr>
          <w:rFonts w:ascii="Times New Roman" w:hAnsi="Times New Roman" w:cs="Times New Roman"/>
        </w:rPr>
      </w:pP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The plans should be designed not just to accommodate the revised hard caps, but to bring savings to levels below the hard cap.  The Council has asked that the cooperatives’ Plans include the following information.</w:t>
      </w:r>
    </w:p>
    <w:p w:rsidR="00EA5DB7" w:rsidRPr="0029325C" w:rsidP="00EA5DB7">
      <w:pPr>
        <w:spacing w:after="0" w:line="240" w:lineRule="auto"/>
        <w:rPr>
          <w:rFonts w:ascii="Times New Roman" w:hAnsi="Times New Roman" w:cs="Times New Roman"/>
        </w:rPr>
      </w:pPr>
    </w:p>
    <w:p w:rsidR="00EA5DB7" w:rsidRPr="0029325C" w:rsidP="00EA5DB7">
      <w:pPr>
        <w:spacing w:after="0" w:line="240" w:lineRule="auto"/>
        <w:rPr>
          <w:rFonts w:ascii="Times New Roman" w:hAnsi="Times New Roman" w:cs="Times New Roman"/>
          <w:b/>
        </w:rPr>
      </w:pPr>
      <w:r w:rsidRPr="0029325C">
        <w:rPr>
          <w:rFonts w:ascii="Times New Roman" w:hAnsi="Times New Roman" w:cs="Times New Roman"/>
          <w:b/>
        </w:rPr>
        <w:t>Amendment 80 Halibut PSC Management Plan</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Halibut avoidance practices on the grounds</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Increased communication between participating harvesters</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Sharing data for performance tracking</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Use and development of excluders</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Deck sorting</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Performance measurement and assessment at the boat and company level</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Incentives for continuous efforts to minimize bycatch</w:t>
      </w:r>
    </w:p>
    <w:p w:rsidR="00EA5DB7" w:rsidRPr="0029325C" w:rsidP="00EA5DB7">
      <w:pPr>
        <w:spacing w:after="0" w:line="240" w:lineRule="auto"/>
        <w:rPr>
          <w:rFonts w:ascii="Times New Roman" w:hAnsi="Times New Roman" w:cs="Times New Roman"/>
        </w:rPr>
      </w:pPr>
      <w:r w:rsidRPr="0029325C">
        <w:rPr>
          <w:rFonts w:ascii="Times New Roman" w:hAnsi="Times New Roman" w:cs="Times New Roman"/>
        </w:rPr>
        <w:t xml:space="preserve">        Consequences for substandard performance</w:t>
      </w:r>
    </w:p>
    <w:p w:rsidR="0029325C" w:rsidRPr="0029325C" w:rsidP="00EA5DB7">
      <w:pPr>
        <w:spacing w:after="0" w:line="240" w:lineRule="auto"/>
        <w:rPr>
          <w:rFonts w:ascii="Times New Roman" w:hAnsi="Times New Roman" w:cs="Times New Roman"/>
        </w:rPr>
      </w:pPr>
    </w:p>
    <w:p w:rsidR="00FB033F" w:rsidP="0029325C">
      <w:pPr>
        <w:spacing w:after="0" w:line="240" w:lineRule="auto"/>
        <w:rPr>
          <w:rFonts w:ascii="Times New Roman" w:hAnsi="Times New Roman" w:cs="Times New Roman"/>
        </w:rPr>
      </w:pPr>
      <w:r>
        <w:rPr>
          <w:rFonts w:ascii="Times New Roman" w:hAnsi="Times New Roman" w:cs="Times New Roman"/>
        </w:rPr>
        <w:t>Estimated time to complete:  12</w:t>
      </w:r>
      <w:r w:rsidRPr="0029325C" w:rsidR="0029325C">
        <w:rPr>
          <w:rFonts w:ascii="Times New Roman" w:hAnsi="Times New Roman" w:cs="Times New Roman"/>
        </w:rPr>
        <w:t xml:space="preserve"> hours per report.</w:t>
      </w:r>
    </w:p>
    <w:p w:rsidR="00FB033F">
      <w:pPr>
        <w:rPr>
          <w:rFonts w:ascii="Times New Roman" w:hAnsi="Times New Roman" w:cs="Times New Roman"/>
        </w:rPr>
      </w:pPr>
      <w:r>
        <w:rPr>
          <w:rFonts w:ascii="Times New Roman" w:hAnsi="Times New Roman" w:cs="Times New Roman"/>
        </w:rPr>
        <w:br w:type="page"/>
      </w:r>
    </w:p>
    <w:p w:rsidR="0029325C" w:rsidRPr="00FB033F" w:rsidP="0029325C">
      <w:pPr>
        <w:spacing w:after="0" w:line="240" w:lineRule="auto"/>
        <w:rPr>
          <w:rFonts w:ascii="Times New Roman" w:hAnsi="Times New Roman" w:cs="Times New Roman"/>
          <w:sz w:val="20"/>
          <w:szCs w:val="20"/>
        </w:rPr>
      </w:pPr>
    </w:p>
    <w:p w:rsidR="0029325C" w:rsidRPr="00FB033F" w:rsidP="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0029325C" w:rsidRPr="00FB033F" w:rsidP="0029325C">
      <w:pPr>
        <w:spacing w:after="0" w:line="240" w:lineRule="auto"/>
        <w:jc w:val="center"/>
        <w:rPr>
          <w:b/>
          <w:bCs/>
          <w:i/>
          <w:color w:val="000000"/>
          <w:sz w:val="20"/>
          <w:szCs w:val="20"/>
        </w:rPr>
      </w:pPr>
    </w:p>
    <w:p w:rsidR="0029325C" w:rsidRPr="00FB033F" w:rsidP="0029325C">
      <w:pPr>
        <w:spacing w:after="0" w:line="240" w:lineRule="auto"/>
        <w:jc w:val="center"/>
        <w:rPr>
          <w:i/>
          <w:color w:val="000000"/>
          <w:sz w:val="20"/>
          <w:szCs w:val="20"/>
        </w:rPr>
      </w:pPr>
      <w:r w:rsidRPr="00FB033F">
        <w:rPr>
          <w:b/>
          <w:bCs/>
          <w:i/>
          <w:color w:val="000000"/>
          <w:sz w:val="20"/>
          <w:szCs w:val="20"/>
        </w:rPr>
        <w:t>PUBLIC REPORTING BURDEN STATEMENT</w:t>
      </w:r>
    </w:p>
    <w:p w:rsidR="0029325C" w:rsidRPr="00FB033F" w:rsidP="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Pr="00FB033F" w:rsidR="00660190">
        <w:rPr>
          <w:color w:val="000000"/>
          <w:sz w:val="20"/>
          <w:szCs w:val="20"/>
        </w:rPr>
        <w:t>12</w:t>
      </w:r>
      <w:r w:rsidR="003F6A2C">
        <w:rPr>
          <w:color w:val="000000"/>
          <w:sz w:val="20"/>
          <w:szCs w:val="20"/>
        </w:rPr>
        <w:t>-13</w:t>
      </w:r>
      <w:bookmarkStart w:id="0" w:name="_GoBack"/>
      <w:bookmarkEnd w:id="0"/>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r w:rsidRPr="00FB033F">
        <w:rPr>
          <w:color w:val="000000"/>
          <w:sz w:val="20"/>
          <w:szCs w:val="20"/>
        </w:rPr>
        <w:t>P.O</w:t>
      </w:r>
      <w:r w:rsidRPr="00FB033F">
        <w:rPr>
          <w:color w:val="000000"/>
          <w:sz w:val="20"/>
          <w:szCs w:val="20"/>
        </w:rPr>
        <w:t xml:space="preserve">. Box 21668, Juneau, AK 99802-1668. </w:t>
      </w:r>
    </w:p>
    <w:p w:rsidR="0029325C" w:rsidRPr="00FB033F" w:rsidP="0029325C">
      <w:pPr>
        <w:autoSpaceDE w:val="0"/>
        <w:autoSpaceDN w:val="0"/>
        <w:adjustRightInd w:val="0"/>
        <w:spacing w:after="0" w:line="240" w:lineRule="auto"/>
        <w:jc w:val="center"/>
        <w:rPr>
          <w:b/>
          <w:bCs/>
          <w:i/>
          <w:color w:val="000000"/>
          <w:sz w:val="20"/>
          <w:szCs w:val="20"/>
        </w:rPr>
      </w:pPr>
    </w:p>
    <w:p w:rsidR="0029325C" w:rsidRPr="00FB033F" w:rsidP="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0029325C" w:rsidRPr="00FB033F" w:rsidP="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BC5768" w:rsidRPr="00FB033F" w:rsidP="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p>
    <w:sectPr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7"/>
    <w:rsid w:val="00074C6E"/>
    <w:rsid w:val="00201B51"/>
    <w:rsid w:val="0029325C"/>
    <w:rsid w:val="003A6EFA"/>
    <w:rsid w:val="003F6A2C"/>
    <w:rsid w:val="005B5E05"/>
    <w:rsid w:val="00660190"/>
    <w:rsid w:val="00847FFB"/>
    <w:rsid w:val="008915DB"/>
    <w:rsid w:val="00BC5768"/>
    <w:rsid w:val="00C15CE4"/>
    <w:rsid w:val="00EA5DB7"/>
    <w:rsid w:val="00FB0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274F1E"/>
  <w15:docId w15:val="{6A64113F-206E-4B6D-85E8-362D54F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home.nmfs.noaa.gov/ocioweb/webguide/cdprint/images/logo-noaa.gi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2020-02-15T20:19:00Z</dcterms:created>
  <dcterms:modified xsi:type="dcterms:W3CDTF">2023-01-19T19:02:00Z</dcterms:modified>
</cp:coreProperties>
</file>