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01D2" w:rsidP="003C67D8" w14:paraId="526EE951" w14:textId="77777777">
      <w:pPr>
        <w:jc w:val="center"/>
        <w:rPr>
          <w:b/>
        </w:rPr>
      </w:pPr>
    </w:p>
    <w:p w:rsidR="003C67D8" w:rsidP="003C67D8" w14:paraId="3285F260" w14:textId="282945FE">
      <w:pPr>
        <w:jc w:val="center"/>
        <w:rPr>
          <w:b/>
        </w:rPr>
      </w:pPr>
      <w:r>
        <w:rPr>
          <w:b/>
        </w:rPr>
        <w:t>CENTER FOR TOBACCO PRODUCTS</w:t>
      </w:r>
    </w:p>
    <w:p w:rsidR="007201D2" w:rsidP="003C67D8" w14:paraId="7618AB52" w14:textId="77777777">
      <w:pPr>
        <w:jc w:val="center"/>
        <w:rPr>
          <w:b/>
        </w:rPr>
      </w:pPr>
    </w:p>
    <w:p w:rsidR="00380859" w:rsidRPr="007201D2" w:rsidP="00380859" w14:paraId="3A05E984" w14:textId="40BE1DF3">
      <w:pPr>
        <w:jc w:val="center"/>
        <w:rPr>
          <w:bCs/>
        </w:rPr>
      </w:pPr>
      <w:r w:rsidRPr="007201D2">
        <w:rPr>
          <w:bCs/>
        </w:rPr>
        <w:t>Potential Tobacco Product Violations Reporting Form</w:t>
      </w:r>
    </w:p>
    <w:p w:rsidR="00380859" w:rsidRPr="007201D2" w:rsidP="00380859" w14:paraId="0FDC436C" w14:textId="77777777">
      <w:pPr>
        <w:jc w:val="center"/>
        <w:rPr>
          <w:bCs/>
        </w:rPr>
      </w:pPr>
    </w:p>
    <w:p w:rsidR="00380859" w:rsidRPr="007201D2" w:rsidP="00380859" w14:paraId="1013513E" w14:textId="32E8EDCD">
      <w:pPr>
        <w:jc w:val="center"/>
        <w:rPr>
          <w:bCs/>
        </w:rPr>
      </w:pPr>
      <w:r w:rsidRPr="00413223">
        <w:rPr>
          <w:rFonts w:eastAsia="Calibri"/>
          <w:u w:val="single"/>
        </w:rPr>
        <w:t xml:space="preserve">OMB Control No. </w:t>
      </w:r>
      <w:r w:rsidRPr="007201D2">
        <w:rPr>
          <w:bCs/>
          <w:u w:val="single"/>
        </w:rPr>
        <w:t>0910-0716</w:t>
      </w:r>
    </w:p>
    <w:p w:rsidR="00380859" w:rsidRPr="00872A45" w:rsidP="00380859" w14:paraId="5020642E" w14:textId="77777777">
      <w:pPr>
        <w:jc w:val="center"/>
        <w:rPr>
          <w:b/>
        </w:rPr>
      </w:pPr>
    </w:p>
    <w:p w:rsidR="00380859" w:rsidRPr="007201D2" w:rsidP="00380859" w14:paraId="05B01C72" w14:textId="64E42041">
      <w:pPr>
        <w:jc w:val="center"/>
        <w:rPr>
          <w:bCs/>
        </w:rPr>
      </w:pPr>
      <w:r w:rsidRPr="007201D2">
        <w:rPr>
          <w:bCs/>
        </w:rPr>
        <w:t>SUPPORTING STATEMENT</w:t>
      </w:r>
      <w:r w:rsidRPr="007201D2" w:rsidR="000C578A">
        <w:rPr>
          <w:bCs/>
        </w:rPr>
        <w:t xml:space="preserve"> </w:t>
      </w:r>
    </w:p>
    <w:p w:rsidR="007201D2" w:rsidP="007201D2" w14:paraId="1BABE2A7" w14:textId="77777777">
      <w:pPr>
        <w:rPr>
          <w:rFonts w:eastAsia="Calibri"/>
          <w:u w:val="single"/>
        </w:rPr>
      </w:pPr>
    </w:p>
    <w:p w:rsidR="007201D2" w:rsidRPr="00357C8A" w:rsidP="007201D2" w14:paraId="485FCCA3" w14:textId="03F9A7ED">
      <w:pPr>
        <w:rPr>
          <w:rFonts w:eastAsia="Calibri"/>
        </w:rPr>
      </w:pPr>
      <w:r w:rsidRPr="009122AE">
        <w:rPr>
          <w:rFonts w:eastAsia="Calibri"/>
          <w:u w:val="single"/>
        </w:rPr>
        <w:t>Terms of Clearance</w:t>
      </w:r>
      <w:r>
        <w:rPr>
          <w:rFonts w:eastAsia="Calibri"/>
        </w:rPr>
        <w:t>: None</w:t>
      </w:r>
      <w:r w:rsidRPr="009B4DF2">
        <w:t>.</w:t>
      </w:r>
    </w:p>
    <w:p w:rsidR="00380859" w:rsidP="00380859" w14:paraId="503FEBD3" w14:textId="1AC939D8">
      <w:pPr>
        <w:pStyle w:val="NormalWeb"/>
      </w:pPr>
      <w:r>
        <w:rPr>
          <w:b/>
          <w:bCs/>
        </w:rPr>
        <w:t xml:space="preserve">Part </w:t>
      </w:r>
      <w:r>
        <w:rPr>
          <w:b/>
          <w:bCs/>
        </w:rPr>
        <w:t>A. Justification</w:t>
      </w:r>
    </w:p>
    <w:p w:rsidR="00380859" w:rsidRPr="008D4F2E" w:rsidP="008D4F2E" w14:paraId="3F46D026" w14:textId="1E553553">
      <w:pPr>
        <w:pStyle w:val="ListParagraph"/>
        <w:numPr>
          <w:ilvl w:val="0"/>
          <w:numId w:val="33"/>
        </w:numPr>
        <w:spacing w:before="100" w:beforeAutospacing="1" w:after="100" w:afterAutospacing="1"/>
        <w:rPr>
          <w:bCs/>
          <w:u w:val="single"/>
        </w:rPr>
      </w:pPr>
      <w:r w:rsidRPr="008D4F2E">
        <w:rPr>
          <w:bCs/>
          <w:u w:val="single"/>
        </w:rPr>
        <w:t xml:space="preserve">Circumstances Making the Collection of Information Necessary </w:t>
      </w:r>
    </w:p>
    <w:p w:rsidR="005D2E99" w:rsidP="008D4F2E" w14:paraId="79B7590F" w14:textId="05762F58">
      <w:pPr>
        <w:spacing w:before="120"/>
        <w:ind w:left="360" w:right="720"/>
        <w:rPr>
          <w:rFonts w:eastAsia="Calibri"/>
        </w:rPr>
      </w:pPr>
      <w:r w:rsidRPr="005C71CA">
        <w:rPr>
          <w:rFonts w:eastAsia="Calibri"/>
        </w:rPr>
        <w:t>This information collection supports Food and Drug Administration (FDA, us or we) programs.</w:t>
      </w:r>
      <w:r w:rsidR="003934C7">
        <w:rPr>
          <w:rFonts w:eastAsia="Calibri"/>
        </w:rPr>
        <w:t xml:space="preserve"> </w:t>
      </w:r>
      <w:r w:rsidRPr="002F572A" w:rsidR="003934C7">
        <w:rPr>
          <w:rFonts w:eastAsia="Calibri"/>
        </w:rPr>
        <w:t xml:space="preserve">Tobacco products are </w:t>
      </w:r>
      <w:r w:rsidR="003934C7">
        <w:rPr>
          <w:rFonts w:eastAsia="Calibri"/>
        </w:rPr>
        <w:t xml:space="preserve">generally </w:t>
      </w:r>
      <w:r w:rsidRPr="002F572A" w:rsidR="003934C7">
        <w:rPr>
          <w:rFonts w:eastAsia="Calibri"/>
        </w:rPr>
        <w:t xml:space="preserve">governed by chapter IX of the Federal Food, Drug, and Cosmetic Act </w:t>
      </w:r>
      <w:r w:rsidR="00DC2638">
        <w:t xml:space="preserve">(FD&amp;C Act) </w:t>
      </w:r>
      <w:r w:rsidRPr="002F572A" w:rsidR="003934C7">
        <w:rPr>
          <w:rFonts w:eastAsia="Calibri"/>
        </w:rPr>
        <w:t>(sections 900 through 920) (21 U.S.C. 387 through 21 U.S.C. 387t).</w:t>
      </w:r>
      <w:r w:rsidR="00DC2638">
        <w:rPr>
          <w:rFonts w:eastAsia="Calibri"/>
        </w:rPr>
        <w:t xml:space="preserve"> </w:t>
      </w:r>
      <w:r w:rsidR="00DC2638">
        <w:t xml:space="preserve">The FD&amp;C Act provides FDA authority to monitor </w:t>
      </w:r>
      <w:r w:rsidRPr="00DC2638" w:rsidR="00DC2638">
        <w:t>compliance with Federal tobacco laws and regulations and take corrective action when violations occur.</w:t>
      </w:r>
    </w:p>
    <w:p w:rsidR="00477DC6" w:rsidP="009067DF" w14:paraId="12A8B945" w14:textId="0918AB65">
      <w:pPr>
        <w:tabs>
          <w:tab w:val="left" w:pos="7920"/>
        </w:tabs>
        <w:spacing w:before="120"/>
        <w:ind w:left="360" w:right="720"/>
      </w:pPr>
      <w:r>
        <w:t xml:space="preserve">As part of its enforcement strategy, FDA accepts information from the public regarding potential </w:t>
      </w:r>
      <w:r w:rsidR="00142D45">
        <w:t xml:space="preserve">tobacco product </w:t>
      </w:r>
      <w:r>
        <w:t xml:space="preserve">violations of the FD&amp;C Act.  </w:t>
      </w:r>
    </w:p>
    <w:p w:rsidR="00EC0CD4" w:rsidP="008D4F2E" w14:paraId="56F0F1B5" w14:textId="7E37D90C">
      <w:pPr>
        <w:spacing w:before="120"/>
        <w:ind w:left="360" w:right="720"/>
      </w:pPr>
      <w:r>
        <w:t xml:space="preserve">Potential tobacco product violations include (but are not limited to): Sales to </w:t>
      </w:r>
      <w:r w:rsidR="63574F52">
        <w:t>underage purchasers (persons under 21)</w:t>
      </w:r>
      <w:r>
        <w:t>; Flavored cigarette sales; Illegal marketing and advertising; Distribution of free samples of tobacco products except in limited circumstances; Placement of cigarette or smokeless tobacco product vending machines in prohibited areas (or providing access to self-service or direct access of tobacco products in prohibited areas); and Sale of cigarettes in packages of less than 20.</w:t>
      </w:r>
    </w:p>
    <w:p w:rsidR="00E35ED2" w:rsidP="3DB0F83A" w14:paraId="36B05FD3" w14:textId="2D84AF77">
      <w:pPr>
        <w:spacing w:before="100" w:beforeAutospacing="1" w:after="100" w:afterAutospacing="1"/>
        <w:ind w:left="360"/>
      </w:pPr>
      <w:r>
        <w:t xml:space="preserve">FDA currently provides a form that may be used to </w:t>
      </w:r>
      <w:r w:rsidR="7169C097">
        <w:t>collect</w:t>
      </w:r>
      <w:r>
        <w:t xml:space="preserve"> this information from the </w:t>
      </w:r>
      <w:r w:rsidR="37AFEDCF">
        <w:t xml:space="preserve">public </w:t>
      </w:r>
      <w:r>
        <w:t xml:space="preserve">(Form FDA 3779, Potential Tobacco Product Violations Report). The public and interested stakeholders </w:t>
      </w:r>
      <w:r w:rsidR="37AFEDCF">
        <w:t>can</w:t>
      </w:r>
      <w:r>
        <w:t xml:space="preserve"> report possible </w:t>
      </w:r>
      <w:r w:rsidR="04F1B14D">
        <w:t xml:space="preserve">tobacco product </w:t>
      </w:r>
      <w:r>
        <w:t xml:space="preserve">violations of the </w:t>
      </w:r>
      <w:r w:rsidR="70768ACD">
        <w:t>FD&amp;C Act</w:t>
      </w:r>
      <w:r>
        <w:t xml:space="preserve"> by submitting </w:t>
      </w:r>
      <w:r w:rsidR="37AFEDCF">
        <w:t xml:space="preserve">information </w:t>
      </w:r>
      <w:r w:rsidR="25699D41">
        <w:t xml:space="preserve">on Form FDA 3779 </w:t>
      </w:r>
      <w:r>
        <w:t xml:space="preserve">online, </w:t>
      </w:r>
      <w:r w:rsidR="2C83CD2A">
        <w:t xml:space="preserve">via </w:t>
      </w:r>
      <w:r>
        <w:t xml:space="preserve">email or postal mail, or by calling FDA’s </w:t>
      </w:r>
      <w:r w:rsidR="37AFEDCF">
        <w:t>Tobacco Call</w:t>
      </w:r>
      <w:r>
        <w:t xml:space="preserve"> </w:t>
      </w:r>
      <w:r w:rsidR="37AFEDCF">
        <w:t>C</w:t>
      </w:r>
      <w:r>
        <w:t xml:space="preserve">enter. </w:t>
      </w:r>
      <w:bookmarkStart w:id="0" w:name="_Hlk117091435"/>
      <w:r>
        <w:t xml:space="preserve">Instructions </w:t>
      </w:r>
      <w:r w:rsidR="37AFEDCF">
        <w:t xml:space="preserve">on how to report possible </w:t>
      </w:r>
      <w:r w:rsidR="04F1B14D">
        <w:t xml:space="preserve">tobacco product </w:t>
      </w:r>
      <w:r w:rsidR="37AFEDCF">
        <w:t>violations of t</w:t>
      </w:r>
      <w:r w:rsidR="4C31AD84">
        <w:t xml:space="preserve">he </w:t>
      </w:r>
      <w:r w:rsidR="04F1B14D">
        <w:t>FD&amp;C</w:t>
      </w:r>
      <w:r w:rsidR="4C31AD84">
        <w:t xml:space="preserve"> Act </w:t>
      </w:r>
      <w:r>
        <w:t>can be found at (</w:t>
      </w:r>
      <w:hyperlink r:id="rId9">
        <w:r w:rsidRPr="3DB0F83A">
          <w:rPr>
            <w:rStyle w:val="Hyperlink"/>
          </w:rPr>
          <w:t>https://www.fda.gov/tobacco-products/compliance-enforcement-training/report-potential-tobacco-product-violation</w:t>
        </w:r>
      </w:hyperlink>
      <w:r>
        <w:t xml:space="preserve">). </w:t>
      </w:r>
      <w:bookmarkEnd w:id="0"/>
    </w:p>
    <w:p w:rsidR="007201D2" w:rsidP="008D4F2E" w14:paraId="21B01B23" w14:textId="024FADAF">
      <w:pPr>
        <w:spacing w:before="100" w:beforeAutospacing="1" w:after="100" w:afterAutospacing="1"/>
        <w:ind w:left="360"/>
        <w:rPr>
          <w:rFonts w:eastAsia="Calibri"/>
        </w:rPr>
      </w:pPr>
      <w:r w:rsidRPr="005C71CA">
        <w:rPr>
          <w:rFonts w:eastAsia="Calibri"/>
        </w:rPr>
        <w:t xml:space="preserve">We </w:t>
      </w:r>
      <w:r w:rsidRPr="005C71CA" w:rsidR="00477DC6">
        <w:rPr>
          <w:rFonts w:eastAsia="Calibri"/>
        </w:rPr>
        <w:t xml:space="preserve">therefore request extension of OMB approval of </w:t>
      </w:r>
      <w:r w:rsidR="00477DC6">
        <w:rPr>
          <w:rFonts w:eastAsia="Calibri"/>
        </w:rPr>
        <w:t xml:space="preserve">information collection </w:t>
      </w:r>
      <w:r w:rsidRPr="005C71CA" w:rsidR="00477DC6">
        <w:rPr>
          <w:rFonts w:eastAsia="Calibri"/>
        </w:rPr>
        <w:t xml:space="preserve">provisions </w:t>
      </w:r>
      <w:r w:rsidRPr="005C71CA">
        <w:rPr>
          <w:rFonts w:eastAsia="Calibri"/>
        </w:rPr>
        <w:t>as discussed in this supporting statement.</w:t>
      </w:r>
    </w:p>
    <w:p w:rsidR="00A25311" w:rsidP="008D4F2E" w14:paraId="45C6BD95" w14:textId="7463E102">
      <w:pPr>
        <w:spacing w:before="100" w:beforeAutospacing="1" w:after="100" w:afterAutospacing="1"/>
        <w:ind w:left="360"/>
        <w:rPr>
          <w:rFonts w:eastAsia="Calibri"/>
        </w:rPr>
      </w:pPr>
    </w:p>
    <w:p w:rsidR="00A25311" w:rsidP="008D4F2E" w14:paraId="36BBFF71" w14:textId="65435350">
      <w:pPr>
        <w:spacing w:before="100" w:beforeAutospacing="1" w:after="100" w:afterAutospacing="1"/>
        <w:ind w:left="360"/>
        <w:rPr>
          <w:rFonts w:eastAsia="Calibri"/>
        </w:rPr>
      </w:pPr>
    </w:p>
    <w:p w:rsidR="00A25311" w:rsidP="008D4F2E" w14:paraId="62E005EB" w14:textId="77777777">
      <w:pPr>
        <w:spacing w:before="100" w:beforeAutospacing="1" w:after="100" w:afterAutospacing="1"/>
        <w:ind w:left="360"/>
        <w:rPr>
          <w:bCs/>
        </w:rPr>
      </w:pPr>
    </w:p>
    <w:p w:rsidR="00380859" w:rsidRPr="008D4F2E" w:rsidP="008D4F2E" w14:paraId="58A8A27A" w14:textId="3FE3D9DF">
      <w:pPr>
        <w:pStyle w:val="ListParagraph"/>
        <w:numPr>
          <w:ilvl w:val="0"/>
          <w:numId w:val="33"/>
        </w:numPr>
        <w:spacing w:before="100" w:beforeAutospacing="1" w:after="100" w:afterAutospacing="1"/>
        <w:rPr>
          <w:bCs/>
        </w:rPr>
      </w:pPr>
      <w:r w:rsidRPr="008D4F2E">
        <w:rPr>
          <w:bCs/>
          <w:u w:val="single"/>
        </w:rPr>
        <w:t>Purpose and Use of the Information Collection</w:t>
      </w:r>
      <w:r w:rsidRPr="008D4F2E">
        <w:rPr>
          <w:bCs/>
        </w:rPr>
        <w:t xml:space="preserve"> </w:t>
      </w:r>
    </w:p>
    <w:p w:rsidR="00380859" w:rsidP="008D4F2E" w14:paraId="586E169C" w14:textId="58011F7E">
      <w:pPr>
        <w:spacing w:before="100" w:beforeAutospacing="1" w:after="100" w:afterAutospacing="1"/>
        <w:ind w:left="360"/>
        <w:rPr>
          <w:rStyle w:val="Strong"/>
          <w:b w:val="0"/>
          <w:color w:val="000000"/>
        </w:rPr>
      </w:pPr>
      <w:r>
        <w:rPr>
          <w:rStyle w:val="Strong"/>
          <w:b w:val="0"/>
          <w:color w:val="000000"/>
        </w:rPr>
        <w:t xml:space="preserve">The </w:t>
      </w:r>
      <w:r w:rsidRPr="0064234B">
        <w:t>Potential Tobacco Product Violations</w:t>
      </w:r>
      <w:r>
        <w:t xml:space="preserve"> </w:t>
      </w:r>
      <w:r w:rsidRPr="0064234B">
        <w:t>Report</w:t>
      </w:r>
      <w:r>
        <w:t>,</w:t>
      </w:r>
      <w:r>
        <w:rPr>
          <w:rStyle w:val="Strong"/>
          <w:b w:val="0"/>
          <w:color w:val="000000"/>
        </w:rPr>
        <w:t xml:space="preserve"> </w:t>
      </w:r>
      <w:r>
        <w:rPr>
          <w:rStyle w:val="Strong"/>
          <w:b w:val="0"/>
          <w:color w:val="000000"/>
        </w:rPr>
        <w:t xml:space="preserve">Form </w:t>
      </w:r>
      <w:r w:rsidR="00961234">
        <w:rPr>
          <w:rStyle w:val="Strong"/>
          <w:b w:val="0"/>
          <w:color w:val="000000"/>
        </w:rPr>
        <w:t xml:space="preserve">FDA </w:t>
      </w:r>
      <w:r>
        <w:rPr>
          <w:rStyle w:val="Strong"/>
          <w:b w:val="0"/>
          <w:color w:val="000000"/>
        </w:rPr>
        <w:t>3779</w:t>
      </w:r>
      <w:r>
        <w:rPr>
          <w:rStyle w:val="Strong"/>
          <w:b w:val="0"/>
          <w:color w:val="000000"/>
        </w:rPr>
        <w:t>,</w:t>
      </w:r>
      <w:r>
        <w:rPr>
          <w:rStyle w:val="Strong"/>
          <w:b w:val="0"/>
          <w:color w:val="000000"/>
        </w:rPr>
        <w:t xml:space="preserve"> ask</w:t>
      </w:r>
      <w:r w:rsidR="00EB3F14">
        <w:rPr>
          <w:rStyle w:val="Strong"/>
          <w:b w:val="0"/>
          <w:color w:val="000000"/>
        </w:rPr>
        <w:t>s</w:t>
      </w:r>
      <w:r>
        <w:rPr>
          <w:rStyle w:val="Strong"/>
          <w:b w:val="0"/>
          <w:color w:val="000000"/>
        </w:rPr>
        <w:t xml:space="preserve"> for the following information:</w:t>
      </w:r>
    </w:p>
    <w:p w:rsidR="00380859" w:rsidRPr="00E931A0" w:rsidP="008D4F2E" w14:paraId="126634EB" w14:textId="3204FA81">
      <w:pPr>
        <w:numPr>
          <w:ilvl w:val="0"/>
          <w:numId w:val="32"/>
        </w:numPr>
        <w:tabs>
          <w:tab w:val="clear" w:pos="720"/>
          <w:tab w:val="num" w:pos="1080"/>
        </w:tabs>
        <w:spacing w:before="100" w:beforeAutospacing="1" w:after="100" w:afterAutospacing="1"/>
        <w:ind w:left="1080"/>
        <w:rPr>
          <w:bCs/>
          <w:color w:val="000000"/>
        </w:rPr>
      </w:pPr>
      <w:r>
        <w:t xml:space="preserve">Date potential </w:t>
      </w:r>
      <w:r w:rsidR="007E1275">
        <w:t>violation occurred</w:t>
      </w:r>
      <w:r>
        <w:t xml:space="preserve">; </w:t>
      </w:r>
    </w:p>
    <w:p w:rsidR="00142D45" w:rsidRPr="00142D45" w:rsidP="008D4F2E" w14:paraId="5F64263D" w14:textId="6A533549">
      <w:pPr>
        <w:numPr>
          <w:ilvl w:val="0"/>
          <w:numId w:val="32"/>
        </w:numPr>
        <w:tabs>
          <w:tab w:val="clear" w:pos="720"/>
          <w:tab w:val="num" w:pos="1080"/>
        </w:tabs>
        <w:spacing w:before="100" w:beforeAutospacing="1" w:after="100" w:afterAutospacing="1"/>
        <w:ind w:left="1080"/>
        <w:rPr>
          <w:bCs/>
          <w:color w:val="000000"/>
        </w:rPr>
      </w:pPr>
      <w:r>
        <w:t xml:space="preserve">Product type </w:t>
      </w:r>
      <w:r w:rsidRPr="009029D6">
        <w:t xml:space="preserve">(e.g., cigarette, smokeless, roll-your-own, cigar, e-cigarette, hookah, pipe tobacco); </w:t>
      </w:r>
    </w:p>
    <w:p w:rsidR="00380859" w:rsidRPr="00142D45" w:rsidP="008D4F2E" w14:paraId="4B58C7FA" w14:textId="58701861">
      <w:pPr>
        <w:numPr>
          <w:ilvl w:val="0"/>
          <w:numId w:val="32"/>
        </w:numPr>
        <w:tabs>
          <w:tab w:val="clear" w:pos="720"/>
          <w:tab w:val="num" w:pos="1080"/>
        </w:tabs>
        <w:spacing w:before="100" w:beforeAutospacing="1" w:after="100" w:afterAutospacing="1"/>
        <w:ind w:left="1080"/>
        <w:rPr>
          <w:bCs/>
          <w:color w:val="000000"/>
        </w:rPr>
      </w:pPr>
      <w:r>
        <w:t xml:space="preserve">Tobacco brand; </w:t>
      </w:r>
    </w:p>
    <w:p w:rsidR="00380859" w:rsidRPr="00E931A0" w:rsidP="3DB0F83A" w14:paraId="27FCA481" w14:textId="0BD098BB">
      <w:pPr>
        <w:numPr>
          <w:ilvl w:val="0"/>
          <w:numId w:val="32"/>
        </w:numPr>
        <w:tabs>
          <w:tab w:val="clear" w:pos="720"/>
          <w:tab w:val="num" w:pos="1080"/>
        </w:tabs>
        <w:spacing w:before="100" w:beforeAutospacing="1" w:after="100" w:afterAutospacing="1"/>
        <w:ind w:left="1080"/>
        <w:rPr>
          <w:color w:val="000000"/>
        </w:rPr>
      </w:pPr>
      <w:r>
        <w:t>Potential violation type</w:t>
      </w:r>
      <w:r w:rsidR="02137982">
        <w:t>;</w:t>
      </w:r>
      <w:r>
        <w:t xml:space="preserve"> </w:t>
      </w:r>
    </w:p>
    <w:p w:rsidR="00380859" w:rsidRPr="00E931A0" w:rsidP="3DB0F83A" w14:paraId="223FA4CF" w14:textId="7D2E641B">
      <w:pPr>
        <w:numPr>
          <w:ilvl w:val="0"/>
          <w:numId w:val="32"/>
        </w:numPr>
        <w:tabs>
          <w:tab w:val="clear" w:pos="720"/>
          <w:tab w:val="num" w:pos="1080"/>
        </w:tabs>
        <w:spacing w:before="100" w:beforeAutospacing="1" w:after="100" w:afterAutospacing="1"/>
        <w:ind w:left="1080"/>
        <w:rPr>
          <w:color w:val="000000"/>
        </w:rPr>
      </w:pPr>
      <w:r>
        <w:t>Type of potentially violative promotional materials</w:t>
      </w:r>
      <w:r w:rsidR="4BAED8FD">
        <w:t>;</w:t>
      </w:r>
      <w:r>
        <w:t xml:space="preserve"> </w:t>
      </w:r>
    </w:p>
    <w:p w:rsidR="00380859" w:rsidRPr="00E931A0" w:rsidP="008D4F2E" w14:paraId="7EA258A9" w14:textId="77777777">
      <w:pPr>
        <w:numPr>
          <w:ilvl w:val="0"/>
          <w:numId w:val="32"/>
        </w:numPr>
        <w:tabs>
          <w:tab w:val="clear" w:pos="720"/>
          <w:tab w:val="num" w:pos="1080"/>
        </w:tabs>
        <w:spacing w:before="100" w:beforeAutospacing="1" w:after="100" w:afterAutospacing="1"/>
        <w:ind w:left="1080"/>
        <w:rPr>
          <w:bCs/>
          <w:color w:val="000000"/>
        </w:rPr>
      </w:pPr>
      <w:r>
        <w:t xml:space="preserve">Who potentially violated; </w:t>
      </w:r>
    </w:p>
    <w:p w:rsidR="00380859" w:rsidRPr="00E931A0" w:rsidP="008D4F2E" w14:paraId="353045D4" w14:textId="39FF3D08">
      <w:pPr>
        <w:numPr>
          <w:ilvl w:val="0"/>
          <w:numId w:val="32"/>
        </w:numPr>
        <w:tabs>
          <w:tab w:val="clear" w:pos="720"/>
          <w:tab w:val="num" w:pos="1080"/>
        </w:tabs>
        <w:spacing w:before="100" w:beforeAutospacing="1" w:after="100" w:afterAutospacing="1"/>
        <w:ind w:left="1080"/>
        <w:rPr>
          <w:bCs/>
          <w:color w:val="000000"/>
        </w:rPr>
      </w:pPr>
      <w:r>
        <w:t>Name, address, phone number, and email address of the potential violator</w:t>
      </w:r>
      <w:r w:rsidR="007E1275">
        <w:t xml:space="preserve"> (if known)</w:t>
      </w:r>
      <w:r>
        <w:t>;</w:t>
      </w:r>
    </w:p>
    <w:p w:rsidR="00380859" w:rsidRPr="00E931A0" w:rsidP="008D4F2E" w14:paraId="17F3A85D" w14:textId="3B9E1A97">
      <w:pPr>
        <w:numPr>
          <w:ilvl w:val="0"/>
          <w:numId w:val="32"/>
        </w:numPr>
        <w:tabs>
          <w:tab w:val="clear" w:pos="720"/>
          <w:tab w:val="num" w:pos="1080"/>
        </w:tabs>
        <w:spacing w:before="100" w:beforeAutospacing="1" w:after="100" w:afterAutospacing="1"/>
        <w:ind w:left="1080"/>
        <w:rPr>
          <w:bCs/>
          <w:color w:val="000000"/>
        </w:rPr>
      </w:pPr>
      <w:r>
        <w:t xml:space="preserve">Potential violator’s </w:t>
      </w:r>
      <w:r w:rsidR="00876A87">
        <w:t>website</w:t>
      </w:r>
      <w:r>
        <w:t xml:space="preserve"> or </w:t>
      </w:r>
      <w:r w:rsidR="00D768A0">
        <w:t>i</w:t>
      </w:r>
      <w:r>
        <w:t>nternet address URL</w:t>
      </w:r>
      <w:r w:rsidR="007E1275">
        <w:t xml:space="preserve"> (if available)</w:t>
      </w:r>
      <w:r>
        <w:t>;</w:t>
      </w:r>
    </w:p>
    <w:p w:rsidR="00380859" w:rsidRPr="00E931A0" w:rsidP="008D4F2E" w14:paraId="798EC329" w14:textId="77777777">
      <w:pPr>
        <w:numPr>
          <w:ilvl w:val="0"/>
          <w:numId w:val="32"/>
        </w:numPr>
        <w:tabs>
          <w:tab w:val="clear" w:pos="720"/>
          <w:tab w:val="num" w:pos="1080"/>
        </w:tabs>
        <w:spacing w:before="100" w:beforeAutospacing="1" w:after="100" w:afterAutospacing="1"/>
        <w:ind w:left="1080"/>
        <w:rPr>
          <w:bCs/>
          <w:color w:val="000000"/>
        </w:rPr>
      </w:pPr>
      <w:r>
        <w:t xml:space="preserve">Description of the potential violation; and </w:t>
      </w:r>
    </w:p>
    <w:p w:rsidR="00380859" w:rsidP="008D4F2E" w14:paraId="74E1F1C1" w14:textId="74C8DAC9">
      <w:pPr>
        <w:numPr>
          <w:ilvl w:val="0"/>
          <w:numId w:val="32"/>
        </w:numPr>
        <w:tabs>
          <w:tab w:val="clear" w:pos="720"/>
          <w:tab w:val="num" w:pos="1080"/>
        </w:tabs>
        <w:spacing w:before="100" w:beforeAutospacing="1" w:after="100" w:afterAutospacing="1"/>
        <w:ind w:left="1080"/>
      </w:pPr>
      <w:r>
        <w:t>Any additional files or information pertinent to the potential violation.</w:t>
      </w:r>
    </w:p>
    <w:p w:rsidR="00142D45" w:rsidP="008D4F2E" w14:paraId="51759EC9" w14:textId="241EC407">
      <w:pPr>
        <w:spacing w:before="100" w:beforeAutospacing="1" w:after="100" w:afterAutospacing="1"/>
        <w:ind w:left="360"/>
        <w:rPr>
          <w:rStyle w:val="Strong"/>
          <w:b w:val="0"/>
          <w:color w:val="000000"/>
        </w:rPr>
      </w:pPr>
      <w:r>
        <w:t>The information collected will assist FDA in its investigation of violative firms</w:t>
      </w:r>
      <w:r w:rsidRPr="0032304A">
        <w:rPr>
          <w:rStyle w:val="Strong"/>
          <w:b w:val="0"/>
          <w:color w:val="000000"/>
        </w:rPr>
        <w:t>.</w:t>
      </w:r>
      <w:r>
        <w:rPr>
          <w:rStyle w:val="Strong"/>
          <w:b w:val="0"/>
          <w:color w:val="000000"/>
        </w:rPr>
        <w:t xml:space="preserve"> </w:t>
      </w:r>
      <w:r w:rsidRPr="007F0A08">
        <w:t xml:space="preserve">This collection of information is </w:t>
      </w:r>
      <w:r>
        <w:t xml:space="preserve">being collected from </w:t>
      </w:r>
      <w:r w:rsidR="007E1275">
        <w:t>the public.</w:t>
      </w:r>
    </w:p>
    <w:p w:rsidR="00380859" w:rsidRPr="008D4F2E" w:rsidP="008D4F2E" w14:paraId="1416BC8A" w14:textId="09504CD6">
      <w:pPr>
        <w:pStyle w:val="ListParagraph"/>
        <w:numPr>
          <w:ilvl w:val="0"/>
          <w:numId w:val="33"/>
        </w:numPr>
        <w:spacing w:before="100" w:beforeAutospacing="1" w:after="100" w:afterAutospacing="1"/>
        <w:rPr>
          <w:bCs/>
        </w:rPr>
      </w:pPr>
      <w:r w:rsidRPr="008D4F2E">
        <w:rPr>
          <w:bCs/>
          <w:u w:val="single"/>
        </w:rPr>
        <w:t>Use of Improved Information Technology and Burden Reduction</w:t>
      </w:r>
    </w:p>
    <w:p w:rsidR="00380859" w:rsidRPr="001858DA" w:rsidP="008D4F2E" w14:paraId="474BBDDE" w14:textId="60FDABCA">
      <w:pPr>
        <w:pStyle w:val="HTMLPreformatted"/>
        <w:tabs>
          <w:tab w:val="left" w:pos="720"/>
          <w:tab w:val="clear" w:pos="916"/>
        </w:tabs>
        <w:ind w:left="360"/>
        <w:rPr>
          <w:rFonts w:ascii="Times New Roman" w:hAnsi="Times New Roman" w:cs="Times New Roman"/>
          <w:sz w:val="24"/>
          <w:szCs w:val="24"/>
        </w:rPr>
      </w:pPr>
      <w:r w:rsidRPr="467FFAA7">
        <w:rPr>
          <w:rFonts w:ascii="Times New Roman" w:hAnsi="Times New Roman" w:cs="Times New Roman"/>
          <w:sz w:val="24"/>
          <w:szCs w:val="24"/>
        </w:rPr>
        <w:t xml:space="preserve">Information on reported violations may currently be provided to FDA </w:t>
      </w:r>
      <w:r w:rsidRPr="467FFAA7" w:rsidR="3246032A">
        <w:rPr>
          <w:rFonts w:ascii="Times New Roman" w:hAnsi="Times New Roman" w:cs="Times New Roman"/>
          <w:sz w:val="24"/>
          <w:szCs w:val="24"/>
        </w:rPr>
        <w:t>online,</w:t>
      </w:r>
      <w:r w:rsidRPr="467FFAA7">
        <w:rPr>
          <w:rFonts w:ascii="Times New Roman" w:hAnsi="Times New Roman" w:cs="Times New Roman"/>
          <w:sz w:val="24"/>
          <w:szCs w:val="24"/>
        </w:rPr>
        <w:t xml:space="preserve"> </w:t>
      </w:r>
      <w:r w:rsidRPr="467FFAA7" w:rsidR="5AD4A449">
        <w:rPr>
          <w:rFonts w:ascii="Times New Roman" w:hAnsi="Times New Roman" w:cs="Times New Roman"/>
          <w:sz w:val="24"/>
          <w:szCs w:val="24"/>
        </w:rPr>
        <w:t xml:space="preserve">via </w:t>
      </w:r>
      <w:r w:rsidRPr="467FFAA7">
        <w:rPr>
          <w:rFonts w:ascii="Times New Roman" w:hAnsi="Times New Roman" w:cs="Times New Roman"/>
          <w:sz w:val="24"/>
          <w:szCs w:val="24"/>
        </w:rPr>
        <w:t>the Tobacco Call Center (</w:t>
      </w:r>
      <w:r w:rsidRPr="467FFAA7" w:rsidR="3801A797">
        <w:rPr>
          <w:rFonts w:ascii="Times New Roman" w:hAnsi="Times New Roman" w:cs="Times New Roman"/>
          <w:sz w:val="24"/>
          <w:szCs w:val="24"/>
        </w:rPr>
        <w:t xml:space="preserve">toll-free </w:t>
      </w:r>
      <w:r w:rsidRPr="467FFAA7">
        <w:rPr>
          <w:rFonts w:ascii="Times New Roman" w:hAnsi="Times New Roman" w:cs="Times New Roman"/>
          <w:sz w:val="24"/>
          <w:szCs w:val="24"/>
        </w:rPr>
        <w:t>telephone</w:t>
      </w:r>
      <w:r w:rsidRPr="467FFAA7" w:rsidR="3801A797">
        <w:rPr>
          <w:rFonts w:ascii="Times New Roman" w:hAnsi="Times New Roman" w:cs="Times New Roman"/>
          <w:sz w:val="24"/>
          <w:szCs w:val="24"/>
        </w:rPr>
        <w:t xml:space="preserve"> number</w:t>
      </w:r>
      <w:r w:rsidRPr="467FFAA7">
        <w:rPr>
          <w:rFonts w:ascii="Times New Roman" w:hAnsi="Times New Roman" w:cs="Times New Roman"/>
          <w:sz w:val="24"/>
          <w:szCs w:val="24"/>
        </w:rPr>
        <w:t>)</w:t>
      </w:r>
      <w:r w:rsidRPr="467FFAA7" w:rsidR="53073D2D">
        <w:rPr>
          <w:rFonts w:ascii="Times New Roman" w:hAnsi="Times New Roman" w:cs="Times New Roman"/>
          <w:sz w:val="24"/>
          <w:szCs w:val="24"/>
        </w:rPr>
        <w:t>, email</w:t>
      </w:r>
      <w:r w:rsidRPr="467FFAA7" w:rsidR="201AA442">
        <w:rPr>
          <w:rFonts w:ascii="Times New Roman" w:hAnsi="Times New Roman" w:cs="Times New Roman"/>
          <w:sz w:val="24"/>
          <w:szCs w:val="24"/>
        </w:rPr>
        <w:t>,</w:t>
      </w:r>
      <w:r w:rsidRPr="467FFAA7" w:rsidR="37AFEDCF">
        <w:rPr>
          <w:rFonts w:ascii="Times New Roman" w:hAnsi="Times New Roman" w:cs="Times New Roman"/>
          <w:sz w:val="24"/>
          <w:szCs w:val="24"/>
        </w:rPr>
        <w:t xml:space="preserve"> </w:t>
      </w:r>
      <w:r w:rsidRPr="467FFAA7">
        <w:rPr>
          <w:rFonts w:ascii="Times New Roman" w:hAnsi="Times New Roman" w:cs="Times New Roman"/>
          <w:sz w:val="24"/>
          <w:szCs w:val="24"/>
        </w:rPr>
        <w:t xml:space="preserve">or by mail by using Form </w:t>
      </w:r>
      <w:r w:rsidRPr="467FFAA7" w:rsidR="68D09D2E">
        <w:rPr>
          <w:rFonts w:ascii="Times New Roman" w:hAnsi="Times New Roman" w:cs="Times New Roman"/>
          <w:sz w:val="24"/>
          <w:szCs w:val="24"/>
        </w:rPr>
        <w:t xml:space="preserve">FDA </w:t>
      </w:r>
      <w:r w:rsidRPr="467FFAA7">
        <w:rPr>
          <w:rFonts w:ascii="Times New Roman" w:hAnsi="Times New Roman" w:cs="Times New Roman"/>
          <w:sz w:val="24"/>
          <w:szCs w:val="24"/>
        </w:rPr>
        <w:t xml:space="preserve">3779. </w:t>
      </w:r>
      <w:r w:rsidRPr="467FFAA7" w:rsidR="3129AB1A">
        <w:rPr>
          <w:rFonts w:ascii="Times New Roman" w:hAnsi="Times New Roman" w:cs="Times New Roman"/>
          <w:sz w:val="24"/>
          <w:szCs w:val="24"/>
        </w:rPr>
        <w:t xml:space="preserve">Instructions on how to report possible tobacco product violations of the FD&amp;C Act can be found at </w:t>
      </w:r>
      <w:hyperlink r:id="rId9">
        <w:r w:rsidRPr="467FFAA7" w:rsidR="3129AB1A">
          <w:rPr>
            <w:rStyle w:val="Hyperlink"/>
            <w:rFonts w:ascii="Times New Roman" w:hAnsi="Times New Roman" w:cs="Times New Roman"/>
            <w:sz w:val="24"/>
            <w:szCs w:val="24"/>
          </w:rPr>
          <w:t>https://www.fda.gov/tobacco-products/compliance-enforcement-training/report-potential-tobacco-product-violation</w:t>
        </w:r>
      </w:hyperlink>
      <w:r w:rsidRPr="467FFAA7" w:rsidR="3129AB1A">
        <w:rPr>
          <w:rFonts w:ascii="Times New Roman" w:hAnsi="Times New Roman" w:cs="Times New Roman"/>
          <w:sz w:val="24"/>
          <w:szCs w:val="24"/>
        </w:rPr>
        <w:t xml:space="preserve">. </w:t>
      </w:r>
      <w:r w:rsidRPr="467FFAA7">
        <w:rPr>
          <w:rFonts w:ascii="Times New Roman" w:hAnsi="Times New Roman" w:cs="Times New Roman"/>
          <w:sz w:val="24"/>
          <w:szCs w:val="24"/>
        </w:rPr>
        <w:t>It is expected that 99 percent of the users of this program will submit their information electronically.</w:t>
      </w:r>
    </w:p>
    <w:p w:rsidR="5FA91015" w:rsidP="5FA91015" w14:paraId="1E1242CD" w14:textId="38BAB189">
      <w:pPr>
        <w:pStyle w:val="HTMLPreformatted"/>
        <w:tabs>
          <w:tab w:val="left" w:pos="720"/>
          <w:tab w:val="clear" w:pos="916"/>
        </w:tabs>
        <w:ind w:left="360"/>
        <w:rPr>
          <w:rFonts w:ascii="Times New Roman" w:hAnsi="Times New Roman" w:cs="Times New Roman"/>
          <w:sz w:val="24"/>
          <w:szCs w:val="24"/>
        </w:rPr>
      </w:pPr>
    </w:p>
    <w:p w:rsidR="00380859" w:rsidRPr="008D4F2E" w:rsidP="008D4F2E" w14:paraId="3FBFCF48" w14:textId="5F8F569D">
      <w:pPr>
        <w:pStyle w:val="ListParagraph"/>
        <w:numPr>
          <w:ilvl w:val="0"/>
          <w:numId w:val="33"/>
        </w:numPr>
        <w:spacing w:before="100" w:beforeAutospacing="1" w:after="100" w:afterAutospacing="1"/>
        <w:rPr>
          <w:bCs/>
        </w:rPr>
      </w:pPr>
      <w:r w:rsidRPr="008D4F2E">
        <w:rPr>
          <w:bCs/>
          <w:u w:val="single"/>
        </w:rPr>
        <w:t>Efforts to Identify Duplication and Use of Similar Information</w:t>
      </w:r>
      <w:r w:rsidRPr="008D4F2E">
        <w:rPr>
          <w:bCs/>
        </w:rPr>
        <w:t xml:space="preserve"> </w:t>
      </w:r>
    </w:p>
    <w:p w:rsidR="008D4F2E" w:rsidRPr="00AB64D4" w:rsidP="008D4F2E" w14:paraId="032B307B" w14:textId="77777777">
      <w:pPr>
        <w:spacing w:after="200"/>
        <w:ind w:left="360"/>
      </w:pPr>
      <w:r w:rsidRPr="005C71CA">
        <w:t>We are unaware of duplicative information collection.</w:t>
      </w:r>
    </w:p>
    <w:p w:rsidR="00380859" w:rsidRPr="008D4F2E" w:rsidP="008D4F2E" w14:paraId="07CD5E22" w14:textId="6557317E">
      <w:pPr>
        <w:pStyle w:val="ListParagraph"/>
        <w:numPr>
          <w:ilvl w:val="0"/>
          <w:numId w:val="33"/>
        </w:numPr>
        <w:rPr>
          <w:bCs/>
        </w:rPr>
      </w:pPr>
      <w:r w:rsidRPr="008D4F2E">
        <w:rPr>
          <w:bCs/>
          <w:u w:val="single"/>
        </w:rPr>
        <w:t>Impact on Small Businesses or Other Small Entities</w:t>
      </w:r>
    </w:p>
    <w:p w:rsidR="00380859" w:rsidP="00380859" w14:paraId="6CA0F51F" w14:textId="77777777">
      <w:pPr>
        <w:rPr>
          <w:b/>
        </w:rPr>
      </w:pPr>
    </w:p>
    <w:p w:rsidR="000C53C3" w:rsidP="008D4F2E" w14:paraId="268B8A9A" w14:textId="77777777">
      <w:pPr>
        <w:ind w:left="360"/>
        <w:rPr>
          <w:rFonts w:eastAsia="Calibri"/>
        </w:rPr>
      </w:pPr>
      <w:r>
        <w:rPr>
          <w:rFonts w:eastAsia="Calibri"/>
        </w:rPr>
        <w:t>The information collection imposes no undue burden on small entities.</w:t>
      </w:r>
    </w:p>
    <w:p w:rsidR="000C53C3" w14:paraId="42236E83" w14:textId="77777777">
      <w:pPr>
        <w:rPr>
          <w:rFonts w:eastAsia="Calibri"/>
        </w:rPr>
      </w:pPr>
      <w:r>
        <w:rPr>
          <w:rFonts w:eastAsia="Calibri"/>
        </w:rPr>
        <w:br w:type="page"/>
      </w:r>
    </w:p>
    <w:p w:rsidR="00380859" w:rsidP="008D4F2E" w14:paraId="3880F052" w14:textId="62DA102A">
      <w:pPr>
        <w:ind w:left="360"/>
        <w:rPr>
          <w:rFonts w:eastAsia="Calibri"/>
        </w:rPr>
      </w:pPr>
    </w:p>
    <w:p w:rsidR="00380859" w:rsidRPr="008D4F2E" w:rsidP="008D4F2E" w14:paraId="45905594" w14:textId="2037808E">
      <w:pPr>
        <w:pStyle w:val="ListParagraph"/>
        <w:numPr>
          <w:ilvl w:val="0"/>
          <w:numId w:val="33"/>
        </w:numPr>
        <w:rPr>
          <w:bCs/>
        </w:rPr>
      </w:pPr>
      <w:r w:rsidRPr="008D4F2E">
        <w:rPr>
          <w:bCs/>
          <w:u w:val="single"/>
        </w:rPr>
        <w:t>Consequences of Collecting the Information Less Frequently</w:t>
      </w:r>
    </w:p>
    <w:p w:rsidR="00380859" w:rsidP="00380859" w14:paraId="4D2FD5CC" w14:textId="77777777"/>
    <w:p w:rsidR="00380859" w:rsidP="008D4F2E" w14:paraId="3F29D471" w14:textId="67547201">
      <w:pPr>
        <w:ind w:left="360"/>
        <w:rPr>
          <w:color w:val="000000"/>
        </w:rPr>
      </w:pPr>
      <w:r>
        <w:t>FDA will be hindered in its enforcement efforts w</w:t>
      </w:r>
      <w:r>
        <w:t xml:space="preserve">ithout the ability to collect information on potential </w:t>
      </w:r>
      <w:r>
        <w:t xml:space="preserve">tobacco product </w:t>
      </w:r>
      <w:r>
        <w:t xml:space="preserve">violations of the FD&amp;C Act.  FDA continues to build its staff, resources, and State/local partnerships needed to enforce the </w:t>
      </w:r>
      <w:r>
        <w:t xml:space="preserve">tobacco product </w:t>
      </w:r>
      <w:r>
        <w:t xml:space="preserve">provisions of the </w:t>
      </w:r>
      <w:r>
        <w:t>FD&amp;C Act</w:t>
      </w:r>
      <w:r>
        <w:t xml:space="preserve">.  Therefore, the assistance of the </w:t>
      </w:r>
      <w:r w:rsidR="00CD2D17">
        <w:br/>
      </w:r>
      <w:r>
        <w:t>public in reporting potential violations is an important piece of FDA’s enforcement strategy.</w:t>
      </w:r>
    </w:p>
    <w:p w:rsidR="00380859" w:rsidRPr="00A25311" w:rsidP="00A25311" w14:paraId="42C7CB04" w14:textId="565E93F2">
      <w:pPr>
        <w:pStyle w:val="ListParagraph"/>
        <w:numPr>
          <w:ilvl w:val="0"/>
          <w:numId w:val="33"/>
        </w:numPr>
        <w:spacing w:before="100" w:beforeAutospacing="1" w:after="100" w:afterAutospacing="1"/>
        <w:rPr>
          <w:bCs/>
        </w:rPr>
      </w:pPr>
      <w:r w:rsidRPr="00A25311">
        <w:rPr>
          <w:bCs/>
          <w:u w:val="single"/>
        </w:rPr>
        <w:t>Special Circumstances Relating to the Guidelines of 5 CFR 1320.5</w:t>
      </w:r>
    </w:p>
    <w:p w:rsidR="00380859" w:rsidRPr="0065515F" w:rsidP="00A25311" w14:paraId="05C43BBD"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t>This section is not applicable.</w:t>
      </w:r>
    </w:p>
    <w:p w:rsidR="00380859" w:rsidRPr="00A25311" w:rsidP="00A25311" w14:paraId="5434689F" w14:textId="7CC85EF3">
      <w:pPr>
        <w:pStyle w:val="ListParagraph"/>
        <w:numPr>
          <w:ilvl w:val="0"/>
          <w:numId w:val="33"/>
        </w:numPr>
        <w:spacing w:before="100" w:beforeAutospacing="1" w:after="100" w:afterAutospacing="1"/>
        <w:rPr>
          <w:bCs/>
        </w:rPr>
      </w:pPr>
      <w:r w:rsidRPr="00A25311">
        <w:rPr>
          <w:bCs/>
          <w:u w:val="single"/>
        </w:rPr>
        <w:t>Comments in Response to the Federal Register Notice and Efforts to Consult Outside the Agency</w:t>
      </w:r>
    </w:p>
    <w:p w:rsidR="00614399" w:rsidRPr="00614399" w:rsidP="00A25311" w14:paraId="76E2A278" w14:textId="1C7FA11C">
      <w:pPr>
        <w:ind w:left="360"/>
      </w:pPr>
      <w:r>
        <w:t>In accordance with 5 CFR 1320.8(d), FDA published a 60-day notice for public comme</w:t>
      </w:r>
      <w:r w:rsidR="009C7CBD">
        <w:t xml:space="preserve">nt in the FEDERAL REGISTER of </w:t>
      </w:r>
      <w:r w:rsidR="000C53C3">
        <w:t>February</w:t>
      </w:r>
      <w:r w:rsidR="558FBA63">
        <w:t xml:space="preserve"> 02</w:t>
      </w:r>
      <w:r w:rsidR="000C53C3">
        <w:t>, 2023</w:t>
      </w:r>
      <w:r w:rsidR="004644BE">
        <w:t xml:space="preserve"> </w:t>
      </w:r>
      <w:r w:rsidR="000C53C3">
        <w:t>(88</w:t>
      </w:r>
      <w:r w:rsidR="45001D09">
        <w:t xml:space="preserve"> FR 7091</w:t>
      </w:r>
      <w:r>
        <w:t xml:space="preserve">). </w:t>
      </w:r>
      <w:r w:rsidR="00A25311">
        <w:rPr>
          <w:rStyle w:val="normaltextrun"/>
          <w:color w:val="000000"/>
          <w:shd w:val="clear" w:color="auto" w:fill="FFFFFF"/>
        </w:rPr>
        <w:t xml:space="preserve"> </w:t>
      </w:r>
      <w:r w:rsidR="70E622D8">
        <w:rPr>
          <w:rStyle w:val="normaltextrun"/>
          <w:color w:val="000000"/>
          <w:shd w:val="clear" w:color="auto" w:fill="FFFFFF"/>
        </w:rPr>
        <w:t>One</w:t>
      </w:r>
      <w:r w:rsidR="00A25311">
        <w:rPr>
          <w:rStyle w:val="normaltextrun"/>
          <w:color w:val="000000"/>
          <w:shd w:val="clear" w:color="auto" w:fill="FFFFFF"/>
        </w:rPr>
        <w:t xml:space="preserve"> comment that </w:t>
      </w:r>
      <w:r w:rsidR="000C53C3">
        <w:rPr>
          <w:rStyle w:val="normaltextrun"/>
          <w:color w:val="000000"/>
          <w:shd w:val="clear" w:color="auto" w:fill="FFFFFF"/>
        </w:rPr>
        <w:t>was PRA</w:t>
      </w:r>
      <w:r w:rsidR="00A25311">
        <w:rPr>
          <w:rStyle w:val="normaltextrun"/>
          <w:color w:val="000000"/>
          <w:shd w:val="clear" w:color="auto" w:fill="FFFFFF"/>
        </w:rPr>
        <w:t xml:space="preserve"> related was received. </w:t>
      </w:r>
      <w:r w:rsidR="00A25311">
        <w:rPr>
          <w:rStyle w:val="eop"/>
          <w:color w:val="000000"/>
          <w:shd w:val="clear" w:color="auto" w:fill="FFFFFF"/>
        </w:rPr>
        <w:t> </w:t>
      </w:r>
      <w:r w:rsidRPr="00357C8A" w:rsidR="00A25311">
        <w:rPr>
          <w:rFonts w:eastAsia="Calibri"/>
          <w:color w:val="FF0000"/>
        </w:rPr>
        <w:t xml:space="preserve"> </w:t>
      </w:r>
    </w:p>
    <w:p w:rsidR="5FA91015" w:rsidP="5FA91015" w14:paraId="6F230F05" w14:textId="0295E3C3">
      <w:pPr>
        <w:ind w:left="360"/>
        <w:rPr>
          <w:rFonts w:eastAsia="Calibri"/>
          <w:color w:val="FF0000"/>
        </w:rPr>
      </w:pPr>
    </w:p>
    <w:p w:rsidR="449B8493" w:rsidRPr="000C53C3" w:rsidP="5FA91015" w14:paraId="0AAFEE34" w14:textId="3F10888F">
      <w:pPr>
        <w:ind w:left="360"/>
        <w:rPr>
          <w:rFonts w:eastAsia="Calibri"/>
        </w:rPr>
      </w:pPr>
      <w:r w:rsidRPr="000C53C3">
        <w:rPr>
          <w:rFonts w:eastAsia="Calibri"/>
        </w:rPr>
        <w:t>(Comment) The form does not have a specific option under “Potential violation type” for reporting products that have not gone through any of the new pathways to market required by the Tobacco Control Act, including the Premarket Tobacco Product Application (PMTA). The lack of this option may be confusing and make it difficult for members of the public who want to report such violations to determine what sort of violation they are reporting. Thus, we recommend FDA add “Product without a marketing authorization” or a similar category title, as an option under "Potential violation type".</w:t>
      </w:r>
    </w:p>
    <w:p w:rsidR="5FA91015" w:rsidRPr="000C53C3" w:rsidP="5FA91015" w14:paraId="7C91E017" w14:textId="03F01E37">
      <w:pPr>
        <w:ind w:left="360"/>
        <w:rPr>
          <w:rFonts w:eastAsia="Calibri"/>
        </w:rPr>
      </w:pPr>
    </w:p>
    <w:p w:rsidR="449B8493" w:rsidRPr="000C53C3" w:rsidP="322926B3" w14:paraId="01458818" w14:textId="0F803E07">
      <w:pPr>
        <w:ind w:left="360"/>
        <w:rPr>
          <w:rFonts w:eastAsia="Calibri"/>
        </w:rPr>
      </w:pPr>
      <w:r w:rsidRPr="000C53C3">
        <w:rPr>
          <w:rFonts w:eastAsia="Calibri"/>
        </w:rPr>
        <w:t>(</w:t>
      </w:r>
      <w:r w:rsidRPr="000C53C3" w:rsidR="6F8A8053">
        <w:rPr>
          <w:rFonts w:eastAsia="Calibri"/>
        </w:rPr>
        <w:t>Response</w:t>
      </w:r>
      <w:r w:rsidRPr="000C53C3">
        <w:rPr>
          <w:rFonts w:eastAsia="Calibri"/>
        </w:rPr>
        <w:t>)</w:t>
      </w:r>
      <w:r w:rsidRPr="000C53C3" w:rsidR="66C853FE">
        <w:rPr>
          <w:rFonts w:eastAsia="Calibri"/>
        </w:rPr>
        <w:t xml:space="preserve"> FDA has reviewed the comment requesting revisions to the Potential Tobacco Product Violations Report, Form FDA 3779 (Potential Tobacco Violation Report Form). The comment correctly points out that the Potential Tobacco Violation Report Form provides the public with a mechanism to report potential violations of the tobacco laws and regulations enforced by the FDA. FDA agrees that a revision to the Potential Tobacco Violation Report Form is </w:t>
      </w:r>
      <w:r w:rsidRPr="000C53C3" w:rsidR="00DE6937">
        <w:rPr>
          <w:rFonts w:eastAsia="Calibri"/>
        </w:rPr>
        <w:t>warranted and</w:t>
      </w:r>
      <w:r w:rsidRPr="000C53C3" w:rsidR="66C853FE">
        <w:rPr>
          <w:rFonts w:eastAsia="Calibri"/>
        </w:rPr>
        <w:t xml:space="preserve"> would assist the public in reporting potential violations related to the premarket review and authorization requirements under the law. </w:t>
      </w:r>
    </w:p>
    <w:p w:rsidR="449B8493" w:rsidRPr="000C53C3" w:rsidP="322926B3" w14:paraId="4E7A9BB0" w14:textId="50A65B09">
      <w:pPr>
        <w:ind w:left="360"/>
        <w:rPr>
          <w:rFonts w:eastAsia="Calibri"/>
        </w:rPr>
      </w:pPr>
    </w:p>
    <w:p w:rsidR="449B8493" w:rsidRPr="000C53C3" w:rsidP="322926B3" w14:paraId="1CB295D1" w14:textId="3480E699">
      <w:pPr>
        <w:ind w:left="360"/>
      </w:pPr>
      <w:r w:rsidRPr="000C53C3">
        <w:rPr>
          <w:rFonts w:eastAsia="Calibri"/>
        </w:rPr>
        <w:t xml:space="preserve">The Potential Tobacco Violation Report Form includes some specific options related to potential violation types that are often reported, including, but not limited to, those related to the retail sale of tobacco products to underage purchasers, flavored cigarette sales, the distribution of free samples of tobacco products, and other marketing and advertising requirements.  The form has been updated to include an additional potential violation type: “Unauthorized Tobacco Product.”  </w:t>
      </w:r>
    </w:p>
    <w:p w:rsidR="449B8493" w:rsidRPr="000C53C3" w:rsidP="322926B3" w14:paraId="5B1288F1" w14:textId="0F588A6A">
      <w:pPr>
        <w:ind w:left="360"/>
        <w:rPr>
          <w:rFonts w:eastAsia="Calibri"/>
        </w:rPr>
      </w:pPr>
    </w:p>
    <w:p w:rsidR="00DC7E99" w:rsidP="322926B3" w14:paraId="6C54EF20" w14:textId="77777777">
      <w:pPr>
        <w:ind w:left="360"/>
        <w:rPr>
          <w:rFonts w:eastAsia="Calibri"/>
        </w:rPr>
      </w:pPr>
    </w:p>
    <w:p w:rsidR="0072245A" w:rsidP="322926B3" w14:paraId="6A275ACB" w14:textId="77777777">
      <w:pPr>
        <w:ind w:left="360"/>
        <w:rPr>
          <w:rFonts w:eastAsia="Calibri"/>
        </w:rPr>
      </w:pPr>
    </w:p>
    <w:p w:rsidR="449B8493" w:rsidRPr="000C53C3" w:rsidP="322926B3" w14:paraId="762C613E" w14:textId="2DA69177">
      <w:pPr>
        <w:ind w:left="360"/>
      </w:pPr>
      <w:r w:rsidRPr="000C53C3">
        <w:rPr>
          <w:rFonts w:eastAsia="Calibri"/>
        </w:rPr>
        <w:t>The Potential Tobacco Violation Report Form is one of many ways the public can report potential tobacco product violations directly to FDA.  The public and interested stakeholders can also provide detailed descriptions of potential violations by phone, e-mail, and through the mail.</w:t>
      </w:r>
    </w:p>
    <w:p w:rsidR="000C53C3" w:rsidRPr="009D0463" w:rsidP="001A26E0" w14:paraId="05AD561F" w14:textId="77777777"/>
    <w:p w:rsidR="00380859" w:rsidRPr="00A25311" w:rsidP="00A25311" w14:paraId="7FC78B91" w14:textId="3A5392AE">
      <w:pPr>
        <w:pStyle w:val="ListParagraph"/>
        <w:numPr>
          <w:ilvl w:val="0"/>
          <w:numId w:val="33"/>
        </w:numPr>
        <w:rPr>
          <w:bCs/>
        </w:rPr>
      </w:pPr>
      <w:r w:rsidRPr="00A25311">
        <w:rPr>
          <w:bCs/>
          <w:u w:val="single"/>
        </w:rPr>
        <w:t>Explanation of Any Payment or Gift to Respondents</w:t>
      </w:r>
    </w:p>
    <w:p w:rsidR="00380859" w:rsidRPr="00D92535" w:rsidP="00380859" w14:paraId="25424665" w14:textId="77777777">
      <w:pPr>
        <w:rPr>
          <w:b/>
        </w:rPr>
      </w:pPr>
    </w:p>
    <w:p w:rsidR="00380859" w:rsidP="00A25311" w14:paraId="7A9348F6" w14:textId="77777777">
      <w:pPr>
        <w:ind w:left="360"/>
      </w:pPr>
      <w:r>
        <w:t>This information collection does not provide for any payment or gift to respondents.</w:t>
      </w:r>
    </w:p>
    <w:p w:rsidR="00380859" w:rsidRPr="00A25311" w:rsidP="00A25311" w14:paraId="7F62EF03" w14:textId="260970EA">
      <w:pPr>
        <w:pStyle w:val="ListParagraph"/>
        <w:numPr>
          <w:ilvl w:val="0"/>
          <w:numId w:val="33"/>
        </w:numPr>
        <w:spacing w:before="100" w:beforeAutospacing="1" w:after="100" w:afterAutospacing="1"/>
        <w:rPr>
          <w:bCs/>
        </w:rPr>
      </w:pPr>
      <w:r w:rsidRPr="00A25311">
        <w:rPr>
          <w:bCs/>
          <w:u w:val="single"/>
        </w:rPr>
        <w:t>Assurance of Confidentiality Provided to Respondents</w:t>
      </w:r>
    </w:p>
    <w:p w:rsidR="00FD424B" w:rsidRPr="001C7684" w:rsidP="00FD424B" w14:paraId="68A23E65" w14:textId="413CB65C">
      <w:pPr>
        <w:ind w:left="360"/>
        <w:rPr>
          <w:rFonts w:eastAsia="Calibri"/>
        </w:rPr>
      </w:pPr>
      <w:r w:rsidRPr="467FFAA7">
        <w:rPr>
          <w:rFonts w:eastAsia="Calibri"/>
        </w:rPr>
        <w:t xml:space="preserve">Among the laws governing the disclosure of information submitted under section </w:t>
      </w:r>
      <w:r w:rsidRPr="467FFAA7" w:rsidR="006F3BEF">
        <w:rPr>
          <w:rFonts w:eastAsia="Calibri"/>
        </w:rPr>
        <w:t xml:space="preserve">901 </w:t>
      </w:r>
      <w:r w:rsidRPr="467FFAA7">
        <w:rPr>
          <w:rFonts w:eastAsia="Calibri"/>
        </w:rPr>
        <w:t xml:space="preserve">of the FD&amp;C Act are the Freedom of Information Act (FOIA) (5 U.S.C. 552) and FDA’s implementing regulations.  Under FOIA, the public has broad access to agency records, unless the records (or a part of the records) are protected from disclosure by any of the law’s nine exemptions.   </w:t>
      </w:r>
    </w:p>
    <w:p w:rsidR="00FD424B" w:rsidRPr="001C7684" w:rsidP="00FD424B" w14:paraId="3340890D" w14:textId="77777777">
      <w:pPr>
        <w:ind w:left="360"/>
        <w:rPr>
          <w:rFonts w:eastAsia="Calibri"/>
        </w:rPr>
      </w:pPr>
    </w:p>
    <w:p w:rsidR="00FD424B" w:rsidRPr="001C7684" w:rsidP="00FD424B" w14:paraId="393F6E25" w14:textId="65092B3A">
      <w:pPr>
        <w:ind w:left="360"/>
        <w:rPr>
          <w:rFonts w:eastAsia="Calibri"/>
        </w:rPr>
      </w:pPr>
      <w:bookmarkStart w:id="1" w:name="_Hlk116998541"/>
      <w:r w:rsidRPr="53036C2A">
        <w:rPr>
          <w:rFonts w:eastAsia="Calibri"/>
        </w:rPr>
        <w:t xml:space="preserve">CTP also identified privacy compliance requirements and coordinated with FDA’s Privacy Officer to ensure responsible offices in CTP satisfy all in accordance with law and policy. </w:t>
      </w:r>
      <w:r w:rsidRPr="00927DC6">
        <w:rPr>
          <w:rFonts w:eastAsia="Calibri"/>
        </w:rPr>
        <w:t>FDA's web and privacy policies are</w:t>
      </w:r>
      <w:r>
        <w:rPr>
          <w:rFonts w:eastAsia="Calibri"/>
        </w:rPr>
        <w:t xml:space="preserve"> </w:t>
      </w:r>
      <w:r w:rsidRPr="00927DC6">
        <w:rPr>
          <w:rFonts w:eastAsia="Calibri"/>
        </w:rPr>
        <w:t>provided on all FDA internet (FDA.gov)</w:t>
      </w:r>
      <w:r>
        <w:rPr>
          <w:rFonts w:eastAsia="Calibri"/>
        </w:rPr>
        <w:t xml:space="preserve"> pages the PIA provides further notice.</w:t>
      </w:r>
      <w:r>
        <w:rPr>
          <w:rStyle w:val="FootnoteReference"/>
          <w:rFonts w:eastAsia="Calibri"/>
        </w:rPr>
        <w:footnoteReference w:id="3"/>
      </w:r>
      <w:r>
        <w:rPr>
          <w:rFonts w:eastAsia="Calibri"/>
        </w:rPr>
        <w:t xml:space="preserve"> </w:t>
      </w:r>
      <w:r w:rsidRPr="00F00339">
        <w:rPr>
          <w:rFonts w:eastAsia="Calibri"/>
        </w:rPr>
        <w:t>The Center for Tobacco Products (CTP)</w:t>
      </w:r>
      <w:r w:rsidR="00DE6937">
        <w:rPr>
          <w:rFonts w:eastAsia="Calibri"/>
        </w:rPr>
        <w:t xml:space="preserve"> </w:t>
      </w:r>
      <w:r w:rsidRPr="00F00339">
        <w:rPr>
          <w:rFonts w:eastAsia="Calibri"/>
        </w:rPr>
        <w:t>Electronic Submissions system (</w:t>
      </w:r>
      <w:r w:rsidRPr="00F00339">
        <w:rPr>
          <w:rFonts w:eastAsia="Calibri"/>
        </w:rPr>
        <w:t>eSub</w:t>
      </w:r>
      <w:r w:rsidRPr="00F00339">
        <w:rPr>
          <w:rFonts w:eastAsia="Calibri"/>
        </w:rPr>
        <w:t>) is a</w:t>
      </w:r>
      <w:r>
        <w:rPr>
          <w:rFonts w:eastAsia="Calibri"/>
        </w:rPr>
        <w:t xml:space="preserve"> </w:t>
      </w:r>
      <w:r w:rsidRPr="00F00339">
        <w:rPr>
          <w:rFonts w:eastAsia="Calibri"/>
        </w:rPr>
        <w:t>suite of database-supported applications</w:t>
      </w:r>
      <w:r>
        <w:rPr>
          <w:rFonts w:eastAsia="Calibri"/>
        </w:rPr>
        <w:t xml:space="preserve"> </w:t>
      </w:r>
      <w:r w:rsidRPr="00F00339">
        <w:rPr>
          <w:rFonts w:eastAsia="Calibri"/>
        </w:rPr>
        <w:t>that</w:t>
      </w:r>
      <w:r>
        <w:rPr>
          <w:rFonts w:eastAsia="Calibri"/>
        </w:rPr>
        <w:t xml:space="preserve"> </w:t>
      </w:r>
      <w:r w:rsidRPr="00F00339">
        <w:rPr>
          <w:rFonts w:eastAsia="Calibri"/>
        </w:rPr>
        <w:t>facilitates the collection, logging,</w:t>
      </w:r>
      <w:r>
        <w:rPr>
          <w:rFonts w:eastAsia="Calibri"/>
        </w:rPr>
        <w:t xml:space="preserve"> </w:t>
      </w:r>
      <w:r w:rsidRPr="00F00339">
        <w:rPr>
          <w:rFonts w:eastAsia="Calibri"/>
        </w:rPr>
        <w:t>tracking, and retrieval of documents</w:t>
      </w:r>
      <w:r>
        <w:rPr>
          <w:rFonts w:eastAsia="Calibri"/>
        </w:rPr>
        <w:t xml:space="preserve"> </w:t>
      </w:r>
      <w:r w:rsidRPr="00F00339">
        <w:rPr>
          <w:rFonts w:eastAsia="Calibri"/>
        </w:rPr>
        <w:t>provided to the FDA by the tobacco</w:t>
      </w:r>
      <w:r>
        <w:rPr>
          <w:rFonts w:eastAsia="Calibri"/>
        </w:rPr>
        <w:t xml:space="preserve"> </w:t>
      </w:r>
      <w:r w:rsidRPr="00F00339">
        <w:rPr>
          <w:rFonts w:eastAsia="Calibri"/>
        </w:rPr>
        <w:t>industry and others (e.g., adverse</w:t>
      </w:r>
      <w:r>
        <w:rPr>
          <w:rFonts w:eastAsia="Calibri"/>
        </w:rPr>
        <w:t xml:space="preserve"> </w:t>
      </w:r>
      <w:r w:rsidRPr="00F00339">
        <w:rPr>
          <w:rFonts w:eastAsia="Calibri"/>
        </w:rPr>
        <w:t>experience reports from the general public).</w:t>
      </w:r>
      <w:r>
        <w:rPr>
          <w:rFonts w:eastAsia="Calibri"/>
        </w:rPr>
        <w:t xml:space="preserve"> </w:t>
      </w:r>
      <w:r w:rsidRPr="00F00339">
        <w:rPr>
          <w:rFonts w:eastAsia="Calibri"/>
        </w:rPr>
        <w:t>CTP uses this data to evaluate tobacco</w:t>
      </w:r>
      <w:r>
        <w:rPr>
          <w:rFonts w:eastAsia="Calibri"/>
        </w:rPr>
        <w:t xml:space="preserve"> </w:t>
      </w:r>
      <w:r w:rsidRPr="00F00339">
        <w:rPr>
          <w:rFonts w:eastAsia="Calibri"/>
        </w:rPr>
        <w:t>products, develop policy, and assess</w:t>
      </w:r>
      <w:r>
        <w:rPr>
          <w:rFonts w:eastAsia="Calibri"/>
        </w:rPr>
        <w:t xml:space="preserve"> </w:t>
      </w:r>
      <w:r w:rsidRPr="00F00339">
        <w:rPr>
          <w:rFonts w:eastAsia="Calibri"/>
        </w:rPr>
        <w:t>industry compliance with the Family</w:t>
      </w:r>
      <w:r>
        <w:rPr>
          <w:rFonts w:eastAsia="Calibri"/>
        </w:rPr>
        <w:t xml:space="preserve"> </w:t>
      </w:r>
      <w:r w:rsidRPr="00F00339">
        <w:rPr>
          <w:rFonts w:eastAsia="Calibri"/>
        </w:rPr>
        <w:t>Smoking Prevention</w:t>
      </w:r>
      <w:r>
        <w:rPr>
          <w:rFonts w:eastAsia="Calibri"/>
        </w:rPr>
        <w:t xml:space="preserve"> </w:t>
      </w:r>
      <w:r w:rsidRPr="00F00339">
        <w:rPr>
          <w:rFonts w:eastAsia="Calibri"/>
        </w:rPr>
        <w:t>and Tobacco Control</w:t>
      </w:r>
      <w:r>
        <w:rPr>
          <w:rFonts w:eastAsia="Calibri"/>
        </w:rPr>
        <w:t xml:space="preserve"> Ac</w:t>
      </w:r>
      <w:r w:rsidRPr="00F00339">
        <w:rPr>
          <w:rFonts w:eastAsia="Calibri"/>
        </w:rPr>
        <w:t>t</w:t>
      </w:r>
      <w:r>
        <w:rPr>
          <w:rFonts w:eastAsia="Calibri"/>
        </w:rPr>
        <w:t xml:space="preserve">. </w:t>
      </w:r>
      <w:r w:rsidRPr="53036C2A">
        <w:t>CTP received HHS approval on the privacy impact assessment</w:t>
      </w:r>
      <w:r>
        <w:t xml:space="preserve"> for the Electronic Submissions system</w:t>
      </w:r>
      <w:r w:rsidRPr="53036C2A">
        <w:t xml:space="preserve"> and was assigned </w:t>
      </w:r>
      <w:r w:rsidR="00DE6937">
        <w:br/>
      </w:r>
      <w:r w:rsidRPr="53036C2A">
        <w:t>PIA ID: 2060831.</w:t>
      </w:r>
    </w:p>
    <w:bookmarkEnd w:id="1"/>
    <w:p w:rsidR="00380859" w:rsidRPr="00A25311" w:rsidP="00A25311" w14:paraId="5B83FFEB" w14:textId="638FD54D">
      <w:pPr>
        <w:pStyle w:val="ListParagraph"/>
        <w:numPr>
          <w:ilvl w:val="0"/>
          <w:numId w:val="33"/>
        </w:numPr>
        <w:spacing w:before="100" w:beforeAutospacing="1" w:after="100" w:afterAutospacing="1"/>
        <w:rPr>
          <w:bCs/>
          <w:u w:val="single"/>
        </w:rPr>
      </w:pPr>
      <w:r w:rsidRPr="00A25311">
        <w:rPr>
          <w:bCs/>
          <w:u w:val="single"/>
        </w:rPr>
        <w:t>Justification for Sensitive Questions</w:t>
      </w:r>
    </w:p>
    <w:p w:rsidR="00380859" w:rsidP="00A25311" w14:paraId="71FDC764" w14:textId="048F3B8A">
      <w:pPr>
        <w:pStyle w:val="BodyText"/>
        <w:ind w:left="360"/>
        <w:rPr>
          <w:sz w:val="24"/>
        </w:rPr>
      </w:pPr>
      <w:r w:rsidRPr="00583206">
        <w:rPr>
          <w:sz w:val="24"/>
        </w:rPr>
        <w:t>This information collection does not contain questions of a sensitive nature.</w:t>
      </w:r>
    </w:p>
    <w:p w:rsidR="00FD424B" w:rsidP="00FD424B" w14:paraId="5DB14AC3" w14:textId="77777777">
      <w:pPr>
        <w:pStyle w:val="BodyText"/>
        <w:spacing w:after="0"/>
        <w:ind w:left="360"/>
        <w:rPr>
          <w:sz w:val="24"/>
        </w:rPr>
      </w:pPr>
    </w:p>
    <w:p w:rsidR="00380859" w:rsidRPr="00A25311" w:rsidP="00FD424B" w14:paraId="2FD72C2F" w14:textId="1DC29F85">
      <w:pPr>
        <w:pStyle w:val="ListParagraph"/>
        <w:numPr>
          <w:ilvl w:val="0"/>
          <w:numId w:val="33"/>
        </w:numPr>
        <w:spacing w:after="100" w:afterAutospacing="1"/>
        <w:rPr>
          <w:bCs/>
        </w:rPr>
      </w:pPr>
      <w:r w:rsidRPr="00A25311">
        <w:rPr>
          <w:bCs/>
          <w:u w:val="single"/>
        </w:rPr>
        <w:t>Estimates of Annualized Burden Hours and Costs</w:t>
      </w:r>
    </w:p>
    <w:p w:rsidR="00380859" w:rsidP="00A25311" w14:paraId="6CC6CD6E" w14:textId="77777777">
      <w:pPr>
        <w:autoSpaceDE w:val="0"/>
        <w:autoSpaceDN w:val="0"/>
        <w:adjustRightInd w:val="0"/>
        <w:ind w:left="360"/>
      </w:pPr>
      <w:r>
        <w:t>FDA estimates the number of respondents based on current reporting experience.</w:t>
      </w:r>
    </w:p>
    <w:p w:rsidR="00380859" w:rsidP="00A25311" w14:paraId="21C3E44E" w14:textId="77777777">
      <w:pPr>
        <w:autoSpaceDE w:val="0"/>
        <w:autoSpaceDN w:val="0"/>
        <w:adjustRightInd w:val="0"/>
        <w:ind w:left="360"/>
      </w:pPr>
    </w:p>
    <w:p w:rsidR="00380859" w:rsidP="00A25311" w14:paraId="1C4A7976" w14:textId="77777777">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720" w:hanging="360"/>
      </w:pPr>
      <w:r w:rsidRPr="00B27963">
        <w:t>FDA estimates the burden for this information collection as follows:</w:t>
      </w:r>
    </w:p>
    <w:p w:rsidR="000C53C3" w14:paraId="77351BEB" w14:textId="77777777">
      <w:r>
        <w:br w:type="page"/>
      </w:r>
    </w:p>
    <w:p w:rsidR="000C53C3" w:rsidP="00A25311" w14:paraId="21FF8F17" w14:textId="77777777">
      <w:pPr>
        <w:keepNext/>
        <w:ind w:left="360"/>
      </w:pPr>
    </w:p>
    <w:p w:rsidR="00DC7E99" w:rsidP="00A25311" w14:paraId="41F52910" w14:textId="77777777">
      <w:pPr>
        <w:keepNext/>
        <w:ind w:left="360"/>
      </w:pPr>
    </w:p>
    <w:p w:rsidR="00380859" w:rsidP="00A25311" w14:paraId="70225CCF" w14:textId="0248E7E7">
      <w:pPr>
        <w:keepNext/>
        <w:ind w:left="360"/>
        <w:rPr>
          <w:i/>
        </w:rPr>
      </w:pPr>
      <w:r>
        <w:t xml:space="preserve">12a. </w:t>
      </w:r>
      <w:r w:rsidRPr="00643DBD">
        <w:rPr>
          <w:i/>
        </w:rPr>
        <w:t>Hour Burden Estimate</w:t>
      </w:r>
    </w:p>
    <w:p w:rsidR="005D2E99" w:rsidP="00A25311" w14:paraId="7441D572" w14:textId="1CA66F6D">
      <w:pPr>
        <w:keepNext/>
        <w:ind w:left="360"/>
        <w:rPr>
          <w:i/>
        </w:rPr>
      </w:pPr>
    </w:p>
    <w:p w:rsidR="005D2E99" w:rsidRPr="00644DA3" w:rsidP="00A25311" w14:paraId="77B0448B" w14:textId="470C2942">
      <w:pPr>
        <w:spacing w:after="200" w:line="276" w:lineRule="auto"/>
        <w:ind w:left="720"/>
        <w:rPr>
          <w:rFonts w:eastAsia="Calibri"/>
        </w:rPr>
      </w:pPr>
      <w:bookmarkStart w:id="2" w:name="_Hlk116998106"/>
      <w:r w:rsidRPr="00644DA3">
        <w:rPr>
          <w:rFonts w:eastAsia="Calibri"/>
        </w:rPr>
        <w:t xml:space="preserve">In the burden hour table below, we calculate a total of </w:t>
      </w:r>
      <w:r w:rsidR="000C53C3">
        <w:t>3,000</w:t>
      </w:r>
      <w:r w:rsidRPr="00644DA3">
        <w:rPr>
          <w:rFonts w:eastAsia="Calibri"/>
        </w:rPr>
        <w:t xml:space="preserve"> respondents.</w:t>
      </w:r>
    </w:p>
    <w:tbl>
      <w:tblPr>
        <w:tblW w:w="9360" w:type="dxa"/>
        <w:tblInd w:w="120" w:type="dxa"/>
        <w:tblBorders>
          <w:top w:val="single" w:sz="8" w:space="0" w:color="000000"/>
          <w:left w:val="single" w:sz="8" w:space="0" w:color="000000"/>
          <w:bottom w:val="single" w:sz="8" w:space="0" w:color="000000"/>
          <w:right w:val="single" w:sz="8" w:space="0" w:color="000000"/>
        </w:tblBorders>
        <w:tblLayout w:type="fixed"/>
        <w:tblCellMar>
          <w:left w:w="120" w:type="dxa"/>
          <w:right w:w="120" w:type="dxa"/>
        </w:tblCellMar>
        <w:tblLook w:val="0000"/>
      </w:tblPr>
      <w:tblGrid>
        <w:gridCol w:w="1710"/>
        <w:gridCol w:w="1530"/>
        <w:gridCol w:w="1710"/>
        <w:gridCol w:w="1530"/>
        <w:gridCol w:w="1440"/>
        <w:gridCol w:w="1440"/>
      </w:tblGrid>
      <w:tr w14:paraId="69636F10" w14:textId="77777777" w:rsidTr="72CBA1CE">
        <w:tblPrEx>
          <w:tblW w:w="9360" w:type="dxa"/>
          <w:tblInd w:w="120" w:type="dxa"/>
          <w:tblBorders>
            <w:top w:val="single" w:sz="8" w:space="0" w:color="000000"/>
            <w:left w:val="single" w:sz="8" w:space="0" w:color="000000"/>
            <w:bottom w:val="single" w:sz="8" w:space="0" w:color="000000"/>
            <w:right w:val="single" w:sz="8" w:space="0" w:color="000000"/>
          </w:tblBorders>
          <w:tblLayout w:type="fixed"/>
          <w:tblCellMar>
            <w:left w:w="120" w:type="dxa"/>
            <w:right w:w="120" w:type="dxa"/>
          </w:tblCellMar>
          <w:tblLook w:val="0000"/>
        </w:tblPrEx>
        <w:tc>
          <w:tcPr>
            <w:tcW w:w="936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bookmarkEnd w:id="2"/>
          <w:p w:rsidR="00380859" w:rsidRPr="00A25311" w:rsidP="00217A0C" w14:paraId="10034B10" w14:textId="474FEAC0">
            <w:pPr>
              <w:keepNext/>
              <w:autoSpaceDE w:val="0"/>
              <w:autoSpaceDN w:val="0"/>
              <w:adjustRightInd w:val="0"/>
              <w:spacing w:before="120" w:after="120"/>
              <w:ind w:right="343"/>
              <w:jc w:val="center"/>
              <w:rPr>
                <w:sz w:val="20"/>
                <w:szCs w:val="20"/>
              </w:rPr>
            </w:pPr>
            <w:r w:rsidRPr="00A25311">
              <w:rPr>
                <w:sz w:val="20"/>
                <w:szCs w:val="20"/>
              </w:rPr>
              <w:tab/>
              <w:t>Table 1.--Estimated Annual Reporting Burden</w:t>
            </w:r>
          </w:p>
        </w:tc>
      </w:tr>
      <w:tr w14:paraId="5A50B249" w14:textId="77777777" w:rsidTr="72CBA1CE">
        <w:tblPrEx>
          <w:tblW w:w="9360" w:type="dxa"/>
          <w:tblInd w:w="120" w:type="dxa"/>
          <w:tblLayout w:type="fixed"/>
          <w:tblCellMar>
            <w:left w:w="120" w:type="dxa"/>
            <w:right w:w="120" w:type="dxa"/>
          </w:tblCellMar>
          <w:tblLook w:val="0000"/>
        </w:tblPrEx>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80859" w:rsidRPr="00A25311" w:rsidP="002D676F" w14:paraId="26A8B93E" w14:textId="77777777">
            <w:pPr>
              <w:autoSpaceDE w:val="0"/>
              <w:autoSpaceDN w:val="0"/>
              <w:adjustRightInd w:val="0"/>
              <w:jc w:val="center"/>
              <w:rPr>
                <w:color w:val="000000"/>
                <w:sz w:val="20"/>
                <w:szCs w:val="20"/>
              </w:rPr>
            </w:pPr>
          </w:p>
          <w:p w:rsidR="00380859" w:rsidRPr="00A25311" w:rsidP="002D676F" w14:paraId="31D73FBD" w14:textId="2B2CE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sz w:val="20"/>
                <w:szCs w:val="20"/>
              </w:rPr>
            </w:pPr>
            <w:r w:rsidRPr="00A25311">
              <w:rPr>
                <w:color w:val="000000"/>
                <w:sz w:val="20"/>
                <w:szCs w:val="20"/>
              </w:rPr>
              <w:t xml:space="preserve">Activity and </w:t>
            </w:r>
            <w:r w:rsidRPr="00A25311" w:rsidR="001C3423">
              <w:rPr>
                <w:color w:val="000000"/>
                <w:sz w:val="20"/>
                <w:szCs w:val="20"/>
              </w:rPr>
              <w:t>F</w:t>
            </w:r>
            <w:r w:rsidRPr="00A25311">
              <w:rPr>
                <w:color w:val="000000"/>
                <w:sz w:val="20"/>
                <w:szCs w:val="20"/>
              </w:rPr>
              <w:t>orm FDA 3779</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80859" w:rsidRPr="00A25311" w:rsidP="002D676F" w14:paraId="29B502B0" w14:textId="77777777">
            <w:pPr>
              <w:autoSpaceDE w:val="0"/>
              <w:autoSpaceDN w:val="0"/>
              <w:adjustRightInd w:val="0"/>
              <w:jc w:val="center"/>
              <w:rPr>
                <w:color w:val="000000"/>
                <w:sz w:val="20"/>
                <w:szCs w:val="20"/>
              </w:rPr>
            </w:pPr>
          </w:p>
          <w:p w:rsidR="00380859" w:rsidRPr="00A25311" w:rsidP="002D676F" w14:paraId="2034E9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sz w:val="20"/>
                <w:szCs w:val="20"/>
              </w:rPr>
            </w:pPr>
            <w:r w:rsidRPr="00A25311">
              <w:rPr>
                <w:color w:val="000000"/>
                <w:sz w:val="20"/>
                <w:szCs w:val="20"/>
              </w:rPr>
              <w:t>No. of Respondents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80859" w:rsidRPr="00A25311" w:rsidP="002D676F" w14:paraId="28E67D12" w14:textId="77777777">
            <w:pPr>
              <w:autoSpaceDE w:val="0"/>
              <w:autoSpaceDN w:val="0"/>
              <w:adjustRightInd w:val="0"/>
              <w:jc w:val="center"/>
              <w:rPr>
                <w:color w:val="000000"/>
                <w:sz w:val="20"/>
                <w:szCs w:val="20"/>
              </w:rPr>
            </w:pPr>
          </w:p>
          <w:p w:rsidR="00380859" w:rsidRPr="00A25311" w:rsidP="002D676F" w14:paraId="2D58F6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sz w:val="20"/>
                <w:szCs w:val="20"/>
              </w:rPr>
            </w:pPr>
            <w:r w:rsidRPr="00A25311">
              <w:rPr>
                <w:color w:val="000000"/>
                <w:sz w:val="20"/>
                <w:szCs w:val="20"/>
              </w:rPr>
              <w:t>Annual Frequency per Response</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80859" w:rsidRPr="00A25311" w:rsidP="002D676F" w14:paraId="48F29A19" w14:textId="77777777">
            <w:pPr>
              <w:autoSpaceDE w:val="0"/>
              <w:autoSpaceDN w:val="0"/>
              <w:adjustRightInd w:val="0"/>
              <w:jc w:val="center"/>
              <w:rPr>
                <w:color w:val="000000"/>
                <w:sz w:val="20"/>
                <w:szCs w:val="20"/>
              </w:rPr>
            </w:pPr>
          </w:p>
          <w:p w:rsidR="00380859" w:rsidRPr="00A25311" w:rsidP="002D676F" w14:paraId="1E0E9D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sz w:val="20"/>
                <w:szCs w:val="20"/>
              </w:rPr>
            </w:pPr>
            <w:r w:rsidRPr="00A25311">
              <w:rPr>
                <w:color w:val="000000"/>
                <w:sz w:val="20"/>
                <w:szCs w:val="20"/>
              </w:rPr>
              <w:t>Total Annual Responses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80859" w:rsidRPr="00A25311" w:rsidP="002D676F" w14:paraId="31BD3156" w14:textId="77777777">
            <w:pPr>
              <w:autoSpaceDE w:val="0"/>
              <w:autoSpaceDN w:val="0"/>
              <w:adjustRightInd w:val="0"/>
              <w:jc w:val="center"/>
              <w:rPr>
                <w:color w:val="000000"/>
                <w:sz w:val="20"/>
                <w:szCs w:val="20"/>
              </w:rPr>
            </w:pPr>
          </w:p>
          <w:p w:rsidR="00380859" w:rsidRPr="00A25311" w:rsidP="002D676F" w14:paraId="421A71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sz w:val="20"/>
                <w:szCs w:val="20"/>
              </w:rPr>
            </w:pPr>
            <w:r w:rsidRPr="00A25311">
              <w:rPr>
                <w:color w:val="000000"/>
                <w:sz w:val="20"/>
                <w:szCs w:val="20"/>
              </w:rPr>
              <w:t>Average Burden per Response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80859" w:rsidRPr="00A25311" w:rsidP="002D676F" w14:paraId="0B700480" w14:textId="77777777">
            <w:pPr>
              <w:autoSpaceDE w:val="0"/>
              <w:autoSpaceDN w:val="0"/>
              <w:adjustRightInd w:val="0"/>
              <w:jc w:val="center"/>
              <w:rPr>
                <w:color w:val="000000"/>
                <w:sz w:val="20"/>
                <w:szCs w:val="20"/>
              </w:rPr>
            </w:pPr>
          </w:p>
          <w:p w:rsidR="00380859" w:rsidRPr="00A25311" w:rsidP="002D676F" w14:paraId="636950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sz w:val="20"/>
                <w:szCs w:val="20"/>
              </w:rPr>
            </w:pPr>
            <w:r w:rsidRPr="00A25311">
              <w:rPr>
                <w:color w:val="000000"/>
                <w:sz w:val="20"/>
                <w:szCs w:val="20"/>
              </w:rPr>
              <w:t>Total Hours</w:t>
            </w:r>
          </w:p>
        </w:tc>
      </w:tr>
      <w:tr w14:paraId="02BBD950" w14:textId="77777777" w:rsidTr="72CBA1CE">
        <w:tblPrEx>
          <w:tblW w:w="9360" w:type="dxa"/>
          <w:tblInd w:w="120" w:type="dxa"/>
          <w:tblLayout w:type="fixed"/>
          <w:tblCellMar>
            <w:left w:w="120" w:type="dxa"/>
            <w:right w:w="120" w:type="dxa"/>
          </w:tblCellMar>
          <w:tblLook w:val="0000"/>
        </w:tblPrEx>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6E3F42" w:rsidRPr="00A25311" w:rsidP="006E3F42" w14:paraId="64D47F99" w14:textId="6F59E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rPr>
                <w:color w:val="000000"/>
                <w:sz w:val="20"/>
                <w:szCs w:val="20"/>
              </w:rPr>
            </w:pPr>
            <w:r w:rsidRPr="00A25311">
              <w:rPr>
                <w:color w:val="000000"/>
                <w:sz w:val="20"/>
                <w:szCs w:val="20"/>
              </w:rPr>
              <w:t>Reporting</w:t>
            </w:r>
            <w:r w:rsidR="00A25311">
              <w:rPr>
                <w:color w:val="000000"/>
                <w:sz w:val="20"/>
                <w:szCs w:val="20"/>
              </w:rPr>
              <w:t xml:space="preserve"> potential </w:t>
            </w:r>
            <w:r w:rsidR="00FF614C">
              <w:rPr>
                <w:color w:val="000000"/>
                <w:sz w:val="20"/>
                <w:szCs w:val="20"/>
              </w:rPr>
              <w:t xml:space="preserve">tobacco product </w:t>
            </w:r>
            <w:r w:rsidRPr="00A25311" w:rsidR="00A25311">
              <w:rPr>
                <w:color w:val="000000"/>
                <w:sz w:val="20"/>
                <w:szCs w:val="20"/>
              </w:rPr>
              <w:t>violations</w:t>
            </w:r>
            <w:r w:rsidRPr="00A25311">
              <w:rPr>
                <w:color w:val="000000"/>
                <w:sz w:val="20"/>
                <w:szCs w:val="20"/>
              </w:rPr>
              <w:t xml:space="preserve"> of the FD&amp;C Act</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E3F42" w:rsidRPr="00A25311" w:rsidP="72CBA1CE" w14:paraId="472FEBB2" w14:textId="24E07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59" w:lineRule="auto"/>
              <w:jc w:val="center"/>
            </w:pPr>
            <w:r w:rsidRPr="72CBA1CE">
              <w:rPr>
                <w:sz w:val="20"/>
                <w:szCs w:val="20"/>
              </w:rPr>
              <w:t>3,000</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E3F42" w:rsidRPr="00A25311" w:rsidP="006E3F42" w14:paraId="1471E0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sz w:val="20"/>
                <w:szCs w:val="20"/>
              </w:rPr>
            </w:pPr>
            <w:r w:rsidRPr="00A25311">
              <w:rPr>
                <w:color w:val="000000"/>
                <w:sz w:val="20"/>
                <w:szCs w:val="20"/>
              </w:rPr>
              <w:t>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E3F42" w:rsidRPr="00A25311" w:rsidP="72CBA1CE" w14:paraId="6FC65FCF" w14:textId="2E8893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59" w:lineRule="auto"/>
              <w:jc w:val="center"/>
            </w:pPr>
            <w:r w:rsidRPr="72CBA1CE">
              <w:rPr>
                <w:sz w:val="20"/>
                <w:szCs w:val="20"/>
              </w:rPr>
              <w:t>6,000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35ED2" w:rsidRPr="00A25311" w:rsidP="006E3F42" w14:paraId="28568329" w14:textId="77777777">
            <w:pPr>
              <w:tabs>
                <w:tab w:val="left" w:pos="0"/>
                <w:tab w:val="left" w:pos="1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sz w:val="20"/>
                <w:szCs w:val="20"/>
              </w:rPr>
            </w:pPr>
            <w:r w:rsidRPr="00A25311">
              <w:rPr>
                <w:color w:val="000000"/>
                <w:sz w:val="20"/>
                <w:szCs w:val="20"/>
              </w:rPr>
              <w:t xml:space="preserve">0.25 </w:t>
            </w:r>
          </w:p>
          <w:p w:rsidR="006E3F42" w:rsidRPr="00A25311" w:rsidP="006E3F42" w14:paraId="19F27238" w14:textId="77777777">
            <w:pPr>
              <w:tabs>
                <w:tab w:val="left" w:pos="0"/>
                <w:tab w:val="left" w:pos="1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sz w:val="20"/>
                <w:szCs w:val="20"/>
              </w:rPr>
            </w:pPr>
            <w:r w:rsidRPr="00A25311">
              <w:rPr>
                <w:color w:val="000000"/>
                <w:sz w:val="20"/>
                <w:szCs w:val="20"/>
              </w:rPr>
              <w:t>(15 minutes)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E3F42" w:rsidRPr="00A25311" w:rsidP="72CBA1CE" w14:paraId="05149C46" w14:textId="407209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59" w:lineRule="auto"/>
              <w:jc w:val="center"/>
              <w:rPr>
                <w:sz w:val="20"/>
                <w:szCs w:val="20"/>
              </w:rPr>
            </w:pPr>
            <w:r w:rsidRPr="72CBA1CE">
              <w:rPr>
                <w:sz w:val="20"/>
                <w:szCs w:val="20"/>
              </w:rPr>
              <w:t>1,500</w:t>
            </w:r>
          </w:p>
        </w:tc>
      </w:tr>
    </w:tbl>
    <w:p w:rsidR="00FD424B" w:rsidP="00FD424B" w14:paraId="13A1DA4D" w14:textId="77777777">
      <w:pPr>
        <w:pStyle w:val="BodyTextIndent2"/>
        <w:spacing w:after="0" w:line="240" w:lineRule="auto"/>
        <w:ind w:left="450"/>
        <w:rPr>
          <w:i/>
          <w:sz w:val="24"/>
        </w:rPr>
      </w:pPr>
    </w:p>
    <w:p w:rsidR="00380859" w:rsidRPr="007376E6" w:rsidP="00B52263" w14:paraId="59506C48" w14:textId="2F16AAC3">
      <w:pPr>
        <w:pStyle w:val="BodyTextIndent2"/>
        <w:spacing w:line="240" w:lineRule="auto"/>
        <w:ind w:left="450"/>
        <w:rPr>
          <w:i/>
          <w:sz w:val="24"/>
        </w:rPr>
      </w:pPr>
      <w:r w:rsidRPr="007376E6">
        <w:rPr>
          <w:i/>
          <w:sz w:val="24"/>
        </w:rPr>
        <w:t xml:space="preserve">Reporting Burden </w:t>
      </w:r>
    </w:p>
    <w:p w:rsidR="00AD3EE4" w:rsidP="00B52263" w14:paraId="7D56D966" w14:textId="39BBEC67">
      <w:pPr>
        <w:tabs>
          <w:tab w:val="left" w:pos="7983"/>
        </w:tabs>
        <w:ind w:left="450"/>
      </w:pPr>
      <w:r>
        <w:t>FDA estimates that submitting the information (</w:t>
      </w:r>
      <w:r w:rsidR="007A68B6">
        <w:t>online</w:t>
      </w:r>
      <w:r>
        <w:t xml:space="preserve">, </w:t>
      </w:r>
      <w:r w:rsidR="00A25311">
        <w:t>telephone, e</w:t>
      </w:r>
      <w:r>
        <w:t xml:space="preserve">mail or mail) will take 0.25 hours (i.e., 15 minutes) per response.  </w:t>
      </w:r>
      <w:r w:rsidR="008E55CB">
        <w:t>Based on the type and rate of reporting that has been submitted through the Potential Tobacco Violation Report Form in the past</w:t>
      </w:r>
      <w:r>
        <w:t>.</w:t>
      </w:r>
    </w:p>
    <w:p w:rsidR="00AD3EE4" w:rsidP="00B52263" w14:paraId="07DF16B1" w14:textId="77777777">
      <w:pPr>
        <w:tabs>
          <w:tab w:val="left" w:pos="7983"/>
        </w:tabs>
        <w:ind w:left="450"/>
      </w:pPr>
    </w:p>
    <w:p w:rsidR="000E2305" w:rsidP="00B52263" w14:paraId="147648DD" w14:textId="5D347067">
      <w:pPr>
        <w:tabs>
          <w:tab w:val="left" w:pos="7983"/>
        </w:tabs>
        <w:ind w:left="450"/>
      </w:pPr>
      <w:r>
        <w:t xml:space="preserve">FDA estimates the number of annual respondents to this collection of information will be </w:t>
      </w:r>
      <w:r w:rsidR="7EF9BA36">
        <w:t>3,000</w:t>
      </w:r>
      <w:r>
        <w:t xml:space="preserve">, who will each submit 2 reports by </w:t>
      </w:r>
      <w:r w:rsidR="00A25311">
        <w:t>online form, telephone, email or mail</w:t>
      </w:r>
      <w:r>
        <w:t xml:space="preserve">.  Each report is expected to take 0.25 hours to complete and submit; therefore, total burden hours for this collection of information is estimated to be </w:t>
      </w:r>
      <w:r w:rsidR="00682D04">
        <w:t>1,</w:t>
      </w:r>
      <w:r w:rsidR="362D0753">
        <w:t>500</w:t>
      </w:r>
      <w:r w:rsidR="00682D04">
        <w:t xml:space="preserve"> </w:t>
      </w:r>
      <w:r>
        <w:t>hours (</w:t>
      </w:r>
      <w:r w:rsidR="689DE2A0">
        <w:t>6,000</w:t>
      </w:r>
      <w:r w:rsidR="00682D04">
        <w:t xml:space="preserve"> </w:t>
      </w:r>
      <w:r>
        <w:t xml:space="preserve">responses x 0.25 hours per response). </w:t>
      </w:r>
    </w:p>
    <w:p w:rsidR="00380859" w:rsidRPr="00527E83" w:rsidP="00B52263" w14:paraId="65039230" w14:textId="0FA1D0B4">
      <w:pPr>
        <w:tabs>
          <w:tab w:val="left" w:pos="7983"/>
        </w:tabs>
        <w:ind w:left="450"/>
        <w:rPr>
          <w:color w:val="000000"/>
        </w:rPr>
      </w:pPr>
      <w:r w:rsidRPr="00326A55">
        <w:t xml:space="preserve"> </w:t>
      </w:r>
    </w:p>
    <w:p w:rsidR="00380859" w:rsidRPr="00DA7882" w:rsidP="00B52263" w14:paraId="550C38B7" w14:textId="77777777">
      <w:pPr>
        <w:keepNext/>
        <w:ind w:left="450"/>
        <w:rPr>
          <w:i/>
        </w:rPr>
      </w:pPr>
      <w:r>
        <w:t xml:space="preserve">12b. </w:t>
      </w:r>
      <w:r w:rsidRPr="00DA7882">
        <w:rPr>
          <w:i/>
        </w:rPr>
        <w:t>Reporting Cost Burden Estimate</w:t>
      </w:r>
    </w:p>
    <w:p w:rsidR="00380859" w:rsidRPr="00DA7882" w:rsidP="00B52263" w14:paraId="50E8B94B" w14:textId="77777777">
      <w:pPr>
        <w:ind w:left="450"/>
      </w:pPr>
    </w:p>
    <w:p w:rsidR="00380859" w:rsidP="00B52263" w14:paraId="0B1952E8" w14:textId="77777777">
      <w:pPr>
        <w:pStyle w:val="BodyText2"/>
        <w:ind w:left="450"/>
      </w:pPr>
      <w:r>
        <w:t>FDA estimates the cost burden of this collection of information as follows.</w:t>
      </w:r>
    </w:p>
    <w:p w:rsidR="00380859" w:rsidP="00380859" w14:paraId="658E4DE5" w14:textId="77777777">
      <w:pPr>
        <w:pStyle w:val="BodyText2"/>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1"/>
        <w:gridCol w:w="1497"/>
        <w:gridCol w:w="2392"/>
        <w:gridCol w:w="2136"/>
      </w:tblGrid>
      <w:tr w14:paraId="3B5F6A7B" w14:textId="77777777" w:rsidTr="72CBA1CE">
        <w:tblPrEx>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486" w:type="dxa"/>
            <w:gridSpan w:val="4"/>
            <w:shd w:val="clear" w:color="auto" w:fill="auto"/>
          </w:tcPr>
          <w:p w:rsidR="00380859" w:rsidRPr="00A25311" w:rsidP="00217A0C" w14:paraId="1F4F2C33" w14:textId="77777777">
            <w:pPr>
              <w:keepNext/>
              <w:autoSpaceDE w:val="0"/>
              <w:autoSpaceDN w:val="0"/>
              <w:adjustRightInd w:val="0"/>
              <w:spacing w:before="120" w:after="120"/>
              <w:ind w:right="343"/>
              <w:jc w:val="center"/>
              <w:rPr>
                <w:sz w:val="20"/>
                <w:szCs w:val="20"/>
              </w:rPr>
            </w:pPr>
            <w:r w:rsidRPr="00A25311">
              <w:rPr>
                <w:sz w:val="20"/>
                <w:szCs w:val="20"/>
              </w:rPr>
              <w:tab/>
              <w:t>Estimated Annual Reporting Cost</w:t>
            </w:r>
          </w:p>
        </w:tc>
      </w:tr>
      <w:tr w14:paraId="07D1DDDE" w14:textId="77777777" w:rsidTr="72CBA1CE">
        <w:tblPrEx>
          <w:tblW w:w="0" w:type="auto"/>
          <w:tblInd w:w="144" w:type="dxa"/>
          <w:tblLook w:val="01E0"/>
        </w:tblPrEx>
        <w:tc>
          <w:tcPr>
            <w:tcW w:w="2461" w:type="dxa"/>
            <w:shd w:val="clear" w:color="auto" w:fill="auto"/>
          </w:tcPr>
          <w:p w:rsidR="00380859" w:rsidRPr="00A25311" w:rsidP="00217A0C" w14:paraId="5684D53C" w14:textId="77777777">
            <w:pPr>
              <w:jc w:val="center"/>
              <w:rPr>
                <w:sz w:val="20"/>
                <w:szCs w:val="20"/>
              </w:rPr>
            </w:pPr>
            <w:r w:rsidRPr="00A25311">
              <w:rPr>
                <w:sz w:val="20"/>
                <w:szCs w:val="20"/>
              </w:rPr>
              <w:t>Type of Respondent</w:t>
            </w:r>
          </w:p>
        </w:tc>
        <w:tc>
          <w:tcPr>
            <w:tcW w:w="1497" w:type="dxa"/>
            <w:shd w:val="clear" w:color="auto" w:fill="auto"/>
          </w:tcPr>
          <w:p w:rsidR="00380859" w:rsidRPr="00A25311" w:rsidP="00217A0C" w14:paraId="40F555DC" w14:textId="77777777">
            <w:pPr>
              <w:jc w:val="center"/>
              <w:rPr>
                <w:sz w:val="20"/>
                <w:szCs w:val="20"/>
              </w:rPr>
            </w:pPr>
            <w:r w:rsidRPr="00A25311">
              <w:rPr>
                <w:sz w:val="20"/>
                <w:szCs w:val="20"/>
              </w:rPr>
              <w:t>Total Burden Hours</w:t>
            </w:r>
          </w:p>
        </w:tc>
        <w:tc>
          <w:tcPr>
            <w:tcW w:w="2392" w:type="dxa"/>
            <w:shd w:val="clear" w:color="auto" w:fill="auto"/>
          </w:tcPr>
          <w:p w:rsidR="00380859" w:rsidRPr="00A25311" w:rsidP="00217A0C" w14:paraId="1EEBA474" w14:textId="77777777">
            <w:pPr>
              <w:jc w:val="center"/>
              <w:rPr>
                <w:sz w:val="20"/>
                <w:szCs w:val="20"/>
              </w:rPr>
            </w:pPr>
            <w:r w:rsidRPr="00A25311">
              <w:rPr>
                <w:sz w:val="20"/>
                <w:szCs w:val="20"/>
              </w:rPr>
              <w:t>Hourly Wage Rate</w:t>
            </w:r>
          </w:p>
        </w:tc>
        <w:tc>
          <w:tcPr>
            <w:tcW w:w="2136" w:type="dxa"/>
            <w:shd w:val="clear" w:color="auto" w:fill="auto"/>
          </w:tcPr>
          <w:p w:rsidR="00380859" w:rsidRPr="00A25311" w:rsidP="00217A0C" w14:paraId="5110AD36" w14:textId="77777777">
            <w:pPr>
              <w:jc w:val="center"/>
              <w:rPr>
                <w:sz w:val="20"/>
                <w:szCs w:val="20"/>
              </w:rPr>
            </w:pPr>
            <w:r w:rsidRPr="00A25311">
              <w:rPr>
                <w:sz w:val="20"/>
                <w:szCs w:val="20"/>
              </w:rPr>
              <w:t>Total Respondent Costs</w:t>
            </w:r>
          </w:p>
        </w:tc>
      </w:tr>
      <w:tr w14:paraId="3B3E0017" w14:textId="77777777" w:rsidTr="72CBA1CE">
        <w:tblPrEx>
          <w:tblW w:w="0" w:type="auto"/>
          <w:tblInd w:w="144" w:type="dxa"/>
          <w:tblLook w:val="01E0"/>
        </w:tblPrEx>
        <w:tc>
          <w:tcPr>
            <w:tcW w:w="2461" w:type="dxa"/>
            <w:shd w:val="clear" w:color="auto" w:fill="auto"/>
            <w:vAlign w:val="center"/>
          </w:tcPr>
          <w:p w:rsidR="00380859" w:rsidRPr="00A25311" w:rsidP="002D676F" w14:paraId="19393AAF" w14:textId="24CD7B0D">
            <w:pPr>
              <w:jc w:val="center"/>
              <w:rPr>
                <w:sz w:val="20"/>
                <w:szCs w:val="20"/>
              </w:rPr>
            </w:pPr>
            <w:r w:rsidRPr="00A25311">
              <w:rPr>
                <w:sz w:val="20"/>
                <w:szCs w:val="20"/>
              </w:rPr>
              <w:t xml:space="preserve">Reporting </w:t>
            </w:r>
            <w:r w:rsidRPr="00A25311" w:rsidR="00A25311">
              <w:rPr>
                <w:sz w:val="20"/>
                <w:szCs w:val="20"/>
              </w:rPr>
              <w:t xml:space="preserve">potential </w:t>
            </w:r>
            <w:r w:rsidR="00FF614C">
              <w:rPr>
                <w:sz w:val="20"/>
                <w:szCs w:val="20"/>
              </w:rPr>
              <w:t xml:space="preserve">tobacco product </w:t>
            </w:r>
            <w:r w:rsidRPr="00A25311">
              <w:rPr>
                <w:sz w:val="20"/>
                <w:szCs w:val="20"/>
              </w:rPr>
              <w:t xml:space="preserve">violations of </w:t>
            </w:r>
            <w:r w:rsidRPr="00A25311" w:rsidR="00A25311">
              <w:rPr>
                <w:sz w:val="20"/>
                <w:szCs w:val="20"/>
              </w:rPr>
              <w:t>the FD&amp;C Act</w:t>
            </w:r>
          </w:p>
        </w:tc>
        <w:tc>
          <w:tcPr>
            <w:tcW w:w="1497" w:type="dxa"/>
            <w:shd w:val="clear" w:color="auto" w:fill="auto"/>
            <w:vAlign w:val="center"/>
          </w:tcPr>
          <w:p w:rsidR="00380859" w:rsidRPr="00A25311" w:rsidP="004644BE" w14:paraId="438D056B" w14:textId="507C2E7C">
            <w:pPr>
              <w:jc w:val="center"/>
              <w:rPr>
                <w:sz w:val="20"/>
                <w:szCs w:val="20"/>
              </w:rPr>
            </w:pPr>
            <w:r w:rsidRPr="72CBA1CE">
              <w:rPr>
                <w:sz w:val="20"/>
                <w:szCs w:val="20"/>
              </w:rPr>
              <w:t>1,500</w:t>
            </w:r>
          </w:p>
        </w:tc>
        <w:tc>
          <w:tcPr>
            <w:tcW w:w="2392" w:type="dxa"/>
            <w:shd w:val="clear" w:color="auto" w:fill="auto"/>
            <w:vAlign w:val="center"/>
          </w:tcPr>
          <w:p w:rsidR="00380859" w:rsidRPr="00A25311" w:rsidP="00391ED6" w14:paraId="1415BC68" w14:textId="45ED2D6E">
            <w:pPr>
              <w:jc w:val="center"/>
              <w:rPr>
                <w:sz w:val="20"/>
                <w:szCs w:val="20"/>
              </w:rPr>
            </w:pPr>
            <w:r w:rsidRPr="00A25311">
              <w:rPr>
                <w:sz w:val="20"/>
                <w:szCs w:val="20"/>
              </w:rPr>
              <w:t>$</w:t>
            </w:r>
            <w:r w:rsidRPr="00A25311" w:rsidR="00DD700C">
              <w:rPr>
                <w:sz w:val="20"/>
                <w:szCs w:val="20"/>
              </w:rPr>
              <w:t>7</w:t>
            </w:r>
            <w:r w:rsidRPr="00A25311" w:rsidR="005D2E99">
              <w:rPr>
                <w:sz w:val="20"/>
                <w:szCs w:val="20"/>
              </w:rPr>
              <w:t>4</w:t>
            </w:r>
            <w:r w:rsidRPr="00A25311" w:rsidR="00DD700C">
              <w:rPr>
                <w:sz w:val="20"/>
                <w:szCs w:val="20"/>
              </w:rPr>
              <w:t>.</w:t>
            </w:r>
            <w:r w:rsidRPr="00A25311" w:rsidR="005D2E99">
              <w:rPr>
                <w:sz w:val="20"/>
                <w:szCs w:val="20"/>
              </w:rPr>
              <w:t>72</w:t>
            </w:r>
          </w:p>
        </w:tc>
        <w:tc>
          <w:tcPr>
            <w:tcW w:w="2136" w:type="dxa"/>
            <w:shd w:val="clear" w:color="auto" w:fill="auto"/>
            <w:vAlign w:val="center"/>
          </w:tcPr>
          <w:p w:rsidR="00380859" w:rsidRPr="00A25311" w:rsidP="002638BD" w14:paraId="20E98FCA" w14:textId="0F3D3236">
            <w:pPr>
              <w:jc w:val="center"/>
              <w:rPr>
                <w:sz w:val="20"/>
                <w:szCs w:val="20"/>
              </w:rPr>
            </w:pPr>
            <w:r w:rsidRPr="72CBA1CE">
              <w:rPr>
                <w:sz w:val="20"/>
                <w:szCs w:val="20"/>
              </w:rPr>
              <w:t>$</w:t>
            </w:r>
            <w:r w:rsidRPr="00DE6937" w:rsidR="00DE6937">
              <w:rPr>
                <w:sz w:val="20"/>
                <w:szCs w:val="20"/>
              </w:rPr>
              <w:t>112,080</w:t>
            </w:r>
          </w:p>
        </w:tc>
      </w:tr>
      <w:tr w14:paraId="3647706B" w14:textId="77777777" w:rsidTr="72CBA1CE">
        <w:tblPrEx>
          <w:tblW w:w="0" w:type="auto"/>
          <w:tblInd w:w="144" w:type="dxa"/>
          <w:tblLook w:val="01E0"/>
        </w:tblPrEx>
        <w:tc>
          <w:tcPr>
            <w:tcW w:w="2461" w:type="dxa"/>
            <w:shd w:val="clear" w:color="auto" w:fill="D9D9D9" w:themeFill="background1" w:themeFillShade="D9"/>
          </w:tcPr>
          <w:p w:rsidR="00AD3EE4" w:rsidRPr="00A25311" w:rsidP="00217A0C" w14:paraId="549645AD" w14:textId="77777777">
            <w:pPr>
              <w:rPr>
                <w:sz w:val="20"/>
                <w:szCs w:val="20"/>
              </w:rPr>
            </w:pPr>
          </w:p>
        </w:tc>
        <w:tc>
          <w:tcPr>
            <w:tcW w:w="1497" w:type="dxa"/>
            <w:shd w:val="clear" w:color="auto" w:fill="auto"/>
            <w:vAlign w:val="center"/>
          </w:tcPr>
          <w:p w:rsidR="00AD3EE4" w:rsidRPr="00A25311" w:rsidP="004644BE" w14:paraId="23FBD717" w14:textId="77777777">
            <w:pPr>
              <w:jc w:val="center"/>
              <w:rPr>
                <w:sz w:val="20"/>
                <w:szCs w:val="20"/>
              </w:rPr>
            </w:pPr>
            <w:r w:rsidRPr="00A25311">
              <w:rPr>
                <w:sz w:val="20"/>
                <w:szCs w:val="20"/>
              </w:rPr>
              <w:t>Annual Responses</w:t>
            </w:r>
          </w:p>
        </w:tc>
        <w:tc>
          <w:tcPr>
            <w:tcW w:w="2392" w:type="dxa"/>
            <w:shd w:val="clear" w:color="auto" w:fill="auto"/>
            <w:vAlign w:val="center"/>
          </w:tcPr>
          <w:p w:rsidR="00AD3EE4" w:rsidRPr="00A25311" w:rsidP="00391ED6" w14:paraId="0F774DA6" w14:textId="77777777">
            <w:pPr>
              <w:jc w:val="center"/>
              <w:rPr>
                <w:sz w:val="20"/>
                <w:szCs w:val="20"/>
              </w:rPr>
            </w:pPr>
            <w:r w:rsidRPr="00A25311">
              <w:rPr>
                <w:sz w:val="20"/>
                <w:szCs w:val="20"/>
              </w:rPr>
              <w:t>Cost of USPS Stamp</w:t>
            </w:r>
          </w:p>
        </w:tc>
        <w:tc>
          <w:tcPr>
            <w:tcW w:w="2136" w:type="dxa"/>
            <w:shd w:val="clear" w:color="auto" w:fill="D9D9D9" w:themeFill="background1" w:themeFillShade="D9"/>
            <w:vAlign w:val="center"/>
          </w:tcPr>
          <w:p w:rsidR="00AD3EE4" w:rsidRPr="00A25311" w:rsidP="002638BD" w14:paraId="6EEA86EF" w14:textId="77777777">
            <w:pPr>
              <w:jc w:val="center"/>
              <w:rPr>
                <w:sz w:val="20"/>
                <w:szCs w:val="20"/>
              </w:rPr>
            </w:pPr>
          </w:p>
        </w:tc>
      </w:tr>
      <w:tr w14:paraId="733F8F82" w14:textId="77777777" w:rsidTr="000C53C3">
        <w:tblPrEx>
          <w:tblW w:w="0" w:type="auto"/>
          <w:tblInd w:w="144" w:type="dxa"/>
          <w:tblLook w:val="01E0"/>
        </w:tblPrEx>
        <w:trPr>
          <w:trHeight w:val="350"/>
        </w:trPr>
        <w:tc>
          <w:tcPr>
            <w:tcW w:w="2461" w:type="dxa"/>
            <w:shd w:val="clear" w:color="auto" w:fill="auto"/>
            <w:vAlign w:val="center"/>
          </w:tcPr>
          <w:p w:rsidR="00AD3EE4" w:rsidRPr="00A25311" w:rsidP="000C53C3" w14:paraId="6DB07A6E" w14:textId="77777777">
            <w:pPr>
              <w:jc w:val="center"/>
              <w:rPr>
                <w:sz w:val="20"/>
                <w:szCs w:val="20"/>
              </w:rPr>
            </w:pPr>
            <w:r w:rsidRPr="00A25311">
              <w:rPr>
                <w:sz w:val="20"/>
                <w:szCs w:val="20"/>
              </w:rPr>
              <w:t>Mailing Cost</w:t>
            </w:r>
          </w:p>
        </w:tc>
        <w:tc>
          <w:tcPr>
            <w:tcW w:w="1497" w:type="dxa"/>
            <w:shd w:val="clear" w:color="auto" w:fill="auto"/>
            <w:vAlign w:val="center"/>
          </w:tcPr>
          <w:p w:rsidR="00AD3EE4" w:rsidRPr="00A25311" w:rsidP="000C53C3" w14:paraId="2655CBB1" w14:textId="48F4BD35">
            <w:pPr>
              <w:jc w:val="center"/>
              <w:rPr>
                <w:sz w:val="20"/>
                <w:szCs w:val="20"/>
              </w:rPr>
            </w:pPr>
            <w:r>
              <w:rPr>
                <w:sz w:val="20"/>
                <w:szCs w:val="20"/>
              </w:rPr>
              <w:t>60</w:t>
            </w:r>
          </w:p>
        </w:tc>
        <w:tc>
          <w:tcPr>
            <w:tcW w:w="2392" w:type="dxa"/>
            <w:shd w:val="clear" w:color="auto" w:fill="auto"/>
            <w:vAlign w:val="center"/>
          </w:tcPr>
          <w:p w:rsidR="00AD3EE4" w:rsidRPr="00A25311" w:rsidP="000C53C3" w14:paraId="44741759" w14:textId="5A134981">
            <w:pPr>
              <w:jc w:val="center"/>
              <w:rPr>
                <w:sz w:val="20"/>
                <w:szCs w:val="20"/>
              </w:rPr>
            </w:pPr>
            <w:r w:rsidRPr="00A25311">
              <w:rPr>
                <w:sz w:val="20"/>
                <w:szCs w:val="20"/>
              </w:rPr>
              <w:t>$0.</w:t>
            </w:r>
            <w:r w:rsidRPr="00A25311" w:rsidR="00DD700C">
              <w:rPr>
                <w:sz w:val="20"/>
                <w:szCs w:val="20"/>
              </w:rPr>
              <w:t>60</w:t>
            </w:r>
          </w:p>
        </w:tc>
        <w:tc>
          <w:tcPr>
            <w:tcW w:w="2136" w:type="dxa"/>
            <w:shd w:val="clear" w:color="auto" w:fill="auto"/>
            <w:vAlign w:val="center"/>
          </w:tcPr>
          <w:p w:rsidR="00AD3EE4" w:rsidRPr="00A25311" w:rsidP="000C53C3" w14:paraId="34B08733" w14:textId="5D8AA21A">
            <w:pPr>
              <w:jc w:val="center"/>
              <w:rPr>
                <w:sz w:val="20"/>
                <w:szCs w:val="20"/>
              </w:rPr>
            </w:pPr>
            <w:r w:rsidRPr="00A25311">
              <w:rPr>
                <w:sz w:val="20"/>
                <w:szCs w:val="20"/>
              </w:rPr>
              <w:t>$</w:t>
            </w:r>
            <w:r w:rsidRPr="00A25311" w:rsidR="00DD700C">
              <w:rPr>
                <w:sz w:val="20"/>
                <w:szCs w:val="20"/>
              </w:rPr>
              <w:t>3</w:t>
            </w:r>
            <w:r w:rsidR="00DE6937">
              <w:rPr>
                <w:sz w:val="20"/>
                <w:szCs w:val="20"/>
              </w:rPr>
              <w:t>6.00</w:t>
            </w:r>
          </w:p>
        </w:tc>
      </w:tr>
      <w:tr w14:paraId="24B4975C" w14:textId="77777777" w:rsidTr="72CBA1CE">
        <w:tblPrEx>
          <w:tblW w:w="0" w:type="auto"/>
          <w:tblInd w:w="144" w:type="dxa"/>
          <w:tblLook w:val="01E0"/>
        </w:tblPrEx>
        <w:trPr>
          <w:trHeight w:val="413"/>
        </w:trPr>
        <w:tc>
          <w:tcPr>
            <w:tcW w:w="2461" w:type="dxa"/>
            <w:shd w:val="clear" w:color="auto" w:fill="auto"/>
          </w:tcPr>
          <w:p w:rsidR="00634911" w:rsidRPr="00A25311" w:rsidP="00217A0C" w14:paraId="68716237" w14:textId="77777777">
            <w:pPr>
              <w:rPr>
                <w:sz w:val="20"/>
                <w:szCs w:val="20"/>
              </w:rPr>
            </w:pPr>
          </w:p>
        </w:tc>
        <w:tc>
          <w:tcPr>
            <w:tcW w:w="1497" w:type="dxa"/>
            <w:shd w:val="clear" w:color="auto" w:fill="auto"/>
          </w:tcPr>
          <w:p w:rsidR="00634911" w:rsidRPr="00A25311" w:rsidP="00217A0C" w14:paraId="60D1B8B6" w14:textId="77777777">
            <w:pPr>
              <w:jc w:val="center"/>
              <w:rPr>
                <w:sz w:val="20"/>
                <w:szCs w:val="20"/>
              </w:rPr>
            </w:pPr>
          </w:p>
        </w:tc>
        <w:tc>
          <w:tcPr>
            <w:tcW w:w="2392" w:type="dxa"/>
            <w:shd w:val="clear" w:color="auto" w:fill="auto"/>
            <w:vAlign w:val="center"/>
          </w:tcPr>
          <w:p w:rsidR="00634911" w:rsidRPr="00A25311" w:rsidP="004644BE" w14:paraId="68A80B10" w14:textId="77777777">
            <w:pPr>
              <w:jc w:val="right"/>
              <w:rPr>
                <w:sz w:val="20"/>
                <w:szCs w:val="20"/>
              </w:rPr>
            </w:pPr>
            <w:r w:rsidRPr="00A25311">
              <w:rPr>
                <w:sz w:val="20"/>
                <w:szCs w:val="20"/>
              </w:rPr>
              <w:t>Total</w:t>
            </w:r>
          </w:p>
        </w:tc>
        <w:tc>
          <w:tcPr>
            <w:tcW w:w="2136" w:type="dxa"/>
            <w:shd w:val="clear" w:color="auto" w:fill="auto"/>
            <w:vAlign w:val="center"/>
          </w:tcPr>
          <w:p w:rsidR="00634911" w:rsidRPr="00A25311" w:rsidP="00391ED6" w14:paraId="11BD42B3" w14:textId="6357B0A1">
            <w:pPr>
              <w:jc w:val="center"/>
              <w:rPr>
                <w:sz w:val="20"/>
                <w:szCs w:val="20"/>
              </w:rPr>
            </w:pPr>
            <w:r w:rsidRPr="3DB0F83A">
              <w:rPr>
                <w:sz w:val="20"/>
                <w:szCs w:val="20"/>
              </w:rPr>
              <w:t>$</w:t>
            </w:r>
            <w:r w:rsidRPr="00DE6937" w:rsidR="00DE6937">
              <w:rPr>
                <w:sz w:val="20"/>
                <w:szCs w:val="20"/>
              </w:rPr>
              <w:t>112,116</w:t>
            </w:r>
            <w:r w:rsidR="00DE6937">
              <w:rPr>
                <w:sz w:val="20"/>
                <w:szCs w:val="20"/>
              </w:rPr>
              <w:t>.00</w:t>
            </w:r>
          </w:p>
        </w:tc>
      </w:tr>
    </w:tbl>
    <w:p w:rsidR="00380859" w:rsidP="00380859" w14:paraId="3F1F5F17" w14:textId="77777777">
      <w:pPr>
        <w:pStyle w:val="BodyText2"/>
      </w:pPr>
    </w:p>
    <w:p w:rsidR="000C53C3" w:rsidP="00B52263" w14:paraId="665880E5" w14:textId="77777777">
      <w:pPr>
        <w:ind w:left="450"/>
      </w:pPr>
    </w:p>
    <w:p w:rsidR="000C53C3" w:rsidP="00B52263" w14:paraId="2E4CDB0B" w14:textId="77777777">
      <w:pPr>
        <w:ind w:left="450"/>
      </w:pPr>
    </w:p>
    <w:p w:rsidR="000C53C3" w:rsidP="00B52263" w14:paraId="12BC8024" w14:textId="77777777">
      <w:pPr>
        <w:ind w:left="450"/>
      </w:pPr>
    </w:p>
    <w:p w:rsidR="000C53C3" w:rsidP="00B52263" w14:paraId="04126B3D" w14:textId="77777777">
      <w:pPr>
        <w:ind w:left="450"/>
      </w:pPr>
    </w:p>
    <w:p w:rsidR="00DC7E99" w:rsidP="00B52263" w14:paraId="125BE864" w14:textId="77777777">
      <w:pPr>
        <w:ind w:left="450"/>
      </w:pPr>
    </w:p>
    <w:p w:rsidR="002D676F" w:rsidP="00B52263" w14:paraId="2E693948" w14:textId="753521BB">
      <w:pPr>
        <w:ind w:left="450"/>
      </w:pPr>
      <w:r>
        <w:t>Because the Tobacco Call Center has a toll-free telephone number</w:t>
      </w:r>
      <w:r w:rsidR="00114A8C">
        <w:t xml:space="preserve"> and</w:t>
      </w:r>
      <w:r>
        <w:t xml:space="preserve"> </w:t>
      </w:r>
      <w:r w:rsidR="002638BD">
        <w:t>an online</w:t>
      </w:r>
      <w:r>
        <w:t xml:space="preserve"> form, FDA estimates that there is minimal cost to report a violation.  FDA estimates that the average wage for an information worker is approximately $</w:t>
      </w:r>
      <w:r w:rsidR="00DD700C">
        <w:t>37.36</w:t>
      </w:r>
      <w:r>
        <w:t xml:space="preserve"> per hour, based on an estimate of wages retrieved from the Department of Labor’s “Economic New Release”</w:t>
      </w:r>
      <w:r w:rsidR="00634911">
        <w:t xml:space="preserve"> (</w:t>
      </w:r>
      <w:r w:rsidR="00DD700C">
        <w:t>May 2022</w:t>
      </w:r>
      <w:r w:rsidR="00634911">
        <w:t>)</w:t>
      </w:r>
      <w:r>
        <w:t xml:space="preserve"> located at </w:t>
      </w:r>
      <w:hyperlink r:id="rId10" w:history="1">
        <w:r w:rsidRPr="002B6067" w:rsidR="000C53C3">
          <w:rPr>
            <w:rStyle w:val="Hyperlink"/>
          </w:rPr>
          <w:t>http://www.bls.gov/news.release/empsit.t24.htm</w:t>
        </w:r>
      </w:hyperlink>
      <w:r w:rsidR="007201D2">
        <w:t>.</w:t>
      </w:r>
      <w:r w:rsidR="005D2E99">
        <w:t xml:space="preserve"> </w:t>
      </w:r>
      <w:r w:rsidRPr="0070279F" w:rsidR="005D2E99">
        <w:rPr>
          <w:rFonts w:eastAsia="Calibri"/>
        </w:rPr>
        <w:t>We double this to account for benefits and overhead, yielding an hourly wage rate of $</w:t>
      </w:r>
      <w:r w:rsidR="005D2E99">
        <w:rPr>
          <w:rFonts w:eastAsia="Calibri"/>
        </w:rPr>
        <w:t>74</w:t>
      </w:r>
      <w:r w:rsidRPr="0070279F" w:rsidR="005D2E99">
        <w:rPr>
          <w:rFonts w:eastAsia="Calibri"/>
        </w:rPr>
        <w:t>.</w:t>
      </w:r>
      <w:r w:rsidR="005D2E99">
        <w:rPr>
          <w:rFonts w:eastAsia="Calibri"/>
        </w:rPr>
        <w:t>7</w:t>
      </w:r>
      <w:r w:rsidRPr="0070279F" w:rsidR="005D2E99">
        <w:rPr>
          <w:rFonts w:eastAsia="Calibri"/>
        </w:rPr>
        <w:t>2.</w:t>
      </w:r>
    </w:p>
    <w:p w:rsidR="002D676F" w:rsidP="00B52263" w14:paraId="186985F2" w14:textId="77777777">
      <w:pPr>
        <w:ind w:left="450"/>
      </w:pPr>
    </w:p>
    <w:p w:rsidR="00634911" w:rsidRPr="002D676F" w:rsidP="00B52263" w14:paraId="765713F6" w14:textId="1F6D7CBC">
      <w:pPr>
        <w:ind w:left="450"/>
      </w:pPr>
      <w:r>
        <w:t xml:space="preserve">Additional </w:t>
      </w:r>
      <w:r w:rsidR="00AD3EE4">
        <w:t>costs associated with this collection pertain to the postage cost for mailing a letter containing the reported violation information.  FDA estimates the</w:t>
      </w:r>
      <w:r>
        <w:t xml:space="preserve"> total </w:t>
      </w:r>
      <w:r w:rsidR="00AD3EE4">
        <w:t>cost to submit a report via mail to be $</w:t>
      </w:r>
      <w:r w:rsidR="00DD700C">
        <w:t>3</w:t>
      </w:r>
      <w:r w:rsidR="00DE6937">
        <w:t>6.0</w:t>
      </w:r>
      <w:r w:rsidR="00DD700C">
        <w:t>0</w:t>
      </w:r>
      <w:r w:rsidR="00AD3EE4">
        <w:t xml:space="preserve">.  This estimate is based upon </w:t>
      </w:r>
      <w:r w:rsidR="00DE6937">
        <w:t>60</w:t>
      </w:r>
      <w:r w:rsidR="00AD3EE4">
        <w:t xml:space="preserve"> responses (1 percent of </w:t>
      </w:r>
      <w:r w:rsidR="00DE6937">
        <w:t>6,00</w:t>
      </w:r>
      <w:r w:rsidR="00682D04">
        <w:t xml:space="preserve">0 </w:t>
      </w:r>
      <w:r w:rsidR="00AD3EE4">
        <w:t>total responses) being submitted via U.S. first</w:t>
      </w:r>
      <w:r w:rsidR="00FC4377">
        <w:t>-</w:t>
      </w:r>
      <w:r w:rsidR="00AD3EE4">
        <w:t xml:space="preserve">class mail and the cost of a </w:t>
      </w:r>
      <w:r w:rsidR="002D676F">
        <w:t>first-class</w:t>
      </w:r>
      <w:r w:rsidR="00AD3EE4">
        <w:t xml:space="preserve"> postage stamp at $0.</w:t>
      </w:r>
      <w:r w:rsidR="00DD700C">
        <w:t>60</w:t>
      </w:r>
      <w:r w:rsidR="00AD3EE4">
        <w:t>.</w:t>
      </w:r>
    </w:p>
    <w:p w:rsidR="00634911" w:rsidP="00B52263" w14:paraId="05A5B690" w14:textId="77777777">
      <w:pPr>
        <w:ind w:left="450"/>
        <w:rPr>
          <w:bCs/>
        </w:rPr>
      </w:pPr>
    </w:p>
    <w:p w:rsidR="00AD3EE4" w:rsidP="00B52263" w14:paraId="41595EE5" w14:textId="4CC9351C">
      <w:pPr>
        <w:ind w:left="450"/>
      </w:pPr>
      <w:r>
        <w:t xml:space="preserve">Therefore, the total </w:t>
      </w:r>
      <w:r w:rsidR="000C578A">
        <w:t xml:space="preserve">cost to </w:t>
      </w:r>
      <w:r>
        <w:t>respondent</w:t>
      </w:r>
      <w:r w:rsidR="000C578A">
        <w:t>s</w:t>
      </w:r>
      <w:r>
        <w:t xml:space="preserve"> is estimated to be $</w:t>
      </w:r>
      <w:r w:rsidRPr="00DE6937" w:rsidR="00DE6937">
        <w:t>112,116</w:t>
      </w:r>
      <w:r w:rsidR="00DE6937">
        <w:t>.00.</w:t>
      </w:r>
    </w:p>
    <w:p w:rsidR="00380859" w:rsidRPr="00B52263" w:rsidP="00B52263" w14:paraId="1C9A53F5" w14:textId="1B7CF124">
      <w:pPr>
        <w:pStyle w:val="ListParagraph"/>
        <w:numPr>
          <w:ilvl w:val="0"/>
          <w:numId w:val="33"/>
        </w:numPr>
        <w:spacing w:before="100" w:beforeAutospacing="1" w:after="100" w:afterAutospacing="1"/>
        <w:rPr>
          <w:bCs/>
        </w:rPr>
      </w:pPr>
      <w:r w:rsidRPr="00B52263">
        <w:rPr>
          <w:bCs/>
          <w:u w:val="single"/>
        </w:rPr>
        <w:t>Estimates of Other Total Annual Cost Burden to Respondents and Record Keepers</w:t>
      </w:r>
    </w:p>
    <w:p w:rsidR="00380859" w:rsidP="00B52263" w14:paraId="67938C88" w14:textId="77777777">
      <w:pPr>
        <w:ind w:left="360"/>
        <w:rPr>
          <w:bCs/>
        </w:rPr>
      </w:pPr>
      <w:bookmarkStart w:id="3" w:name="_Hlk16069954"/>
      <w:r w:rsidRPr="00EF34D3">
        <w:t>There are no capital costs or operating and maintenance costs associated with this collection of information.</w:t>
      </w:r>
    </w:p>
    <w:bookmarkEnd w:id="3"/>
    <w:p w:rsidR="00380859" w:rsidRPr="00B52263" w:rsidP="007E5C28" w14:paraId="228335E5" w14:textId="2FC6611C">
      <w:pPr>
        <w:pStyle w:val="ListParagraph"/>
        <w:numPr>
          <w:ilvl w:val="0"/>
          <w:numId w:val="33"/>
        </w:numPr>
        <w:spacing w:before="240" w:after="100" w:afterAutospacing="1"/>
        <w:rPr>
          <w:bCs/>
          <w:u w:val="single"/>
        </w:rPr>
      </w:pPr>
      <w:r w:rsidRPr="00B52263">
        <w:rPr>
          <w:bCs/>
          <w:u w:val="single"/>
        </w:rPr>
        <w:t>Annualized Cost to the Federal Government</w:t>
      </w:r>
    </w:p>
    <w:p w:rsidR="00380859" w:rsidRPr="000C53C3" w:rsidP="467FFAA7" w14:paraId="1EB748AB" w14:textId="7E8C9E7E">
      <w:pPr>
        <w:spacing w:before="100" w:beforeAutospacing="1" w:after="100" w:afterAutospacing="1"/>
        <w:ind w:left="360"/>
        <w:rPr>
          <w:b/>
          <w:bCs/>
        </w:rPr>
      </w:pPr>
      <w:r w:rsidRPr="000C53C3">
        <w:t xml:space="preserve">FDA’s internal assessment estimates that the cost for processing a violation report is $19.00 per report.  The total annual responses shown in </w:t>
      </w:r>
      <w:r w:rsidRPr="000C53C3" w:rsidR="000E2305">
        <w:t>T</w:t>
      </w:r>
      <w:r w:rsidRPr="000C53C3">
        <w:t xml:space="preserve">able 1 are estimated to be </w:t>
      </w:r>
      <w:r w:rsidR="00DE6937">
        <w:t>6,00</w:t>
      </w:r>
      <w:r w:rsidRPr="000C53C3" w:rsidR="004644BE">
        <w:t>0</w:t>
      </w:r>
      <w:r w:rsidRPr="000C53C3">
        <w:t xml:space="preserve"> responses per year.  Thus, $19.00 x </w:t>
      </w:r>
      <w:r w:rsidR="00DE6937">
        <w:t>6</w:t>
      </w:r>
      <w:r w:rsidRPr="000C53C3" w:rsidR="004644BE">
        <w:t>,</w:t>
      </w:r>
      <w:r w:rsidR="00DE6937">
        <w:t>00</w:t>
      </w:r>
      <w:r w:rsidRPr="000C53C3" w:rsidR="004644BE">
        <w:t>0</w:t>
      </w:r>
      <w:r w:rsidRPr="000C53C3">
        <w:t xml:space="preserve"> responses = $</w:t>
      </w:r>
      <w:r w:rsidRPr="00DE6937" w:rsidR="00DE6937">
        <w:t>114,000</w:t>
      </w:r>
      <w:r w:rsidR="00DE6937">
        <w:t xml:space="preserve"> </w:t>
      </w:r>
      <w:r w:rsidRPr="000C53C3">
        <w:t>per year.</w:t>
      </w:r>
    </w:p>
    <w:p w:rsidR="00380859" w:rsidRPr="00B52263" w:rsidP="00B52263" w14:paraId="786B7D9E" w14:textId="01C9CED4">
      <w:pPr>
        <w:pStyle w:val="ListParagraph"/>
        <w:numPr>
          <w:ilvl w:val="0"/>
          <w:numId w:val="33"/>
        </w:numPr>
        <w:spacing w:before="100" w:beforeAutospacing="1" w:after="100" w:afterAutospacing="1"/>
        <w:rPr>
          <w:bCs/>
        </w:rPr>
      </w:pPr>
      <w:r w:rsidRPr="00B52263">
        <w:rPr>
          <w:bCs/>
          <w:u w:val="single"/>
        </w:rPr>
        <w:t>Explanation for Program Changes or Adjustments</w:t>
      </w:r>
    </w:p>
    <w:p w:rsidR="00B52263" w:rsidP="00B52263" w14:paraId="36105A8E" w14:textId="2C6ED4A1">
      <w:pPr>
        <w:pStyle w:val="ListParagraph"/>
        <w:spacing w:before="100" w:beforeAutospacing="1" w:after="100" w:afterAutospacing="1"/>
        <w:ind w:left="360"/>
        <w:rPr>
          <w:bCs/>
          <w:u w:val="single"/>
        </w:rPr>
      </w:pPr>
    </w:p>
    <w:p w:rsidR="00DC7E99" w:rsidRPr="00DC7E99" w:rsidP="00DC7E99" w14:paraId="2A289225" w14:textId="4B847DEF">
      <w:pPr>
        <w:pStyle w:val="ListParagraph"/>
        <w:spacing w:before="100" w:beforeAutospacing="1" w:after="100" w:afterAutospacing="1"/>
        <w:ind w:left="360"/>
        <w:rPr>
          <w:rFonts w:eastAsia="Calibri"/>
        </w:rPr>
      </w:pPr>
      <w:r w:rsidRPr="000D4357">
        <w:rPr>
          <w:rFonts w:eastAsia="Calibri"/>
        </w:rPr>
        <w:t>We have adjusted our burden estimate, which has resulted in a</w:t>
      </w:r>
      <w:r>
        <w:rPr>
          <w:rFonts w:eastAsia="Calibri"/>
        </w:rPr>
        <w:t>n increase</w:t>
      </w:r>
      <w:r w:rsidRPr="000D4357">
        <w:rPr>
          <w:rFonts w:eastAsia="Calibri"/>
        </w:rPr>
        <w:t xml:space="preserve"> to the currently approved burden.</w:t>
      </w:r>
      <w:r>
        <w:rPr>
          <w:rFonts w:eastAsia="Calibri"/>
        </w:rPr>
        <w:t xml:space="preserve"> The total estimated burden for this information collection is 1,500 burden hours, and 6,000 annual responses. </w:t>
      </w:r>
      <w:r w:rsidRPr="00DC7E99">
        <w:rPr>
          <w:rFonts w:eastAsia="Calibri"/>
        </w:rPr>
        <w:t>Our estimated burden for the information collection reflects an overall increase of 157 hours and a corresponding increase of 630 responses.  We attribute this adjustment to an increase in the number of submissions we received over the last few years.</w:t>
      </w:r>
      <w:r w:rsidR="000B4DAB">
        <w:rPr>
          <w:rFonts w:eastAsia="Calibri"/>
        </w:rPr>
        <w:t xml:space="preserve"> </w:t>
      </w:r>
    </w:p>
    <w:p w:rsidR="00DC7E99" w:rsidRPr="00B52263" w:rsidP="00B52263" w14:paraId="4140E9A9" w14:textId="77777777">
      <w:pPr>
        <w:pStyle w:val="ListParagraph"/>
        <w:spacing w:before="100" w:beforeAutospacing="1" w:after="100" w:afterAutospacing="1"/>
        <w:ind w:left="360"/>
        <w:rPr>
          <w:bCs/>
        </w:rPr>
      </w:pPr>
    </w:p>
    <w:p w:rsidR="00380859" w:rsidRPr="00B52263" w:rsidP="00B52263" w14:paraId="67ABE676" w14:textId="70896149">
      <w:pPr>
        <w:pStyle w:val="ListParagraph"/>
        <w:numPr>
          <w:ilvl w:val="0"/>
          <w:numId w:val="33"/>
        </w:numPr>
        <w:spacing w:before="100" w:beforeAutospacing="1" w:after="100" w:afterAutospacing="1"/>
        <w:rPr>
          <w:bCs/>
          <w:u w:val="single"/>
        </w:rPr>
      </w:pPr>
      <w:r w:rsidRPr="00B52263">
        <w:rPr>
          <w:bCs/>
          <w:u w:val="single"/>
        </w:rPr>
        <w:t>Plans for Tabulation and Publication and Project Time Schedule</w:t>
      </w:r>
    </w:p>
    <w:p w:rsidR="00B52263" w:rsidP="00B52263" w14:paraId="70A412AF" w14:textId="19DAEF3A">
      <w:pPr>
        <w:ind w:left="360"/>
      </w:pPr>
      <w:r w:rsidRPr="004A4ACD">
        <w:t xml:space="preserve"> </w:t>
      </w:r>
      <w:r w:rsidRPr="00B52263">
        <w:t>This information collected will not be published or tabulated.</w:t>
      </w:r>
    </w:p>
    <w:p w:rsidR="00DC7E99" w14:paraId="7F183A04" w14:textId="5F76A343">
      <w:r>
        <w:br w:type="page"/>
      </w:r>
    </w:p>
    <w:p w:rsidR="00DC7E99" w:rsidP="00B52263" w14:paraId="65622C43" w14:textId="77777777">
      <w:pPr>
        <w:ind w:left="360"/>
      </w:pPr>
    </w:p>
    <w:p w:rsidR="00B52263" w:rsidP="00B52263" w14:paraId="4A1BF2D1" w14:textId="77777777">
      <w:pPr>
        <w:ind w:left="360"/>
      </w:pPr>
    </w:p>
    <w:p w:rsidR="00380859" w:rsidRPr="00B52263" w:rsidP="00B52263" w14:paraId="670C85B9" w14:textId="616DAF05">
      <w:pPr>
        <w:pStyle w:val="ListParagraph"/>
        <w:numPr>
          <w:ilvl w:val="0"/>
          <w:numId w:val="33"/>
        </w:numPr>
        <w:rPr>
          <w:bCs/>
          <w:u w:val="single"/>
        </w:rPr>
      </w:pPr>
      <w:r w:rsidRPr="00B52263">
        <w:rPr>
          <w:bCs/>
          <w:u w:val="single"/>
        </w:rPr>
        <w:t>Reason(s) Display of OMB Expiration Date Is Inappropriate</w:t>
      </w:r>
    </w:p>
    <w:p w:rsidR="00B52263" w:rsidP="00B52263" w14:paraId="5CB76DA1" w14:textId="77777777">
      <w:pPr>
        <w:spacing w:before="100" w:beforeAutospacing="1" w:after="100" w:afterAutospacing="1"/>
        <w:ind w:left="360"/>
      </w:pPr>
      <w:r w:rsidRPr="00B52263">
        <w:t xml:space="preserve">FDA is not requesting an exemption for display of the OMB expiration date and is also not seeking OMB approval to exclude the expiration date for this information collection. </w:t>
      </w:r>
    </w:p>
    <w:p w:rsidR="00380859" w:rsidRPr="00B52263" w:rsidP="00B52263" w14:paraId="65FE9457" w14:textId="2D087430">
      <w:pPr>
        <w:pStyle w:val="ListParagraph"/>
        <w:numPr>
          <w:ilvl w:val="0"/>
          <w:numId w:val="33"/>
        </w:numPr>
        <w:spacing w:before="100" w:beforeAutospacing="1" w:after="100" w:afterAutospacing="1"/>
        <w:rPr>
          <w:bCs/>
          <w:u w:val="single"/>
        </w:rPr>
      </w:pPr>
      <w:r w:rsidRPr="00B52263">
        <w:rPr>
          <w:bCs/>
          <w:u w:val="single"/>
        </w:rPr>
        <w:t>Exceptions to Certification for Paperwork Reduction Act Submissions</w:t>
      </w:r>
    </w:p>
    <w:p w:rsidR="007D35FF" w:rsidRPr="0072472D" w:rsidP="00B52263" w14:paraId="728DC424" w14:textId="555DBA9B">
      <w:pPr>
        <w:spacing w:before="100" w:beforeAutospacing="1" w:after="100" w:afterAutospacing="1"/>
        <w:ind w:left="360"/>
      </w:pPr>
      <w:r w:rsidRPr="00B52263">
        <w:t>There are no exceptions to the certification.</w:t>
      </w:r>
    </w:p>
    <w:sectPr w:rsidSect="007201D2">
      <w:headerReference w:type="default" r:id="rId11"/>
      <w:footerReference w:type="even" r:id="rId12"/>
      <w:footerReference w:type="default" r:id="rId13"/>
      <w:headerReference w:type="first" r:id="rId14"/>
      <w:pgSz w:w="12240" w:h="15840"/>
      <w:pgMar w:top="1440" w:right="1800" w:bottom="1260" w:left="180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722" w:rsidP="008C0C07" w14:paraId="1E67CB5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1722" w14:paraId="0EEF77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722" w:rsidP="008C0C07" w14:paraId="7DF055F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65">
      <w:rPr>
        <w:rStyle w:val="PageNumber"/>
        <w:noProof/>
      </w:rPr>
      <w:t>3</w:t>
    </w:r>
    <w:r>
      <w:rPr>
        <w:rStyle w:val="PageNumber"/>
      </w:rPr>
      <w:fldChar w:fldCharType="end"/>
    </w:r>
  </w:p>
  <w:p w:rsidR="003F1722" w14:paraId="081F50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2CAB" w14:paraId="14B08BAE" w14:textId="77777777">
      <w:r>
        <w:separator/>
      </w:r>
    </w:p>
  </w:footnote>
  <w:footnote w:type="continuationSeparator" w:id="1">
    <w:p w:rsidR="00012CAB" w14:paraId="076F597D" w14:textId="77777777">
      <w:r>
        <w:continuationSeparator/>
      </w:r>
    </w:p>
  </w:footnote>
  <w:footnote w:type="continuationNotice" w:id="2">
    <w:p w:rsidR="00012CAB" w14:paraId="1112B885" w14:textId="77777777"/>
  </w:footnote>
  <w:footnote w:id="3">
    <w:p w:rsidR="00FD424B" w:rsidP="00FD424B" w14:paraId="04D6B5DF" w14:textId="77777777">
      <w:pPr>
        <w:pStyle w:val="FootnoteText"/>
      </w:pPr>
      <w:r>
        <w:rPr>
          <w:rStyle w:val="FootnoteReference"/>
        </w:rPr>
        <w:footnoteRef/>
      </w:r>
      <w:r>
        <w:t xml:space="preserve"> </w:t>
      </w:r>
      <w:r w:rsidRPr="00927DC6">
        <w:t>https://www.fda.gov/about-fda/about-website/website-policies#privacy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1D2" w14:paraId="2A721F37" w14:textId="0BF38D93">
    <w:pPr>
      <w:pStyle w:val="Header"/>
    </w:pPr>
    <w:r>
      <w:rPr>
        <w:noProof/>
      </w:rPr>
      <w:drawing>
        <wp:inline distT="0" distB="0" distL="0" distR="0">
          <wp:extent cx="27622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6F9" w14:paraId="0D78D54A" w14:textId="597D42C0">
    <w:pPr>
      <w:pStyle w:val="Header"/>
    </w:pPr>
    <w:r>
      <w:rPr>
        <w:noProof/>
      </w:rPr>
      <w:drawing>
        <wp:inline distT="0" distB="0" distL="0" distR="0">
          <wp:extent cx="2762250" cy="57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953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034E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4A37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D26370"/>
    <w:multiLevelType w:val="hybridMultilevel"/>
    <w:tmpl w:val="CFE61F78"/>
    <w:lvl w:ilvl="0">
      <w:start w:val="1"/>
      <w:numFmt w:val="decimal"/>
      <w:lvlText w:val="%1."/>
      <w:lvlJc w:val="left"/>
      <w:pPr>
        <w:tabs>
          <w:tab w:val="num" w:pos="432"/>
        </w:tabs>
        <w:ind w:left="432" w:hanging="432"/>
      </w:pPr>
      <w:rPr>
        <w:rFonts w:ascii="Arial" w:hAnsi="Arial" w:hint="default"/>
        <w:b/>
        <w:i w:val="0"/>
      </w:rPr>
    </w:lvl>
    <w:lvl w:ilvl="1" w:tentative="1">
      <w:start w:val="1"/>
      <w:numFmt w:val="lowerLetter"/>
      <w:lvlText w:val="%2."/>
      <w:lvlJc w:val="left"/>
      <w:pPr>
        <w:tabs>
          <w:tab w:val="num" w:pos="1224"/>
        </w:tabs>
        <w:ind w:left="1224" w:hanging="360"/>
      </w:pPr>
    </w:lvl>
    <w:lvl w:ilvl="2" w:tentative="1">
      <w:start w:val="1"/>
      <w:numFmt w:val="lowerRoman"/>
      <w:lvlText w:val="%3."/>
      <w:lvlJc w:val="right"/>
      <w:pPr>
        <w:tabs>
          <w:tab w:val="num" w:pos="1944"/>
        </w:tabs>
        <w:ind w:left="1944" w:hanging="180"/>
      </w:pPr>
    </w:lvl>
    <w:lvl w:ilvl="3" w:tentative="1">
      <w:start w:val="1"/>
      <w:numFmt w:val="decimal"/>
      <w:lvlText w:val="%4."/>
      <w:lvlJc w:val="left"/>
      <w:pPr>
        <w:tabs>
          <w:tab w:val="num" w:pos="2664"/>
        </w:tabs>
        <w:ind w:left="2664" w:hanging="360"/>
      </w:pPr>
    </w:lvl>
    <w:lvl w:ilvl="4" w:tentative="1">
      <w:start w:val="1"/>
      <w:numFmt w:val="lowerLetter"/>
      <w:lvlText w:val="%5."/>
      <w:lvlJc w:val="left"/>
      <w:pPr>
        <w:tabs>
          <w:tab w:val="num" w:pos="3384"/>
        </w:tabs>
        <w:ind w:left="3384" w:hanging="360"/>
      </w:pPr>
    </w:lvl>
    <w:lvl w:ilvl="5" w:tentative="1">
      <w:start w:val="1"/>
      <w:numFmt w:val="lowerRoman"/>
      <w:lvlText w:val="%6."/>
      <w:lvlJc w:val="right"/>
      <w:pPr>
        <w:tabs>
          <w:tab w:val="num" w:pos="4104"/>
        </w:tabs>
        <w:ind w:left="4104" w:hanging="180"/>
      </w:pPr>
    </w:lvl>
    <w:lvl w:ilvl="6" w:tentative="1">
      <w:start w:val="1"/>
      <w:numFmt w:val="decimal"/>
      <w:lvlText w:val="%7."/>
      <w:lvlJc w:val="left"/>
      <w:pPr>
        <w:tabs>
          <w:tab w:val="num" w:pos="4824"/>
        </w:tabs>
        <w:ind w:left="4824" w:hanging="360"/>
      </w:pPr>
    </w:lvl>
    <w:lvl w:ilvl="7" w:tentative="1">
      <w:start w:val="1"/>
      <w:numFmt w:val="lowerLetter"/>
      <w:lvlText w:val="%8."/>
      <w:lvlJc w:val="left"/>
      <w:pPr>
        <w:tabs>
          <w:tab w:val="num" w:pos="5544"/>
        </w:tabs>
        <w:ind w:left="5544" w:hanging="360"/>
      </w:pPr>
    </w:lvl>
    <w:lvl w:ilvl="8" w:tentative="1">
      <w:start w:val="1"/>
      <w:numFmt w:val="lowerRoman"/>
      <w:lvlText w:val="%9."/>
      <w:lvlJc w:val="right"/>
      <w:pPr>
        <w:tabs>
          <w:tab w:val="num" w:pos="6264"/>
        </w:tabs>
        <w:ind w:left="6264" w:hanging="180"/>
      </w:pPr>
    </w:lvl>
  </w:abstractNum>
  <w:abstractNum w:abstractNumId="4">
    <w:nsid w:val="137F1DD5"/>
    <w:multiLevelType w:val="multilevel"/>
    <w:tmpl w:val="247863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1A4A39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D5F7551"/>
    <w:multiLevelType w:val="hybridMultilevel"/>
    <w:tmpl w:val="BA96B530"/>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7">
    <w:nsid w:val="290851F0"/>
    <w:multiLevelType w:val="hybridMultilevel"/>
    <w:tmpl w:val="61F0BE66"/>
    <w:lvl w:ilvl="0">
      <w:start w:val="1"/>
      <w:numFmt w:val="bullet"/>
      <w:lvlText w:val=""/>
      <w:lvlJc w:val="left"/>
      <w:pPr>
        <w:tabs>
          <w:tab w:val="num" w:pos="360"/>
        </w:tabs>
        <w:ind w:left="360" w:hanging="360"/>
      </w:pPr>
      <w:rPr>
        <w:rFonts w:ascii="Symbol" w:hAnsi="Symbol" w:hint="default"/>
        <w:b/>
        <w:i w:val="0"/>
      </w:rPr>
    </w:lvl>
    <w:lvl w:ilvl="1" w:tentative="1">
      <w:start w:val="1"/>
      <w:numFmt w:val="lowerLetter"/>
      <w:lvlText w:val="%2."/>
      <w:lvlJc w:val="left"/>
      <w:pPr>
        <w:tabs>
          <w:tab w:val="num" w:pos="1224"/>
        </w:tabs>
        <w:ind w:left="1224" w:hanging="360"/>
      </w:pPr>
    </w:lvl>
    <w:lvl w:ilvl="2" w:tentative="1">
      <w:start w:val="1"/>
      <w:numFmt w:val="lowerRoman"/>
      <w:lvlText w:val="%3."/>
      <w:lvlJc w:val="right"/>
      <w:pPr>
        <w:tabs>
          <w:tab w:val="num" w:pos="1944"/>
        </w:tabs>
        <w:ind w:left="1944" w:hanging="180"/>
      </w:pPr>
    </w:lvl>
    <w:lvl w:ilvl="3" w:tentative="1">
      <w:start w:val="1"/>
      <w:numFmt w:val="decimal"/>
      <w:lvlText w:val="%4."/>
      <w:lvlJc w:val="left"/>
      <w:pPr>
        <w:tabs>
          <w:tab w:val="num" w:pos="2664"/>
        </w:tabs>
        <w:ind w:left="2664" w:hanging="360"/>
      </w:pPr>
    </w:lvl>
    <w:lvl w:ilvl="4" w:tentative="1">
      <w:start w:val="1"/>
      <w:numFmt w:val="lowerLetter"/>
      <w:lvlText w:val="%5."/>
      <w:lvlJc w:val="left"/>
      <w:pPr>
        <w:tabs>
          <w:tab w:val="num" w:pos="3384"/>
        </w:tabs>
        <w:ind w:left="3384" w:hanging="360"/>
      </w:pPr>
    </w:lvl>
    <w:lvl w:ilvl="5" w:tentative="1">
      <w:start w:val="1"/>
      <w:numFmt w:val="lowerRoman"/>
      <w:lvlText w:val="%6."/>
      <w:lvlJc w:val="right"/>
      <w:pPr>
        <w:tabs>
          <w:tab w:val="num" w:pos="4104"/>
        </w:tabs>
        <w:ind w:left="4104" w:hanging="180"/>
      </w:pPr>
    </w:lvl>
    <w:lvl w:ilvl="6" w:tentative="1">
      <w:start w:val="1"/>
      <w:numFmt w:val="decimal"/>
      <w:lvlText w:val="%7."/>
      <w:lvlJc w:val="left"/>
      <w:pPr>
        <w:tabs>
          <w:tab w:val="num" w:pos="4824"/>
        </w:tabs>
        <w:ind w:left="4824" w:hanging="360"/>
      </w:pPr>
    </w:lvl>
    <w:lvl w:ilvl="7" w:tentative="1">
      <w:start w:val="1"/>
      <w:numFmt w:val="lowerLetter"/>
      <w:lvlText w:val="%8."/>
      <w:lvlJc w:val="left"/>
      <w:pPr>
        <w:tabs>
          <w:tab w:val="num" w:pos="5544"/>
        </w:tabs>
        <w:ind w:left="5544" w:hanging="360"/>
      </w:pPr>
    </w:lvl>
    <w:lvl w:ilvl="8" w:tentative="1">
      <w:start w:val="1"/>
      <w:numFmt w:val="lowerRoman"/>
      <w:lvlText w:val="%9."/>
      <w:lvlJc w:val="right"/>
      <w:pPr>
        <w:tabs>
          <w:tab w:val="num" w:pos="6264"/>
        </w:tabs>
        <w:ind w:left="6264" w:hanging="180"/>
      </w:pPr>
    </w:lvl>
  </w:abstractNum>
  <w:abstractNum w:abstractNumId="8">
    <w:nsid w:val="296674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A4C5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E5C34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31E4D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3B2025F"/>
    <w:multiLevelType w:val="hybridMultilevel"/>
    <w:tmpl w:val="408EDC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99D09AB"/>
    <w:multiLevelType w:val="multilevel"/>
    <w:tmpl w:val="247863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3A8F42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C1A01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CC87406"/>
    <w:multiLevelType w:val="multilevel"/>
    <w:tmpl w:val="247863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3D872E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5EA76E9"/>
    <w:multiLevelType w:val="hybridMultilevel"/>
    <w:tmpl w:val="50AAE748"/>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B3C6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E4B64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04B02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14B7658"/>
    <w:multiLevelType w:val="hybridMultilevel"/>
    <w:tmpl w:val="A97803E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A2D3155"/>
    <w:multiLevelType w:val="hybridMultilevel"/>
    <w:tmpl w:val="4F5E39C6"/>
    <w:lvl w:ilvl="0">
      <w:start w:val="1"/>
      <w:numFmt w:val="decimal"/>
      <w:lvlText w:val="%1."/>
      <w:lvlJc w:val="left"/>
      <w:pPr>
        <w:tabs>
          <w:tab w:val="num" w:pos="648"/>
        </w:tabs>
        <w:ind w:left="648" w:hanging="432"/>
      </w:pPr>
      <w:rPr>
        <w:rFonts w:ascii="Times New Roman" w:hAnsi="Times New Roman" w:cs="Times New Roman" w:hint="default"/>
        <w:b/>
        <w:i w:val="0"/>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DC10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22866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8764BFC"/>
    <w:multiLevelType w:val="multilevel"/>
    <w:tmpl w:val="247863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nsid w:val="68BD565A"/>
    <w:multiLevelType w:val="hybridMultilevel"/>
    <w:tmpl w:val="1B480384"/>
    <w:lvl w:ilvl="0">
      <w:start w:val="1"/>
      <w:numFmt w:val="bullet"/>
      <w:lvlText w:val=""/>
      <w:lvlJc w:val="left"/>
      <w:pPr>
        <w:tabs>
          <w:tab w:val="num" w:pos="360"/>
        </w:tabs>
        <w:ind w:left="360" w:hanging="360"/>
      </w:pPr>
      <w:rPr>
        <w:rFonts w:ascii="Symbol" w:hAnsi="Symbol" w:hint="default"/>
        <w:b/>
        <w:i w:val="0"/>
      </w:rPr>
    </w:lvl>
    <w:lvl w:ilvl="1" w:tentative="1">
      <w:start w:val="1"/>
      <w:numFmt w:val="lowerLetter"/>
      <w:lvlText w:val="%2."/>
      <w:lvlJc w:val="left"/>
      <w:pPr>
        <w:tabs>
          <w:tab w:val="num" w:pos="1224"/>
        </w:tabs>
        <w:ind w:left="1224" w:hanging="360"/>
      </w:pPr>
    </w:lvl>
    <w:lvl w:ilvl="2" w:tentative="1">
      <w:start w:val="1"/>
      <w:numFmt w:val="lowerRoman"/>
      <w:lvlText w:val="%3."/>
      <w:lvlJc w:val="right"/>
      <w:pPr>
        <w:tabs>
          <w:tab w:val="num" w:pos="1944"/>
        </w:tabs>
        <w:ind w:left="1944" w:hanging="180"/>
      </w:pPr>
    </w:lvl>
    <w:lvl w:ilvl="3" w:tentative="1">
      <w:start w:val="1"/>
      <w:numFmt w:val="decimal"/>
      <w:lvlText w:val="%4."/>
      <w:lvlJc w:val="left"/>
      <w:pPr>
        <w:tabs>
          <w:tab w:val="num" w:pos="2664"/>
        </w:tabs>
        <w:ind w:left="2664" w:hanging="360"/>
      </w:pPr>
    </w:lvl>
    <w:lvl w:ilvl="4" w:tentative="1">
      <w:start w:val="1"/>
      <w:numFmt w:val="lowerLetter"/>
      <w:lvlText w:val="%5."/>
      <w:lvlJc w:val="left"/>
      <w:pPr>
        <w:tabs>
          <w:tab w:val="num" w:pos="3384"/>
        </w:tabs>
        <w:ind w:left="3384" w:hanging="360"/>
      </w:pPr>
    </w:lvl>
    <w:lvl w:ilvl="5" w:tentative="1">
      <w:start w:val="1"/>
      <w:numFmt w:val="lowerRoman"/>
      <w:lvlText w:val="%6."/>
      <w:lvlJc w:val="right"/>
      <w:pPr>
        <w:tabs>
          <w:tab w:val="num" w:pos="4104"/>
        </w:tabs>
        <w:ind w:left="4104" w:hanging="180"/>
      </w:pPr>
    </w:lvl>
    <w:lvl w:ilvl="6" w:tentative="1">
      <w:start w:val="1"/>
      <w:numFmt w:val="decimal"/>
      <w:lvlText w:val="%7."/>
      <w:lvlJc w:val="left"/>
      <w:pPr>
        <w:tabs>
          <w:tab w:val="num" w:pos="4824"/>
        </w:tabs>
        <w:ind w:left="4824" w:hanging="360"/>
      </w:pPr>
    </w:lvl>
    <w:lvl w:ilvl="7" w:tentative="1">
      <w:start w:val="1"/>
      <w:numFmt w:val="lowerLetter"/>
      <w:lvlText w:val="%8."/>
      <w:lvlJc w:val="left"/>
      <w:pPr>
        <w:tabs>
          <w:tab w:val="num" w:pos="5544"/>
        </w:tabs>
        <w:ind w:left="5544" w:hanging="360"/>
      </w:pPr>
    </w:lvl>
    <w:lvl w:ilvl="8" w:tentative="1">
      <w:start w:val="1"/>
      <w:numFmt w:val="lowerRoman"/>
      <w:lvlText w:val="%9."/>
      <w:lvlJc w:val="right"/>
      <w:pPr>
        <w:tabs>
          <w:tab w:val="num" w:pos="6264"/>
        </w:tabs>
        <w:ind w:left="6264" w:hanging="180"/>
      </w:pPr>
    </w:lvl>
  </w:abstractNum>
  <w:abstractNum w:abstractNumId="28">
    <w:nsid w:val="770712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85B20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A416C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B1A7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C4664DD"/>
    <w:multiLevelType w:val="hybridMultilevel"/>
    <w:tmpl w:val="78F4BF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3142076">
    <w:abstractNumId w:val="13"/>
  </w:num>
  <w:num w:numId="2" w16cid:durableId="1443262324">
    <w:abstractNumId w:val="11"/>
  </w:num>
  <w:num w:numId="3" w16cid:durableId="1955555585">
    <w:abstractNumId w:val="9"/>
  </w:num>
  <w:num w:numId="4" w16cid:durableId="550457945">
    <w:abstractNumId w:val="21"/>
  </w:num>
  <w:num w:numId="5" w16cid:durableId="1571962143">
    <w:abstractNumId w:val="31"/>
  </w:num>
  <w:num w:numId="6" w16cid:durableId="405807564">
    <w:abstractNumId w:val="8"/>
  </w:num>
  <w:num w:numId="7" w16cid:durableId="1254587030">
    <w:abstractNumId w:val="1"/>
  </w:num>
  <w:num w:numId="8" w16cid:durableId="784345752">
    <w:abstractNumId w:val="0"/>
  </w:num>
  <w:num w:numId="9" w16cid:durableId="965038853">
    <w:abstractNumId w:val="15"/>
  </w:num>
  <w:num w:numId="10" w16cid:durableId="928467611">
    <w:abstractNumId w:val="10"/>
  </w:num>
  <w:num w:numId="11" w16cid:durableId="1833325260">
    <w:abstractNumId w:val="28"/>
  </w:num>
  <w:num w:numId="12" w16cid:durableId="850142539">
    <w:abstractNumId w:val="29"/>
  </w:num>
  <w:num w:numId="13" w16cid:durableId="1979604172">
    <w:abstractNumId w:val="14"/>
  </w:num>
  <w:num w:numId="14" w16cid:durableId="1447584015">
    <w:abstractNumId w:val="24"/>
  </w:num>
  <w:num w:numId="15" w16cid:durableId="1476220590">
    <w:abstractNumId w:val="20"/>
  </w:num>
  <w:num w:numId="16" w16cid:durableId="276497546">
    <w:abstractNumId w:val="5"/>
  </w:num>
  <w:num w:numId="17" w16cid:durableId="1192767996">
    <w:abstractNumId w:val="2"/>
  </w:num>
  <w:num w:numId="18" w16cid:durableId="1509101357">
    <w:abstractNumId w:val="17"/>
  </w:num>
  <w:num w:numId="19" w16cid:durableId="1973293580">
    <w:abstractNumId w:val="19"/>
  </w:num>
  <w:num w:numId="20" w16cid:durableId="330565579">
    <w:abstractNumId w:val="30"/>
  </w:num>
  <w:num w:numId="21" w16cid:durableId="648825456">
    <w:abstractNumId w:val="25"/>
  </w:num>
  <w:num w:numId="22" w16cid:durableId="2092463787">
    <w:abstractNumId w:val="3"/>
  </w:num>
  <w:num w:numId="23" w16cid:durableId="1062291287">
    <w:abstractNumId w:val="27"/>
  </w:num>
  <w:num w:numId="24" w16cid:durableId="89661054">
    <w:abstractNumId w:val="7"/>
  </w:num>
  <w:num w:numId="25" w16cid:durableId="90054427">
    <w:abstractNumId w:val="4"/>
  </w:num>
  <w:num w:numId="26" w16cid:durableId="407659285">
    <w:abstractNumId w:val="26"/>
  </w:num>
  <w:num w:numId="27" w16cid:durableId="1968199008">
    <w:abstractNumId w:val="16"/>
  </w:num>
  <w:num w:numId="28" w16cid:durableId="424883591">
    <w:abstractNumId w:val="23"/>
  </w:num>
  <w:num w:numId="29" w16cid:durableId="1046030295">
    <w:abstractNumId w:val="12"/>
  </w:num>
  <w:num w:numId="30" w16cid:durableId="391081643">
    <w:abstractNumId w:val="32"/>
  </w:num>
  <w:num w:numId="31" w16cid:durableId="1406031140">
    <w:abstractNumId w:val="6"/>
  </w:num>
  <w:num w:numId="32" w16cid:durableId="21171468">
    <w:abstractNumId w:val="22"/>
  </w:num>
  <w:num w:numId="33" w16cid:durableId="8467919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45"/>
    <w:rsid w:val="0000255C"/>
    <w:rsid w:val="00002851"/>
    <w:rsid w:val="000069BF"/>
    <w:rsid w:val="000075E9"/>
    <w:rsid w:val="00007A1A"/>
    <w:rsid w:val="00007D16"/>
    <w:rsid w:val="0001134A"/>
    <w:rsid w:val="00012CAB"/>
    <w:rsid w:val="00015FD8"/>
    <w:rsid w:val="0002274A"/>
    <w:rsid w:val="00022E5E"/>
    <w:rsid w:val="0003044C"/>
    <w:rsid w:val="0003426E"/>
    <w:rsid w:val="00037422"/>
    <w:rsid w:val="000417D5"/>
    <w:rsid w:val="00045808"/>
    <w:rsid w:val="0004584A"/>
    <w:rsid w:val="00046742"/>
    <w:rsid w:val="00046B4B"/>
    <w:rsid w:val="00050F4A"/>
    <w:rsid w:val="00051C9B"/>
    <w:rsid w:val="00054C41"/>
    <w:rsid w:val="00055126"/>
    <w:rsid w:val="00055D00"/>
    <w:rsid w:val="00060649"/>
    <w:rsid w:val="00077BDB"/>
    <w:rsid w:val="00084131"/>
    <w:rsid w:val="00093C32"/>
    <w:rsid w:val="00095246"/>
    <w:rsid w:val="00096F32"/>
    <w:rsid w:val="00097A81"/>
    <w:rsid w:val="000A5B83"/>
    <w:rsid w:val="000A6A45"/>
    <w:rsid w:val="000B4DAB"/>
    <w:rsid w:val="000C53C3"/>
    <w:rsid w:val="000C578A"/>
    <w:rsid w:val="000D4357"/>
    <w:rsid w:val="000D5262"/>
    <w:rsid w:val="000D61F0"/>
    <w:rsid w:val="000D797B"/>
    <w:rsid w:val="000E2305"/>
    <w:rsid w:val="000E2658"/>
    <w:rsid w:val="000E2D60"/>
    <w:rsid w:val="000E37D8"/>
    <w:rsid w:val="000E42E4"/>
    <w:rsid w:val="000E4A1A"/>
    <w:rsid w:val="000E5E81"/>
    <w:rsid w:val="000E7DC0"/>
    <w:rsid w:val="00114A8C"/>
    <w:rsid w:val="001152F1"/>
    <w:rsid w:val="00120587"/>
    <w:rsid w:val="00123B94"/>
    <w:rsid w:val="00126727"/>
    <w:rsid w:val="00126EED"/>
    <w:rsid w:val="00132650"/>
    <w:rsid w:val="00137600"/>
    <w:rsid w:val="00142D45"/>
    <w:rsid w:val="00144117"/>
    <w:rsid w:val="00146E4F"/>
    <w:rsid w:val="001532DA"/>
    <w:rsid w:val="00154955"/>
    <w:rsid w:val="00155144"/>
    <w:rsid w:val="00157467"/>
    <w:rsid w:val="00163B67"/>
    <w:rsid w:val="00164939"/>
    <w:rsid w:val="00171429"/>
    <w:rsid w:val="00172755"/>
    <w:rsid w:val="00172CE5"/>
    <w:rsid w:val="00174873"/>
    <w:rsid w:val="0017612A"/>
    <w:rsid w:val="00176F84"/>
    <w:rsid w:val="00180CA7"/>
    <w:rsid w:val="00182315"/>
    <w:rsid w:val="001846A4"/>
    <w:rsid w:val="001858DA"/>
    <w:rsid w:val="001959B0"/>
    <w:rsid w:val="00197E33"/>
    <w:rsid w:val="001A14FD"/>
    <w:rsid w:val="001A26E0"/>
    <w:rsid w:val="001A4015"/>
    <w:rsid w:val="001A495F"/>
    <w:rsid w:val="001A6B37"/>
    <w:rsid w:val="001A76CE"/>
    <w:rsid w:val="001A7F09"/>
    <w:rsid w:val="001C3423"/>
    <w:rsid w:val="001C6500"/>
    <w:rsid w:val="001C7684"/>
    <w:rsid w:val="001D05AC"/>
    <w:rsid w:val="001D2969"/>
    <w:rsid w:val="001D419F"/>
    <w:rsid w:val="001D531D"/>
    <w:rsid w:val="001D5806"/>
    <w:rsid w:val="001D7C2B"/>
    <w:rsid w:val="001E1965"/>
    <w:rsid w:val="001E56D9"/>
    <w:rsid w:val="001E7005"/>
    <w:rsid w:val="001E73FF"/>
    <w:rsid w:val="001F05F2"/>
    <w:rsid w:val="001F5482"/>
    <w:rsid w:val="002017CE"/>
    <w:rsid w:val="002068A6"/>
    <w:rsid w:val="00211246"/>
    <w:rsid w:val="002116BD"/>
    <w:rsid w:val="002133FE"/>
    <w:rsid w:val="00217A0C"/>
    <w:rsid w:val="002224F9"/>
    <w:rsid w:val="00224F71"/>
    <w:rsid w:val="002314C9"/>
    <w:rsid w:val="0023200D"/>
    <w:rsid w:val="00233D59"/>
    <w:rsid w:val="00237563"/>
    <w:rsid w:val="002429AD"/>
    <w:rsid w:val="00244F73"/>
    <w:rsid w:val="002450D5"/>
    <w:rsid w:val="00251235"/>
    <w:rsid w:val="0025669A"/>
    <w:rsid w:val="00257718"/>
    <w:rsid w:val="00257F05"/>
    <w:rsid w:val="002601FD"/>
    <w:rsid w:val="002638BD"/>
    <w:rsid w:val="002710CD"/>
    <w:rsid w:val="002A2ED6"/>
    <w:rsid w:val="002A544B"/>
    <w:rsid w:val="002A6375"/>
    <w:rsid w:val="002B2528"/>
    <w:rsid w:val="002B6067"/>
    <w:rsid w:val="002C4DA9"/>
    <w:rsid w:val="002C7D68"/>
    <w:rsid w:val="002D50E6"/>
    <w:rsid w:val="002D5DCA"/>
    <w:rsid w:val="002D5E63"/>
    <w:rsid w:val="002D676F"/>
    <w:rsid w:val="002D7052"/>
    <w:rsid w:val="002D78A1"/>
    <w:rsid w:val="002E04F3"/>
    <w:rsid w:val="002E6803"/>
    <w:rsid w:val="002E74F9"/>
    <w:rsid w:val="002F354D"/>
    <w:rsid w:val="002F4DD5"/>
    <w:rsid w:val="002F5139"/>
    <w:rsid w:val="002F572A"/>
    <w:rsid w:val="002F6810"/>
    <w:rsid w:val="00304082"/>
    <w:rsid w:val="00304381"/>
    <w:rsid w:val="00311EBE"/>
    <w:rsid w:val="0031474F"/>
    <w:rsid w:val="0032189D"/>
    <w:rsid w:val="0032304A"/>
    <w:rsid w:val="00326A55"/>
    <w:rsid w:val="00327AF6"/>
    <w:rsid w:val="003307F9"/>
    <w:rsid w:val="00331C36"/>
    <w:rsid w:val="003375CB"/>
    <w:rsid w:val="00340240"/>
    <w:rsid w:val="00340A81"/>
    <w:rsid w:val="00341698"/>
    <w:rsid w:val="00343D1B"/>
    <w:rsid w:val="003441FE"/>
    <w:rsid w:val="003458D9"/>
    <w:rsid w:val="00347094"/>
    <w:rsid w:val="00347905"/>
    <w:rsid w:val="00351CD5"/>
    <w:rsid w:val="00355B9E"/>
    <w:rsid w:val="00357C8A"/>
    <w:rsid w:val="0036624A"/>
    <w:rsid w:val="00373C69"/>
    <w:rsid w:val="00374B02"/>
    <w:rsid w:val="00376C97"/>
    <w:rsid w:val="0037752F"/>
    <w:rsid w:val="0038002C"/>
    <w:rsid w:val="00380859"/>
    <w:rsid w:val="00382169"/>
    <w:rsid w:val="00385256"/>
    <w:rsid w:val="003854EE"/>
    <w:rsid w:val="00390D96"/>
    <w:rsid w:val="00391D37"/>
    <w:rsid w:val="00391ED6"/>
    <w:rsid w:val="00392B23"/>
    <w:rsid w:val="003934A7"/>
    <w:rsid w:val="003934C7"/>
    <w:rsid w:val="003A424B"/>
    <w:rsid w:val="003A5AE9"/>
    <w:rsid w:val="003B0B8A"/>
    <w:rsid w:val="003B6533"/>
    <w:rsid w:val="003B7761"/>
    <w:rsid w:val="003C0ACC"/>
    <w:rsid w:val="003C12B9"/>
    <w:rsid w:val="003C3A1D"/>
    <w:rsid w:val="003C46CA"/>
    <w:rsid w:val="003C4A1E"/>
    <w:rsid w:val="003C67D8"/>
    <w:rsid w:val="003C69BF"/>
    <w:rsid w:val="003C6B2D"/>
    <w:rsid w:val="003E020C"/>
    <w:rsid w:val="003E6D0F"/>
    <w:rsid w:val="003F0F93"/>
    <w:rsid w:val="003F1722"/>
    <w:rsid w:val="003F1C3D"/>
    <w:rsid w:val="003F3B62"/>
    <w:rsid w:val="003F45A2"/>
    <w:rsid w:val="003F5897"/>
    <w:rsid w:val="004011A0"/>
    <w:rsid w:val="00404AAB"/>
    <w:rsid w:val="00405575"/>
    <w:rsid w:val="00405599"/>
    <w:rsid w:val="0041077B"/>
    <w:rsid w:val="00412AD6"/>
    <w:rsid w:val="00413223"/>
    <w:rsid w:val="00414EB9"/>
    <w:rsid w:val="00415B74"/>
    <w:rsid w:val="004165E9"/>
    <w:rsid w:val="0042065A"/>
    <w:rsid w:val="00425206"/>
    <w:rsid w:val="00425D82"/>
    <w:rsid w:val="00432F0C"/>
    <w:rsid w:val="004416E1"/>
    <w:rsid w:val="0044194D"/>
    <w:rsid w:val="00443422"/>
    <w:rsid w:val="0044405D"/>
    <w:rsid w:val="00447223"/>
    <w:rsid w:val="004476AA"/>
    <w:rsid w:val="0045543E"/>
    <w:rsid w:val="00455867"/>
    <w:rsid w:val="00461ED9"/>
    <w:rsid w:val="004630AF"/>
    <w:rsid w:val="0046341E"/>
    <w:rsid w:val="004644BE"/>
    <w:rsid w:val="004703C6"/>
    <w:rsid w:val="00477DC6"/>
    <w:rsid w:val="00481985"/>
    <w:rsid w:val="004838CB"/>
    <w:rsid w:val="00484439"/>
    <w:rsid w:val="00487160"/>
    <w:rsid w:val="00492021"/>
    <w:rsid w:val="00494829"/>
    <w:rsid w:val="0049537D"/>
    <w:rsid w:val="0049561B"/>
    <w:rsid w:val="004A0C1C"/>
    <w:rsid w:val="004A4ACD"/>
    <w:rsid w:val="004A6BE0"/>
    <w:rsid w:val="004B3542"/>
    <w:rsid w:val="004B7384"/>
    <w:rsid w:val="004B79B2"/>
    <w:rsid w:val="004C5BC2"/>
    <w:rsid w:val="004C680B"/>
    <w:rsid w:val="004D10DF"/>
    <w:rsid w:val="004D35CA"/>
    <w:rsid w:val="004E5BEB"/>
    <w:rsid w:val="004F4B11"/>
    <w:rsid w:val="004F4C2D"/>
    <w:rsid w:val="004F5F36"/>
    <w:rsid w:val="00504E07"/>
    <w:rsid w:val="0052066E"/>
    <w:rsid w:val="00523F34"/>
    <w:rsid w:val="005271BD"/>
    <w:rsid w:val="00527E83"/>
    <w:rsid w:val="00530227"/>
    <w:rsid w:val="00530643"/>
    <w:rsid w:val="005310C7"/>
    <w:rsid w:val="00532342"/>
    <w:rsid w:val="00534C32"/>
    <w:rsid w:val="0055118D"/>
    <w:rsid w:val="0055435A"/>
    <w:rsid w:val="00563CED"/>
    <w:rsid w:val="005641FC"/>
    <w:rsid w:val="0056786C"/>
    <w:rsid w:val="00567BD6"/>
    <w:rsid w:val="00581581"/>
    <w:rsid w:val="00581EF6"/>
    <w:rsid w:val="00583206"/>
    <w:rsid w:val="00585C1A"/>
    <w:rsid w:val="0059179C"/>
    <w:rsid w:val="00592B24"/>
    <w:rsid w:val="005943BB"/>
    <w:rsid w:val="005A2185"/>
    <w:rsid w:val="005A299D"/>
    <w:rsid w:val="005A7369"/>
    <w:rsid w:val="005A7692"/>
    <w:rsid w:val="005B3F3C"/>
    <w:rsid w:val="005B645A"/>
    <w:rsid w:val="005C378D"/>
    <w:rsid w:val="005C635A"/>
    <w:rsid w:val="005C71CA"/>
    <w:rsid w:val="005D2E99"/>
    <w:rsid w:val="005D5A57"/>
    <w:rsid w:val="005D7CC1"/>
    <w:rsid w:val="005E12E8"/>
    <w:rsid w:val="005F5DC8"/>
    <w:rsid w:val="006007A2"/>
    <w:rsid w:val="0060143F"/>
    <w:rsid w:val="00604566"/>
    <w:rsid w:val="006066CA"/>
    <w:rsid w:val="00611E14"/>
    <w:rsid w:val="00614399"/>
    <w:rsid w:val="0061538C"/>
    <w:rsid w:val="006163F2"/>
    <w:rsid w:val="00622036"/>
    <w:rsid w:val="0062447A"/>
    <w:rsid w:val="00624A56"/>
    <w:rsid w:val="00625CC7"/>
    <w:rsid w:val="00634911"/>
    <w:rsid w:val="0063561F"/>
    <w:rsid w:val="00635EF7"/>
    <w:rsid w:val="00637112"/>
    <w:rsid w:val="0064234B"/>
    <w:rsid w:val="00643DBD"/>
    <w:rsid w:val="00644C2D"/>
    <w:rsid w:val="00644DA3"/>
    <w:rsid w:val="00647CBC"/>
    <w:rsid w:val="00653C0C"/>
    <w:rsid w:val="00653F9C"/>
    <w:rsid w:val="0065515F"/>
    <w:rsid w:val="00655828"/>
    <w:rsid w:val="00655BB6"/>
    <w:rsid w:val="0065620C"/>
    <w:rsid w:val="00663C13"/>
    <w:rsid w:val="00664528"/>
    <w:rsid w:val="00672FCB"/>
    <w:rsid w:val="00676B31"/>
    <w:rsid w:val="00681475"/>
    <w:rsid w:val="00682D04"/>
    <w:rsid w:val="0068309E"/>
    <w:rsid w:val="006844D2"/>
    <w:rsid w:val="0069184F"/>
    <w:rsid w:val="00694112"/>
    <w:rsid w:val="00695A0B"/>
    <w:rsid w:val="006A1815"/>
    <w:rsid w:val="006A3B4E"/>
    <w:rsid w:val="006A3BB6"/>
    <w:rsid w:val="006A64E9"/>
    <w:rsid w:val="006A7763"/>
    <w:rsid w:val="006B0E60"/>
    <w:rsid w:val="006B2939"/>
    <w:rsid w:val="006B6A75"/>
    <w:rsid w:val="006C1236"/>
    <w:rsid w:val="006C47D4"/>
    <w:rsid w:val="006D0D37"/>
    <w:rsid w:val="006D2A0D"/>
    <w:rsid w:val="006E04A6"/>
    <w:rsid w:val="006E358C"/>
    <w:rsid w:val="006E3640"/>
    <w:rsid w:val="006E3F42"/>
    <w:rsid w:val="006E5BDF"/>
    <w:rsid w:val="006E6276"/>
    <w:rsid w:val="006F02CE"/>
    <w:rsid w:val="006F2629"/>
    <w:rsid w:val="006F3443"/>
    <w:rsid w:val="006F3BEF"/>
    <w:rsid w:val="006F479E"/>
    <w:rsid w:val="00700852"/>
    <w:rsid w:val="0070279F"/>
    <w:rsid w:val="007033DC"/>
    <w:rsid w:val="00706522"/>
    <w:rsid w:val="0070746F"/>
    <w:rsid w:val="007201D2"/>
    <w:rsid w:val="0072245A"/>
    <w:rsid w:val="0072307B"/>
    <w:rsid w:val="0072472D"/>
    <w:rsid w:val="00732583"/>
    <w:rsid w:val="007376E6"/>
    <w:rsid w:val="007447A1"/>
    <w:rsid w:val="00750329"/>
    <w:rsid w:val="00753B4E"/>
    <w:rsid w:val="00761367"/>
    <w:rsid w:val="00767E7A"/>
    <w:rsid w:val="00767FC6"/>
    <w:rsid w:val="007723E4"/>
    <w:rsid w:val="00777342"/>
    <w:rsid w:val="00780361"/>
    <w:rsid w:val="00781CA1"/>
    <w:rsid w:val="00781D5C"/>
    <w:rsid w:val="00782ADC"/>
    <w:rsid w:val="00783C50"/>
    <w:rsid w:val="0078408C"/>
    <w:rsid w:val="00784354"/>
    <w:rsid w:val="00786B8A"/>
    <w:rsid w:val="007908BE"/>
    <w:rsid w:val="007A1E12"/>
    <w:rsid w:val="007A2D76"/>
    <w:rsid w:val="007A50F2"/>
    <w:rsid w:val="007A68B6"/>
    <w:rsid w:val="007B00D9"/>
    <w:rsid w:val="007C4E6F"/>
    <w:rsid w:val="007D03AF"/>
    <w:rsid w:val="007D35FF"/>
    <w:rsid w:val="007D66C8"/>
    <w:rsid w:val="007D692C"/>
    <w:rsid w:val="007E05A5"/>
    <w:rsid w:val="007E0CF6"/>
    <w:rsid w:val="007E1275"/>
    <w:rsid w:val="007E22D9"/>
    <w:rsid w:val="007E2D9B"/>
    <w:rsid w:val="007E5C28"/>
    <w:rsid w:val="007F0A08"/>
    <w:rsid w:val="007F3F2B"/>
    <w:rsid w:val="007F7B61"/>
    <w:rsid w:val="00800E15"/>
    <w:rsid w:val="0081140A"/>
    <w:rsid w:val="00831948"/>
    <w:rsid w:val="00832A3A"/>
    <w:rsid w:val="00832CF8"/>
    <w:rsid w:val="0083366D"/>
    <w:rsid w:val="00833A53"/>
    <w:rsid w:val="0083415D"/>
    <w:rsid w:val="0083489D"/>
    <w:rsid w:val="00841BE3"/>
    <w:rsid w:val="00841C88"/>
    <w:rsid w:val="00847126"/>
    <w:rsid w:val="0085070B"/>
    <w:rsid w:val="0085343A"/>
    <w:rsid w:val="00855F6C"/>
    <w:rsid w:val="008565DB"/>
    <w:rsid w:val="008578E7"/>
    <w:rsid w:val="00862E5A"/>
    <w:rsid w:val="0086408D"/>
    <w:rsid w:val="00871D52"/>
    <w:rsid w:val="00872A45"/>
    <w:rsid w:val="008749F3"/>
    <w:rsid w:val="00876A87"/>
    <w:rsid w:val="00886C4B"/>
    <w:rsid w:val="00893462"/>
    <w:rsid w:val="008A46D2"/>
    <w:rsid w:val="008B0060"/>
    <w:rsid w:val="008B2001"/>
    <w:rsid w:val="008B2431"/>
    <w:rsid w:val="008B2CAB"/>
    <w:rsid w:val="008B686A"/>
    <w:rsid w:val="008C0C07"/>
    <w:rsid w:val="008C276D"/>
    <w:rsid w:val="008D3044"/>
    <w:rsid w:val="008D4F2E"/>
    <w:rsid w:val="008D5E92"/>
    <w:rsid w:val="008E3349"/>
    <w:rsid w:val="008E508B"/>
    <w:rsid w:val="008E5266"/>
    <w:rsid w:val="008E55CB"/>
    <w:rsid w:val="008E6FFF"/>
    <w:rsid w:val="008E713B"/>
    <w:rsid w:val="008E720E"/>
    <w:rsid w:val="008F5603"/>
    <w:rsid w:val="008F7D5F"/>
    <w:rsid w:val="00900ED7"/>
    <w:rsid w:val="0090192F"/>
    <w:rsid w:val="009029D6"/>
    <w:rsid w:val="00904EA0"/>
    <w:rsid w:val="009067DF"/>
    <w:rsid w:val="009122AE"/>
    <w:rsid w:val="0091408E"/>
    <w:rsid w:val="009156F9"/>
    <w:rsid w:val="00920F8A"/>
    <w:rsid w:val="00921A82"/>
    <w:rsid w:val="00927DC6"/>
    <w:rsid w:val="009348F2"/>
    <w:rsid w:val="0095295E"/>
    <w:rsid w:val="00953B7C"/>
    <w:rsid w:val="00961234"/>
    <w:rsid w:val="009667C1"/>
    <w:rsid w:val="00971B23"/>
    <w:rsid w:val="00972611"/>
    <w:rsid w:val="009727D0"/>
    <w:rsid w:val="0097371E"/>
    <w:rsid w:val="00975FF6"/>
    <w:rsid w:val="009766C9"/>
    <w:rsid w:val="00977634"/>
    <w:rsid w:val="00987F8D"/>
    <w:rsid w:val="00991CB2"/>
    <w:rsid w:val="00996EB0"/>
    <w:rsid w:val="009A1724"/>
    <w:rsid w:val="009A7635"/>
    <w:rsid w:val="009B2E80"/>
    <w:rsid w:val="009B45D5"/>
    <w:rsid w:val="009B4A1C"/>
    <w:rsid w:val="009B4DF2"/>
    <w:rsid w:val="009C25E9"/>
    <w:rsid w:val="009C3721"/>
    <w:rsid w:val="009C6C19"/>
    <w:rsid w:val="009C7CBD"/>
    <w:rsid w:val="009D0463"/>
    <w:rsid w:val="009D3D59"/>
    <w:rsid w:val="009F10A2"/>
    <w:rsid w:val="009F1774"/>
    <w:rsid w:val="009F2547"/>
    <w:rsid w:val="00A01A52"/>
    <w:rsid w:val="00A03570"/>
    <w:rsid w:val="00A06CBF"/>
    <w:rsid w:val="00A07A67"/>
    <w:rsid w:val="00A10BA5"/>
    <w:rsid w:val="00A13190"/>
    <w:rsid w:val="00A13193"/>
    <w:rsid w:val="00A23586"/>
    <w:rsid w:val="00A2367D"/>
    <w:rsid w:val="00A24909"/>
    <w:rsid w:val="00A25311"/>
    <w:rsid w:val="00A25F3F"/>
    <w:rsid w:val="00A3054B"/>
    <w:rsid w:val="00A3114D"/>
    <w:rsid w:val="00A33977"/>
    <w:rsid w:val="00A3759B"/>
    <w:rsid w:val="00A40976"/>
    <w:rsid w:val="00A410BF"/>
    <w:rsid w:val="00A45DD3"/>
    <w:rsid w:val="00A46E67"/>
    <w:rsid w:val="00A47A7E"/>
    <w:rsid w:val="00A51073"/>
    <w:rsid w:val="00A57CED"/>
    <w:rsid w:val="00A6574B"/>
    <w:rsid w:val="00A7138B"/>
    <w:rsid w:val="00A71AAC"/>
    <w:rsid w:val="00A7285F"/>
    <w:rsid w:val="00A739DD"/>
    <w:rsid w:val="00A73C02"/>
    <w:rsid w:val="00A8274F"/>
    <w:rsid w:val="00A838FF"/>
    <w:rsid w:val="00A8490D"/>
    <w:rsid w:val="00A84BFD"/>
    <w:rsid w:val="00A870D3"/>
    <w:rsid w:val="00A90F5E"/>
    <w:rsid w:val="00A91780"/>
    <w:rsid w:val="00A94068"/>
    <w:rsid w:val="00A95600"/>
    <w:rsid w:val="00A96360"/>
    <w:rsid w:val="00AA2279"/>
    <w:rsid w:val="00AB2DFB"/>
    <w:rsid w:val="00AB5A47"/>
    <w:rsid w:val="00AB6274"/>
    <w:rsid w:val="00AB64D4"/>
    <w:rsid w:val="00AD1777"/>
    <w:rsid w:val="00AD3EE4"/>
    <w:rsid w:val="00AD7375"/>
    <w:rsid w:val="00AE4C52"/>
    <w:rsid w:val="00AE5D11"/>
    <w:rsid w:val="00AE625C"/>
    <w:rsid w:val="00AE7109"/>
    <w:rsid w:val="00AF49C0"/>
    <w:rsid w:val="00B03096"/>
    <w:rsid w:val="00B03A11"/>
    <w:rsid w:val="00B03E02"/>
    <w:rsid w:val="00B10386"/>
    <w:rsid w:val="00B1708F"/>
    <w:rsid w:val="00B1772E"/>
    <w:rsid w:val="00B17E8C"/>
    <w:rsid w:val="00B20FB0"/>
    <w:rsid w:val="00B23B30"/>
    <w:rsid w:val="00B27963"/>
    <w:rsid w:val="00B406AE"/>
    <w:rsid w:val="00B41661"/>
    <w:rsid w:val="00B42ACA"/>
    <w:rsid w:val="00B50A05"/>
    <w:rsid w:val="00B52263"/>
    <w:rsid w:val="00B52AC4"/>
    <w:rsid w:val="00B53133"/>
    <w:rsid w:val="00B5392C"/>
    <w:rsid w:val="00B6362A"/>
    <w:rsid w:val="00B63EEF"/>
    <w:rsid w:val="00B65B08"/>
    <w:rsid w:val="00B748DA"/>
    <w:rsid w:val="00B8029C"/>
    <w:rsid w:val="00B802B7"/>
    <w:rsid w:val="00B81FF4"/>
    <w:rsid w:val="00B823D0"/>
    <w:rsid w:val="00B85A5D"/>
    <w:rsid w:val="00BA61A6"/>
    <w:rsid w:val="00BB071E"/>
    <w:rsid w:val="00BB1DE0"/>
    <w:rsid w:val="00BD22D1"/>
    <w:rsid w:val="00BD2E7D"/>
    <w:rsid w:val="00BD472C"/>
    <w:rsid w:val="00BD6C3A"/>
    <w:rsid w:val="00BE2CE6"/>
    <w:rsid w:val="00BF02FC"/>
    <w:rsid w:val="00BF5F8D"/>
    <w:rsid w:val="00BF6AD1"/>
    <w:rsid w:val="00C00BF8"/>
    <w:rsid w:val="00C048D9"/>
    <w:rsid w:val="00C04FB4"/>
    <w:rsid w:val="00C06CD7"/>
    <w:rsid w:val="00C10296"/>
    <w:rsid w:val="00C10B1A"/>
    <w:rsid w:val="00C10BE9"/>
    <w:rsid w:val="00C21AB4"/>
    <w:rsid w:val="00C22154"/>
    <w:rsid w:val="00C25099"/>
    <w:rsid w:val="00C25BF8"/>
    <w:rsid w:val="00C325EE"/>
    <w:rsid w:val="00C36CF9"/>
    <w:rsid w:val="00C42724"/>
    <w:rsid w:val="00C43011"/>
    <w:rsid w:val="00C472D9"/>
    <w:rsid w:val="00C510C2"/>
    <w:rsid w:val="00C52E33"/>
    <w:rsid w:val="00C540D8"/>
    <w:rsid w:val="00C626FD"/>
    <w:rsid w:val="00C62F46"/>
    <w:rsid w:val="00C633E0"/>
    <w:rsid w:val="00C65AC4"/>
    <w:rsid w:val="00C729F3"/>
    <w:rsid w:val="00C72B41"/>
    <w:rsid w:val="00C7553C"/>
    <w:rsid w:val="00C868CB"/>
    <w:rsid w:val="00C95BA5"/>
    <w:rsid w:val="00CA5942"/>
    <w:rsid w:val="00CB4F82"/>
    <w:rsid w:val="00CC2003"/>
    <w:rsid w:val="00CC211F"/>
    <w:rsid w:val="00CC3663"/>
    <w:rsid w:val="00CC4A2E"/>
    <w:rsid w:val="00CC57E6"/>
    <w:rsid w:val="00CD0EFF"/>
    <w:rsid w:val="00CD2D17"/>
    <w:rsid w:val="00CD412A"/>
    <w:rsid w:val="00CD44F0"/>
    <w:rsid w:val="00CD579C"/>
    <w:rsid w:val="00CD5D1F"/>
    <w:rsid w:val="00CD7241"/>
    <w:rsid w:val="00CE4BC1"/>
    <w:rsid w:val="00CE5159"/>
    <w:rsid w:val="00CE75B8"/>
    <w:rsid w:val="00CF02E7"/>
    <w:rsid w:val="00CF4CF3"/>
    <w:rsid w:val="00CF65F8"/>
    <w:rsid w:val="00D02AFF"/>
    <w:rsid w:val="00D04B42"/>
    <w:rsid w:val="00D10EEC"/>
    <w:rsid w:val="00D249ED"/>
    <w:rsid w:val="00D250C5"/>
    <w:rsid w:val="00D41F44"/>
    <w:rsid w:val="00D44382"/>
    <w:rsid w:val="00D44977"/>
    <w:rsid w:val="00D472AB"/>
    <w:rsid w:val="00D57F8C"/>
    <w:rsid w:val="00D6041D"/>
    <w:rsid w:val="00D60B67"/>
    <w:rsid w:val="00D6643D"/>
    <w:rsid w:val="00D73455"/>
    <w:rsid w:val="00D768A0"/>
    <w:rsid w:val="00D771C3"/>
    <w:rsid w:val="00D81C9A"/>
    <w:rsid w:val="00D82529"/>
    <w:rsid w:val="00D836BD"/>
    <w:rsid w:val="00D85680"/>
    <w:rsid w:val="00D85719"/>
    <w:rsid w:val="00D90575"/>
    <w:rsid w:val="00D92535"/>
    <w:rsid w:val="00D92FF3"/>
    <w:rsid w:val="00D96250"/>
    <w:rsid w:val="00D96D52"/>
    <w:rsid w:val="00D97C60"/>
    <w:rsid w:val="00DA0A59"/>
    <w:rsid w:val="00DA42FE"/>
    <w:rsid w:val="00DA6F3F"/>
    <w:rsid w:val="00DA7882"/>
    <w:rsid w:val="00DB0139"/>
    <w:rsid w:val="00DC2638"/>
    <w:rsid w:val="00DC6AE7"/>
    <w:rsid w:val="00DC6D39"/>
    <w:rsid w:val="00DC6EA5"/>
    <w:rsid w:val="00DC7E99"/>
    <w:rsid w:val="00DD1BFC"/>
    <w:rsid w:val="00DD5D7A"/>
    <w:rsid w:val="00DD64D7"/>
    <w:rsid w:val="00DD700C"/>
    <w:rsid w:val="00DE6937"/>
    <w:rsid w:val="00DF3DF7"/>
    <w:rsid w:val="00DF4B4A"/>
    <w:rsid w:val="00DF7C8C"/>
    <w:rsid w:val="00E00CAB"/>
    <w:rsid w:val="00E03494"/>
    <w:rsid w:val="00E04E0A"/>
    <w:rsid w:val="00E05BAF"/>
    <w:rsid w:val="00E06B90"/>
    <w:rsid w:val="00E10EE1"/>
    <w:rsid w:val="00E120F7"/>
    <w:rsid w:val="00E14ACD"/>
    <w:rsid w:val="00E17C62"/>
    <w:rsid w:val="00E218B4"/>
    <w:rsid w:val="00E24662"/>
    <w:rsid w:val="00E27F85"/>
    <w:rsid w:val="00E3082F"/>
    <w:rsid w:val="00E308FA"/>
    <w:rsid w:val="00E31B4A"/>
    <w:rsid w:val="00E35ED2"/>
    <w:rsid w:val="00E40EE0"/>
    <w:rsid w:val="00E40F8A"/>
    <w:rsid w:val="00E437DE"/>
    <w:rsid w:val="00E43850"/>
    <w:rsid w:val="00E47D43"/>
    <w:rsid w:val="00E51365"/>
    <w:rsid w:val="00E6424F"/>
    <w:rsid w:val="00E719EB"/>
    <w:rsid w:val="00E739CB"/>
    <w:rsid w:val="00E85732"/>
    <w:rsid w:val="00E931A0"/>
    <w:rsid w:val="00E948E6"/>
    <w:rsid w:val="00E970E7"/>
    <w:rsid w:val="00EB3F14"/>
    <w:rsid w:val="00EB42A6"/>
    <w:rsid w:val="00EB4301"/>
    <w:rsid w:val="00EB4FAE"/>
    <w:rsid w:val="00EC0CD4"/>
    <w:rsid w:val="00EC4A97"/>
    <w:rsid w:val="00ED21B3"/>
    <w:rsid w:val="00ED2492"/>
    <w:rsid w:val="00ED27B3"/>
    <w:rsid w:val="00EE125F"/>
    <w:rsid w:val="00EE23FB"/>
    <w:rsid w:val="00EE318D"/>
    <w:rsid w:val="00EF0434"/>
    <w:rsid w:val="00EF17E3"/>
    <w:rsid w:val="00EF34D3"/>
    <w:rsid w:val="00EF3F6F"/>
    <w:rsid w:val="00EF43BA"/>
    <w:rsid w:val="00F00339"/>
    <w:rsid w:val="00F00EF4"/>
    <w:rsid w:val="00F018DA"/>
    <w:rsid w:val="00F01D70"/>
    <w:rsid w:val="00F10F29"/>
    <w:rsid w:val="00F16517"/>
    <w:rsid w:val="00F24DF3"/>
    <w:rsid w:val="00F254DD"/>
    <w:rsid w:val="00F26797"/>
    <w:rsid w:val="00F3414A"/>
    <w:rsid w:val="00F406F9"/>
    <w:rsid w:val="00F40C11"/>
    <w:rsid w:val="00F40FAB"/>
    <w:rsid w:val="00F41E08"/>
    <w:rsid w:val="00F432BD"/>
    <w:rsid w:val="00F458CE"/>
    <w:rsid w:val="00F47536"/>
    <w:rsid w:val="00F56DA5"/>
    <w:rsid w:val="00F578E3"/>
    <w:rsid w:val="00F63573"/>
    <w:rsid w:val="00F65A5C"/>
    <w:rsid w:val="00F75794"/>
    <w:rsid w:val="00F84934"/>
    <w:rsid w:val="00F85176"/>
    <w:rsid w:val="00F931FD"/>
    <w:rsid w:val="00F94F20"/>
    <w:rsid w:val="00F96D3D"/>
    <w:rsid w:val="00F972F7"/>
    <w:rsid w:val="00F97524"/>
    <w:rsid w:val="00FA3E04"/>
    <w:rsid w:val="00FA652D"/>
    <w:rsid w:val="00FA6B4C"/>
    <w:rsid w:val="00FB0588"/>
    <w:rsid w:val="00FB0FE1"/>
    <w:rsid w:val="00FB5438"/>
    <w:rsid w:val="00FB7D26"/>
    <w:rsid w:val="00FC4377"/>
    <w:rsid w:val="00FC79E1"/>
    <w:rsid w:val="00FD424B"/>
    <w:rsid w:val="00FD66E0"/>
    <w:rsid w:val="00FD7853"/>
    <w:rsid w:val="00FE74EA"/>
    <w:rsid w:val="00FE7DDD"/>
    <w:rsid w:val="00FF2006"/>
    <w:rsid w:val="00FF3D0C"/>
    <w:rsid w:val="00FF614C"/>
    <w:rsid w:val="00FF67B4"/>
    <w:rsid w:val="00FF72A2"/>
    <w:rsid w:val="02137982"/>
    <w:rsid w:val="04F1B14D"/>
    <w:rsid w:val="09ABCC6A"/>
    <w:rsid w:val="0C4BA158"/>
    <w:rsid w:val="0E5AE75F"/>
    <w:rsid w:val="131BE491"/>
    <w:rsid w:val="13464613"/>
    <w:rsid w:val="1576D203"/>
    <w:rsid w:val="1FBEA9AC"/>
    <w:rsid w:val="201AA442"/>
    <w:rsid w:val="21F7A1BB"/>
    <w:rsid w:val="237E5E87"/>
    <w:rsid w:val="24436D10"/>
    <w:rsid w:val="25699D41"/>
    <w:rsid w:val="277B0DD2"/>
    <w:rsid w:val="27C88376"/>
    <w:rsid w:val="2C83CD2A"/>
    <w:rsid w:val="2E027E76"/>
    <w:rsid w:val="2F9E0DFD"/>
    <w:rsid w:val="3129AB1A"/>
    <w:rsid w:val="322926B3"/>
    <w:rsid w:val="3246032A"/>
    <w:rsid w:val="3436FD64"/>
    <w:rsid w:val="362D0753"/>
    <w:rsid w:val="3708605C"/>
    <w:rsid w:val="37AFEDCF"/>
    <w:rsid w:val="3801A797"/>
    <w:rsid w:val="3DB0F83A"/>
    <w:rsid w:val="43688EBD"/>
    <w:rsid w:val="449B8493"/>
    <w:rsid w:val="45001D09"/>
    <w:rsid w:val="467FFAA7"/>
    <w:rsid w:val="48CB3BEA"/>
    <w:rsid w:val="49677052"/>
    <w:rsid w:val="4BAED8FD"/>
    <w:rsid w:val="4C31AD84"/>
    <w:rsid w:val="4E876048"/>
    <w:rsid w:val="5175323C"/>
    <w:rsid w:val="53036C2A"/>
    <w:rsid w:val="53036CD8"/>
    <w:rsid w:val="53073D2D"/>
    <w:rsid w:val="558FBA63"/>
    <w:rsid w:val="5644F27F"/>
    <w:rsid w:val="59BB9A9F"/>
    <w:rsid w:val="5AA7E677"/>
    <w:rsid w:val="5AD4A449"/>
    <w:rsid w:val="5B466473"/>
    <w:rsid w:val="5B81BDE5"/>
    <w:rsid w:val="5FA91015"/>
    <w:rsid w:val="5FCC5374"/>
    <w:rsid w:val="629A2651"/>
    <w:rsid w:val="63574F52"/>
    <w:rsid w:val="65FC9986"/>
    <w:rsid w:val="66C853FE"/>
    <w:rsid w:val="689DE2A0"/>
    <w:rsid w:val="68D09D2E"/>
    <w:rsid w:val="6C98B199"/>
    <w:rsid w:val="6CC8606E"/>
    <w:rsid w:val="6EAB5C86"/>
    <w:rsid w:val="6F8A8053"/>
    <w:rsid w:val="70768ACD"/>
    <w:rsid w:val="70E622D8"/>
    <w:rsid w:val="7169C097"/>
    <w:rsid w:val="71C69D49"/>
    <w:rsid w:val="72CBA1CE"/>
    <w:rsid w:val="743795D4"/>
    <w:rsid w:val="751F3FA7"/>
    <w:rsid w:val="75ED47B2"/>
    <w:rsid w:val="7790D72B"/>
    <w:rsid w:val="78CBD4B9"/>
    <w:rsid w:val="7EF9BA36"/>
    <w:rsid w:val="7FFFD00D"/>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14:docId w14:val="664A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2529"/>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72A45"/>
    <w:pPr>
      <w:spacing w:before="100" w:beforeAutospacing="1" w:after="100" w:afterAutospacing="1"/>
    </w:pPr>
  </w:style>
  <w:style w:type="paragraph" w:styleId="BodyText2">
    <w:name w:val="Body Text 2"/>
    <w:basedOn w:val="Normal"/>
    <w:rsid w:val="0062447A"/>
    <w:rPr>
      <w:szCs w:val="20"/>
    </w:rPr>
  </w:style>
  <w:style w:type="paragraph" w:styleId="BodyText">
    <w:name w:val="Body Text"/>
    <w:basedOn w:val="Normal"/>
    <w:rsid w:val="0072472D"/>
    <w:pPr>
      <w:spacing w:after="120"/>
    </w:pPr>
    <w:rPr>
      <w:sz w:val="20"/>
      <w:szCs w:val="20"/>
    </w:rPr>
  </w:style>
  <w:style w:type="paragraph" w:styleId="BodyTextIndent">
    <w:name w:val="Body Text Indent"/>
    <w:basedOn w:val="Normal"/>
    <w:rsid w:val="00E40EE0"/>
    <w:pPr>
      <w:spacing w:after="120"/>
      <w:ind w:left="360"/>
    </w:pPr>
  </w:style>
  <w:style w:type="paragraph" w:styleId="Footer">
    <w:name w:val="footer"/>
    <w:basedOn w:val="Normal"/>
    <w:rsid w:val="003E020C"/>
    <w:pPr>
      <w:tabs>
        <w:tab w:val="center" w:pos="4320"/>
        <w:tab w:val="right" w:pos="8640"/>
      </w:tabs>
    </w:pPr>
  </w:style>
  <w:style w:type="character" w:styleId="PageNumber">
    <w:name w:val="page number"/>
    <w:basedOn w:val="DefaultParagraphFont"/>
    <w:rsid w:val="003E020C"/>
  </w:style>
  <w:style w:type="paragraph" w:styleId="BalloonText">
    <w:name w:val="Balloon Text"/>
    <w:basedOn w:val="Normal"/>
    <w:semiHidden/>
    <w:rsid w:val="0061538C"/>
    <w:rPr>
      <w:rFonts w:ascii="Tahoma" w:hAnsi="Tahoma" w:cs="Tahoma"/>
      <w:sz w:val="16"/>
      <w:szCs w:val="16"/>
    </w:rPr>
  </w:style>
  <w:style w:type="character" w:styleId="CommentReference">
    <w:name w:val="annotation reference"/>
    <w:rsid w:val="00F85176"/>
    <w:rPr>
      <w:sz w:val="16"/>
      <w:szCs w:val="16"/>
    </w:rPr>
  </w:style>
  <w:style w:type="paragraph" w:styleId="CommentText">
    <w:name w:val="annotation text"/>
    <w:basedOn w:val="Normal"/>
    <w:link w:val="CommentTextChar"/>
    <w:rsid w:val="00F85176"/>
    <w:rPr>
      <w:sz w:val="20"/>
      <w:szCs w:val="20"/>
    </w:rPr>
  </w:style>
  <w:style w:type="paragraph" w:styleId="CommentSubject">
    <w:name w:val="annotation subject"/>
    <w:basedOn w:val="CommentText"/>
    <w:next w:val="CommentText"/>
    <w:semiHidden/>
    <w:rsid w:val="00F85176"/>
    <w:rPr>
      <w:b/>
      <w:bCs/>
    </w:rPr>
  </w:style>
  <w:style w:type="paragraph" w:styleId="HTMLPreformatted">
    <w:name w:val="HTML Preformatted"/>
    <w:basedOn w:val="Normal"/>
    <w:rsid w:val="007E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qFormat/>
    <w:rsid w:val="004D10DF"/>
    <w:rPr>
      <w:b/>
      <w:bCs/>
    </w:rPr>
  </w:style>
  <w:style w:type="paragraph" w:styleId="BodyTextIndent2">
    <w:name w:val="Body Text Indent 2"/>
    <w:basedOn w:val="Normal"/>
    <w:rsid w:val="001532DA"/>
    <w:pPr>
      <w:spacing w:after="120" w:line="480" w:lineRule="auto"/>
      <w:ind w:left="360"/>
    </w:pPr>
    <w:rPr>
      <w:sz w:val="20"/>
      <w:szCs w:val="20"/>
    </w:rPr>
  </w:style>
  <w:style w:type="paragraph" w:styleId="FootnoteText">
    <w:name w:val="footnote text"/>
    <w:basedOn w:val="Normal"/>
    <w:link w:val="FootnoteTextChar"/>
    <w:rsid w:val="00E24662"/>
    <w:rPr>
      <w:sz w:val="20"/>
      <w:szCs w:val="20"/>
    </w:rPr>
  </w:style>
  <w:style w:type="character" w:styleId="FootnoteReference">
    <w:name w:val="footnote reference"/>
    <w:rsid w:val="00E24662"/>
    <w:rPr>
      <w:vertAlign w:val="superscript"/>
    </w:rPr>
  </w:style>
  <w:style w:type="character" w:styleId="Hyperlink">
    <w:name w:val="Hyperlink"/>
    <w:rsid w:val="00B50A05"/>
    <w:rPr>
      <w:color w:val="0000FF"/>
      <w:u w:val="single"/>
    </w:rPr>
  </w:style>
  <w:style w:type="table" w:styleId="TableGrid">
    <w:name w:val="Table Grid"/>
    <w:basedOn w:val="TableNormal"/>
    <w:rsid w:val="0020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11EBE"/>
    <w:rPr>
      <w:color w:val="800080"/>
      <w:u w:val="single"/>
    </w:rPr>
  </w:style>
  <w:style w:type="paragraph" w:styleId="Header">
    <w:name w:val="header"/>
    <w:basedOn w:val="Normal"/>
    <w:link w:val="HeaderChar"/>
    <w:rsid w:val="009156F9"/>
    <w:pPr>
      <w:tabs>
        <w:tab w:val="center" w:pos="4680"/>
        <w:tab w:val="right" w:pos="9360"/>
      </w:tabs>
    </w:pPr>
  </w:style>
  <w:style w:type="character" w:customStyle="1" w:styleId="HeaderChar">
    <w:name w:val="Header Char"/>
    <w:basedOn w:val="DefaultParagraphFont"/>
    <w:link w:val="Header"/>
    <w:rsid w:val="009156F9"/>
    <w:rPr>
      <w:sz w:val="24"/>
      <w:szCs w:val="24"/>
      <w:lang w:bidi="ar-SA"/>
    </w:rPr>
  </w:style>
  <w:style w:type="character" w:customStyle="1" w:styleId="CommentTextChar">
    <w:name w:val="Comment Text Char"/>
    <w:basedOn w:val="DefaultParagraphFont"/>
    <w:link w:val="CommentText"/>
    <w:rsid w:val="00E43850"/>
    <w:rPr>
      <w:lang w:bidi="ar-SA"/>
    </w:rPr>
  </w:style>
  <w:style w:type="character" w:styleId="UnresolvedMention">
    <w:name w:val="Unresolved Mention"/>
    <w:basedOn w:val="DefaultParagraphFont"/>
    <w:uiPriority w:val="99"/>
    <w:semiHidden/>
    <w:unhideWhenUsed/>
    <w:rsid w:val="00614399"/>
    <w:rPr>
      <w:color w:val="605E5C"/>
      <w:shd w:val="clear" w:color="auto" w:fill="E1DFDD"/>
    </w:rPr>
  </w:style>
  <w:style w:type="paragraph" w:styleId="ListParagraph">
    <w:name w:val="List Paragraph"/>
    <w:basedOn w:val="Normal"/>
    <w:uiPriority w:val="34"/>
    <w:qFormat/>
    <w:rsid w:val="008D4F2E"/>
    <w:pPr>
      <w:ind w:left="720"/>
      <w:contextualSpacing/>
    </w:pPr>
  </w:style>
  <w:style w:type="character" w:customStyle="1" w:styleId="normaltextrun">
    <w:name w:val="normaltextrun"/>
    <w:basedOn w:val="DefaultParagraphFont"/>
    <w:rsid w:val="00A25311"/>
  </w:style>
  <w:style w:type="character" w:customStyle="1" w:styleId="eop">
    <w:name w:val="eop"/>
    <w:basedOn w:val="DefaultParagraphFont"/>
    <w:rsid w:val="00A25311"/>
  </w:style>
  <w:style w:type="character" w:customStyle="1" w:styleId="FootnoteTextChar">
    <w:name w:val="Footnote Text Char"/>
    <w:basedOn w:val="DefaultParagraphFont"/>
    <w:link w:val="FootnoteText"/>
    <w:rsid w:val="00FD424B"/>
    <w:rPr>
      <w:lang w:bidi="ar-SA"/>
    </w:rPr>
  </w:style>
  <w:style w:type="paragraph" w:styleId="Revision">
    <w:name w:val="Revision"/>
    <w:hidden/>
    <w:uiPriority w:val="99"/>
    <w:semiHidden/>
    <w:rsid w:val="0073258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news.release/empsit.t24.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tobacco-products/compliance-enforcement-training/report-potential-tobacco-product-violatio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4" ma:contentTypeDescription="Create a new document." ma:contentTypeScope="" ma:versionID="e231e4d28a0fadfc7da44a3fb5a1c28a">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0b7bc7c6327ace8967aaa03d1556398"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D1E64-5533-4E94-8C5E-0AD7554DC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5218D-9C81-434A-9F58-2CA3285B8C4C}">
  <ds:schemaRefs>
    <ds:schemaRef ds:uri="http://schemas.microsoft.com/sharepoint/v3/contenttype/forms"/>
  </ds:schemaRefs>
</ds:datastoreItem>
</file>

<file path=customXml/itemProps3.xml><?xml version="1.0" encoding="utf-8"?>
<ds:datastoreItem xmlns:ds="http://schemas.openxmlformats.org/officeDocument/2006/customXml" ds:itemID="{A7A6D736-2145-41D6-8624-85D49A0B9471}">
  <ds:schemaRefs>
    <ds:schemaRef ds:uri="http://purl.org/dc/elements/1.1/"/>
    <ds:schemaRef ds:uri="http://schemas.microsoft.com/office/2006/metadata/properties"/>
    <ds:schemaRef ds:uri="55806e25-2472-48df-91f5-2c650834f9f6"/>
    <ds:schemaRef ds:uri="http://purl.org/dc/terms/"/>
    <ds:schemaRef ds:uri="http://schemas.openxmlformats.org/package/2006/metadata/core-properties"/>
    <ds:schemaRef ds:uri="http://schemas.microsoft.com/office/2006/documentManagement/types"/>
    <ds:schemaRef ds:uri="51153f22-0994-41b9-a4fa-3c8bb3c8ee19"/>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F6E223D-592B-409D-B0BC-0B851D2E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1798</Words>
  <Characters>10704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2023-07-21T20:49:00Z</dcterms:created>
  <dcterms:modified xsi:type="dcterms:W3CDTF">2023-07-22T00:09:00Z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0x010100613D2A0FFF35964E9859F2CD028E242B</vt:lpwstr>
  </property>
</Properties>
</file>