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760629" w14:paraId="105B4FAE" w14:textId="77777777">
      <w:pPr>
        <w:jc w:val="center"/>
        <w:rPr>
          <w:rFonts w:eastAsia="Calibri"/>
        </w:rPr>
      </w:pPr>
      <w:r w:rsidRPr="00357C8A">
        <w:rPr>
          <w:rFonts w:eastAsia="Calibri"/>
        </w:rPr>
        <w:t>United States Food and Drug Administration</w:t>
      </w:r>
    </w:p>
    <w:p w:rsidR="00357C8A" w:rsidP="00357C8A" w14:paraId="1A0C82C1" w14:textId="77777777">
      <w:pPr>
        <w:jc w:val="center"/>
        <w:rPr>
          <w:rFonts w:eastAsia="Calibri"/>
        </w:rPr>
      </w:pPr>
    </w:p>
    <w:p w:rsidR="00BD1A84" w:rsidRPr="00BD1A84" w:rsidP="00BD1A84" w14:paraId="6D00F6F5" w14:textId="77777777">
      <w:pPr>
        <w:jc w:val="center"/>
        <w:rPr>
          <w:rFonts w:eastAsia="Calibri"/>
        </w:rPr>
      </w:pPr>
      <w:r w:rsidRPr="00BD1A84">
        <w:rPr>
          <w:rFonts w:eastAsia="Calibri"/>
        </w:rPr>
        <w:t>Submission of Petitions:</w:t>
      </w:r>
    </w:p>
    <w:p w:rsidR="00BD1A84" w:rsidRPr="00BD1A84" w:rsidP="00BD1A84" w14:paraId="590F14D5" w14:textId="77777777">
      <w:pPr>
        <w:jc w:val="center"/>
        <w:rPr>
          <w:rFonts w:eastAsia="Calibri"/>
        </w:rPr>
      </w:pPr>
      <w:r w:rsidRPr="00BD1A84">
        <w:rPr>
          <w:rFonts w:eastAsia="Calibri"/>
        </w:rPr>
        <w:t>Food Additive, Color Additive (Including Labeling), Submission of</w:t>
      </w:r>
    </w:p>
    <w:p w:rsidR="00BD1A84" w:rsidRPr="00BD1A84" w:rsidP="00BD1A84" w14:paraId="329F04B9" w14:textId="77777777">
      <w:pPr>
        <w:jc w:val="center"/>
        <w:rPr>
          <w:rFonts w:eastAsia="Calibri"/>
        </w:rPr>
      </w:pPr>
      <w:r w:rsidRPr="00BD1A84">
        <w:rPr>
          <w:rFonts w:eastAsia="Calibri"/>
        </w:rPr>
        <w:t>Information to a Master File in Support of Petitions, and</w:t>
      </w:r>
    </w:p>
    <w:p w:rsidR="00BD1A84" w:rsidP="00BD1A84" w14:paraId="198502C7" w14:textId="77777777">
      <w:pPr>
        <w:jc w:val="center"/>
        <w:rPr>
          <w:rFonts w:eastAsia="Calibri"/>
        </w:rPr>
      </w:pPr>
      <w:r w:rsidRPr="00BD1A84">
        <w:rPr>
          <w:rFonts w:eastAsia="Calibri"/>
        </w:rPr>
        <w:t>Electronic Submission Using Food and Drug Administration Form 3503</w:t>
      </w:r>
    </w:p>
    <w:p w:rsidR="00357C8A" w:rsidP="00357C8A" w14:paraId="1EC85068" w14:textId="77777777">
      <w:pPr>
        <w:jc w:val="center"/>
        <w:rPr>
          <w:rFonts w:eastAsia="Calibri"/>
        </w:rPr>
      </w:pPr>
    </w:p>
    <w:p w:rsidR="00357C8A" w:rsidP="00357C8A" w14:paraId="05C15D88" w14:textId="77777777">
      <w:pPr>
        <w:jc w:val="center"/>
        <w:rPr>
          <w:rFonts w:eastAsia="Calibri"/>
        </w:rPr>
      </w:pPr>
      <w:r w:rsidRPr="00357C8A">
        <w:rPr>
          <w:rFonts w:eastAsia="Calibri"/>
        </w:rPr>
        <w:t>OMB Control No. 0910-</w:t>
      </w:r>
      <w:r w:rsidR="00BD1A84">
        <w:rPr>
          <w:rFonts w:eastAsia="Calibri"/>
        </w:rPr>
        <w:t>0016</w:t>
      </w:r>
    </w:p>
    <w:p w:rsidR="00357C8A" w:rsidP="00357C8A" w14:paraId="662DE346" w14:textId="77777777">
      <w:pPr>
        <w:jc w:val="center"/>
        <w:rPr>
          <w:rFonts w:eastAsia="Calibri"/>
        </w:rPr>
      </w:pPr>
    </w:p>
    <w:p w:rsidR="00357C8A" w:rsidP="00357C8A" w14:paraId="0974EF77" w14:textId="77777777">
      <w:pPr>
        <w:jc w:val="center"/>
        <w:rPr>
          <w:rFonts w:eastAsia="Calibri"/>
        </w:rPr>
      </w:pPr>
      <w:r w:rsidRPr="00357C8A">
        <w:rPr>
          <w:rFonts w:eastAsia="Calibri"/>
        </w:rPr>
        <w:t>SUPPORTING STATEMENT</w:t>
      </w:r>
    </w:p>
    <w:p w:rsidR="009B4DF2" w:rsidP="00357C8A" w14:paraId="66136572" w14:textId="77777777">
      <w:pPr>
        <w:jc w:val="center"/>
        <w:rPr>
          <w:rFonts w:eastAsia="Calibri"/>
        </w:rPr>
      </w:pPr>
    </w:p>
    <w:p w:rsidR="00357C8A" w:rsidP="000D79CC" w14:paraId="1127AF9E" w14:textId="77777777">
      <w:pPr>
        <w:rPr>
          <w:rFonts w:eastAsia="Calibri"/>
        </w:rPr>
      </w:pPr>
      <w:r w:rsidRPr="00357C8A">
        <w:rPr>
          <w:rFonts w:eastAsia="Calibri"/>
          <w:b/>
        </w:rPr>
        <w:t>Part A:  Justification</w:t>
      </w:r>
      <w:r w:rsidRPr="00357C8A">
        <w:rPr>
          <w:rFonts w:eastAsia="Calibri"/>
        </w:rPr>
        <w:t>:</w:t>
      </w:r>
    </w:p>
    <w:p w:rsidR="000D79CC" w:rsidRPr="00357C8A" w:rsidP="000D79CC" w14:paraId="3A88F4C6" w14:textId="77777777">
      <w:pPr>
        <w:rPr>
          <w:rFonts w:eastAsia="Calibri"/>
        </w:rPr>
      </w:pPr>
    </w:p>
    <w:p w:rsidR="00357C8A" w:rsidRPr="00357C8A" w:rsidP="006705EA" w14:paraId="3323287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D1A84" w:rsidP="00BD1A84" w14:paraId="66D55E6F" w14:textId="77777777">
      <w:pPr>
        <w:autoSpaceDE w:val="0"/>
        <w:autoSpaceDN w:val="0"/>
        <w:adjustRightInd w:val="0"/>
      </w:pPr>
      <w:r>
        <w:t>This information collection supports Food and Drug Administration (FDA or we) regulations as</w:t>
      </w:r>
      <w:r w:rsidR="00AA4BA4">
        <w:t xml:space="preserve"> </w:t>
      </w:r>
      <w:r>
        <w:t>discussed below:</w:t>
      </w:r>
    </w:p>
    <w:p w:rsidR="00BD1A84" w:rsidP="00BD1A84" w14:paraId="2294C169" w14:textId="77777777">
      <w:pPr>
        <w:autoSpaceDE w:val="0"/>
        <w:autoSpaceDN w:val="0"/>
        <w:adjustRightInd w:val="0"/>
      </w:pPr>
    </w:p>
    <w:p w:rsidR="00BD1A84" w:rsidP="00BD1A84" w14:paraId="3FCCA100" w14:textId="77777777">
      <w:pPr>
        <w:autoSpaceDE w:val="0"/>
        <w:autoSpaceDN w:val="0"/>
        <w:adjustRightInd w:val="0"/>
        <w:rPr>
          <w:i/>
          <w:iCs/>
        </w:rPr>
      </w:pPr>
      <w:r>
        <w:rPr>
          <w:i/>
          <w:iCs/>
        </w:rPr>
        <w:t>Food Additive Petitions and Labeling Requirements</w:t>
      </w:r>
    </w:p>
    <w:p w:rsidR="00AA4BA4" w:rsidP="00BD1A84" w14:paraId="28495E42" w14:textId="77777777">
      <w:pPr>
        <w:autoSpaceDE w:val="0"/>
        <w:autoSpaceDN w:val="0"/>
        <w:adjustRightInd w:val="0"/>
        <w:rPr>
          <w:i/>
          <w:iCs/>
        </w:rPr>
      </w:pPr>
    </w:p>
    <w:p w:rsidR="00BD1A84" w:rsidP="00BD1A84" w14:paraId="21B1DAFA" w14:textId="77777777">
      <w:pPr>
        <w:autoSpaceDE w:val="0"/>
        <w:autoSpaceDN w:val="0"/>
        <w:adjustRightInd w:val="0"/>
      </w:pPr>
      <w:r>
        <w:t>Section 409(a) of the Federal Food, Drug, and Cosmetic Act (the FD&amp;C Act) (21 U.S.C. 348(a))</w:t>
      </w:r>
      <w:r w:rsidR="00AA4BA4">
        <w:t xml:space="preserve"> </w:t>
      </w:r>
      <w:r>
        <w:t>provides that a food additive shall be deemed to be unsafe, unless: (1) The additive and its use,</w:t>
      </w:r>
      <w:r w:rsidR="00AA4BA4">
        <w:t xml:space="preserve"> </w:t>
      </w:r>
      <w:r>
        <w:t>or intended use, are in conformity with a regulation issued under section 409 of the FD&amp;C Act</w:t>
      </w:r>
      <w:r w:rsidR="00AA4BA4">
        <w:t xml:space="preserve"> </w:t>
      </w:r>
      <w:r>
        <w:t>that describes the condition(s) under which the additive may be safely used; (2) the additive and</w:t>
      </w:r>
      <w:r w:rsidR="00AA4BA4">
        <w:t xml:space="preserve"> </w:t>
      </w:r>
      <w:r>
        <w:t>its use, or intended use, conform to the terms of an exemption for investigational use; or (3) a</w:t>
      </w:r>
      <w:r w:rsidR="00AA4BA4">
        <w:t xml:space="preserve"> </w:t>
      </w:r>
      <w:r>
        <w:t xml:space="preserve">food contact notification submitted under section 409(h) of the FD&amp;C Act is effective. </w:t>
      </w:r>
      <w:r w:rsidR="00AA4BA4">
        <w:t xml:space="preserve"> </w:t>
      </w:r>
      <w:r>
        <w:t>Food</w:t>
      </w:r>
      <w:r w:rsidR="00AA4BA4">
        <w:t xml:space="preserve"> </w:t>
      </w:r>
      <w:r>
        <w:t>additive petitions (FAPs) are submitted by individuals or companies to obtain approval of a new</w:t>
      </w:r>
      <w:r w:rsidR="00AA4BA4">
        <w:t xml:space="preserve"> </w:t>
      </w:r>
      <w:r>
        <w:t>food additive or to amend the conditions of use permitted under an existing food additive</w:t>
      </w:r>
      <w:r w:rsidR="00AA4BA4">
        <w:t xml:space="preserve"> </w:t>
      </w:r>
      <w:r>
        <w:t>regulation.</w:t>
      </w:r>
      <w:r w:rsidR="00AA4BA4">
        <w:t xml:space="preserve"> </w:t>
      </w:r>
      <w:r>
        <w:t xml:space="preserve"> Section 171.1 of FDA’s regulations (21 CFR 171.1) specifies the information that a</w:t>
      </w:r>
      <w:r w:rsidR="00AA4BA4">
        <w:t xml:space="preserve"> </w:t>
      </w:r>
      <w:r>
        <w:t xml:space="preserve">petitioner must submit </w:t>
      </w:r>
      <w:r>
        <w:t>in order to</w:t>
      </w:r>
      <w:r>
        <w:t xml:space="preserve"> establish that the proposed use of a food additive is safe and to</w:t>
      </w:r>
      <w:r w:rsidR="00AA4BA4">
        <w:t xml:space="preserve"> </w:t>
      </w:r>
      <w:r>
        <w:t>secure the publication of a food additive regulation describing the conditions under which the</w:t>
      </w:r>
      <w:r w:rsidR="00AA4BA4">
        <w:t xml:space="preserve"> </w:t>
      </w:r>
      <w:r>
        <w:t xml:space="preserve">additive may be safely used. </w:t>
      </w:r>
      <w:r w:rsidR="00B925EA">
        <w:t xml:space="preserve"> </w:t>
      </w:r>
      <w:r>
        <w:t>Parts 172, 173, 179, and 180 (21 CFR parts 172, 173, 179, and 180)</w:t>
      </w:r>
      <w:r w:rsidR="00AA4BA4">
        <w:t xml:space="preserve"> </w:t>
      </w:r>
      <w:r>
        <w:t xml:space="preserve">contain labeling requirements for certain food additives to ensure their safe use. </w:t>
      </w:r>
      <w:r w:rsidR="00AA4BA4">
        <w:t xml:space="preserve"> </w:t>
      </w:r>
      <w:r>
        <w:t>The labeling</w:t>
      </w:r>
      <w:r w:rsidR="00AA4BA4">
        <w:t xml:space="preserve"> </w:t>
      </w:r>
      <w:r>
        <w:t>regulations are considered by FDA to be cross-referenced to § 171.1.</w:t>
      </w:r>
    </w:p>
    <w:p w:rsidR="00BD1A84" w:rsidP="00BD1A84" w14:paraId="3F2A69DC" w14:textId="77777777">
      <w:pPr>
        <w:autoSpaceDE w:val="0"/>
        <w:autoSpaceDN w:val="0"/>
        <w:adjustRightInd w:val="0"/>
      </w:pPr>
    </w:p>
    <w:p w:rsidR="00BD1A84" w:rsidP="00BD1A84" w14:paraId="592BE9DF" w14:textId="77777777">
      <w:pPr>
        <w:autoSpaceDE w:val="0"/>
        <w:autoSpaceDN w:val="0"/>
        <w:adjustRightInd w:val="0"/>
        <w:rPr>
          <w:i/>
          <w:iCs/>
        </w:rPr>
      </w:pPr>
      <w:r>
        <w:rPr>
          <w:i/>
          <w:iCs/>
        </w:rPr>
        <w:t>Color Additive Petitions and Labeling Requirements</w:t>
      </w:r>
    </w:p>
    <w:p w:rsidR="00AA4BA4" w:rsidP="00BD1A84" w14:paraId="04B7FEC2" w14:textId="77777777">
      <w:pPr>
        <w:autoSpaceDE w:val="0"/>
        <w:autoSpaceDN w:val="0"/>
        <w:adjustRightInd w:val="0"/>
        <w:rPr>
          <w:i/>
          <w:iCs/>
        </w:rPr>
      </w:pPr>
    </w:p>
    <w:p w:rsidR="00BD1A84" w:rsidP="00BD1A84" w14:paraId="21B51DCA" w14:textId="77777777">
      <w:pPr>
        <w:autoSpaceDE w:val="0"/>
        <w:autoSpaceDN w:val="0"/>
        <w:adjustRightInd w:val="0"/>
      </w:pPr>
      <w:r>
        <w:t>Section 721(a) of the FD&amp;C Act (21 U.S.C. 379e(a)) provides that a color additive shall be</w:t>
      </w:r>
      <w:r w:rsidR="00AA4BA4">
        <w:t xml:space="preserve"> </w:t>
      </w:r>
      <w:r>
        <w:t>deemed to be unsafe unless the additive and its use are in conformity with a regulation that</w:t>
      </w:r>
      <w:r w:rsidR="00AA4BA4">
        <w:t xml:space="preserve"> </w:t>
      </w:r>
      <w:r>
        <w:t>describes the condition(s) under which the additive may safely be used, or the additive and its</w:t>
      </w:r>
      <w:r w:rsidR="00AA4BA4">
        <w:t xml:space="preserve"> </w:t>
      </w:r>
      <w:r>
        <w:t>use conform to the terms of an exemption for investigational use issued under section 721(f) of</w:t>
      </w:r>
      <w:r w:rsidR="00AA4BA4">
        <w:t xml:space="preserve"> </w:t>
      </w:r>
      <w:r>
        <w:t>the FD&amp;C Act.</w:t>
      </w:r>
      <w:r w:rsidR="00AA4BA4">
        <w:t xml:space="preserve"> </w:t>
      </w:r>
      <w:r>
        <w:t xml:space="preserve"> Color additive petitions (CAPs) are submitted by individuals or companies to</w:t>
      </w:r>
      <w:r w:rsidR="00AA4BA4">
        <w:t xml:space="preserve"> </w:t>
      </w:r>
      <w:r>
        <w:t>obtain approval of a new color additive or a change in the conditions of use permitted for a color</w:t>
      </w:r>
      <w:r w:rsidR="00AA4BA4">
        <w:t xml:space="preserve"> </w:t>
      </w:r>
      <w:r>
        <w:t xml:space="preserve">additive that is already approved. </w:t>
      </w:r>
      <w:r w:rsidR="00AA4BA4">
        <w:t xml:space="preserve"> </w:t>
      </w:r>
      <w:r>
        <w:t>Section 71.1 of our regulations (21 CFR 71.1) specifies the</w:t>
      </w:r>
      <w:r w:rsidR="00AA4BA4">
        <w:t xml:space="preserve"> </w:t>
      </w:r>
      <w:r>
        <w:t>information that a petitioner must submit to establish the safety of a color additive and to secure</w:t>
      </w:r>
      <w:r w:rsidR="00AA4BA4">
        <w:t xml:space="preserve"> </w:t>
      </w:r>
      <w:r>
        <w:t xml:space="preserve">the issuance of a regulation permitting its use. </w:t>
      </w:r>
      <w:r w:rsidR="00AA4BA4">
        <w:t xml:space="preserve"> </w:t>
      </w:r>
      <w:r>
        <w:t>FDA’s color additive labeling requirements in §</w:t>
      </w:r>
      <w:r w:rsidR="00AA4BA4">
        <w:t xml:space="preserve"> </w:t>
      </w:r>
      <w:r>
        <w:t>70.25 (21 CFR 70.25) require that color additives that are to be used in food, drugs, medical</w:t>
      </w:r>
      <w:r w:rsidR="00AA4BA4">
        <w:t xml:space="preserve"> </w:t>
      </w:r>
      <w:r>
        <w:t>devices, or cosmetics be labeled with sufficient information to ensure their safe use.</w:t>
      </w:r>
    </w:p>
    <w:p w:rsidR="00BD1A84" w:rsidP="00BD1A84" w14:paraId="3C448289" w14:textId="77777777">
      <w:pPr>
        <w:autoSpaceDE w:val="0"/>
        <w:autoSpaceDN w:val="0"/>
        <w:adjustRightInd w:val="0"/>
      </w:pPr>
    </w:p>
    <w:p w:rsidR="00075EAD" w:rsidP="00BD1A84" w14:paraId="2B50856E" w14:textId="77777777">
      <w:pPr>
        <w:autoSpaceDE w:val="0"/>
        <w:autoSpaceDN w:val="0"/>
        <w:adjustRightInd w:val="0"/>
      </w:pPr>
    </w:p>
    <w:p w:rsidR="00BD1A84" w:rsidP="00BD1A84" w14:paraId="4B1BA7A0" w14:textId="77777777">
      <w:pPr>
        <w:autoSpaceDE w:val="0"/>
        <w:autoSpaceDN w:val="0"/>
        <w:adjustRightInd w:val="0"/>
        <w:rPr>
          <w:i/>
          <w:iCs/>
        </w:rPr>
      </w:pPr>
      <w:r>
        <w:rPr>
          <w:i/>
          <w:iCs/>
        </w:rPr>
        <w:t>FDA Form 3503 and Master File</w:t>
      </w:r>
    </w:p>
    <w:p w:rsidR="00AA4BA4" w:rsidP="00BD1A84" w14:paraId="7EFA76B8" w14:textId="77777777">
      <w:pPr>
        <w:autoSpaceDE w:val="0"/>
        <w:autoSpaceDN w:val="0"/>
        <w:adjustRightInd w:val="0"/>
        <w:rPr>
          <w:i/>
          <w:iCs/>
        </w:rPr>
      </w:pPr>
    </w:p>
    <w:p w:rsidR="00BD1A84" w:rsidP="00BD1A84" w14:paraId="69A969A0" w14:textId="77777777">
      <w:pPr>
        <w:autoSpaceDE w:val="0"/>
        <w:autoSpaceDN w:val="0"/>
        <w:adjustRightInd w:val="0"/>
      </w:pPr>
      <w:r>
        <w:t>Respondents may transmit FAP or CAP regulatory submissions in electronic format or paper</w:t>
      </w:r>
      <w:r w:rsidR="00AA4BA4">
        <w:t xml:space="preserve"> </w:t>
      </w:r>
      <w:r>
        <w:t>format to the Office of Food Additive Safety in the Center for Food Safety and Applied Nutrition</w:t>
      </w:r>
      <w:r w:rsidR="00AA4BA4">
        <w:t xml:space="preserve"> </w:t>
      </w:r>
      <w:r>
        <w:t xml:space="preserve">using Form FDA 3503. </w:t>
      </w:r>
      <w:r w:rsidR="00AA4BA4">
        <w:t xml:space="preserve"> </w:t>
      </w:r>
      <w:r>
        <w:t>Form FDA 3503 helps the respondent organize their submission to focus</w:t>
      </w:r>
      <w:r w:rsidR="00AA4BA4">
        <w:t xml:space="preserve"> </w:t>
      </w:r>
      <w:r>
        <w:t xml:space="preserve">on the information needed for FDA’s safety review. </w:t>
      </w:r>
      <w:r w:rsidR="00AA4BA4">
        <w:t xml:space="preserve"> </w:t>
      </w:r>
      <w:r>
        <w:t>Form FDA 3503 can also be used to</w:t>
      </w:r>
      <w:r w:rsidR="00AA4BA4">
        <w:t xml:space="preserve"> </w:t>
      </w:r>
      <w:r>
        <w:t xml:space="preserve">organize information within </w:t>
      </w:r>
      <w:r w:rsidR="006659DE">
        <w:t xml:space="preserve">a </w:t>
      </w:r>
      <w:r>
        <w:t xml:space="preserve">master file </w:t>
      </w:r>
      <w:r w:rsidR="00AA4BA4">
        <w:t>submitte</w:t>
      </w:r>
      <w:r>
        <w:t>d in support of</w:t>
      </w:r>
      <w:r w:rsidR="00AA4BA4">
        <w:t xml:space="preserve"> </w:t>
      </w:r>
      <w:r>
        <w:t xml:space="preserve">petitions according to the items listed on the form. </w:t>
      </w:r>
      <w:r w:rsidR="00AA4BA4">
        <w:t xml:space="preserve"> </w:t>
      </w:r>
      <w:r>
        <w:t>Master files can be used as repositories for</w:t>
      </w:r>
      <w:r w:rsidR="00AA4BA4">
        <w:t xml:space="preserve"> </w:t>
      </w:r>
      <w:r>
        <w:t>information that can be referenced in multiple submissions to the agency, thus minimizing</w:t>
      </w:r>
      <w:r w:rsidR="00AA4BA4">
        <w:t xml:space="preserve"> </w:t>
      </w:r>
      <w:r>
        <w:t>paperwork burden for food and color additive approvals.</w:t>
      </w:r>
    </w:p>
    <w:p w:rsidR="00AA4BA4" w:rsidP="00BD1A84" w14:paraId="234617D6" w14:textId="77777777">
      <w:pPr>
        <w:autoSpaceDE w:val="0"/>
        <w:autoSpaceDN w:val="0"/>
        <w:adjustRightInd w:val="0"/>
      </w:pPr>
    </w:p>
    <w:p w:rsidR="000A7F37" w:rsidP="000A7F37" w14:paraId="530D381F" w14:textId="77777777">
      <w:pPr>
        <w:autoSpaceDE w:val="0"/>
        <w:autoSpaceDN w:val="0"/>
        <w:adjustRightInd w:val="0"/>
      </w:pPr>
      <w:r>
        <w:t xml:space="preserve">We improved the information collection by using the CFSAN Online Submission Module (COSM).  COSM provides a real-time user interface process that assists respondents in preparing and making submissions to CFSAN. </w:t>
      </w:r>
      <w:r w:rsidR="0091699D">
        <w:t xml:space="preserve"> </w:t>
      </w:r>
      <w:r>
        <w:t xml:space="preserve">COSM is a web-based tool that supports electronic submissions, thereby eliminating the need for printing and mailing of paper submissions.  COSM is available 24 hours a day and 7 days a week.  Further information about COSM, including user instruction, is available on the internet at: </w:t>
      </w:r>
      <w:hyperlink r:id="rId4" w:history="1">
        <w:r w:rsidRPr="007A3889" w:rsidR="0091699D">
          <w:rPr>
            <w:rStyle w:val="Hyperlink"/>
          </w:rPr>
          <w:t>https://</w:t>
        </w:r>
        <w:r w:rsidRPr="007A3889" w:rsidR="0091699D">
          <w:rPr>
            <w:rStyle w:val="Hyperlink"/>
          </w:rPr>
          <w:t>w</w:t>
        </w:r>
        <w:r w:rsidRPr="007A3889" w:rsidR="0091699D">
          <w:rPr>
            <w:rStyle w:val="Hyperlink"/>
          </w:rPr>
          <w:t>ww.fda.gov/food/registration-food-facilities-and-other-submissions/cfsan-online-submission-modul</w:t>
        </w:r>
        <w:r w:rsidRPr="007A3889" w:rsidR="0091699D">
          <w:rPr>
            <w:rStyle w:val="Hyperlink"/>
          </w:rPr>
          <w:t>e</w:t>
        </w:r>
        <w:r w:rsidRPr="007A3889" w:rsidR="0091699D">
          <w:rPr>
            <w:rStyle w:val="Hyperlink"/>
          </w:rPr>
          <w:t>-cosm</w:t>
        </w:r>
      </w:hyperlink>
      <w:r>
        <w:t>.</w:t>
      </w:r>
    </w:p>
    <w:p w:rsidR="000A7F37" w:rsidP="00BD1A84" w14:paraId="3D2ECCC3" w14:textId="77777777">
      <w:pPr>
        <w:autoSpaceDE w:val="0"/>
        <w:autoSpaceDN w:val="0"/>
        <w:adjustRightInd w:val="0"/>
      </w:pPr>
    </w:p>
    <w:p w:rsidR="00BD1A84" w:rsidP="00A303A8" w14:paraId="477223F7" w14:textId="77777777">
      <w:pPr>
        <w:autoSpaceDE w:val="0"/>
        <w:autoSpaceDN w:val="0"/>
        <w:adjustRightInd w:val="0"/>
        <w:rPr>
          <w:rFonts w:eastAsia="Calibri"/>
        </w:rPr>
      </w:pPr>
      <w:r>
        <w:t>T</w:t>
      </w:r>
      <w:r w:rsidR="00AA4BA4">
        <w:t>herefore,</w:t>
      </w:r>
      <w:r>
        <w:t xml:space="preserve"> </w:t>
      </w:r>
      <w:r>
        <w:t xml:space="preserve">we </w:t>
      </w:r>
      <w:r>
        <w:t>request extension of OMB approval of the information collection provisions found</w:t>
      </w:r>
      <w:r w:rsidR="00AA4BA4">
        <w:t xml:space="preserve"> </w:t>
      </w:r>
      <w:r>
        <w:t>in this collection of information and in Form FDA 3503.</w:t>
      </w:r>
    </w:p>
    <w:p w:rsidR="00357C8A" w:rsidRPr="00CC33CE" w:rsidP="00A303A8" w14:paraId="00DA8D61" w14:textId="77777777">
      <w:pPr>
        <w:rPr>
          <w:rFonts w:eastAsia="Calibri"/>
          <w:color w:val="000000"/>
        </w:rPr>
      </w:pPr>
    </w:p>
    <w:p w:rsidR="00357C8A" w:rsidRPr="00357C8A" w:rsidP="006705EA" w14:paraId="5B6E832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BD1A84" w:rsidP="00BD1A84" w14:paraId="39A94801" w14:textId="77777777">
      <w:pPr>
        <w:autoSpaceDE w:val="0"/>
        <w:autoSpaceDN w:val="0"/>
        <w:adjustRightInd w:val="0"/>
      </w:pPr>
      <w:r>
        <w:t>FDA scientific personnel review FAPs to ensure the safety of the intended use of the additive in</w:t>
      </w:r>
      <w:r w:rsidR="00AA4BA4">
        <w:t xml:space="preserve"> </w:t>
      </w:r>
      <w:r>
        <w:t xml:space="preserve">or on food, or that may be present in food </w:t>
      </w:r>
      <w:r>
        <w:t>as a result of</w:t>
      </w:r>
      <w:r>
        <w:t xml:space="preserve"> its use in articles that contact food.</w:t>
      </w:r>
      <w:r w:rsidR="00AA4BA4">
        <w:t xml:space="preserve">  </w:t>
      </w:r>
      <w:r>
        <w:t>Likewise, FDA personnel review CAPs to ensure the safety of the color additive prior to its use</w:t>
      </w:r>
      <w:r w:rsidR="00AA4BA4">
        <w:t xml:space="preserve"> </w:t>
      </w:r>
      <w:r>
        <w:t>in food, drugs, medical devices, or cosmetics.</w:t>
      </w:r>
    </w:p>
    <w:p w:rsidR="00BD1A84" w:rsidP="00BD1A84" w14:paraId="2E3C2A74" w14:textId="77777777">
      <w:pPr>
        <w:autoSpaceDE w:val="0"/>
        <w:autoSpaceDN w:val="0"/>
        <w:adjustRightInd w:val="0"/>
      </w:pPr>
    </w:p>
    <w:p w:rsidR="00357C8A" w:rsidP="00AA4BA4" w14:paraId="553560AF" w14:textId="77777777">
      <w:pPr>
        <w:autoSpaceDE w:val="0"/>
        <w:autoSpaceDN w:val="0"/>
        <w:adjustRightInd w:val="0"/>
      </w:pPr>
      <w:r>
        <w:rPr>
          <w:i/>
          <w:iCs/>
        </w:rPr>
        <w:t>Description of Respondents</w:t>
      </w:r>
      <w:r>
        <w:t xml:space="preserve">: </w:t>
      </w:r>
      <w:r w:rsidR="00B925EA">
        <w:t xml:space="preserve"> </w:t>
      </w:r>
      <w:r>
        <w:t>Respondents are businesses engaged in the manufacture</w:t>
      </w:r>
      <w:r w:rsidR="00AA4BA4">
        <w:t xml:space="preserve"> </w:t>
      </w:r>
      <w:r>
        <w:t xml:space="preserve">or sale of food, food ingredients, color additives, or substances used in materials that </w:t>
      </w:r>
      <w:r>
        <w:t>come into</w:t>
      </w:r>
      <w:r w:rsidR="00AA4BA4">
        <w:t xml:space="preserve"> </w:t>
      </w:r>
      <w:r>
        <w:t>contact with</w:t>
      </w:r>
      <w:r>
        <w:t xml:space="preserve"> food. </w:t>
      </w:r>
      <w:r w:rsidR="00AA4BA4">
        <w:t xml:space="preserve"> </w:t>
      </w:r>
      <w:r>
        <w:t>Respondents are typically from the private sector (for-profit businesses).</w:t>
      </w:r>
    </w:p>
    <w:p w:rsidR="00AA4BA4" w:rsidRPr="00CC33CE" w:rsidP="00A303A8" w14:paraId="7BCAEA6B" w14:textId="77777777">
      <w:pPr>
        <w:autoSpaceDE w:val="0"/>
        <w:autoSpaceDN w:val="0"/>
        <w:adjustRightInd w:val="0"/>
        <w:rPr>
          <w:rFonts w:eastAsia="Calibri"/>
          <w:color w:val="000000"/>
        </w:rPr>
      </w:pPr>
    </w:p>
    <w:p w:rsidR="00357C8A" w:rsidRPr="00357C8A" w:rsidP="006705EA" w14:paraId="32900AB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BD1A84" w:rsidP="00BD1A84" w14:paraId="5AF74A5F" w14:textId="77777777">
      <w:pPr>
        <w:autoSpaceDE w:val="0"/>
        <w:autoSpaceDN w:val="0"/>
        <w:adjustRightInd w:val="0"/>
      </w:pPr>
      <w:r>
        <w:t>W</w:t>
      </w:r>
      <w:r>
        <w:t xml:space="preserve">e </w:t>
      </w:r>
      <w:r>
        <w:t>are using o</w:t>
      </w:r>
      <w:r>
        <w:t>ur electronic</w:t>
      </w:r>
      <w:r>
        <w:t xml:space="preserve"> </w:t>
      </w:r>
      <w:r>
        <w:t>submission system</w:t>
      </w:r>
      <w:r>
        <w:t>,</w:t>
      </w:r>
      <w:r>
        <w:t xml:space="preserve"> COSM.</w:t>
      </w:r>
      <w:r w:rsidR="003209EA">
        <w:t xml:space="preserve">  </w:t>
      </w:r>
      <w:r>
        <w:t xml:space="preserve">Respondents may transmit regulatory submissions in electronic format via COSM or paper format on Form FDA 3503. </w:t>
      </w:r>
      <w:r w:rsidR="003209EA">
        <w:t xml:space="preserve"> </w:t>
      </w:r>
      <w:r>
        <w:t>Electronic Form FDA 3503 also can be used to</w:t>
      </w:r>
      <w:r w:rsidR="003209EA">
        <w:t xml:space="preserve"> </w:t>
      </w:r>
      <w:r>
        <w:t>organize information within a master file submitted in support of petitions according to the items</w:t>
      </w:r>
      <w:r w:rsidR="003209EA">
        <w:t xml:space="preserve"> </w:t>
      </w:r>
      <w:r>
        <w:t>listed on the form.</w:t>
      </w:r>
    </w:p>
    <w:p w:rsidR="00BD1A84" w:rsidP="00BD1A84" w14:paraId="5BECF414" w14:textId="77777777">
      <w:pPr>
        <w:autoSpaceDE w:val="0"/>
        <w:autoSpaceDN w:val="0"/>
        <w:adjustRightInd w:val="0"/>
      </w:pPr>
    </w:p>
    <w:p w:rsidR="00357C8A" w:rsidP="003209EA" w14:paraId="2C5C8DBE" w14:textId="77777777">
      <w:pPr>
        <w:autoSpaceDE w:val="0"/>
        <w:autoSpaceDN w:val="0"/>
        <w:adjustRightInd w:val="0"/>
      </w:pPr>
      <w:r>
        <w:t>We estimate that 80% of the respondents will electronically submit the information being</w:t>
      </w:r>
      <w:r w:rsidR="003209EA">
        <w:t xml:space="preserve"> </w:t>
      </w:r>
      <w:r>
        <w:t>collected via COSM or on a physical media (e.g., CD-ROM or DVD).</w:t>
      </w:r>
    </w:p>
    <w:p w:rsidR="003209EA" w:rsidRPr="00CC33CE" w:rsidP="00A303A8" w14:paraId="75B669C4" w14:textId="77777777">
      <w:pPr>
        <w:autoSpaceDE w:val="0"/>
        <w:autoSpaceDN w:val="0"/>
        <w:adjustRightInd w:val="0"/>
        <w:rPr>
          <w:rFonts w:eastAsia="Calibri"/>
          <w:color w:val="000000"/>
        </w:rPr>
      </w:pPr>
    </w:p>
    <w:p w:rsidR="00357C8A" w:rsidRPr="00357C8A" w:rsidP="006705EA" w14:paraId="720489CC"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BD1A84" w:rsidP="002239F6" w14:paraId="33275238" w14:textId="77777777">
      <w:pPr>
        <w:autoSpaceDE w:val="0"/>
        <w:autoSpaceDN w:val="0"/>
        <w:adjustRightInd w:val="0"/>
      </w:pPr>
      <w:r>
        <w:t>We continue to work with Environmental Protection Agency (EPA) and the U.S. Department of</w:t>
      </w:r>
      <w:r w:rsidR="002239F6">
        <w:t xml:space="preserve"> </w:t>
      </w:r>
      <w:r>
        <w:t xml:space="preserve">Agriculture (USDA) to eliminate areas of duplicate data collection and evaluation. </w:t>
      </w:r>
      <w:r w:rsidR="002239F6">
        <w:t xml:space="preserve"> T</w:t>
      </w:r>
      <w:r>
        <w:t>here is no</w:t>
      </w:r>
      <w:r w:rsidR="002239F6">
        <w:t xml:space="preserve"> </w:t>
      </w:r>
      <w:r>
        <w:t>duplication of FDA labeling requirements by other U.S. government agencies.</w:t>
      </w:r>
      <w:r w:rsidR="002239F6">
        <w:t xml:space="preserve"> </w:t>
      </w:r>
      <w:r>
        <w:t xml:space="preserve"> Memoranda of</w:t>
      </w:r>
      <w:r w:rsidR="002239F6">
        <w:t xml:space="preserve"> </w:t>
      </w:r>
      <w:r>
        <w:t>understanding have been reached with EPA in the areas of pesticides and water treatment.</w:t>
      </w:r>
      <w:r w:rsidR="002239F6">
        <w:t xml:space="preserve"> </w:t>
      </w:r>
      <w:r>
        <w:t xml:space="preserve"> EPA</w:t>
      </w:r>
      <w:r w:rsidR="002239F6">
        <w:t xml:space="preserve"> </w:t>
      </w:r>
      <w:r>
        <w:t>establishes a tolerance, or exemption from tolerance, for pesticide chemicals and residues of such</w:t>
      </w:r>
      <w:r w:rsidR="002239F6">
        <w:t xml:space="preserve"> </w:t>
      </w:r>
      <w:r>
        <w:t>chemicals in food, and we enforce the tolerance or exemption.</w:t>
      </w:r>
    </w:p>
    <w:p w:rsidR="002239F6" w:rsidP="00A303A8" w14:paraId="0689F29B" w14:textId="77777777">
      <w:pPr>
        <w:autoSpaceDE w:val="0"/>
        <w:autoSpaceDN w:val="0"/>
        <w:adjustRightInd w:val="0"/>
      </w:pPr>
    </w:p>
    <w:p w:rsidR="000C1260" w:rsidP="00A303A8" w14:paraId="752CE9FD" w14:textId="77777777">
      <w:pPr>
        <w:autoSpaceDE w:val="0"/>
        <w:autoSpaceDN w:val="0"/>
        <w:adjustRightInd w:val="0"/>
      </w:pPr>
      <w:r>
        <w:t>Under the Meat and Poultry Inspection Acts (21 U.S.C. 601(m)(2) and 21 U.S.C. 453(g)(2)), the</w:t>
      </w:r>
      <w:r w:rsidR="002239F6">
        <w:t xml:space="preserve"> </w:t>
      </w:r>
      <w:r>
        <w:t>USDA Food Safety and Inspection Service (FSIS) has regulatory authority to determine th</w:t>
      </w:r>
      <w:r w:rsidR="002239F6">
        <w:t xml:space="preserve">e </w:t>
      </w:r>
      <w:r>
        <w:t>suitability and regulate the use of ingredients and sources of radiation in or on meat and poultry</w:t>
      </w:r>
      <w:r w:rsidR="002239F6">
        <w:t xml:space="preserve"> </w:t>
      </w:r>
      <w:r>
        <w:t xml:space="preserve">products in federally inspected facilities. </w:t>
      </w:r>
      <w:r w:rsidR="002239F6">
        <w:t xml:space="preserve"> </w:t>
      </w:r>
      <w:r>
        <w:t>FDA’s regulations listed in §§ 71.1 and 171.1 permit</w:t>
      </w:r>
      <w:r w:rsidR="002239F6">
        <w:t xml:space="preserve"> </w:t>
      </w:r>
      <w:r>
        <w:t>an efficient joint review by both FDA and FSIS of petitions for approval to use a food ingredient</w:t>
      </w:r>
      <w:r w:rsidR="002239F6">
        <w:t xml:space="preserve"> </w:t>
      </w:r>
      <w:r>
        <w:t xml:space="preserve">or source of radiation in or on meat or poultry products. </w:t>
      </w:r>
      <w:r w:rsidR="002239F6">
        <w:t xml:space="preserve"> </w:t>
      </w:r>
      <w:r>
        <w:t>Applicants petitioning for approval for</w:t>
      </w:r>
      <w:r w:rsidR="002239F6">
        <w:t xml:space="preserve"> </w:t>
      </w:r>
      <w:r>
        <w:t>the use of substances in meat and poultry products provide four copies of the petition to FDA.</w:t>
      </w:r>
      <w:r w:rsidR="002239F6">
        <w:t xml:space="preserve">  </w:t>
      </w:r>
      <w:r>
        <w:t>We then forward a copy of the petition or relevant portions of the petition to FSIS so that both</w:t>
      </w:r>
      <w:r w:rsidR="002239F6">
        <w:t xml:space="preserve"> </w:t>
      </w:r>
      <w:r>
        <w:t>agencies can perform the necessary reviews simultaneously, thus reducing the time it takes to</w:t>
      </w:r>
      <w:r w:rsidR="002239F6">
        <w:t xml:space="preserve"> </w:t>
      </w:r>
      <w:r>
        <w:t>authorize an ingredient for use in meat and poultry products.</w:t>
      </w:r>
    </w:p>
    <w:p w:rsidR="00A303A8" w:rsidRPr="00CC33CE" w:rsidP="00A303A8" w14:paraId="57198C44" w14:textId="77777777">
      <w:pPr>
        <w:autoSpaceDE w:val="0"/>
        <w:autoSpaceDN w:val="0"/>
        <w:adjustRightInd w:val="0"/>
        <w:rPr>
          <w:rFonts w:eastAsia="Calibri"/>
          <w:color w:val="000000"/>
        </w:rPr>
      </w:pPr>
    </w:p>
    <w:p w:rsidR="00357C8A" w:rsidRPr="00357C8A" w:rsidP="006705EA" w14:paraId="0A26E23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B51B51" w:rsidP="00B51B51" w14:paraId="10C07BAC" w14:textId="77777777">
      <w:pPr>
        <w:autoSpaceDE w:val="0"/>
        <w:autoSpaceDN w:val="0"/>
        <w:adjustRightInd w:val="0"/>
        <w:rPr>
          <w:color w:val="000000"/>
        </w:rPr>
      </w:pPr>
      <w:r>
        <w:rPr>
          <w:color w:val="000000"/>
        </w:rPr>
        <w:t>We are unaware of ways to minimize the burdens on a small business wishing to petition for a</w:t>
      </w:r>
      <w:r w:rsidR="002239F6">
        <w:rPr>
          <w:color w:val="000000"/>
        </w:rPr>
        <w:t xml:space="preserve"> </w:t>
      </w:r>
      <w:r>
        <w:rPr>
          <w:color w:val="000000"/>
        </w:rPr>
        <w:t>new food or color additive or a new use of a regulated food or color additive.</w:t>
      </w:r>
      <w:r w:rsidR="002239F6">
        <w:rPr>
          <w:color w:val="000000"/>
        </w:rPr>
        <w:t xml:space="preserve"> </w:t>
      </w:r>
      <w:r>
        <w:rPr>
          <w:color w:val="000000"/>
        </w:rPr>
        <w:t xml:space="preserve"> The agency has</w:t>
      </w:r>
      <w:r w:rsidR="002239F6">
        <w:rPr>
          <w:color w:val="000000"/>
        </w:rPr>
        <w:t xml:space="preserve"> </w:t>
      </w:r>
      <w:r>
        <w:rPr>
          <w:color w:val="000000"/>
        </w:rPr>
        <w:t>established criteria for the type of data necessary to demonstrate the safety of a food or color</w:t>
      </w:r>
      <w:r w:rsidR="002239F6">
        <w:rPr>
          <w:color w:val="000000"/>
        </w:rPr>
        <w:t xml:space="preserve"> </w:t>
      </w:r>
      <w:r>
        <w:rPr>
          <w:color w:val="000000"/>
        </w:rPr>
        <w:t xml:space="preserve">additive. </w:t>
      </w:r>
      <w:r w:rsidR="002239F6">
        <w:rPr>
          <w:color w:val="000000"/>
        </w:rPr>
        <w:t xml:space="preserve"> </w:t>
      </w:r>
      <w:r>
        <w:rPr>
          <w:color w:val="000000"/>
        </w:rPr>
        <w:t>Where possible, assistance is given (in fact, a significant percentage of agency time is</w:t>
      </w:r>
      <w:r w:rsidR="002239F6">
        <w:rPr>
          <w:color w:val="000000"/>
        </w:rPr>
        <w:t xml:space="preserve"> </w:t>
      </w:r>
      <w:r>
        <w:rPr>
          <w:color w:val="000000"/>
        </w:rPr>
        <w:t>spent in assistance activities), but we do not have the resources to conduct a firm’s analytical</w:t>
      </w:r>
      <w:r w:rsidR="00C23F97">
        <w:rPr>
          <w:color w:val="000000"/>
        </w:rPr>
        <w:t xml:space="preserve"> </w:t>
      </w:r>
      <w:r>
        <w:rPr>
          <w:color w:val="000000"/>
        </w:rPr>
        <w:t>studies</w:t>
      </w:r>
      <w:r>
        <w:rPr>
          <w:color w:val="000000"/>
        </w:rPr>
        <w:t xml:space="preserve"> or the animal feeding studies necessary to demonstrate the safety of a new additive.</w:t>
      </w:r>
      <w:r w:rsidR="002239F6">
        <w:rPr>
          <w:color w:val="000000"/>
        </w:rPr>
        <w:t xml:space="preserve"> </w:t>
      </w:r>
      <w:r>
        <w:rPr>
          <w:color w:val="000000"/>
        </w:rPr>
        <w:t xml:space="preserve"> The</w:t>
      </w:r>
      <w:r w:rsidR="002239F6">
        <w:rPr>
          <w:color w:val="000000"/>
        </w:rPr>
        <w:t xml:space="preserve"> </w:t>
      </w:r>
      <w:r>
        <w:rPr>
          <w:color w:val="000000"/>
        </w:rPr>
        <w:t>labeling requirements for a specific food additive or color additive are the same regardless of the</w:t>
      </w:r>
      <w:r w:rsidR="002239F6">
        <w:rPr>
          <w:color w:val="000000"/>
        </w:rPr>
        <w:t xml:space="preserve"> </w:t>
      </w:r>
      <w:r>
        <w:rPr>
          <w:color w:val="000000"/>
        </w:rPr>
        <w:t xml:space="preserve">size of the firm. </w:t>
      </w:r>
      <w:r w:rsidR="002239F6">
        <w:rPr>
          <w:color w:val="000000"/>
        </w:rPr>
        <w:t xml:space="preserve"> </w:t>
      </w:r>
      <w:r>
        <w:rPr>
          <w:color w:val="000000"/>
        </w:rPr>
        <w:t xml:space="preserve">However, to reduce the burden on all businesses, we </w:t>
      </w:r>
      <w:r>
        <w:rPr>
          <w:color w:val="000000"/>
        </w:rPr>
        <w:t>provide assistance to</w:t>
      </w:r>
      <w:r w:rsidR="002239F6">
        <w:rPr>
          <w:color w:val="000000"/>
        </w:rPr>
        <w:t xml:space="preserve"> </w:t>
      </w:r>
      <w:r>
        <w:rPr>
          <w:color w:val="000000"/>
        </w:rPr>
        <w:t xml:space="preserve">requestors to minimize the likelihood that unnecessary work is performed. </w:t>
      </w:r>
      <w:r w:rsidR="002239F6">
        <w:rPr>
          <w:color w:val="000000"/>
        </w:rPr>
        <w:t xml:space="preserve"> </w:t>
      </w:r>
      <w:r>
        <w:rPr>
          <w:color w:val="000000"/>
        </w:rPr>
        <w:t>We aid small</w:t>
      </w:r>
      <w:r w:rsidR="002239F6">
        <w:rPr>
          <w:color w:val="000000"/>
        </w:rPr>
        <w:t xml:space="preserve"> </w:t>
      </w:r>
      <w:r>
        <w:rPr>
          <w:color w:val="000000"/>
        </w:rPr>
        <w:t>businesses in complying with the petition process and labeling requirements through the</w:t>
      </w:r>
      <w:r w:rsidR="002239F6">
        <w:rPr>
          <w:color w:val="000000"/>
        </w:rPr>
        <w:t xml:space="preserve"> </w:t>
      </w:r>
      <w:r>
        <w:rPr>
          <w:color w:val="000000"/>
        </w:rPr>
        <w:t>agency’s Regional Small Business Representatives and through the administrative and scientific</w:t>
      </w:r>
      <w:r w:rsidR="002239F6">
        <w:rPr>
          <w:color w:val="000000"/>
        </w:rPr>
        <w:t xml:space="preserve"> </w:t>
      </w:r>
      <w:r>
        <w:rPr>
          <w:color w:val="000000"/>
        </w:rPr>
        <w:t xml:space="preserve">staffs within the agency. </w:t>
      </w:r>
      <w:r w:rsidR="002239F6">
        <w:rPr>
          <w:color w:val="000000"/>
        </w:rPr>
        <w:t xml:space="preserve"> </w:t>
      </w:r>
      <w:r>
        <w:rPr>
          <w:color w:val="000000"/>
        </w:rPr>
        <w:t xml:space="preserve">We </w:t>
      </w:r>
      <w:r w:rsidR="00C23F97">
        <w:rPr>
          <w:color w:val="000000"/>
        </w:rPr>
        <w:t xml:space="preserve">also </w:t>
      </w:r>
      <w:r>
        <w:rPr>
          <w:color w:val="000000"/>
        </w:rPr>
        <w:t>provide a</w:t>
      </w:r>
      <w:r w:rsidR="00C23F97">
        <w:rPr>
          <w:color w:val="000000"/>
        </w:rPr>
        <w:t>ssistance</w:t>
      </w:r>
      <w:r w:rsidR="00C23F97">
        <w:rPr>
          <w:color w:val="000000"/>
        </w:rPr>
        <w:t xml:space="preserve"> via our</w:t>
      </w:r>
      <w:r>
        <w:rPr>
          <w:color w:val="000000"/>
        </w:rPr>
        <w:t xml:space="preserve"> Small Business </w:t>
      </w:r>
      <w:r w:rsidR="00C23F97">
        <w:rPr>
          <w:color w:val="000000"/>
        </w:rPr>
        <w:t>Assistance webpage</w:t>
      </w:r>
      <w:r>
        <w:rPr>
          <w:color w:val="000000"/>
        </w:rPr>
        <w:t xml:space="preserve"> at</w:t>
      </w:r>
      <w:r w:rsidR="002239F6">
        <w:rPr>
          <w:color w:val="000000"/>
        </w:rPr>
        <w:t xml:space="preserve">  </w:t>
      </w:r>
      <w:hyperlink r:id="rId5" w:history="1">
        <w:r w:rsidRPr="009C2D0E">
          <w:rPr>
            <w:rStyle w:val="Hyperlink"/>
          </w:rPr>
          <w:t>https://www.fda.gov/industry/small-bus</w:t>
        </w:r>
        <w:r w:rsidRPr="009C2D0E">
          <w:rPr>
            <w:rStyle w:val="Hyperlink"/>
          </w:rPr>
          <w:t>i</w:t>
        </w:r>
        <w:r w:rsidRPr="009C2D0E">
          <w:rPr>
            <w:rStyle w:val="Hyperlink"/>
          </w:rPr>
          <w:t>ness-assistance</w:t>
        </w:r>
      </w:hyperlink>
      <w:r>
        <w:rPr>
          <w:color w:val="000000"/>
        </w:rPr>
        <w:t>.</w:t>
      </w:r>
    </w:p>
    <w:p w:rsidR="00B51B51" w:rsidP="00B51B51" w14:paraId="4355315A" w14:textId="77777777">
      <w:pPr>
        <w:autoSpaceDE w:val="0"/>
        <w:autoSpaceDN w:val="0"/>
        <w:adjustRightInd w:val="0"/>
        <w:rPr>
          <w:color w:val="000000"/>
        </w:rPr>
      </w:pPr>
    </w:p>
    <w:p w:rsidR="00357C8A" w:rsidRPr="00357C8A" w:rsidP="00357C8A" w14:paraId="3653288E" w14:textId="77777777">
      <w:pPr>
        <w:spacing w:after="200"/>
        <w:rPr>
          <w:rFonts w:eastAsia="Calibri"/>
        </w:rPr>
      </w:pPr>
      <w:r>
        <w:rPr>
          <w:color w:val="000000"/>
        </w:rPr>
        <w:t>We estimate that no small businesses are involved in this information collection.</w:t>
      </w:r>
    </w:p>
    <w:p w:rsidR="00357C8A" w:rsidRPr="00357C8A" w:rsidP="006705EA" w14:paraId="2F47A7C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2239F6" w14:paraId="6AFC4F1D" w14:textId="77777777">
      <w:pPr>
        <w:autoSpaceDE w:val="0"/>
        <w:autoSpaceDN w:val="0"/>
        <w:adjustRightInd w:val="0"/>
      </w:pPr>
      <w:r>
        <w:t>Data collection occurs occasionally.</w:t>
      </w:r>
      <w:r w:rsidR="00A303A8">
        <w:t xml:space="preserve"> </w:t>
      </w:r>
      <w:r>
        <w:t xml:space="preserve"> If the collection is not conducted or is conducted less</w:t>
      </w:r>
      <w:r w:rsidR="002239F6">
        <w:t xml:space="preserve"> </w:t>
      </w:r>
      <w:r>
        <w:t xml:space="preserve">frequently, manufacturers would not </w:t>
      </w:r>
      <w:r>
        <w:t>be in compliance with</w:t>
      </w:r>
      <w:r>
        <w:t xml:space="preserve"> §§ 409(a), 201(s) and 721 of the</w:t>
      </w:r>
      <w:r w:rsidR="002239F6">
        <w:t xml:space="preserve"> </w:t>
      </w:r>
      <w:r>
        <w:t xml:space="preserve">FD&amp;C Act. </w:t>
      </w:r>
      <w:r w:rsidR="002239F6">
        <w:t xml:space="preserve"> </w:t>
      </w:r>
      <w:r>
        <w:t>Without FDA review and approval of food and color additive petitions as required</w:t>
      </w:r>
      <w:r w:rsidR="002239F6">
        <w:t xml:space="preserve"> </w:t>
      </w:r>
      <w:r>
        <w:t>by law, it would not be possible to protect the nation’s food supply.</w:t>
      </w:r>
    </w:p>
    <w:p w:rsidR="002239F6" w:rsidRPr="00CC33CE" w:rsidP="00A303A8" w14:paraId="6C73F2DC" w14:textId="77777777">
      <w:pPr>
        <w:autoSpaceDE w:val="0"/>
        <w:autoSpaceDN w:val="0"/>
        <w:adjustRightInd w:val="0"/>
        <w:rPr>
          <w:rFonts w:eastAsia="Calibri"/>
          <w:color w:val="000000"/>
        </w:rPr>
      </w:pPr>
    </w:p>
    <w:p w:rsidR="00357C8A" w:rsidRPr="00357C8A" w:rsidP="006705EA" w14:paraId="3738CE5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2239F6" w14:paraId="1950D984" w14:textId="77777777">
      <w:pPr>
        <w:autoSpaceDE w:val="0"/>
        <w:autoSpaceDN w:val="0"/>
        <w:adjustRightInd w:val="0"/>
      </w:pPr>
      <w:r>
        <w:t>FDA’s regulations at 21 CFR 71.1 and 171.1 require a firm to submit four copies of its petition</w:t>
      </w:r>
      <w:r w:rsidR="002239F6">
        <w:t xml:space="preserve"> </w:t>
      </w:r>
      <w:r>
        <w:t>when the firm states that the substance is intended for use in the production of meat and poultry</w:t>
      </w:r>
      <w:r w:rsidR="002239F6">
        <w:t xml:space="preserve"> </w:t>
      </w:r>
      <w:r>
        <w:t xml:space="preserve">products. </w:t>
      </w:r>
      <w:r w:rsidR="002239F6">
        <w:t xml:space="preserve"> </w:t>
      </w:r>
      <w:r>
        <w:t>We then forward the fourth copy of the petition or relevant portions of the petition to</w:t>
      </w:r>
      <w:r w:rsidR="002239F6">
        <w:t xml:space="preserve"> </w:t>
      </w:r>
      <w:r>
        <w:t>FSIS so that both agencies can perform the necessary reviews simultaneously, thus reducing the</w:t>
      </w:r>
      <w:r w:rsidR="002239F6">
        <w:t xml:space="preserve"> </w:t>
      </w:r>
      <w:r>
        <w:t xml:space="preserve">time it takes to authorize an ingredient for use in meat and poultry products. </w:t>
      </w:r>
      <w:r w:rsidR="002239F6">
        <w:t xml:space="preserve"> </w:t>
      </w:r>
      <w:r>
        <w:t>OMB previously</w:t>
      </w:r>
      <w:r w:rsidR="002239F6">
        <w:t xml:space="preserve"> </w:t>
      </w:r>
      <w:r>
        <w:t>approved this fourth copy when the regulations were amended.</w:t>
      </w:r>
    </w:p>
    <w:p w:rsidR="00075EAD" w:rsidP="00075EAD" w14:paraId="4DB564BC" w14:textId="77777777">
      <w:pPr>
        <w:autoSpaceDE w:val="0"/>
        <w:autoSpaceDN w:val="0"/>
        <w:adjustRightInd w:val="0"/>
      </w:pPr>
    </w:p>
    <w:p w:rsidR="00075EAD" w:rsidP="00075EAD" w14:paraId="42E65A96" w14:textId="77777777">
      <w:pPr>
        <w:autoSpaceDE w:val="0"/>
        <w:autoSpaceDN w:val="0"/>
        <w:adjustRightInd w:val="0"/>
      </w:pPr>
    </w:p>
    <w:p w:rsidR="00075EAD" w:rsidP="00075EAD" w14:paraId="1A2E019D" w14:textId="77777777">
      <w:pPr>
        <w:autoSpaceDE w:val="0"/>
        <w:autoSpaceDN w:val="0"/>
        <w:adjustRightInd w:val="0"/>
      </w:pPr>
    </w:p>
    <w:p w:rsidR="002239F6" w:rsidRPr="00357C8A" w:rsidP="00A303A8" w14:paraId="7200A4B2" w14:textId="77777777">
      <w:pPr>
        <w:autoSpaceDE w:val="0"/>
        <w:autoSpaceDN w:val="0"/>
        <w:adjustRightInd w:val="0"/>
        <w:rPr>
          <w:rFonts w:eastAsia="Calibri"/>
        </w:rPr>
      </w:pPr>
    </w:p>
    <w:p w:rsidR="00357C8A" w:rsidRPr="00357C8A" w:rsidP="006705EA" w14:paraId="1DBB3781"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CC33CE" w:rsidP="00357C8A" w14:paraId="324D06A3" w14:textId="77777777">
      <w:pPr>
        <w:spacing w:after="200"/>
        <w:rPr>
          <w:rFonts w:eastAsia="Calibri"/>
          <w:color w:val="000000"/>
        </w:rPr>
      </w:pPr>
      <w:r>
        <w:t xml:space="preserve">In accordance with 5 CFR 1320.8(d), FDA published a 60-day notice for public comment in the </w:t>
      </w:r>
      <w:r>
        <w:rPr>
          <w:i/>
          <w:iCs/>
        </w:rPr>
        <w:t xml:space="preserve">Federal Register </w:t>
      </w:r>
      <w:r>
        <w:t xml:space="preserve">of February 1, 2023 (88 FR 6757.) </w:t>
      </w:r>
      <w:r w:rsidR="002239F6">
        <w:t xml:space="preserve"> </w:t>
      </w:r>
      <w:r w:rsidR="009D4968">
        <w:t>We</w:t>
      </w:r>
      <w:r>
        <w:t xml:space="preserve"> received</w:t>
      </w:r>
      <w:r w:rsidR="00C47107">
        <w:t xml:space="preserve"> </w:t>
      </w:r>
      <w:r w:rsidR="009D4968">
        <w:t xml:space="preserve">1 comment </w:t>
      </w:r>
      <w:r w:rsidR="00C47107">
        <w:t xml:space="preserve">that </w:t>
      </w:r>
      <w:r w:rsidR="009D4968">
        <w:t>was not</w:t>
      </w:r>
      <w:r w:rsidR="00C47107">
        <w:t xml:space="preserve"> PRA</w:t>
      </w:r>
      <w:r w:rsidR="009D4968">
        <w:t>-related</w:t>
      </w:r>
      <w:r w:rsidR="00C47107">
        <w:t xml:space="preserve"> and will not be </w:t>
      </w:r>
      <w:r w:rsidR="009D4968">
        <w:t>addressed in this document</w:t>
      </w:r>
      <w:r w:rsidRPr="00FA00F6" w:rsidR="002239F6">
        <w:rPr>
          <w:rFonts w:eastAsia="Calibri"/>
          <w:color w:val="000000"/>
        </w:rPr>
        <w:t>.</w:t>
      </w:r>
    </w:p>
    <w:p w:rsidR="00357C8A" w:rsidRPr="00357C8A" w:rsidP="006705EA" w14:paraId="50046C96"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CC33CE" w:rsidP="00357C8A" w14:paraId="54C69A5F" w14:textId="77777777">
      <w:pPr>
        <w:spacing w:after="200"/>
        <w:rPr>
          <w:rFonts w:eastAsia="Calibri"/>
          <w:color w:val="000000"/>
        </w:rPr>
      </w:pPr>
      <w:r w:rsidRPr="002074FE">
        <w:rPr>
          <w:rFonts w:eastAsia="Calibri"/>
        </w:rPr>
        <w:t>There are no incentives, payments or gifts associated with this information collection.</w:t>
      </w:r>
      <w:r w:rsidR="00B51B51">
        <w:rPr>
          <w:rFonts w:eastAsia="Calibri"/>
        </w:rPr>
        <w:t xml:space="preserve">  </w:t>
      </w:r>
    </w:p>
    <w:p w:rsidR="00357C8A" w:rsidRPr="00357C8A" w:rsidP="006705EA" w14:paraId="621D0D38"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B51B51" w:rsidP="00B51B51" w14:paraId="0F910DF7" w14:textId="77777777">
      <w:pPr>
        <w:autoSpaceDE w:val="0"/>
        <w:autoSpaceDN w:val="0"/>
        <w:adjustRightInd w:val="0"/>
      </w:pPr>
      <w:r>
        <w:t>Food additive and color additive petitions often contain trade secret and commercial confidential</w:t>
      </w:r>
      <w:r w:rsidR="002239F6">
        <w:t xml:space="preserve"> </w:t>
      </w:r>
      <w:r>
        <w:t xml:space="preserve">information. </w:t>
      </w:r>
      <w:r w:rsidR="002239F6">
        <w:t xml:space="preserve"> </w:t>
      </w:r>
      <w:r>
        <w:t>Confidential commercial information is protected from disclosure under the</w:t>
      </w:r>
      <w:r w:rsidR="002239F6">
        <w:t xml:space="preserve"> </w:t>
      </w:r>
      <w:r>
        <w:t>Freedom of Information Act (FOIA) under sections 552(a) and (b) (5 U.S.C. 552(a) and (b)), by</w:t>
      </w:r>
      <w:r w:rsidR="002239F6">
        <w:t xml:space="preserve"> </w:t>
      </w:r>
      <w:r>
        <w:t>section 301(j) of the FD&amp;C Act, and by part 20 of the agency’s regulations (21 CFR part 20).</w:t>
      </w:r>
      <w:r w:rsidR="002239F6">
        <w:t xml:space="preserve">  </w:t>
      </w:r>
      <w:r>
        <w:t>Thus, we make no assurance of confidentiality regarding information contained in these</w:t>
      </w:r>
      <w:r w:rsidR="002239F6">
        <w:t xml:space="preserve"> </w:t>
      </w:r>
      <w:r>
        <w:t>petitions.</w:t>
      </w:r>
    </w:p>
    <w:p w:rsidR="00B51B51" w:rsidP="00B51B51" w14:paraId="4AD1706E" w14:textId="77777777">
      <w:pPr>
        <w:autoSpaceDE w:val="0"/>
        <w:autoSpaceDN w:val="0"/>
        <w:adjustRightInd w:val="0"/>
      </w:pPr>
    </w:p>
    <w:p w:rsidR="00B51B51" w:rsidP="00B51B51" w14:paraId="5FD31289" w14:textId="77777777">
      <w:pPr>
        <w:autoSpaceDE w:val="0"/>
        <w:autoSpaceDN w:val="0"/>
        <w:adjustRightInd w:val="0"/>
        <w:rPr>
          <w:i/>
          <w:iCs/>
        </w:rPr>
      </w:pPr>
      <w:r>
        <w:rPr>
          <w:i/>
          <w:iCs/>
        </w:rPr>
        <w:t>Privacy Act</w:t>
      </w:r>
    </w:p>
    <w:p w:rsidR="000A7F37" w:rsidP="00A303A8" w14:paraId="3F7B0529" w14:textId="77777777">
      <w:pPr>
        <w:autoSpaceDE w:val="0"/>
        <w:autoSpaceDN w:val="0"/>
        <w:adjustRightInd w:val="0"/>
      </w:pPr>
    </w:p>
    <w:p w:rsidR="000A7F37" w:rsidRPr="000A7F37" w:rsidP="000A7F37" w14:paraId="6D81C53E" w14:textId="77777777">
      <w:pPr>
        <w:autoSpaceDE w:val="0"/>
        <w:autoSpaceDN w:val="0"/>
        <w:adjustRightInd w:val="0"/>
        <w:rPr>
          <w:rFonts w:eastAsia="Calibri"/>
          <w:color w:val="000000"/>
        </w:rPr>
      </w:pPr>
      <w:r w:rsidRPr="000A7F37">
        <w:rPr>
          <w:rFonts w:eastAsia="Calibri"/>
          <w:color w:val="000000"/>
        </w:rPr>
        <w:t xml:space="preserve">In preparing this </w:t>
      </w:r>
      <w:r w:rsidR="009D4968">
        <w:rPr>
          <w:rFonts w:eastAsia="Calibri"/>
          <w:color w:val="000000"/>
        </w:rPr>
        <w:t>s</w:t>
      </w:r>
      <w:r w:rsidRPr="000A7F37">
        <w:rPr>
          <w:rFonts w:eastAsia="Calibri"/>
          <w:color w:val="000000"/>
        </w:rPr>
        <w:t xml:space="preserve">upporting </w:t>
      </w:r>
      <w:r w:rsidR="009D4968">
        <w:rPr>
          <w:rFonts w:eastAsia="Calibri"/>
          <w:color w:val="000000"/>
        </w:rPr>
        <w:t>s</w:t>
      </w:r>
      <w:r w:rsidRPr="000A7F37">
        <w:rPr>
          <w:rFonts w:eastAsia="Calibri"/>
          <w:color w:val="000000"/>
        </w:rPr>
        <w:t>tatement, we consulted our Privacy Office to ensure appropriate identification and handling of information collected.</w:t>
      </w:r>
    </w:p>
    <w:p w:rsidR="000A7F37" w:rsidRPr="000A7F37" w:rsidP="000A7F37" w14:paraId="2678C314" w14:textId="77777777">
      <w:pPr>
        <w:autoSpaceDE w:val="0"/>
        <w:autoSpaceDN w:val="0"/>
        <w:adjustRightInd w:val="0"/>
        <w:rPr>
          <w:rFonts w:eastAsia="Calibri"/>
          <w:color w:val="000000"/>
        </w:rPr>
      </w:pPr>
    </w:p>
    <w:p w:rsidR="000A7F37" w:rsidRPr="000A7F37" w:rsidP="000A7F37" w14:paraId="01E08AF2" w14:textId="77777777">
      <w:pPr>
        <w:autoSpaceDE w:val="0"/>
        <w:autoSpaceDN w:val="0"/>
        <w:adjustRightInd w:val="0"/>
        <w:rPr>
          <w:rFonts w:eastAsia="Calibri"/>
          <w:color w:val="000000"/>
        </w:rPr>
      </w:pPr>
      <w:r w:rsidRPr="000A7F37">
        <w:rPr>
          <w:rFonts w:eastAsia="Calibri"/>
          <w:color w:val="000000"/>
        </w:rPr>
        <w:t>This ICR collects personally identifiable information (PII).  PII is collected in the context of the subject individuals’ professional capacity and the FDA-related work they perform for their employer (e.g., point of contact at a regulated entity).  The PII submitted via Form FDA 3503 (Food and Color Additive Petition and Food and Color Mast</w:t>
      </w:r>
      <w:r w:rsidR="009D4968">
        <w:rPr>
          <w:rFonts w:eastAsia="Calibri"/>
          <w:color w:val="000000"/>
        </w:rPr>
        <w:t>er File</w:t>
      </w:r>
      <w:r w:rsidRPr="000A7F37">
        <w:rPr>
          <w:rFonts w:eastAsia="Calibri"/>
          <w:color w:val="000000"/>
        </w:rPr>
        <w:t xml:space="preserve">) is point of contact name, business mailing address, business phone number, business fax number, and business email. </w:t>
      </w:r>
      <w:r w:rsidR="009D4968">
        <w:rPr>
          <w:rFonts w:eastAsia="Calibri"/>
          <w:color w:val="000000"/>
        </w:rPr>
        <w:t xml:space="preserve"> </w:t>
      </w:r>
      <w:r w:rsidRPr="000A7F37">
        <w:rPr>
          <w:rFonts w:eastAsia="Calibri"/>
          <w:color w:val="000000"/>
        </w:rPr>
        <w:t xml:space="preserve">FDA determined that although PII is collected, the collection is not subject to the Privacy Act of 1974 and the </w:t>
      </w:r>
      <w:r w:rsidRPr="000A7F37">
        <w:rPr>
          <w:rFonts w:eastAsia="Calibri"/>
          <w:color w:val="000000"/>
        </w:rPr>
        <w:t>particular notice</w:t>
      </w:r>
      <w:r w:rsidRPr="000A7F37">
        <w:rPr>
          <w:rFonts w:eastAsia="Calibri"/>
          <w:color w:val="000000"/>
        </w:rPr>
        <w:t xml:space="preserve"> and other requirements of the Act do not apply. </w:t>
      </w:r>
      <w:r w:rsidR="009D4968">
        <w:rPr>
          <w:rFonts w:eastAsia="Calibri"/>
          <w:color w:val="000000"/>
        </w:rPr>
        <w:t xml:space="preserve"> </w:t>
      </w:r>
      <w:r w:rsidRPr="000A7F37">
        <w:rPr>
          <w:rFonts w:eastAsia="Calibri"/>
          <w:color w:val="000000"/>
        </w:rPr>
        <w:t xml:space="preserve">Specifically, the contractor or FDA does not use name or any other personal identifier to retrieve records from the information collected. </w:t>
      </w:r>
      <w:r w:rsidR="009D4968">
        <w:rPr>
          <w:rFonts w:eastAsia="Calibri"/>
          <w:color w:val="000000"/>
        </w:rPr>
        <w:t xml:space="preserve"> </w:t>
      </w:r>
      <w:r w:rsidRPr="000A7F37">
        <w:rPr>
          <w:rFonts w:eastAsia="Calibri"/>
          <w:color w:val="000000"/>
        </w:rPr>
        <w:t>Through appropriate form and webpage design, FDA limited submission fields and minimized the PII collected to protect the privacy of the individuals.</w:t>
      </w:r>
    </w:p>
    <w:p w:rsidR="000A7F37" w:rsidRPr="000A7F37" w:rsidP="000A7F37" w14:paraId="1E3F0DA1" w14:textId="77777777">
      <w:pPr>
        <w:autoSpaceDE w:val="0"/>
        <w:autoSpaceDN w:val="0"/>
        <w:adjustRightInd w:val="0"/>
        <w:rPr>
          <w:rFonts w:eastAsia="Calibri"/>
          <w:color w:val="000000"/>
        </w:rPr>
      </w:pPr>
    </w:p>
    <w:p w:rsidR="000A7F37" w:rsidRPr="000A7F37" w:rsidP="000A7F37" w14:paraId="73FA974E" w14:textId="77777777">
      <w:pPr>
        <w:autoSpaceDE w:val="0"/>
        <w:autoSpaceDN w:val="0"/>
        <w:adjustRightInd w:val="0"/>
        <w:rPr>
          <w:rFonts w:eastAsia="Calibri"/>
          <w:color w:val="000000"/>
        </w:rPr>
      </w:pPr>
      <w:r w:rsidRPr="000A7F37">
        <w:rPr>
          <w:rFonts w:eastAsia="Calibri"/>
          <w:color w:val="000000"/>
        </w:rPr>
        <w:t xml:space="preserve">Under FOIA (5 U.S.C. 552), the public has broad access to government documents. </w:t>
      </w:r>
      <w:r w:rsidR="009D4968">
        <w:rPr>
          <w:rFonts w:eastAsia="Calibri"/>
          <w:color w:val="000000"/>
        </w:rPr>
        <w:t xml:space="preserve"> </w:t>
      </w:r>
      <w:r w:rsidRPr="000A7F37">
        <w:rPr>
          <w:rFonts w:eastAsia="Calibri"/>
          <w:color w:val="000000"/>
        </w:rPr>
        <w:t>However, FOIA provides certain exemptions from mandatory public disclosure of government records (5 U.S.C. 552(b</w:t>
      </w:r>
      <w:r w:rsidRPr="000A7F37">
        <w:rPr>
          <w:rFonts w:eastAsia="Calibri"/>
          <w:color w:val="000000"/>
        </w:rPr>
        <w:t>)(</w:t>
      </w:r>
      <w:r w:rsidRPr="000A7F37">
        <w:rPr>
          <w:rFonts w:eastAsia="Calibri"/>
          <w:color w:val="000000"/>
        </w:rPr>
        <w:t xml:space="preserve">1-9)).  FDA will make the fullest possible disclosure of records to the public, consistent with the rights of individuals to privacy, the property rights of persons in trade and confidential commercial or financial information. </w:t>
      </w:r>
    </w:p>
    <w:p w:rsidR="001075D3" w:rsidRPr="001075D3" w:rsidP="001075D3" w14:paraId="6F8B768E" w14:textId="77777777">
      <w:pPr>
        <w:ind w:left="720"/>
      </w:pPr>
    </w:p>
    <w:p w:rsidR="00357C8A" w:rsidRPr="00357C8A" w:rsidP="006705EA" w14:paraId="54502317"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39F6" w14:paraId="215F0CCA" w14:textId="77777777">
      <w:pPr>
        <w:autoSpaceDE w:val="0"/>
        <w:autoSpaceDN w:val="0"/>
        <w:adjustRightInd w:val="0"/>
      </w:pPr>
      <w:r>
        <w:t>There are no questions of a sensitive nature in the data requirements for food additive or color</w:t>
      </w:r>
      <w:r w:rsidR="002239F6">
        <w:t xml:space="preserve"> </w:t>
      </w:r>
      <w:r>
        <w:t>additive petitions.</w:t>
      </w:r>
    </w:p>
    <w:p w:rsidR="002239F6" w:rsidRPr="00CC33CE" w:rsidP="00A303A8" w14:paraId="567A5648" w14:textId="77777777">
      <w:pPr>
        <w:autoSpaceDE w:val="0"/>
        <w:autoSpaceDN w:val="0"/>
        <w:adjustRightInd w:val="0"/>
        <w:rPr>
          <w:rFonts w:eastAsia="Calibri"/>
          <w:color w:val="000000"/>
        </w:rPr>
      </w:pPr>
    </w:p>
    <w:p w:rsidR="00357C8A" w:rsidRPr="00357C8A" w:rsidP="006705EA" w14:paraId="2E4CEB23" w14:textId="77777777">
      <w:pPr>
        <w:numPr>
          <w:ilvl w:val="0"/>
          <w:numId w:val="6"/>
        </w:numPr>
        <w:spacing w:after="200" w:line="276" w:lineRule="auto"/>
        <w:rPr>
          <w:rFonts w:eastAsia="Calibri"/>
          <w:u w:val="single"/>
        </w:rPr>
      </w:pPr>
      <w:r w:rsidRPr="00CC33CE">
        <w:rPr>
          <w:rFonts w:eastAsia="Calibri"/>
          <w:color w:val="000000"/>
          <w:u w:val="single"/>
        </w:rPr>
        <w:t>E</w:t>
      </w:r>
      <w:r w:rsidRPr="00357C8A">
        <w:rPr>
          <w:rFonts w:eastAsia="Calibri"/>
          <w:u w:val="single"/>
        </w:rPr>
        <w:t>stimates of Annualized Burden Hours and Cost</w:t>
      </w:r>
    </w:p>
    <w:p w:rsidR="00357C8A" w:rsidRPr="005C71CA" w:rsidP="0022425B" w14:paraId="57E57588" w14:textId="77777777">
      <w:pPr>
        <w:spacing w:after="200"/>
        <w:ind w:left="360"/>
        <w:rPr>
          <w:rFonts w:eastAsia="Calibri"/>
        </w:rPr>
      </w:pPr>
      <w:r w:rsidRPr="005C71CA">
        <w:rPr>
          <w:rFonts w:eastAsia="Calibri"/>
        </w:rPr>
        <w:t>12a.  Annualized Hour Burden Estimate</w:t>
      </w:r>
    </w:p>
    <w:p w:rsidR="004B0A3C" w:rsidP="00A70403" w14:paraId="18DAB7C1" w14:textId="77777777">
      <w:pPr>
        <w:spacing w:line="480" w:lineRule="auto"/>
        <w:ind w:left="360"/>
        <w:contextualSpacing/>
      </w:pPr>
      <w:r w:rsidRPr="00A70403">
        <w:t>We estimate the burden of this collection of information as follows:</w:t>
      </w:r>
    </w:p>
    <w:p w:rsidR="004B3B51" w:rsidRPr="00A70403" w:rsidP="00A70403" w14:paraId="19C81652" w14:textId="77777777">
      <w:pPr>
        <w:spacing w:line="480" w:lineRule="auto"/>
        <w:ind w:left="360"/>
        <w:contextualSpacing/>
      </w:pPr>
    </w:p>
    <w:p w:rsidR="00A70403" w:rsidRPr="00A70403" w:rsidP="004B0A3C" w14:paraId="2C0D0BE7" w14:textId="77777777">
      <w:pPr>
        <w:jc w:val="center"/>
        <w:rPr>
          <w:sz w:val="20"/>
          <w:szCs w:val="20"/>
          <w:vertAlign w:val="superscript"/>
        </w:rPr>
      </w:pPr>
      <w:r w:rsidRPr="00A70403">
        <w:rPr>
          <w:sz w:val="20"/>
          <w:szCs w:val="20"/>
        </w:rPr>
        <w:t xml:space="preserve">Table </w:t>
      </w:r>
      <w:r w:rsidRPr="00A70403">
        <w:rPr>
          <w:sz w:val="20"/>
          <w:szCs w:val="20"/>
        </w:rPr>
        <w:t>1.--</w:t>
      </w:r>
      <w:r w:rsidRPr="00A70403">
        <w:rPr>
          <w:sz w:val="20"/>
          <w:szCs w:val="20"/>
        </w:rPr>
        <w:t>Estimated Annual Reporting</w:t>
      </w:r>
      <w:r w:rsidR="002239F6">
        <w:rPr>
          <w:sz w:val="20"/>
          <w:szCs w:val="20"/>
        </w:rPr>
        <w:t xml:space="preserve"> </w:t>
      </w:r>
      <w:r w:rsidRPr="00A70403">
        <w:rPr>
          <w:sz w:val="20"/>
          <w:szCs w:val="20"/>
        </w:rPr>
        <w:t>Burden</w:t>
      </w:r>
      <w:r w:rsidRPr="00A70403">
        <w:rPr>
          <w:sz w:val="20"/>
          <w:szCs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1239"/>
        <w:gridCol w:w="1427"/>
        <w:gridCol w:w="1067"/>
        <w:gridCol w:w="1157"/>
        <w:gridCol w:w="974"/>
        <w:gridCol w:w="1448"/>
      </w:tblGrid>
      <w:tr w14:paraId="4C3DF124" w14:textId="77777777" w:rsidTr="004B0A3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1239" w:type="pct"/>
            <w:shd w:val="clear" w:color="auto" w:fill="auto"/>
          </w:tcPr>
          <w:p w:rsidR="00A70403" w:rsidRPr="00A70403" w:rsidP="00A70403" w14:paraId="0B8E54AB" w14:textId="77777777">
            <w:pPr>
              <w:spacing w:after="120"/>
              <w:rPr>
                <w:sz w:val="20"/>
                <w:szCs w:val="20"/>
              </w:rPr>
            </w:pPr>
            <w:r>
              <w:rPr>
                <w:sz w:val="20"/>
                <w:szCs w:val="20"/>
              </w:rPr>
              <w:t>Activity/</w:t>
            </w:r>
            <w:r w:rsidRPr="00A70403">
              <w:rPr>
                <w:sz w:val="20"/>
                <w:szCs w:val="20"/>
              </w:rPr>
              <w:t xml:space="preserve">21 CFR </w:t>
            </w:r>
            <w:r w:rsidR="004B0A3C">
              <w:rPr>
                <w:sz w:val="20"/>
                <w:szCs w:val="20"/>
              </w:rPr>
              <w:t>S</w:t>
            </w:r>
            <w:r w:rsidRPr="00A70403">
              <w:rPr>
                <w:sz w:val="20"/>
                <w:szCs w:val="20"/>
              </w:rPr>
              <w:t>ection/</w:t>
            </w:r>
            <w:r w:rsidR="004B0A3C">
              <w:rPr>
                <w:sz w:val="20"/>
                <w:szCs w:val="20"/>
              </w:rPr>
              <w:t>F</w:t>
            </w:r>
            <w:r w:rsidRPr="00A70403">
              <w:rPr>
                <w:sz w:val="20"/>
                <w:szCs w:val="20"/>
              </w:rPr>
              <w:t>orm</w:t>
            </w:r>
            <w:r w:rsidR="004B0A3C">
              <w:rPr>
                <w:sz w:val="20"/>
                <w:szCs w:val="20"/>
              </w:rPr>
              <w:t xml:space="preserve"> #</w:t>
            </w:r>
          </w:p>
        </w:tc>
        <w:tc>
          <w:tcPr>
            <w:tcW w:w="637" w:type="pct"/>
            <w:shd w:val="clear" w:color="auto" w:fill="auto"/>
          </w:tcPr>
          <w:p w:rsidR="00A70403" w:rsidRPr="00A70403" w:rsidP="00A70403" w14:paraId="6E52DCFD" w14:textId="77777777">
            <w:pPr>
              <w:spacing w:after="120"/>
              <w:jc w:val="center"/>
              <w:rPr>
                <w:sz w:val="20"/>
                <w:szCs w:val="20"/>
              </w:rPr>
            </w:pPr>
            <w:r w:rsidRPr="00A70403">
              <w:rPr>
                <w:sz w:val="20"/>
                <w:szCs w:val="20"/>
              </w:rPr>
              <w:t>No. of Respondents</w:t>
            </w:r>
          </w:p>
        </w:tc>
        <w:tc>
          <w:tcPr>
            <w:tcW w:w="734" w:type="pct"/>
            <w:shd w:val="clear" w:color="auto" w:fill="auto"/>
          </w:tcPr>
          <w:p w:rsidR="00A70403" w:rsidRPr="00A70403" w:rsidP="00A70403" w14:paraId="7BF4D0F0" w14:textId="77777777">
            <w:pPr>
              <w:spacing w:after="120"/>
              <w:jc w:val="center"/>
              <w:rPr>
                <w:sz w:val="20"/>
                <w:szCs w:val="20"/>
              </w:rPr>
            </w:pPr>
            <w:r w:rsidRPr="00A70403">
              <w:rPr>
                <w:bCs/>
                <w:sz w:val="20"/>
                <w:szCs w:val="20"/>
              </w:rPr>
              <w:t>No. of Responses per Respondent</w:t>
            </w:r>
          </w:p>
        </w:tc>
        <w:tc>
          <w:tcPr>
            <w:tcW w:w="549" w:type="pct"/>
            <w:shd w:val="clear" w:color="auto" w:fill="auto"/>
          </w:tcPr>
          <w:p w:rsidR="00A70403" w:rsidRPr="00A70403" w:rsidP="00A70403" w14:paraId="7A009147" w14:textId="77777777">
            <w:pPr>
              <w:spacing w:after="120"/>
              <w:jc w:val="center"/>
              <w:rPr>
                <w:sz w:val="20"/>
                <w:szCs w:val="20"/>
              </w:rPr>
            </w:pPr>
            <w:r w:rsidRPr="00A70403">
              <w:rPr>
                <w:sz w:val="20"/>
                <w:szCs w:val="20"/>
              </w:rPr>
              <w:t>Total Annual Responses</w:t>
            </w:r>
          </w:p>
        </w:tc>
        <w:tc>
          <w:tcPr>
            <w:tcW w:w="595" w:type="pct"/>
            <w:shd w:val="clear" w:color="auto" w:fill="auto"/>
          </w:tcPr>
          <w:p w:rsidR="00A70403" w:rsidRPr="00A70403" w:rsidP="00A70403" w14:paraId="02D24802" w14:textId="77777777">
            <w:pPr>
              <w:spacing w:after="120"/>
              <w:jc w:val="center"/>
              <w:rPr>
                <w:sz w:val="20"/>
                <w:szCs w:val="20"/>
              </w:rPr>
            </w:pPr>
            <w:r w:rsidRPr="00A70403">
              <w:rPr>
                <w:bCs/>
                <w:sz w:val="20"/>
                <w:szCs w:val="20"/>
              </w:rPr>
              <w:t>Average Burden per Response</w:t>
            </w:r>
          </w:p>
        </w:tc>
        <w:tc>
          <w:tcPr>
            <w:tcW w:w="501" w:type="pct"/>
            <w:shd w:val="clear" w:color="auto" w:fill="auto"/>
          </w:tcPr>
          <w:p w:rsidR="00A70403" w:rsidRPr="00A70403" w:rsidP="00A70403" w14:paraId="582127E7" w14:textId="77777777">
            <w:pPr>
              <w:spacing w:after="120"/>
              <w:jc w:val="center"/>
              <w:rPr>
                <w:sz w:val="20"/>
                <w:szCs w:val="20"/>
              </w:rPr>
            </w:pPr>
            <w:r w:rsidRPr="00A70403">
              <w:rPr>
                <w:sz w:val="20"/>
                <w:szCs w:val="20"/>
              </w:rPr>
              <w:t>Total Hours</w:t>
            </w:r>
          </w:p>
        </w:tc>
        <w:tc>
          <w:tcPr>
            <w:tcW w:w="745" w:type="pct"/>
            <w:shd w:val="clear" w:color="auto" w:fill="auto"/>
          </w:tcPr>
          <w:p w:rsidR="00A70403" w:rsidRPr="00A70403" w:rsidP="00A70403" w14:paraId="0B04A516" w14:textId="77777777">
            <w:pPr>
              <w:spacing w:after="120"/>
              <w:jc w:val="center"/>
              <w:rPr>
                <w:sz w:val="20"/>
                <w:szCs w:val="20"/>
              </w:rPr>
            </w:pPr>
            <w:r w:rsidRPr="00A70403">
              <w:rPr>
                <w:sz w:val="20"/>
                <w:szCs w:val="20"/>
              </w:rPr>
              <w:t>Total Operating and Maintenance Costs</w:t>
            </w:r>
          </w:p>
        </w:tc>
      </w:tr>
      <w:tr w14:paraId="31ACD9E3" w14:textId="77777777" w:rsidTr="004B0A3C">
        <w:tblPrEx>
          <w:tblW w:w="5000" w:type="pct"/>
          <w:tblLook w:val="01E0"/>
        </w:tblPrEx>
        <w:trPr>
          <w:cantSplit/>
          <w:trHeight w:val="20"/>
        </w:trPr>
        <w:tc>
          <w:tcPr>
            <w:tcW w:w="1239" w:type="pct"/>
            <w:shd w:val="clear" w:color="auto" w:fill="auto"/>
          </w:tcPr>
          <w:p w:rsidR="00A70403" w:rsidRPr="00A70403" w:rsidP="00A70403" w14:paraId="7F58DC19" w14:textId="77777777">
            <w:pPr>
              <w:spacing w:after="120"/>
              <w:rPr>
                <w:sz w:val="20"/>
                <w:szCs w:val="20"/>
              </w:rPr>
            </w:pPr>
            <w:r>
              <w:rPr>
                <w:sz w:val="20"/>
                <w:szCs w:val="20"/>
              </w:rPr>
              <w:t>Submission of Petitions: Color Additive Including Labeling</w:t>
            </w:r>
            <w:r w:rsidR="004B0A3C">
              <w:rPr>
                <w:sz w:val="20"/>
                <w:szCs w:val="20"/>
              </w:rPr>
              <w:t>-</w:t>
            </w:r>
            <w:r>
              <w:rPr>
                <w:sz w:val="20"/>
                <w:szCs w:val="20"/>
              </w:rPr>
              <w:t>-</w:t>
            </w:r>
            <w:r w:rsidRPr="00A70403">
              <w:rPr>
                <w:sz w:val="20"/>
                <w:szCs w:val="20"/>
              </w:rPr>
              <w:t>70.25, 71.1</w:t>
            </w:r>
          </w:p>
        </w:tc>
        <w:tc>
          <w:tcPr>
            <w:tcW w:w="637" w:type="pct"/>
            <w:shd w:val="clear" w:color="auto" w:fill="auto"/>
          </w:tcPr>
          <w:p w:rsidR="00A70403" w:rsidRPr="00A70403" w:rsidP="00A70403" w14:paraId="0F00AC1D" w14:textId="77777777">
            <w:pPr>
              <w:spacing w:after="120"/>
              <w:jc w:val="right"/>
              <w:rPr>
                <w:sz w:val="20"/>
                <w:szCs w:val="20"/>
              </w:rPr>
            </w:pPr>
            <w:r w:rsidRPr="00A70403">
              <w:rPr>
                <w:sz w:val="20"/>
                <w:szCs w:val="20"/>
              </w:rPr>
              <w:t>2</w:t>
            </w:r>
          </w:p>
        </w:tc>
        <w:tc>
          <w:tcPr>
            <w:tcW w:w="734" w:type="pct"/>
            <w:shd w:val="clear" w:color="auto" w:fill="auto"/>
          </w:tcPr>
          <w:p w:rsidR="00A70403" w:rsidRPr="00A70403" w:rsidP="00A70403" w14:paraId="27D77FEC" w14:textId="77777777">
            <w:pPr>
              <w:spacing w:after="120"/>
              <w:jc w:val="right"/>
              <w:rPr>
                <w:sz w:val="20"/>
                <w:szCs w:val="20"/>
              </w:rPr>
            </w:pPr>
            <w:r w:rsidRPr="00A70403">
              <w:rPr>
                <w:sz w:val="20"/>
                <w:szCs w:val="20"/>
              </w:rPr>
              <w:t>1</w:t>
            </w:r>
          </w:p>
        </w:tc>
        <w:tc>
          <w:tcPr>
            <w:tcW w:w="549" w:type="pct"/>
            <w:shd w:val="clear" w:color="auto" w:fill="auto"/>
          </w:tcPr>
          <w:p w:rsidR="00A70403" w:rsidRPr="00A70403" w:rsidP="00A70403" w14:paraId="11533ABB" w14:textId="77777777">
            <w:pPr>
              <w:spacing w:after="120"/>
              <w:jc w:val="right"/>
              <w:rPr>
                <w:sz w:val="20"/>
                <w:szCs w:val="20"/>
              </w:rPr>
            </w:pPr>
            <w:r w:rsidRPr="00A70403">
              <w:rPr>
                <w:sz w:val="20"/>
                <w:szCs w:val="20"/>
              </w:rPr>
              <w:t>2</w:t>
            </w:r>
          </w:p>
        </w:tc>
        <w:tc>
          <w:tcPr>
            <w:tcW w:w="595" w:type="pct"/>
            <w:shd w:val="clear" w:color="auto" w:fill="auto"/>
          </w:tcPr>
          <w:p w:rsidR="00A70403" w:rsidRPr="00A70403" w:rsidP="00A70403" w14:paraId="4100E20A" w14:textId="77777777">
            <w:pPr>
              <w:spacing w:after="120"/>
              <w:jc w:val="right"/>
              <w:rPr>
                <w:sz w:val="20"/>
                <w:szCs w:val="20"/>
              </w:rPr>
            </w:pPr>
            <w:r w:rsidRPr="00A70403">
              <w:rPr>
                <w:sz w:val="20"/>
                <w:szCs w:val="20"/>
              </w:rPr>
              <w:t>1,337</w:t>
            </w:r>
          </w:p>
        </w:tc>
        <w:tc>
          <w:tcPr>
            <w:tcW w:w="501" w:type="pct"/>
            <w:shd w:val="clear" w:color="auto" w:fill="auto"/>
          </w:tcPr>
          <w:p w:rsidR="00A70403" w:rsidRPr="00A70403" w:rsidP="00A70403" w14:paraId="59EC65C2" w14:textId="77777777">
            <w:pPr>
              <w:spacing w:after="120"/>
              <w:jc w:val="right"/>
              <w:rPr>
                <w:sz w:val="20"/>
                <w:szCs w:val="20"/>
              </w:rPr>
            </w:pPr>
            <w:r w:rsidRPr="00A70403">
              <w:rPr>
                <w:sz w:val="20"/>
                <w:szCs w:val="20"/>
              </w:rPr>
              <w:t>2,674</w:t>
            </w:r>
          </w:p>
        </w:tc>
        <w:tc>
          <w:tcPr>
            <w:tcW w:w="745" w:type="pct"/>
            <w:shd w:val="clear" w:color="auto" w:fill="auto"/>
          </w:tcPr>
          <w:p w:rsidR="00A70403" w:rsidRPr="00A70403" w:rsidP="00A70403" w14:paraId="5D08B24B" w14:textId="77777777">
            <w:pPr>
              <w:spacing w:after="120"/>
              <w:jc w:val="right"/>
              <w:rPr>
                <w:sz w:val="20"/>
                <w:szCs w:val="20"/>
              </w:rPr>
            </w:pPr>
            <w:r w:rsidRPr="00A70403">
              <w:rPr>
                <w:sz w:val="20"/>
                <w:szCs w:val="20"/>
              </w:rPr>
              <w:t>$5,600</w:t>
            </w:r>
          </w:p>
        </w:tc>
      </w:tr>
      <w:tr w14:paraId="1C8B8D7F" w14:textId="77777777" w:rsidTr="004B0A3C">
        <w:tblPrEx>
          <w:tblW w:w="5000" w:type="pct"/>
          <w:tblLook w:val="01E0"/>
        </w:tblPrEx>
        <w:trPr>
          <w:cantSplit/>
          <w:trHeight w:val="20"/>
        </w:trPr>
        <w:tc>
          <w:tcPr>
            <w:tcW w:w="1239" w:type="pct"/>
            <w:shd w:val="clear" w:color="auto" w:fill="auto"/>
          </w:tcPr>
          <w:p w:rsidR="00A70403" w:rsidRPr="00A70403" w:rsidP="00A70403" w14:paraId="4F2FAFDB" w14:textId="77777777">
            <w:pPr>
              <w:spacing w:after="120"/>
              <w:rPr>
                <w:sz w:val="20"/>
                <w:szCs w:val="20"/>
              </w:rPr>
            </w:pPr>
            <w:r>
              <w:rPr>
                <w:sz w:val="20"/>
                <w:szCs w:val="20"/>
              </w:rPr>
              <w:t>Submission of Petitions: Food Additive Including Labeling</w:t>
            </w:r>
            <w:r w:rsidR="004B0A3C">
              <w:rPr>
                <w:sz w:val="20"/>
                <w:szCs w:val="20"/>
              </w:rPr>
              <w:t>-</w:t>
            </w:r>
            <w:r>
              <w:rPr>
                <w:sz w:val="20"/>
                <w:szCs w:val="20"/>
              </w:rPr>
              <w:t>-</w:t>
            </w:r>
            <w:r w:rsidRPr="00A70403">
              <w:rPr>
                <w:sz w:val="20"/>
                <w:szCs w:val="20"/>
              </w:rPr>
              <w:t>171.1</w:t>
            </w:r>
          </w:p>
        </w:tc>
        <w:tc>
          <w:tcPr>
            <w:tcW w:w="637" w:type="pct"/>
            <w:shd w:val="clear" w:color="auto" w:fill="auto"/>
          </w:tcPr>
          <w:p w:rsidR="00A70403" w:rsidRPr="00A70403" w:rsidP="00A70403" w14:paraId="737A4EF4" w14:textId="77777777">
            <w:pPr>
              <w:spacing w:after="120"/>
              <w:jc w:val="right"/>
              <w:rPr>
                <w:sz w:val="20"/>
                <w:szCs w:val="20"/>
              </w:rPr>
            </w:pPr>
            <w:r w:rsidRPr="00A70403">
              <w:rPr>
                <w:sz w:val="20"/>
                <w:szCs w:val="20"/>
              </w:rPr>
              <w:t>3</w:t>
            </w:r>
          </w:p>
        </w:tc>
        <w:tc>
          <w:tcPr>
            <w:tcW w:w="734" w:type="pct"/>
            <w:shd w:val="clear" w:color="auto" w:fill="auto"/>
          </w:tcPr>
          <w:p w:rsidR="00A70403" w:rsidRPr="00A70403" w:rsidP="00A70403" w14:paraId="3633E425" w14:textId="77777777">
            <w:pPr>
              <w:spacing w:after="120"/>
              <w:jc w:val="right"/>
              <w:rPr>
                <w:sz w:val="20"/>
                <w:szCs w:val="20"/>
              </w:rPr>
            </w:pPr>
            <w:r w:rsidRPr="00A70403">
              <w:rPr>
                <w:sz w:val="20"/>
                <w:szCs w:val="20"/>
              </w:rPr>
              <w:t>1</w:t>
            </w:r>
          </w:p>
        </w:tc>
        <w:tc>
          <w:tcPr>
            <w:tcW w:w="549" w:type="pct"/>
            <w:shd w:val="clear" w:color="auto" w:fill="auto"/>
          </w:tcPr>
          <w:p w:rsidR="00A70403" w:rsidRPr="00A70403" w:rsidP="00A70403" w14:paraId="7FC442DE" w14:textId="77777777">
            <w:pPr>
              <w:spacing w:after="120"/>
              <w:jc w:val="right"/>
              <w:rPr>
                <w:sz w:val="20"/>
                <w:szCs w:val="20"/>
              </w:rPr>
            </w:pPr>
            <w:r w:rsidRPr="00A70403">
              <w:rPr>
                <w:sz w:val="20"/>
                <w:szCs w:val="20"/>
              </w:rPr>
              <w:t>3</w:t>
            </w:r>
          </w:p>
        </w:tc>
        <w:tc>
          <w:tcPr>
            <w:tcW w:w="595" w:type="pct"/>
            <w:shd w:val="clear" w:color="auto" w:fill="auto"/>
          </w:tcPr>
          <w:p w:rsidR="00A70403" w:rsidRPr="00A70403" w:rsidP="00A70403" w14:paraId="27464047" w14:textId="77777777">
            <w:pPr>
              <w:spacing w:after="120"/>
              <w:jc w:val="right"/>
              <w:rPr>
                <w:sz w:val="20"/>
                <w:szCs w:val="20"/>
              </w:rPr>
            </w:pPr>
            <w:r w:rsidRPr="00A70403">
              <w:rPr>
                <w:sz w:val="20"/>
                <w:szCs w:val="20"/>
              </w:rPr>
              <w:t>7,093</w:t>
            </w:r>
          </w:p>
        </w:tc>
        <w:tc>
          <w:tcPr>
            <w:tcW w:w="501" w:type="pct"/>
            <w:shd w:val="clear" w:color="auto" w:fill="auto"/>
          </w:tcPr>
          <w:p w:rsidR="00A70403" w:rsidRPr="00A70403" w:rsidP="00A70403" w14:paraId="4D1CA08F" w14:textId="77777777">
            <w:pPr>
              <w:spacing w:after="120"/>
              <w:jc w:val="right"/>
              <w:rPr>
                <w:sz w:val="20"/>
                <w:szCs w:val="20"/>
              </w:rPr>
            </w:pPr>
            <w:r w:rsidRPr="00A70403">
              <w:rPr>
                <w:sz w:val="20"/>
                <w:szCs w:val="20"/>
              </w:rPr>
              <w:t>21,279</w:t>
            </w:r>
          </w:p>
        </w:tc>
        <w:tc>
          <w:tcPr>
            <w:tcW w:w="745" w:type="pct"/>
            <w:shd w:val="clear" w:color="auto" w:fill="auto"/>
          </w:tcPr>
          <w:p w:rsidR="00A70403" w:rsidRPr="00A70403" w:rsidP="00A70403" w14:paraId="5E4873B3" w14:textId="77777777">
            <w:pPr>
              <w:spacing w:after="120"/>
              <w:jc w:val="right"/>
              <w:rPr>
                <w:sz w:val="20"/>
                <w:szCs w:val="20"/>
              </w:rPr>
            </w:pPr>
            <w:r w:rsidRPr="00A70403">
              <w:rPr>
                <w:sz w:val="20"/>
                <w:szCs w:val="20"/>
              </w:rPr>
              <w:t>0</w:t>
            </w:r>
          </w:p>
        </w:tc>
      </w:tr>
      <w:tr w14:paraId="41CAF1E6" w14:textId="77777777" w:rsidTr="004B0A3C">
        <w:tblPrEx>
          <w:tblW w:w="5000" w:type="pct"/>
          <w:tblLook w:val="01E0"/>
        </w:tblPrEx>
        <w:trPr>
          <w:cantSplit/>
          <w:trHeight w:val="20"/>
        </w:trPr>
        <w:tc>
          <w:tcPr>
            <w:tcW w:w="1239" w:type="pct"/>
            <w:shd w:val="clear" w:color="auto" w:fill="auto"/>
          </w:tcPr>
          <w:p w:rsidR="00A70403" w:rsidRPr="00A70403" w:rsidP="00A70403" w14:paraId="30BFF118" w14:textId="77777777">
            <w:pPr>
              <w:spacing w:after="120"/>
              <w:rPr>
                <w:sz w:val="20"/>
                <w:szCs w:val="20"/>
              </w:rPr>
            </w:pPr>
            <w:r w:rsidRPr="00A70403">
              <w:rPr>
                <w:sz w:val="20"/>
                <w:szCs w:val="20"/>
              </w:rPr>
              <w:t>Form FDA 3503</w:t>
            </w:r>
            <w:r w:rsidRPr="00A70403">
              <w:rPr>
                <w:sz w:val="20"/>
                <w:szCs w:val="20"/>
                <w:vertAlign w:val="superscript"/>
              </w:rPr>
              <w:t>2</w:t>
            </w:r>
          </w:p>
        </w:tc>
        <w:tc>
          <w:tcPr>
            <w:tcW w:w="637" w:type="pct"/>
            <w:shd w:val="clear" w:color="auto" w:fill="auto"/>
          </w:tcPr>
          <w:p w:rsidR="00A70403" w:rsidRPr="00A70403" w:rsidP="00A70403" w14:paraId="4E90E2C9" w14:textId="77777777">
            <w:pPr>
              <w:spacing w:after="120"/>
              <w:jc w:val="right"/>
              <w:rPr>
                <w:sz w:val="20"/>
                <w:szCs w:val="20"/>
              </w:rPr>
            </w:pPr>
            <w:r w:rsidRPr="00A70403">
              <w:rPr>
                <w:sz w:val="20"/>
                <w:szCs w:val="20"/>
              </w:rPr>
              <w:t>5</w:t>
            </w:r>
          </w:p>
        </w:tc>
        <w:tc>
          <w:tcPr>
            <w:tcW w:w="734" w:type="pct"/>
            <w:shd w:val="clear" w:color="auto" w:fill="auto"/>
          </w:tcPr>
          <w:p w:rsidR="00A70403" w:rsidRPr="00A70403" w:rsidP="00A70403" w14:paraId="27591449" w14:textId="77777777">
            <w:pPr>
              <w:spacing w:after="120"/>
              <w:jc w:val="right"/>
              <w:rPr>
                <w:sz w:val="20"/>
                <w:szCs w:val="20"/>
              </w:rPr>
            </w:pPr>
            <w:r w:rsidRPr="00A70403">
              <w:rPr>
                <w:sz w:val="20"/>
                <w:szCs w:val="20"/>
              </w:rPr>
              <w:t>1</w:t>
            </w:r>
          </w:p>
        </w:tc>
        <w:tc>
          <w:tcPr>
            <w:tcW w:w="549" w:type="pct"/>
            <w:shd w:val="clear" w:color="auto" w:fill="auto"/>
          </w:tcPr>
          <w:p w:rsidR="00A70403" w:rsidRPr="00A70403" w:rsidP="00A70403" w14:paraId="1F6BF124" w14:textId="77777777">
            <w:pPr>
              <w:spacing w:after="120"/>
              <w:jc w:val="right"/>
              <w:rPr>
                <w:sz w:val="20"/>
                <w:szCs w:val="20"/>
              </w:rPr>
            </w:pPr>
            <w:r w:rsidRPr="00A70403">
              <w:rPr>
                <w:sz w:val="20"/>
                <w:szCs w:val="20"/>
              </w:rPr>
              <w:t>5</w:t>
            </w:r>
          </w:p>
        </w:tc>
        <w:tc>
          <w:tcPr>
            <w:tcW w:w="595" w:type="pct"/>
            <w:shd w:val="clear" w:color="auto" w:fill="auto"/>
          </w:tcPr>
          <w:p w:rsidR="00A70403" w:rsidRPr="00A70403" w:rsidP="00A70403" w14:paraId="0B0EA389" w14:textId="77777777">
            <w:pPr>
              <w:spacing w:after="120"/>
              <w:jc w:val="right"/>
              <w:rPr>
                <w:sz w:val="20"/>
                <w:szCs w:val="20"/>
              </w:rPr>
            </w:pPr>
            <w:r w:rsidRPr="00A70403">
              <w:rPr>
                <w:sz w:val="20"/>
                <w:szCs w:val="20"/>
              </w:rPr>
              <w:t>1</w:t>
            </w:r>
          </w:p>
        </w:tc>
        <w:tc>
          <w:tcPr>
            <w:tcW w:w="501" w:type="pct"/>
            <w:shd w:val="clear" w:color="auto" w:fill="auto"/>
          </w:tcPr>
          <w:p w:rsidR="00A70403" w:rsidRPr="00A70403" w:rsidP="00A70403" w14:paraId="4BA46DC0" w14:textId="77777777">
            <w:pPr>
              <w:spacing w:after="120"/>
              <w:jc w:val="right"/>
              <w:rPr>
                <w:sz w:val="20"/>
                <w:szCs w:val="20"/>
              </w:rPr>
            </w:pPr>
            <w:r w:rsidRPr="00A70403">
              <w:rPr>
                <w:sz w:val="20"/>
                <w:szCs w:val="20"/>
              </w:rPr>
              <w:t>5</w:t>
            </w:r>
          </w:p>
        </w:tc>
        <w:tc>
          <w:tcPr>
            <w:tcW w:w="745" w:type="pct"/>
            <w:shd w:val="clear" w:color="auto" w:fill="auto"/>
          </w:tcPr>
          <w:p w:rsidR="00A70403" w:rsidRPr="00A70403" w:rsidP="00A70403" w14:paraId="7E133451" w14:textId="77777777">
            <w:pPr>
              <w:spacing w:after="120"/>
              <w:jc w:val="right"/>
              <w:rPr>
                <w:sz w:val="20"/>
                <w:szCs w:val="20"/>
              </w:rPr>
            </w:pPr>
            <w:r w:rsidRPr="00A70403">
              <w:rPr>
                <w:sz w:val="20"/>
                <w:szCs w:val="20"/>
              </w:rPr>
              <w:t>0</w:t>
            </w:r>
          </w:p>
        </w:tc>
      </w:tr>
      <w:tr w14:paraId="64DFA755" w14:textId="77777777" w:rsidTr="004B0A3C">
        <w:tblPrEx>
          <w:tblW w:w="5000" w:type="pct"/>
          <w:tblLook w:val="01E0"/>
        </w:tblPrEx>
        <w:trPr>
          <w:cantSplit/>
          <w:trHeight w:val="20"/>
        </w:trPr>
        <w:tc>
          <w:tcPr>
            <w:tcW w:w="3754" w:type="pct"/>
            <w:gridSpan w:val="5"/>
            <w:shd w:val="clear" w:color="auto" w:fill="auto"/>
          </w:tcPr>
          <w:p w:rsidR="004B0A3C" w:rsidRPr="00A70403" w:rsidP="00521E03" w14:paraId="21AEE2BE" w14:textId="77777777">
            <w:pPr>
              <w:spacing w:after="120"/>
              <w:rPr>
                <w:sz w:val="20"/>
                <w:szCs w:val="20"/>
              </w:rPr>
            </w:pPr>
            <w:r w:rsidRPr="00A70403">
              <w:rPr>
                <w:sz w:val="20"/>
                <w:szCs w:val="20"/>
              </w:rPr>
              <w:t>Total</w:t>
            </w:r>
          </w:p>
        </w:tc>
        <w:tc>
          <w:tcPr>
            <w:tcW w:w="501" w:type="pct"/>
            <w:shd w:val="clear" w:color="auto" w:fill="auto"/>
          </w:tcPr>
          <w:p w:rsidR="004B0A3C" w:rsidRPr="00A70403" w:rsidP="00A70403" w14:paraId="4D3D52DD" w14:textId="77777777">
            <w:pPr>
              <w:spacing w:after="120"/>
              <w:jc w:val="right"/>
              <w:rPr>
                <w:sz w:val="20"/>
                <w:szCs w:val="20"/>
              </w:rPr>
            </w:pPr>
            <w:r w:rsidRPr="00A70403">
              <w:rPr>
                <w:sz w:val="20"/>
                <w:szCs w:val="20"/>
              </w:rPr>
              <w:t>23,958</w:t>
            </w:r>
          </w:p>
        </w:tc>
        <w:tc>
          <w:tcPr>
            <w:tcW w:w="745" w:type="pct"/>
            <w:shd w:val="clear" w:color="auto" w:fill="auto"/>
          </w:tcPr>
          <w:p w:rsidR="004B0A3C" w:rsidRPr="00A70403" w:rsidP="00A70403" w14:paraId="44A0B8D5" w14:textId="77777777">
            <w:pPr>
              <w:spacing w:after="120"/>
              <w:jc w:val="right"/>
              <w:rPr>
                <w:sz w:val="20"/>
                <w:szCs w:val="20"/>
              </w:rPr>
            </w:pPr>
            <w:r w:rsidRPr="00A70403">
              <w:rPr>
                <w:sz w:val="20"/>
                <w:szCs w:val="20"/>
              </w:rPr>
              <w:t>$5,600</w:t>
            </w:r>
          </w:p>
        </w:tc>
      </w:tr>
    </w:tbl>
    <w:p w:rsidR="00A70403" w:rsidRPr="00A70403" w:rsidP="00A70403" w14:paraId="73234D8E" w14:textId="77777777">
      <w:pPr>
        <w:rPr>
          <w:sz w:val="20"/>
          <w:szCs w:val="20"/>
        </w:rPr>
      </w:pPr>
      <w:bookmarkStart w:id="0" w:name="_Hlk115961972"/>
      <w:r w:rsidRPr="00A70403">
        <w:rPr>
          <w:sz w:val="20"/>
          <w:szCs w:val="20"/>
          <w:vertAlign w:val="superscript"/>
        </w:rPr>
        <w:t>1</w:t>
      </w:r>
      <w:r w:rsidRPr="00A70403">
        <w:rPr>
          <w:sz w:val="20"/>
          <w:szCs w:val="20"/>
        </w:rPr>
        <w:t>There are no capital costs associated with this collection of information.</w:t>
      </w:r>
    </w:p>
    <w:bookmarkEnd w:id="0"/>
    <w:p w:rsidR="00A70403" w:rsidRPr="00A70403" w:rsidP="00A70403" w14:paraId="2C632D15" w14:textId="77777777">
      <w:pPr>
        <w:rPr>
          <w:sz w:val="20"/>
          <w:szCs w:val="20"/>
        </w:rPr>
      </w:pPr>
      <w:r w:rsidRPr="00A70403">
        <w:rPr>
          <w:sz w:val="20"/>
          <w:szCs w:val="20"/>
          <w:vertAlign w:val="superscript"/>
        </w:rPr>
        <w:t>2</w:t>
      </w:r>
      <w:r w:rsidRPr="00A70403">
        <w:rPr>
          <w:sz w:val="20"/>
          <w:szCs w:val="20"/>
        </w:rPr>
        <w:t xml:space="preserve">Form FDA 3503 is used for both </w:t>
      </w:r>
      <w:r w:rsidR="004B0A3C">
        <w:rPr>
          <w:sz w:val="20"/>
          <w:szCs w:val="20"/>
        </w:rPr>
        <w:t>CAP</w:t>
      </w:r>
      <w:r w:rsidRPr="00A70403">
        <w:rPr>
          <w:sz w:val="20"/>
          <w:szCs w:val="20"/>
        </w:rPr>
        <w:t xml:space="preserve">s and </w:t>
      </w:r>
      <w:r w:rsidR="004B0A3C">
        <w:rPr>
          <w:sz w:val="20"/>
          <w:szCs w:val="20"/>
        </w:rPr>
        <w:t>FAP</w:t>
      </w:r>
      <w:r w:rsidRPr="00A70403">
        <w:rPr>
          <w:sz w:val="20"/>
          <w:szCs w:val="20"/>
        </w:rPr>
        <w:t>s.</w:t>
      </w:r>
    </w:p>
    <w:p w:rsidR="00A70403" w:rsidRPr="00A70403" w:rsidP="00A70403" w14:paraId="73C55911" w14:textId="77777777">
      <w:pPr>
        <w:spacing w:after="120"/>
        <w:rPr>
          <w:sz w:val="20"/>
          <w:szCs w:val="20"/>
        </w:rPr>
      </w:pPr>
    </w:p>
    <w:p w:rsidR="00A70403" w:rsidP="00A70403" w14:paraId="74F6C43A" w14:textId="77777777">
      <w:pPr>
        <w:ind w:left="360"/>
      </w:pPr>
      <w:r w:rsidRPr="00A70403">
        <w:rPr>
          <w:szCs w:val="20"/>
        </w:rPr>
        <w:t xml:space="preserve">We have adjusted our burden estimate, which has resulted in a decrease to the currently approved burden by 1 hour.  </w:t>
      </w:r>
      <w:r w:rsidRPr="000612F3" w:rsidR="000612F3">
        <w:rPr>
          <w:szCs w:val="20"/>
        </w:rPr>
        <w:t xml:space="preserve">We estimate that 1 less Form FDA 3503 will be submitted to FDA </w:t>
      </w:r>
      <w:r w:rsidR="000612F3">
        <w:rPr>
          <w:szCs w:val="20"/>
        </w:rPr>
        <w:t>creating the reduction in the burden estimate</w:t>
      </w:r>
      <w:r w:rsidRPr="000612F3" w:rsidR="000612F3">
        <w:rPr>
          <w:szCs w:val="20"/>
        </w:rPr>
        <w:t>.</w:t>
      </w:r>
      <w:r w:rsidR="000612F3">
        <w:rPr>
          <w:szCs w:val="20"/>
        </w:rPr>
        <w:t xml:space="preserve">  </w:t>
      </w:r>
      <w:r w:rsidRPr="00A70403">
        <w:t xml:space="preserve">Our estimate of burden attributable to food additive or color additive petitions is based on our experience with the information collection, which </w:t>
      </w:r>
      <w:bookmarkStart w:id="1" w:name="_Hlk30509539"/>
      <w:r w:rsidRPr="00A70403">
        <w:t>has not changed since our last review.</w:t>
      </w:r>
      <w:bookmarkEnd w:id="1"/>
      <w:r w:rsidRPr="00A70403">
        <w:t xml:space="preserve">  This estimate reflects the average number of petitions we have received annually over a period of 10 years.  The attendant burden we estimate also reflects an industry average, although burden associated with individual petitions may vary depending on the complexity of the petition, and the amount and type of data needed for scientific analysis. </w:t>
      </w:r>
    </w:p>
    <w:p w:rsidR="00A70403" w:rsidP="00A70403" w14:paraId="39D2EA5E" w14:textId="77777777">
      <w:pPr>
        <w:ind w:left="360"/>
      </w:pPr>
    </w:p>
    <w:p w:rsidR="00A70403" w:rsidP="00A70403" w14:paraId="6B75F761" w14:textId="77777777">
      <w:pPr>
        <w:ind w:left="360"/>
      </w:pPr>
      <w:r>
        <w:t>T</w:t>
      </w:r>
      <w:r w:rsidRPr="00A70403">
        <w:t>he labeling requirements for food and color additives were designed to specify the minimum information needed for labeling in order that food and color manufacturers may comply with all applicable provisions of the FD&amp;C Act and other specific labeling acts administered by FDA.  Label information does not require any additional information gathering beyond what is already required to assure conformance with all specifications and limitations in any given food or color additive regulation.  Label information does</w:t>
      </w:r>
      <w:r w:rsidRPr="00A70403">
        <w:rPr>
          <w:sz w:val="23"/>
          <w:szCs w:val="23"/>
        </w:rPr>
        <w:t xml:space="preserve"> </w:t>
      </w:r>
      <w:r w:rsidRPr="00A70403">
        <w:t xml:space="preserve">not have any specific recordkeeping requirements unique to preparing the label.  Therefore, because labeling requirements under § 70.25 for a particular color additive involve information required as part of the CAP safety review process, the estimate for number of respondents is the same for §§ 70.25 and 71.1, and the burden hours for labeling are included in the estimate for § 71.1.  Also, because labeling requirements under parts 172, 173, 179, and 180 for </w:t>
      </w:r>
      <w:r w:rsidRPr="00A70403">
        <w:t>particular food</w:t>
      </w:r>
      <w:r w:rsidRPr="00A70403">
        <w:t xml:space="preserve"> additives involve information required as part of the FAP safety review process under § 171.1, the burden hours for labeling are included in the estimate for § 171.1.</w:t>
      </w:r>
    </w:p>
    <w:p w:rsidR="00A70403" w:rsidRPr="00A70403" w:rsidP="00AA4BA4" w14:paraId="27A03F46" w14:textId="77777777">
      <w:pPr>
        <w:ind w:left="360"/>
      </w:pPr>
    </w:p>
    <w:p w:rsidR="00357C8A" w:rsidRPr="005C71CA" w:rsidP="00DC371B" w14:paraId="49A81DCC" w14:textId="77777777">
      <w:pPr>
        <w:spacing w:after="200"/>
        <w:ind w:left="360"/>
        <w:rPr>
          <w:rFonts w:eastAsia="Calibri"/>
        </w:rPr>
      </w:pPr>
      <w:r w:rsidRPr="005C71CA">
        <w:rPr>
          <w:rFonts w:eastAsia="Calibri"/>
        </w:rPr>
        <w:t>12b.  Annualized Cost Burden Estimate</w:t>
      </w:r>
    </w:p>
    <w:p w:rsidR="00A707CC" w:rsidP="001420C5" w14:paraId="518BEBE2" w14:textId="77777777">
      <w:pPr>
        <w:ind w:left="360"/>
      </w:pPr>
      <w:r>
        <w:t>We estimate that the average hourly wage for respondents is equivalent to a GS-14, step 4 level</w:t>
      </w:r>
      <w:r w:rsidR="001420C5">
        <w:t xml:space="preserve"> </w:t>
      </w:r>
      <w:r>
        <w:t>in the locality pay area of Washington-Baltimore in 202</w:t>
      </w:r>
      <w:r w:rsidR="001420C5">
        <w:t>3</w:t>
      </w:r>
      <w:r>
        <w:t>, approximately $</w:t>
      </w:r>
      <w:r w:rsidR="001420C5">
        <w:t>69</w:t>
      </w:r>
      <w:r>
        <w:t>.</w:t>
      </w:r>
      <w:r w:rsidR="001420C5">
        <w:t>77</w:t>
      </w:r>
      <w:r>
        <w:t xml:space="preserve">/hour. </w:t>
      </w:r>
      <w:r w:rsidR="001420C5">
        <w:t xml:space="preserve"> </w:t>
      </w:r>
      <w:r>
        <w:t>Doubling</w:t>
      </w:r>
      <w:r w:rsidR="001420C5">
        <w:t xml:space="preserve"> </w:t>
      </w:r>
      <w:r>
        <w:t xml:space="preserve">this wage to account for overhead costs, we estimate the average hourly cost to </w:t>
      </w:r>
      <w:r>
        <w:t>respondents to be</w:t>
      </w:r>
      <w:r w:rsidR="001420C5">
        <w:t xml:space="preserve"> </w:t>
      </w:r>
      <w:r>
        <w:t>$</w:t>
      </w:r>
      <w:r w:rsidR="001420C5">
        <w:t>139</w:t>
      </w:r>
      <w:r>
        <w:t>.</w:t>
      </w:r>
      <w:r w:rsidR="001420C5">
        <w:t>54</w:t>
      </w:r>
      <w:r>
        <w:t xml:space="preserve">/hour. </w:t>
      </w:r>
      <w:r w:rsidR="00A02594">
        <w:t xml:space="preserve"> </w:t>
      </w:r>
      <w:r>
        <w:t>The overall estimated cost incurred by the respondents is $3,</w:t>
      </w:r>
      <w:r w:rsidR="001420C5">
        <w:t>343</w:t>
      </w:r>
      <w:r>
        <w:t>,</w:t>
      </w:r>
      <w:r w:rsidR="00A02594">
        <w:t>099.32</w:t>
      </w:r>
      <w:r>
        <w:t xml:space="preserve"> (23,95</w:t>
      </w:r>
      <w:r w:rsidR="00A02594">
        <w:t>8</w:t>
      </w:r>
      <w:r w:rsidR="001420C5">
        <w:t xml:space="preserve"> </w:t>
      </w:r>
      <w:r>
        <w:t>burden hours x $</w:t>
      </w:r>
      <w:r w:rsidR="001420C5">
        <w:t>139</w:t>
      </w:r>
      <w:r>
        <w:t>.</w:t>
      </w:r>
      <w:r w:rsidR="001420C5">
        <w:t>54</w:t>
      </w:r>
      <w:r>
        <w:t>/hour).</w:t>
      </w:r>
    </w:p>
    <w:p w:rsidR="00A403CA" w:rsidP="001420C5" w14:paraId="7FE50F98" w14:textId="77777777">
      <w:pPr>
        <w:ind w:left="360"/>
      </w:pPr>
    </w:p>
    <w:p w:rsidR="00A403CA" w:rsidP="001420C5" w14:paraId="119439E6" w14:textId="77777777">
      <w:pPr>
        <w:ind w:left="360"/>
      </w:pPr>
    </w:p>
    <w:p w:rsidR="002239F6" w:rsidP="001420C5" w14:paraId="7E7DF3CF" w14:textId="77777777">
      <w:pPr>
        <w:ind w:left="360"/>
        <w:rPr>
          <w:rFonts w:eastAsia="Calibri"/>
        </w:rPr>
      </w:pPr>
    </w:p>
    <w:p w:rsidR="002239F6" w:rsidP="00521E03" w14:paraId="40FF4270" w14:textId="77777777">
      <w:pPr>
        <w:jc w:val="center"/>
        <w:rPr>
          <w:rFonts w:eastAsia="Calibri"/>
        </w:rPr>
      </w:pPr>
      <w:r w:rsidRPr="00A70403">
        <w:rPr>
          <w:sz w:val="20"/>
          <w:szCs w:val="20"/>
        </w:rPr>
        <w:t xml:space="preserve">Table </w:t>
      </w:r>
      <w:r>
        <w:rPr>
          <w:sz w:val="20"/>
          <w:szCs w:val="20"/>
        </w:rPr>
        <w:t>2</w:t>
      </w:r>
      <w:r w:rsidRPr="00A70403">
        <w:rPr>
          <w:sz w:val="20"/>
          <w:szCs w:val="20"/>
        </w:rPr>
        <w:t>.--</w:t>
      </w:r>
      <w:r w:rsidRPr="00A70403">
        <w:rPr>
          <w:sz w:val="20"/>
          <w:szCs w:val="20"/>
        </w:rPr>
        <w:t xml:space="preserve">Estimated Annual Reporting </w:t>
      </w:r>
      <w:r>
        <w:rPr>
          <w:sz w:val="20"/>
          <w:szCs w:val="20"/>
        </w:rPr>
        <w:t xml:space="preserve">Cost </w:t>
      </w:r>
      <w:r w:rsidRPr="00A70403">
        <w:rPr>
          <w:sz w:val="20"/>
          <w:szCs w:val="20"/>
        </w:rPr>
        <w:t>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0AF4408C"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RPr="00521E03" w:rsidP="00312622" w14:paraId="1BA48E71" w14:textId="77777777">
            <w:pPr>
              <w:jc w:val="center"/>
              <w:rPr>
                <w:sz w:val="20"/>
                <w:szCs w:val="20"/>
              </w:rPr>
            </w:pPr>
            <w:r w:rsidRPr="00521E03">
              <w:rPr>
                <w:sz w:val="20"/>
                <w:szCs w:val="20"/>
              </w:rPr>
              <w:t>Type of Respondent</w:t>
            </w:r>
          </w:p>
        </w:tc>
        <w:tc>
          <w:tcPr>
            <w:tcW w:w="1890" w:type="dxa"/>
            <w:shd w:val="clear" w:color="auto" w:fill="auto"/>
          </w:tcPr>
          <w:p w:rsidR="00A707CC" w:rsidRPr="00521E03" w:rsidP="00312622" w14:paraId="12F95108" w14:textId="77777777">
            <w:pPr>
              <w:jc w:val="center"/>
              <w:rPr>
                <w:sz w:val="20"/>
                <w:szCs w:val="20"/>
              </w:rPr>
            </w:pPr>
            <w:r w:rsidRPr="00521E03">
              <w:rPr>
                <w:sz w:val="20"/>
                <w:szCs w:val="20"/>
              </w:rPr>
              <w:t>Total Burden Hours</w:t>
            </w:r>
          </w:p>
        </w:tc>
        <w:tc>
          <w:tcPr>
            <w:tcW w:w="1944" w:type="dxa"/>
            <w:shd w:val="clear" w:color="auto" w:fill="auto"/>
          </w:tcPr>
          <w:p w:rsidR="00A707CC" w:rsidRPr="00521E03" w:rsidP="00312622" w14:paraId="01A65A6E" w14:textId="77777777">
            <w:pPr>
              <w:jc w:val="center"/>
              <w:rPr>
                <w:sz w:val="20"/>
                <w:szCs w:val="20"/>
              </w:rPr>
            </w:pPr>
            <w:r w:rsidRPr="00521E03">
              <w:rPr>
                <w:sz w:val="20"/>
                <w:szCs w:val="20"/>
              </w:rPr>
              <w:t>Hourly Wage Rate</w:t>
            </w:r>
          </w:p>
        </w:tc>
        <w:tc>
          <w:tcPr>
            <w:tcW w:w="1926" w:type="dxa"/>
            <w:shd w:val="clear" w:color="auto" w:fill="auto"/>
          </w:tcPr>
          <w:p w:rsidR="00A707CC" w:rsidRPr="00521E03" w:rsidP="00312622" w14:paraId="65E7DC1D" w14:textId="77777777">
            <w:pPr>
              <w:jc w:val="center"/>
              <w:rPr>
                <w:sz w:val="20"/>
                <w:szCs w:val="20"/>
              </w:rPr>
            </w:pPr>
            <w:r w:rsidRPr="00521E03">
              <w:rPr>
                <w:sz w:val="20"/>
                <w:szCs w:val="20"/>
              </w:rPr>
              <w:t>Total Respondent Costs</w:t>
            </w:r>
          </w:p>
        </w:tc>
      </w:tr>
      <w:tr w14:paraId="393278AC" w14:textId="77777777" w:rsidTr="00312622">
        <w:tblPrEx>
          <w:tblW w:w="0" w:type="auto"/>
          <w:tblInd w:w="828" w:type="dxa"/>
          <w:tblLook w:val="01E0"/>
        </w:tblPrEx>
        <w:tc>
          <w:tcPr>
            <w:tcW w:w="2520" w:type="dxa"/>
            <w:shd w:val="clear" w:color="auto" w:fill="auto"/>
          </w:tcPr>
          <w:p w:rsidR="00A707CC" w:rsidRPr="00521E03" w:rsidP="00312622" w14:paraId="575CEB0A" w14:textId="77777777">
            <w:pPr>
              <w:rPr>
                <w:sz w:val="20"/>
                <w:szCs w:val="20"/>
              </w:rPr>
            </w:pPr>
            <w:r w:rsidRPr="00521E03">
              <w:rPr>
                <w:sz w:val="20"/>
                <w:szCs w:val="20"/>
              </w:rPr>
              <w:t>Manufacturers or sellers of food</w:t>
            </w:r>
            <w:r w:rsidR="00A02594">
              <w:rPr>
                <w:sz w:val="20"/>
                <w:szCs w:val="20"/>
              </w:rPr>
              <w:t>,</w:t>
            </w:r>
            <w:r w:rsidR="00A02594">
              <w:t xml:space="preserve"> </w:t>
            </w:r>
            <w:r w:rsidRPr="00A02594" w:rsidR="00A02594">
              <w:rPr>
                <w:sz w:val="20"/>
                <w:szCs w:val="20"/>
              </w:rPr>
              <w:t xml:space="preserve">food ingredients, color additives, or substances used in materials that </w:t>
            </w:r>
            <w:r w:rsidRPr="00A02594" w:rsidR="00A02594">
              <w:rPr>
                <w:sz w:val="20"/>
                <w:szCs w:val="20"/>
              </w:rPr>
              <w:t>come into contact with</w:t>
            </w:r>
            <w:r w:rsidRPr="00A02594" w:rsidR="00A02594">
              <w:rPr>
                <w:sz w:val="20"/>
                <w:szCs w:val="20"/>
              </w:rPr>
              <w:t xml:space="preserve"> food</w:t>
            </w:r>
          </w:p>
        </w:tc>
        <w:tc>
          <w:tcPr>
            <w:tcW w:w="1890" w:type="dxa"/>
            <w:shd w:val="clear" w:color="auto" w:fill="auto"/>
          </w:tcPr>
          <w:p w:rsidR="00A707CC" w:rsidRPr="00521E03" w:rsidP="00521E03" w14:paraId="22B1B09B" w14:textId="77777777">
            <w:pPr>
              <w:jc w:val="right"/>
              <w:rPr>
                <w:sz w:val="20"/>
                <w:szCs w:val="20"/>
              </w:rPr>
            </w:pPr>
            <w:r w:rsidRPr="00521E03">
              <w:rPr>
                <w:sz w:val="20"/>
                <w:szCs w:val="20"/>
              </w:rPr>
              <w:t>23,95</w:t>
            </w:r>
            <w:r w:rsidRPr="00521E03" w:rsidR="00A02594">
              <w:rPr>
                <w:sz w:val="20"/>
                <w:szCs w:val="20"/>
              </w:rPr>
              <w:t>8</w:t>
            </w:r>
          </w:p>
        </w:tc>
        <w:tc>
          <w:tcPr>
            <w:tcW w:w="1944" w:type="dxa"/>
            <w:shd w:val="clear" w:color="auto" w:fill="auto"/>
          </w:tcPr>
          <w:p w:rsidR="00A707CC" w:rsidRPr="00521E03" w:rsidP="00521E03" w14:paraId="15D0F936" w14:textId="77777777">
            <w:pPr>
              <w:jc w:val="right"/>
              <w:rPr>
                <w:sz w:val="20"/>
                <w:szCs w:val="20"/>
              </w:rPr>
            </w:pPr>
            <w:r w:rsidRPr="00521E03">
              <w:rPr>
                <w:sz w:val="20"/>
                <w:szCs w:val="20"/>
              </w:rPr>
              <w:t>$139.54</w:t>
            </w:r>
          </w:p>
        </w:tc>
        <w:tc>
          <w:tcPr>
            <w:tcW w:w="1926" w:type="dxa"/>
            <w:shd w:val="clear" w:color="auto" w:fill="auto"/>
          </w:tcPr>
          <w:p w:rsidR="00A707CC" w:rsidRPr="00521E03" w:rsidP="00521E03" w14:paraId="0CF54A5D" w14:textId="77777777">
            <w:pPr>
              <w:jc w:val="right"/>
              <w:rPr>
                <w:sz w:val="20"/>
                <w:szCs w:val="20"/>
              </w:rPr>
            </w:pPr>
            <w:r w:rsidRPr="00521E03">
              <w:rPr>
                <w:sz w:val="20"/>
                <w:szCs w:val="20"/>
              </w:rPr>
              <w:t>$3,343,</w:t>
            </w:r>
            <w:r w:rsidRPr="00521E03" w:rsidR="00A02594">
              <w:rPr>
                <w:sz w:val="20"/>
                <w:szCs w:val="20"/>
              </w:rPr>
              <w:t>099.32</w:t>
            </w:r>
          </w:p>
        </w:tc>
      </w:tr>
    </w:tbl>
    <w:p w:rsidR="00357C8A" w:rsidRPr="00357C8A" w:rsidP="00357C8A" w14:paraId="604C42BD" w14:textId="77777777">
      <w:pPr>
        <w:rPr>
          <w:rFonts w:eastAsia="Calibri"/>
        </w:rPr>
      </w:pPr>
    </w:p>
    <w:p w:rsidR="00357C8A" w:rsidRPr="00357C8A" w:rsidP="006705EA" w14:paraId="68A927D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A303A8" w14:paraId="3C6A8BD8" w14:textId="77777777">
      <w:pPr>
        <w:autoSpaceDE w:val="0"/>
        <w:autoSpaceDN w:val="0"/>
        <w:adjustRightInd w:val="0"/>
      </w:pPr>
      <w:r>
        <w:t>Color additive</w:t>
      </w:r>
      <w:r w:rsidR="00AA570B">
        <w:t xml:space="preserve"> petitions</w:t>
      </w:r>
      <w:r>
        <w:t xml:space="preserve"> are subject to fees. </w:t>
      </w:r>
      <w:r w:rsidR="002239F6">
        <w:t xml:space="preserve"> </w:t>
      </w:r>
      <w:r>
        <w:t>The listing fee for a</w:t>
      </w:r>
      <w:r w:rsidR="002239F6">
        <w:t xml:space="preserve"> </w:t>
      </w:r>
      <w:r w:rsidR="00AA570B">
        <w:t>CAP</w:t>
      </w:r>
      <w:r>
        <w:t xml:space="preserve"> ranges</w:t>
      </w:r>
      <w:r>
        <w:t xml:space="preserve"> from $1,600 to $3,000, depending on the intended use of the color</w:t>
      </w:r>
      <w:r w:rsidR="002239F6">
        <w:t xml:space="preserve"> </w:t>
      </w:r>
      <w:r>
        <w:t xml:space="preserve">additive and the scope of the requested amendment. </w:t>
      </w:r>
      <w:r w:rsidR="002239F6">
        <w:t xml:space="preserve"> </w:t>
      </w:r>
      <w:r>
        <w:t>A complete schedule of fees is set forth in</w:t>
      </w:r>
      <w:r w:rsidR="002239F6">
        <w:t xml:space="preserve"> </w:t>
      </w:r>
      <w:r>
        <w:t xml:space="preserve">21 CFR 70.19. </w:t>
      </w:r>
      <w:r w:rsidR="002239F6">
        <w:t xml:space="preserve"> </w:t>
      </w:r>
      <w:r>
        <w:t xml:space="preserve">An average of one Category A and one Category B </w:t>
      </w:r>
      <w:r w:rsidR="00AA570B">
        <w:t>CAP</w:t>
      </w:r>
      <w:r>
        <w:t xml:space="preserve"> is</w:t>
      </w:r>
      <w:r w:rsidR="002239F6">
        <w:t xml:space="preserve"> </w:t>
      </w:r>
      <w:r>
        <w:t xml:space="preserve">expected per year. </w:t>
      </w:r>
      <w:r w:rsidR="002239F6">
        <w:t xml:space="preserve"> </w:t>
      </w:r>
      <w:r>
        <w:t xml:space="preserve">The maximum </w:t>
      </w:r>
      <w:r w:rsidR="00AA570B">
        <w:t>CAP</w:t>
      </w:r>
      <w:r>
        <w:t xml:space="preserve"> fee for a Category A petition is $2,600</w:t>
      </w:r>
      <w:r w:rsidR="00AA570B">
        <w:t>,</w:t>
      </w:r>
      <w:r w:rsidR="002239F6">
        <w:t xml:space="preserve"> </w:t>
      </w:r>
      <w:r>
        <w:t xml:space="preserve">and the maximum </w:t>
      </w:r>
      <w:r w:rsidR="00AA570B">
        <w:t>CAP</w:t>
      </w:r>
      <w:r>
        <w:t xml:space="preserve"> fee for a Category B petition is $3,000. </w:t>
      </w:r>
      <w:r w:rsidR="002239F6">
        <w:t xml:space="preserve"> </w:t>
      </w:r>
      <w:r w:rsidR="00AA570B">
        <w:t xml:space="preserve">Because </w:t>
      </w:r>
      <w:r>
        <w:t>an</w:t>
      </w:r>
      <w:r w:rsidR="002239F6">
        <w:t xml:space="preserve"> </w:t>
      </w:r>
      <w:r>
        <w:t xml:space="preserve">average of </w:t>
      </w:r>
      <w:r w:rsidR="002239F6">
        <w:t>two</w:t>
      </w:r>
      <w:r w:rsidR="00A303A8">
        <w:t xml:space="preserve"> </w:t>
      </w:r>
      <w:r w:rsidR="00AA570B">
        <w:t>CAP</w:t>
      </w:r>
      <w:r>
        <w:t>s are expected per calendar year, the estimated total annual</w:t>
      </w:r>
      <w:r w:rsidR="002239F6">
        <w:t xml:space="preserve"> </w:t>
      </w:r>
      <w:r>
        <w:t>cost burden to petitioners for this start-up cost would be less than or equal to $5,600 (</w:t>
      </w:r>
      <w:r w:rsidR="00AA570B">
        <w:t xml:space="preserve">(1 </w:t>
      </w:r>
      <w:r w:rsidRPr="00AA570B" w:rsidR="00AA570B">
        <w:t>×</w:t>
      </w:r>
      <w:r w:rsidR="00AA570B">
        <w:t xml:space="preserve"> </w:t>
      </w:r>
      <w:r>
        <w:t xml:space="preserve">$2,600) + </w:t>
      </w:r>
      <w:r w:rsidR="00AA570B">
        <w:t xml:space="preserve">(1 </w:t>
      </w:r>
      <w:r w:rsidRPr="00E73FD6" w:rsidR="00AA570B">
        <w:t>×</w:t>
      </w:r>
      <w:r w:rsidR="00AA570B">
        <w:t xml:space="preserve"> </w:t>
      </w:r>
      <w:r>
        <w:t>$3,000)</w:t>
      </w:r>
      <w:r w:rsidR="00AA570B">
        <w:t xml:space="preserve"> listing fees</w:t>
      </w:r>
      <w:r>
        <w:t>).</w:t>
      </w:r>
    </w:p>
    <w:p w:rsidR="00A303A8" w:rsidP="00A303A8" w14:paraId="5E83B967" w14:textId="77777777">
      <w:pPr>
        <w:autoSpaceDE w:val="0"/>
        <w:autoSpaceDN w:val="0"/>
        <w:adjustRightInd w:val="0"/>
        <w:rPr>
          <w:rFonts w:eastAsia="Calibri"/>
          <w:u w:val="single"/>
        </w:rPr>
      </w:pPr>
      <w:r>
        <w:t xml:space="preserve">                                                                                                                                                                                                                                                                                                                                                                                                                                                                                                                                                                                                                              </w:t>
      </w:r>
    </w:p>
    <w:p w:rsidR="00357C8A" w:rsidRPr="00357C8A" w:rsidP="006705EA" w14:paraId="7E6C9FB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283961D7" w14:textId="77777777">
      <w:pPr>
        <w:spacing w:after="200"/>
        <w:rPr>
          <w:rFonts w:eastAsia="Calibri"/>
        </w:rPr>
      </w:pPr>
      <w:r>
        <w:t xml:space="preserve">We estimate an allocation of 5 full-time employees (FTE) annually for the review of petitions received under this information collection.  The annualized cost to the Federal Government of processing petitions is calculated by multiplying FTEs used in processing petitions by the dollar value per supported position.  FDA consumer safety officers review submitted petitions with input from technical reviewers.  The dollar estimate for FDA consumer safety officer </w:t>
      </w:r>
      <w:r w:rsidR="000612F3">
        <w:t xml:space="preserve">salary </w:t>
      </w:r>
      <w:r>
        <w:t xml:space="preserve">corresponds roughly to a GS-13, step 6 level in the locality pay area of Washington-Baltimore in 2023, which is $130,683 annually.  Doubling this amount to account for overhead costs, we estimate an average cost of $261,366 per fully supported position.  Thus, the total cost to the Federal Government is estimated </w:t>
      </w:r>
      <w:r w:rsidR="000612F3">
        <w:t>to be around</w:t>
      </w:r>
      <w:r>
        <w:t xml:space="preserve"> $1,306,830 (5 FTEs x $261,366).</w:t>
      </w:r>
    </w:p>
    <w:p w:rsidR="00357C8A" w:rsidP="006705EA" w14:paraId="3C6B4DE5"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CC33CE" w:rsidP="00AA4BA4" w14:paraId="7B982D65" w14:textId="77777777">
      <w:pPr>
        <w:pStyle w:val="BodyText"/>
        <w:rPr>
          <w:rFonts w:eastAsia="Calibri"/>
          <w:color w:val="000000"/>
        </w:rPr>
      </w:pPr>
      <w:r>
        <w:rPr>
          <w:sz w:val="24"/>
        </w:rPr>
        <w:t xml:space="preserve">We have adjusted our burden estimate, which has resulted in a decrease to the currently approved burden by 1 hour.  </w:t>
      </w:r>
      <w:bookmarkStart w:id="2" w:name="_Hlk142925180"/>
      <w:r w:rsidRPr="000612F3" w:rsidR="000612F3">
        <w:t xml:space="preserve"> </w:t>
      </w:r>
      <w:r w:rsidRPr="000612F3" w:rsidR="000612F3">
        <w:rPr>
          <w:sz w:val="24"/>
          <w:szCs w:val="24"/>
        </w:rPr>
        <w:t>We estimate that 1 less Form FDA 3503 will be submitted to FDA creating the reduction in the burden estimate</w:t>
      </w:r>
      <w:r w:rsidRPr="00F55B78">
        <w:rPr>
          <w:sz w:val="24"/>
          <w:szCs w:val="24"/>
        </w:rPr>
        <w:t>.</w:t>
      </w:r>
      <w:bookmarkEnd w:id="2"/>
    </w:p>
    <w:p w:rsidR="00357C8A" w:rsidRPr="00357C8A" w:rsidP="006705EA" w14:paraId="1812686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CC33CE" w:rsidP="00357C8A" w14:paraId="153C7391" w14:textId="77777777">
      <w:pPr>
        <w:spacing w:after="200"/>
        <w:rPr>
          <w:rFonts w:eastAsia="Calibri"/>
          <w:color w:val="000000"/>
        </w:rPr>
      </w:pPr>
      <w:r>
        <w:t xml:space="preserve">We publish a notice in the </w:t>
      </w:r>
      <w:r>
        <w:rPr>
          <w:i/>
          <w:iCs/>
        </w:rPr>
        <w:t xml:space="preserve">Federal Register </w:t>
      </w:r>
      <w:r>
        <w:t>when a food additive or color additive petition is filed (21 CFR 71.2 or 171.1) or when a food additive or color additive regulation has been promulgated (21 CFR 71.20 or 171.100).  Otherwise, the agency has no plans for publication of information from this information collection.</w:t>
      </w:r>
    </w:p>
    <w:p w:rsidR="00357C8A" w:rsidRPr="00357C8A" w:rsidP="006705EA" w14:paraId="4B2A38F9"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CC33CE" w:rsidP="00357C8A" w14:paraId="2DD8843F" w14:textId="77777777">
      <w:pPr>
        <w:spacing w:after="200"/>
        <w:rPr>
          <w:rFonts w:eastAsia="Calibri"/>
          <w:color w:val="000000"/>
        </w:rPr>
      </w:pPr>
      <w:r>
        <w:t>There are no reasons why display of the OMB expiration date would be inappropriate.</w:t>
      </w:r>
    </w:p>
    <w:p w:rsidR="00357C8A" w:rsidRPr="00357C8A" w:rsidP="006705EA" w14:paraId="66562BE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AA4BA4" w14:paraId="12DFB7B5" w14:textId="77777777">
      <w:pPr>
        <w:spacing w:after="200"/>
        <w:rPr>
          <w:rFonts w:eastAsia="Calibri"/>
        </w:rPr>
      </w:pPr>
      <w:r>
        <w:t>There are no exceptions to the certification.</w:t>
      </w:r>
    </w:p>
    <w:sectPr w:rsidSect="005C71CA">
      <w:headerReference w:type="default" r:id="rId6"/>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AB07D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FC1AB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87900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518B6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FE2" w:rsidRPr="003C0FE2" w14:paraId="78A54E95"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6235681">
    <w:abstractNumId w:val="5"/>
  </w:num>
  <w:num w:numId="2" w16cid:durableId="1849714002">
    <w:abstractNumId w:val="1"/>
  </w:num>
  <w:num w:numId="3" w16cid:durableId="914317977">
    <w:abstractNumId w:val="6"/>
  </w:num>
  <w:num w:numId="4" w16cid:durableId="1088624307">
    <w:abstractNumId w:val="3"/>
  </w:num>
  <w:num w:numId="5" w16cid:durableId="339091150">
    <w:abstractNumId w:val="7"/>
  </w:num>
  <w:num w:numId="6" w16cid:durableId="1886138285">
    <w:abstractNumId w:val="0"/>
  </w:num>
  <w:num w:numId="7" w16cid:durableId="1302347802">
    <w:abstractNumId w:val="2"/>
    <w:lvlOverride w:ilvl="0"/>
    <w:lvlOverride w:ilvl="1"/>
    <w:lvlOverride w:ilvl="2"/>
    <w:lvlOverride w:ilvl="3"/>
    <w:lvlOverride w:ilvl="4"/>
    <w:lvlOverride w:ilvl="5"/>
    <w:lvlOverride w:ilvl="6"/>
    <w:lvlOverride w:ilvl="7"/>
    <w:lvlOverride w:ilvl="8"/>
  </w:num>
  <w:num w:numId="8" w16cid:durableId="14626517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21198"/>
    <w:rsid w:val="00031A2C"/>
    <w:rsid w:val="00042B93"/>
    <w:rsid w:val="00043C7F"/>
    <w:rsid w:val="000467A8"/>
    <w:rsid w:val="00056BB5"/>
    <w:rsid w:val="000612F3"/>
    <w:rsid w:val="0006570F"/>
    <w:rsid w:val="00075DE8"/>
    <w:rsid w:val="00075EAD"/>
    <w:rsid w:val="00087439"/>
    <w:rsid w:val="000A7F37"/>
    <w:rsid w:val="000B04E1"/>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20C5"/>
    <w:rsid w:val="00152F29"/>
    <w:rsid w:val="00174D54"/>
    <w:rsid w:val="0017702C"/>
    <w:rsid w:val="00185270"/>
    <w:rsid w:val="001A3B5A"/>
    <w:rsid w:val="001A458C"/>
    <w:rsid w:val="001B7CE9"/>
    <w:rsid w:val="001D495A"/>
    <w:rsid w:val="001E244C"/>
    <w:rsid w:val="001F1437"/>
    <w:rsid w:val="00206799"/>
    <w:rsid w:val="002074FE"/>
    <w:rsid w:val="00223349"/>
    <w:rsid w:val="002239F6"/>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D651F"/>
    <w:rsid w:val="002E3FA4"/>
    <w:rsid w:val="002E53A5"/>
    <w:rsid w:val="002E64B8"/>
    <w:rsid w:val="002E6834"/>
    <w:rsid w:val="002E6A89"/>
    <w:rsid w:val="002E7211"/>
    <w:rsid w:val="003113FF"/>
    <w:rsid w:val="00312622"/>
    <w:rsid w:val="003209EA"/>
    <w:rsid w:val="0032277F"/>
    <w:rsid w:val="00336B69"/>
    <w:rsid w:val="0034302B"/>
    <w:rsid w:val="00350523"/>
    <w:rsid w:val="0035189D"/>
    <w:rsid w:val="00355B62"/>
    <w:rsid w:val="00357C8A"/>
    <w:rsid w:val="003740BC"/>
    <w:rsid w:val="0037456B"/>
    <w:rsid w:val="003801A3"/>
    <w:rsid w:val="00383D90"/>
    <w:rsid w:val="003870AE"/>
    <w:rsid w:val="003A1A27"/>
    <w:rsid w:val="003A35FC"/>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B0A3C"/>
    <w:rsid w:val="004B3B51"/>
    <w:rsid w:val="004C6979"/>
    <w:rsid w:val="004D13A2"/>
    <w:rsid w:val="004D3E7A"/>
    <w:rsid w:val="004F594B"/>
    <w:rsid w:val="004F61E1"/>
    <w:rsid w:val="00521E03"/>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611D6B"/>
    <w:rsid w:val="00625CFD"/>
    <w:rsid w:val="006326EC"/>
    <w:rsid w:val="0064310E"/>
    <w:rsid w:val="00663A42"/>
    <w:rsid w:val="006641C7"/>
    <w:rsid w:val="006659DE"/>
    <w:rsid w:val="006705EA"/>
    <w:rsid w:val="00670BE2"/>
    <w:rsid w:val="006916D9"/>
    <w:rsid w:val="006A0E05"/>
    <w:rsid w:val="006A26C6"/>
    <w:rsid w:val="006A465A"/>
    <w:rsid w:val="006A7D5D"/>
    <w:rsid w:val="006C0A94"/>
    <w:rsid w:val="006D0C12"/>
    <w:rsid w:val="006D5D57"/>
    <w:rsid w:val="006E2538"/>
    <w:rsid w:val="006E302F"/>
    <w:rsid w:val="006F4D6D"/>
    <w:rsid w:val="00705086"/>
    <w:rsid w:val="00722001"/>
    <w:rsid w:val="007370FE"/>
    <w:rsid w:val="00744525"/>
    <w:rsid w:val="00751E66"/>
    <w:rsid w:val="00754497"/>
    <w:rsid w:val="00760629"/>
    <w:rsid w:val="00773201"/>
    <w:rsid w:val="00787C39"/>
    <w:rsid w:val="00792947"/>
    <w:rsid w:val="00795DF3"/>
    <w:rsid w:val="007A373C"/>
    <w:rsid w:val="007A3889"/>
    <w:rsid w:val="007B225C"/>
    <w:rsid w:val="007C75B1"/>
    <w:rsid w:val="007D3DFC"/>
    <w:rsid w:val="007E2F07"/>
    <w:rsid w:val="007E59A8"/>
    <w:rsid w:val="0080776D"/>
    <w:rsid w:val="00810145"/>
    <w:rsid w:val="008108FA"/>
    <w:rsid w:val="00810FF1"/>
    <w:rsid w:val="00815686"/>
    <w:rsid w:val="00822336"/>
    <w:rsid w:val="00823DFA"/>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C5B0B"/>
    <w:rsid w:val="008E5F55"/>
    <w:rsid w:val="009009E7"/>
    <w:rsid w:val="00905DEF"/>
    <w:rsid w:val="00906056"/>
    <w:rsid w:val="009122AE"/>
    <w:rsid w:val="00913B43"/>
    <w:rsid w:val="0091699D"/>
    <w:rsid w:val="00930203"/>
    <w:rsid w:val="009311D2"/>
    <w:rsid w:val="009311E6"/>
    <w:rsid w:val="00931275"/>
    <w:rsid w:val="00936AC7"/>
    <w:rsid w:val="009477C5"/>
    <w:rsid w:val="00953B64"/>
    <w:rsid w:val="009646A7"/>
    <w:rsid w:val="00970A88"/>
    <w:rsid w:val="009818A1"/>
    <w:rsid w:val="009A1674"/>
    <w:rsid w:val="009B38BE"/>
    <w:rsid w:val="009B4DF2"/>
    <w:rsid w:val="009C2D0E"/>
    <w:rsid w:val="009C684F"/>
    <w:rsid w:val="009D074C"/>
    <w:rsid w:val="009D4968"/>
    <w:rsid w:val="009D6E73"/>
    <w:rsid w:val="009F1F1D"/>
    <w:rsid w:val="009F2B4F"/>
    <w:rsid w:val="009F3C63"/>
    <w:rsid w:val="009F66B5"/>
    <w:rsid w:val="00A02594"/>
    <w:rsid w:val="00A02F10"/>
    <w:rsid w:val="00A1060C"/>
    <w:rsid w:val="00A16221"/>
    <w:rsid w:val="00A20A7D"/>
    <w:rsid w:val="00A21E1E"/>
    <w:rsid w:val="00A303A8"/>
    <w:rsid w:val="00A35D42"/>
    <w:rsid w:val="00A403CA"/>
    <w:rsid w:val="00A46CCF"/>
    <w:rsid w:val="00A506DE"/>
    <w:rsid w:val="00A53451"/>
    <w:rsid w:val="00A70403"/>
    <w:rsid w:val="00A70426"/>
    <w:rsid w:val="00A707CC"/>
    <w:rsid w:val="00A71410"/>
    <w:rsid w:val="00A91E9A"/>
    <w:rsid w:val="00A93ED9"/>
    <w:rsid w:val="00A96221"/>
    <w:rsid w:val="00AA4BA4"/>
    <w:rsid w:val="00AA570B"/>
    <w:rsid w:val="00AC2DBB"/>
    <w:rsid w:val="00AC6A99"/>
    <w:rsid w:val="00AD6048"/>
    <w:rsid w:val="00B055EF"/>
    <w:rsid w:val="00B06B5B"/>
    <w:rsid w:val="00B23769"/>
    <w:rsid w:val="00B41789"/>
    <w:rsid w:val="00B462AE"/>
    <w:rsid w:val="00B51B51"/>
    <w:rsid w:val="00B81808"/>
    <w:rsid w:val="00B86DFA"/>
    <w:rsid w:val="00B925EA"/>
    <w:rsid w:val="00B936D0"/>
    <w:rsid w:val="00BB15FB"/>
    <w:rsid w:val="00BC4868"/>
    <w:rsid w:val="00BD1A84"/>
    <w:rsid w:val="00BD3D5B"/>
    <w:rsid w:val="00BE3600"/>
    <w:rsid w:val="00C01F6F"/>
    <w:rsid w:val="00C041EA"/>
    <w:rsid w:val="00C13BBD"/>
    <w:rsid w:val="00C149AB"/>
    <w:rsid w:val="00C16929"/>
    <w:rsid w:val="00C20690"/>
    <w:rsid w:val="00C23F97"/>
    <w:rsid w:val="00C36020"/>
    <w:rsid w:val="00C40694"/>
    <w:rsid w:val="00C47107"/>
    <w:rsid w:val="00C479BF"/>
    <w:rsid w:val="00C5124B"/>
    <w:rsid w:val="00C70542"/>
    <w:rsid w:val="00C75CBF"/>
    <w:rsid w:val="00CC2894"/>
    <w:rsid w:val="00CC33CE"/>
    <w:rsid w:val="00CD2F46"/>
    <w:rsid w:val="00CD77C3"/>
    <w:rsid w:val="00CE112C"/>
    <w:rsid w:val="00CF55D4"/>
    <w:rsid w:val="00CF78B9"/>
    <w:rsid w:val="00D608DA"/>
    <w:rsid w:val="00D730BF"/>
    <w:rsid w:val="00D74890"/>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71C"/>
    <w:rsid w:val="00E63DE5"/>
    <w:rsid w:val="00E647AF"/>
    <w:rsid w:val="00E647C7"/>
    <w:rsid w:val="00E65A37"/>
    <w:rsid w:val="00E65EF7"/>
    <w:rsid w:val="00E73FD6"/>
    <w:rsid w:val="00E77B48"/>
    <w:rsid w:val="00E857FB"/>
    <w:rsid w:val="00E91799"/>
    <w:rsid w:val="00E97DF8"/>
    <w:rsid w:val="00EA21FE"/>
    <w:rsid w:val="00EA34E3"/>
    <w:rsid w:val="00EB7538"/>
    <w:rsid w:val="00EC1868"/>
    <w:rsid w:val="00EE6468"/>
    <w:rsid w:val="00F1299B"/>
    <w:rsid w:val="00F207A4"/>
    <w:rsid w:val="00F25173"/>
    <w:rsid w:val="00F31D04"/>
    <w:rsid w:val="00F355AC"/>
    <w:rsid w:val="00F40CF7"/>
    <w:rsid w:val="00F44194"/>
    <w:rsid w:val="00F55B78"/>
    <w:rsid w:val="00F71A5A"/>
    <w:rsid w:val="00F73A1A"/>
    <w:rsid w:val="00F769E0"/>
    <w:rsid w:val="00FA00F6"/>
    <w:rsid w:val="00FA4A46"/>
    <w:rsid w:val="00FA75FE"/>
    <w:rsid w:val="00FB1032"/>
    <w:rsid w:val="00FB292D"/>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35B653"/>
  <w15:chartTrackingRefBased/>
  <w15:docId w15:val="{02696DEE-447D-4022-9FD0-785F984C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1420C5"/>
    <w:rPr>
      <w:sz w:val="24"/>
      <w:szCs w:val="24"/>
    </w:rPr>
  </w:style>
  <w:style w:type="paragraph" w:styleId="BodyText">
    <w:name w:val="Body Text"/>
    <w:basedOn w:val="Normal"/>
    <w:link w:val="BodyTextChar"/>
    <w:unhideWhenUsed/>
    <w:rsid w:val="001420C5"/>
    <w:pPr>
      <w:spacing w:after="120"/>
    </w:pPr>
    <w:rPr>
      <w:sz w:val="20"/>
      <w:szCs w:val="20"/>
    </w:rPr>
  </w:style>
  <w:style w:type="character" w:customStyle="1" w:styleId="BodyTextChar">
    <w:name w:val="Body Text Char"/>
    <w:basedOn w:val="DefaultParagraphFont"/>
    <w:link w:val="BodyText"/>
    <w:rsid w:val="0014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registration-food-facilities-and-other-submissions/cfsan-online-submission-module-cosm" TargetMode="External" /><Relationship Id="rId5" Type="http://schemas.openxmlformats.org/officeDocument/2006/relationships/hyperlink" Target="https://www.fda.gov/industry/small-business-assistanc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2023-09-21T17:44:00Z</dcterms:created>
  <dcterms:modified xsi:type="dcterms:W3CDTF">2023-09-21T17:44:00Z</dcterms:modified>
</cp:coreProperties>
</file>