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67693" w:rsidR="00B43D8B" w:rsidP="004B3538" w:rsidRDefault="00B43D8B" w14:paraId="75BB69BF" w14:textId="13F67929">
      <w:pPr>
        <w:jc w:val="center"/>
        <w:rPr>
          <w:rFonts w:cstheme="minorHAnsi"/>
          <w:b/>
          <w:bCs/>
          <w:u w:val="single"/>
        </w:rPr>
      </w:pPr>
      <w:r w:rsidRPr="00367693">
        <w:rPr>
          <w:rFonts w:cstheme="minorHAnsi"/>
          <w:b/>
          <w:bCs/>
          <w:u w:val="single"/>
        </w:rPr>
        <w:t>Registration Form for NHP Importation (Standard Operating Procedures for Zoo-to-Zoo</w:t>
      </w:r>
      <w:r w:rsidR="004B3538">
        <w:rPr>
          <w:rFonts w:cstheme="minorHAnsi"/>
          <w:b/>
          <w:bCs/>
          <w:u w:val="single"/>
        </w:rPr>
        <w:t xml:space="preserve"> </w:t>
      </w:r>
      <w:r w:rsidRPr="00367693">
        <w:rPr>
          <w:rFonts w:cstheme="minorHAnsi"/>
          <w:b/>
          <w:bCs/>
          <w:u w:val="single"/>
        </w:rPr>
        <w:t>Transfers of NHPs)</w:t>
      </w:r>
    </w:p>
    <w:p w:rsidR="00B43D8B" w:rsidP="00B43D8B" w:rsidRDefault="00B43D8B" w14:paraId="16914C9D" w14:textId="77777777">
      <w:pPr>
        <w:rPr>
          <w:rFonts w:cstheme="minorHAnsi"/>
        </w:rPr>
      </w:pPr>
    </w:p>
    <w:tbl>
      <w:tblPr>
        <w:tblW w:w="11250" w:type="dxa"/>
        <w:tblInd w:w="-1085" w:type="dxa"/>
        <w:tblBorders>
          <w:top w:val="dotted" w:color="auto" w:sz="4" w:space="0"/>
          <w:left w:val="single" w:color="auto" w:sz="4" w:space="0"/>
          <w:bottom w:val="dotted" w:color="auto" w:sz="4" w:space="0"/>
          <w:right w:val="single" w:color="auto" w:sz="4" w:space="0"/>
          <w:insideH w:val="dotted" w:color="auto" w:sz="4" w:space="0"/>
          <w:insideV w:val="single" w:color="auto" w:sz="4" w:space="0"/>
        </w:tblBorders>
        <w:tblLayout w:type="fixed"/>
        <w:tblLook w:val="0100" w:firstRow="0" w:lastRow="0" w:firstColumn="0" w:lastColumn="1" w:noHBand="0" w:noVBand="0"/>
      </w:tblPr>
      <w:tblGrid>
        <w:gridCol w:w="6750"/>
        <w:gridCol w:w="4500"/>
      </w:tblGrid>
      <w:tr w:rsidRPr="002960B1" w:rsidR="00B43D8B" w:rsidTr="00432541" w14:paraId="0A5822C8" w14:textId="77777777">
        <w:trPr>
          <w:cantSplit/>
          <w:trHeight w:val="203"/>
        </w:trPr>
        <w:tc>
          <w:tcPr>
            <w:tcW w:w="11250" w:type="dxa"/>
            <w:gridSpan w:val="2"/>
            <w:tcBorders>
              <w:top w:val="single" w:color="auto" w:sz="4" w:space="0"/>
              <w:left w:val="single" w:color="auto" w:sz="4" w:space="0"/>
              <w:bottom w:val="single" w:color="auto" w:sz="4" w:space="0"/>
              <w:right w:val="single" w:color="auto" w:sz="4" w:space="0"/>
            </w:tcBorders>
            <w:shd w:val="clear" w:color="auto" w:fill="FBE4D5" w:themeFill="accent2" w:themeFillTint="33"/>
          </w:tcPr>
          <w:p w:rsidRPr="002960B1" w:rsidR="00B43D8B" w:rsidP="00432541" w:rsidRDefault="00B43D8B" w14:paraId="5F34DEE7" w14:textId="77777777">
            <w:pPr>
              <w:tabs>
                <w:tab w:val="left" w:pos="9765"/>
              </w:tabs>
              <w:spacing w:before="40" w:after="0" w:line="240" w:lineRule="auto"/>
              <w:jc w:val="center"/>
              <w:rPr>
                <w:rFonts w:eastAsia="Times New Roman" w:cstheme="minorHAnsi"/>
                <w:b/>
              </w:rPr>
            </w:pPr>
            <w:r w:rsidRPr="002960B1">
              <w:rPr>
                <w:rFonts w:eastAsia="Times New Roman" w:cstheme="minorHAnsi"/>
                <w:b/>
              </w:rPr>
              <w:t>Importer’s Contact Information</w:t>
            </w:r>
          </w:p>
        </w:tc>
      </w:tr>
      <w:tr w:rsidRPr="002960B1" w:rsidR="00B43D8B" w:rsidTr="00432541" w14:paraId="0B9605CF" w14:textId="77777777">
        <w:trPr>
          <w:cantSplit/>
          <w:trHeight w:val="350"/>
        </w:trPr>
        <w:tc>
          <w:tcPr>
            <w:tcW w:w="6750" w:type="dxa"/>
            <w:tcBorders>
              <w:top w:val="single" w:color="auto" w:sz="4" w:space="0"/>
              <w:bottom w:val="dotted" w:color="auto" w:sz="4" w:space="0"/>
              <w:right w:val="nil"/>
            </w:tcBorders>
            <w:vAlign w:val="center"/>
          </w:tcPr>
          <w:p w:rsidRPr="002960B1" w:rsidR="00B43D8B" w:rsidP="00432541" w:rsidRDefault="00B43D8B" w14:paraId="723B047B" w14:textId="77777777">
            <w:pPr>
              <w:spacing w:before="40" w:after="0" w:line="240" w:lineRule="auto"/>
              <w:contextualSpacing/>
              <w:rPr>
                <w:rFonts w:eastAsia="Times New Roman" w:cstheme="minorHAnsi"/>
                <w:i/>
                <w:sz w:val="20"/>
                <w:szCs w:val="20"/>
              </w:rPr>
            </w:pPr>
            <w:r w:rsidRPr="002960B1">
              <w:rPr>
                <w:rFonts w:eastAsia="Times New Roman" w:cstheme="minorHAnsi"/>
                <w:i/>
                <w:sz w:val="20"/>
                <w:szCs w:val="20"/>
              </w:rPr>
              <w:t xml:space="preserve">Date of Application:  __ __ / __ __  / __ __ __ __  </w:t>
            </w:r>
          </w:p>
          <w:p w:rsidRPr="002960B1" w:rsidR="00B43D8B" w:rsidP="00432541" w:rsidRDefault="00B43D8B" w14:paraId="5D27DADE" w14:textId="77777777">
            <w:pPr>
              <w:spacing w:before="40" w:after="0" w:line="240" w:lineRule="auto"/>
              <w:contextualSpacing/>
              <w:rPr>
                <w:rFonts w:eastAsia="Times New Roman" w:cstheme="minorHAnsi"/>
                <w:i/>
                <w:sz w:val="20"/>
                <w:szCs w:val="20"/>
              </w:rPr>
            </w:pPr>
            <w:r w:rsidRPr="002960B1">
              <w:rPr>
                <w:rFonts w:eastAsia="Times New Roman" w:cstheme="minorHAnsi"/>
                <w:i/>
                <w:sz w:val="20"/>
                <w:szCs w:val="20"/>
              </w:rPr>
              <w:t xml:space="preserve">                                 M  M    D   D   Y  Y  Y  Y</w:t>
            </w:r>
          </w:p>
        </w:tc>
        <w:tc>
          <w:tcPr>
            <w:tcW w:w="4500" w:type="dxa"/>
            <w:tcBorders>
              <w:top w:val="single" w:color="auto" w:sz="4" w:space="0"/>
              <w:left w:val="nil"/>
              <w:bottom w:val="dotted" w:color="auto" w:sz="4" w:space="0"/>
            </w:tcBorders>
            <w:vAlign w:val="center"/>
          </w:tcPr>
          <w:p w:rsidRPr="002960B1" w:rsidR="00B43D8B" w:rsidP="00432541" w:rsidRDefault="00B43D8B" w14:paraId="5D045DF9" w14:textId="77777777">
            <w:pPr>
              <w:pStyle w:val="ListParagraph"/>
              <w:tabs>
                <w:tab w:val="left" w:pos="859"/>
              </w:tabs>
              <w:spacing w:before="40" w:after="0" w:line="240" w:lineRule="auto"/>
              <w:ind w:left="360" w:right="75"/>
              <w:rPr>
                <w:rFonts w:eastAsia="Times New Roman" w:cstheme="minorHAnsi"/>
                <w:i/>
                <w:sz w:val="18"/>
                <w:szCs w:val="18"/>
              </w:rPr>
            </w:pPr>
          </w:p>
        </w:tc>
      </w:tr>
      <w:tr w:rsidRPr="002960B1" w:rsidR="00B43D8B" w:rsidTr="00432541" w14:paraId="7C73BE2A" w14:textId="77777777">
        <w:trPr>
          <w:cantSplit/>
          <w:trHeight w:val="350"/>
        </w:trPr>
        <w:tc>
          <w:tcPr>
            <w:tcW w:w="6750" w:type="dxa"/>
            <w:tcBorders>
              <w:top w:val="single" w:color="auto" w:sz="4" w:space="0"/>
              <w:bottom w:val="dotted" w:color="auto" w:sz="4" w:space="0"/>
              <w:right w:val="nil"/>
            </w:tcBorders>
            <w:vAlign w:val="center"/>
          </w:tcPr>
          <w:p w:rsidRPr="002960B1" w:rsidR="00B43D8B" w:rsidP="00432541" w:rsidRDefault="00B43D8B" w14:paraId="15697C57" w14:textId="77777777">
            <w:pPr>
              <w:spacing w:before="40" w:after="0" w:line="240" w:lineRule="auto"/>
              <w:contextualSpacing/>
              <w:rPr>
                <w:rFonts w:eastAsia="Times New Roman" w:cstheme="minorHAnsi"/>
                <w:i/>
                <w:sz w:val="20"/>
                <w:szCs w:val="20"/>
              </w:rPr>
            </w:pPr>
            <w:r w:rsidRPr="002960B1">
              <w:rPr>
                <w:rFonts w:eastAsia="Times New Roman" w:cstheme="minorHAnsi"/>
                <w:i/>
                <w:sz w:val="20"/>
                <w:szCs w:val="20"/>
              </w:rPr>
              <w:t>Name:                                                                                         Institution:</w:t>
            </w:r>
          </w:p>
        </w:tc>
        <w:tc>
          <w:tcPr>
            <w:tcW w:w="4500" w:type="dxa"/>
            <w:tcBorders>
              <w:top w:val="single" w:color="auto" w:sz="4" w:space="0"/>
              <w:left w:val="nil"/>
              <w:bottom w:val="dotted" w:color="auto" w:sz="4" w:space="0"/>
            </w:tcBorders>
            <w:vAlign w:val="center"/>
          </w:tcPr>
          <w:p w:rsidRPr="002960B1" w:rsidR="00B43D8B" w:rsidP="00432541" w:rsidRDefault="00B43D8B" w14:paraId="0AD3DA8B" w14:textId="77777777">
            <w:pPr>
              <w:tabs>
                <w:tab w:val="left" w:pos="859"/>
              </w:tabs>
              <w:spacing w:before="40" w:after="0" w:line="240" w:lineRule="auto"/>
              <w:ind w:right="75"/>
              <w:rPr>
                <w:rFonts w:eastAsia="Times New Roman" w:cstheme="minorHAnsi"/>
                <w:i/>
                <w:sz w:val="18"/>
                <w:szCs w:val="18"/>
              </w:rPr>
            </w:pPr>
          </w:p>
        </w:tc>
      </w:tr>
      <w:tr w:rsidRPr="002960B1" w:rsidR="00B43D8B" w:rsidTr="00432541" w14:paraId="3A2C9068" w14:textId="77777777">
        <w:trPr>
          <w:cantSplit/>
          <w:trHeight w:val="320"/>
        </w:trPr>
        <w:tc>
          <w:tcPr>
            <w:tcW w:w="11250" w:type="dxa"/>
            <w:gridSpan w:val="2"/>
            <w:tcBorders>
              <w:bottom w:val="dotted" w:color="auto" w:sz="4" w:space="0"/>
            </w:tcBorders>
            <w:vAlign w:val="center"/>
          </w:tcPr>
          <w:p w:rsidRPr="002960B1" w:rsidR="00B43D8B" w:rsidP="00432541" w:rsidRDefault="00B43D8B" w14:paraId="7F534FE2" w14:textId="77777777">
            <w:pPr>
              <w:spacing w:before="40" w:after="0" w:line="240" w:lineRule="auto"/>
              <w:contextualSpacing/>
              <w:rPr>
                <w:rFonts w:eastAsia="Times New Roman" w:cstheme="minorHAnsi"/>
                <w:i/>
                <w:sz w:val="20"/>
                <w:szCs w:val="20"/>
              </w:rPr>
            </w:pPr>
            <w:r w:rsidRPr="002960B1">
              <w:rPr>
                <w:rFonts w:eastAsia="Times New Roman" w:cstheme="minorHAnsi"/>
                <w:sz w:val="20"/>
                <w:szCs w:val="20"/>
              </w:rPr>
              <w:t>Address:                                                                                    State abbr.                County               Zip Code</w:t>
            </w:r>
          </w:p>
        </w:tc>
      </w:tr>
      <w:tr w:rsidRPr="002960B1" w:rsidR="00B43D8B" w:rsidTr="00432541" w14:paraId="2E01224D" w14:textId="77777777">
        <w:trPr>
          <w:cantSplit/>
          <w:trHeight w:val="320"/>
        </w:trPr>
        <w:tc>
          <w:tcPr>
            <w:tcW w:w="11250" w:type="dxa"/>
            <w:gridSpan w:val="2"/>
            <w:tcBorders>
              <w:bottom w:val="dotted" w:color="auto" w:sz="4" w:space="0"/>
            </w:tcBorders>
            <w:vAlign w:val="center"/>
          </w:tcPr>
          <w:p w:rsidRPr="002960B1" w:rsidR="00B43D8B" w:rsidP="00432541" w:rsidRDefault="00B43D8B" w14:paraId="5AACB0A2" w14:textId="77777777">
            <w:pPr>
              <w:spacing w:before="40" w:after="0" w:line="240" w:lineRule="auto"/>
              <w:contextualSpacing/>
              <w:rPr>
                <w:rFonts w:eastAsia="Times New Roman" w:cstheme="minorHAnsi"/>
                <w:i/>
                <w:sz w:val="20"/>
                <w:szCs w:val="20"/>
              </w:rPr>
            </w:pPr>
            <w:r w:rsidRPr="002960B1">
              <w:rPr>
                <w:rFonts w:eastAsia="Times New Roman" w:cstheme="minorHAnsi"/>
                <w:i/>
                <w:sz w:val="20"/>
                <w:szCs w:val="20"/>
              </w:rPr>
              <w:t xml:space="preserve">Email:                                                                                        Phone Number (      )         -                  </w:t>
            </w:r>
          </w:p>
        </w:tc>
      </w:tr>
    </w:tbl>
    <w:p w:rsidR="00B43D8B" w:rsidP="00B43D8B" w:rsidRDefault="00B43D8B" w14:paraId="7C8DA994" w14:textId="77777777">
      <w:pPr>
        <w:rPr>
          <w:rFonts w:cstheme="minorHAnsi"/>
        </w:rPr>
      </w:pPr>
    </w:p>
    <w:tbl>
      <w:tblPr>
        <w:tblStyle w:val="TableGrid"/>
        <w:tblW w:w="11250" w:type="dxa"/>
        <w:tblInd w:w="-1085" w:type="dxa"/>
        <w:tblBorders>
          <w:insideH w:val="dotted" w:color="auto" w:sz="4" w:space="0"/>
          <w:insideV w:val="dotted" w:color="auto" w:sz="4" w:space="0"/>
        </w:tblBorders>
        <w:tblLook w:val="04A0" w:firstRow="1" w:lastRow="0" w:firstColumn="1" w:lastColumn="0" w:noHBand="0" w:noVBand="1"/>
      </w:tblPr>
      <w:tblGrid>
        <w:gridCol w:w="11250"/>
      </w:tblGrid>
      <w:tr w:rsidRPr="002960B1" w:rsidR="00B43D8B" w:rsidTr="00432541" w14:paraId="262D76B6" w14:textId="77777777">
        <w:tc>
          <w:tcPr>
            <w:tcW w:w="11250" w:type="dxa"/>
            <w:shd w:val="clear" w:color="auto" w:fill="FBE4D5" w:themeFill="accent2" w:themeFillTint="33"/>
          </w:tcPr>
          <w:p w:rsidRPr="002960B1" w:rsidR="00B43D8B" w:rsidP="00432541" w:rsidRDefault="00B43D8B" w14:paraId="61AF8927" w14:textId="77777777">
            <w:pPr>
              <w:tabs>
                <w:tab w:val="left" w:pos="9765"/>
              </w:tabs>
              <w:spacing w:before="40"/>
              <w:jc w:val="center"/>
              <w:rPr>
                <w:rFonts w:eastAsia="Times New Roman" w:cstheme="minorHAnsi"/>
                <w:b/>
              </w:rPr>
            </w:pPr>
            <w:r>
              <w:rPr>
                <w:rFonts w:eastAsia="Times New Roman" w:cstheme="minorHAnsi"/>
                <w:b/>
              </w:rPr>
              <w:t>Standard Operating Procedures</w:t>
            </w:r>
          </w:p>
        </w:tc>
      </w:tr>
      <w:tr w:rsidRPr="002960B1" w:rsidR="00B43D8B" w:rsidTr="00432541" w14:paraId="7BC7CFE1" w14:textId="77777777">
        <w:tc>
          <w:tcPr>
            <w:tcW w:w="11250" w:type="dxa"/>
            <w:tcBorders>
              <w:top w:val="single" w:color="auto" w:sz="4" w:space="0"/>
            </w:tcBorders>
          </w:tcPr>
          <w:p w:rsidRPr="009A7056" w:rsidR="00B43D8B" w:rsidP="00432541" w:rsidRDefault="00B43D8B" w14:paraId="392FD9EB" w14:textId="0843AA60">
            <w:pPr>
              <w:spacing w:before="40" w:line="276" w:lineRule="auto"/>
              <w:rPr>
                <w:rFonts w:cstheme="minorHAnsi"/>
                <w:b/>
              </w:rPr>
            </w:pPr>
            <w:r w:rsidRPr="009A7056">
              <w:rPr>
                <w:rFonts w:eastAsia="Times New Roman" w:cstheme="minorHAnsi"/>
                <w:b/>
                <w:bCs/>
              </w:rPr>
              <w:t>In sections 1-6, please describe your standard operating procedures</w:t>
            </w:r>
            <w:r>
              <w:rPr>
                <w:rFonts w:eastAsia="Times New Roman" w:cstheme="minorHAnsi"/>
                <w:b/>
                <w:bCs/>
              </w:rPr>
              <w:t xml:space="preserve"> (SOPs)</w:t>
            </w:r>
            <w:r w:rsidRPr="009A7056">
              <w:rPr>
                <w:rFonts w:eastAsia="Times New Roman" w:cstheme="minorHAnsi"/>
                <w:b/>
                <w:bCs/>
              </w:rPr>
              <w:t xml:space="preserve"> that </w:t>
            </w:r>
            <w:r w:rsidRPr="00822F98">
              <w:rPr>
                <w:rFonts w:eastAsia="Times New Roman" w:cstheme="minorHAnsi"/>
                <w:b/>
                <w:bCs/>
              </w:rPr>
              <w:t>address</w:t>
            </w:r>
            <w:r w:rsidRPr="009A7056">
              <w:rPr>
                <w:rFonts w:eastAsia="Times New Roman" w:cstheme="minorHAnsi"/>
                <w:b/>
                <w:bCs/>
              </w:rPr>
              <w:t xml:space="preserve"> each regulatory requirement for importing nonhuman primate</w:t>
            </w:r>
            <w:r>
              <w:rPr>
                <w:rFonts w:eastAsia="Times New Roman" w:cstheme="minorHAnsi"/>
                <w:b/>
                <w:bCs/>
              </w:rPr>
              <w:t>s under a Zoo-to-Zoo registration</w:t>
            </w:r>
            <w:r w:rsidRPr="009A7056">
              <w:rPr>
                <w:rFonts w:eastAsia="Times New Roman" w:cstheme="minorHAnsi"/>
              </w:rPr>
              <w:t>.</w:t>
            </w:r>
            <w:r>
              <w:rPr>
                <w:rFonts w:eastAsia="Times New Roman" w:cstheme="minorHAnsi"/>
              </w:rPr>
              <w:t xml:space="preserve">  </w:t>
            </w:r>
            <w:r w:rsidRPr="005D43A1" w:rsidR="005D43A1">
              <w:rPr>
                <w:rFonts w:eastAsia="Times New Roman" w:cstheme="minorHAnsi"/>
                <w:b/>
                <w:bCs/>
              </w:rPr>
              <w:t>You may copy and paste applicable sections of your SOPs or reference the SOP (name</w:t>
            </w:r>
            <w:r w:rsidR="00B157D3">
              <w:rPr>
                <w:rFonts w:eastAsia="Times New Roman" w:cstheme="minorHAnsi"/>
                <w:b/>
                <w:bCs/>
              </w:rPr>
              <w:t xml:space="preserve"> AND</w:t>
            </w:r>
            <w:r w:rsidRPr="005D43A1" w:rsidR="005D43A1">
              <w:rPr>
                <w:rFonts w:eastAsia="Times New Roman" w:cstheme="minorHAnsi"/>
                <w:b/>
                <w:bCs/>
              </w:rPr>
              <w:t xml:space="preserve"> page number/section) that addresses each element in the spaces provided.  </w:t>
            </w:r>
            <w:r w:rsidRPr="009A7056">
              <w:rPr>
                <w:rFonts w:eastAsia="Times New Roman" w:cstheme="minorHAnsi"/>
                <w:b/>
                <w:bCs/>
              </w:rPr>
              <w:t>Please attach copies of your SOPs.</w:t>
            </w:r>
            <w:r>
              <w:rPr>
                <w:rFonts w:eastAsia="Times New Roman" w:cstheme="minorHAnsi"/>
              </w:rPr>
              <w:t xml:space="preserve"> </w:t>
            </w:r>
          </w:p>
        </w:tc>
      </w:tr>
    </w:tbl>
    <w:p w:rsidRPr="00822F98" w:rsidR="00B43D8B" w:rsidP="00B43D8B" w:rsidRDefault="00B43D8B" w14:paraId="3B7EDDD4" w14:textId="77777777">
      <w:pPr>
        <w:rPr>
          <w:rFonts w:cstheme="minorHAnsi"/>
          <w:b/>
          <w:bCs/>
        </w:rPr>
      </w:pPr>
    </w:p>
    <w:tbl>
      <w:tblPr>
        <w:tblStyle w:val="TableGrid"/>
        <w:tblW w:w="11250" w:type="dxa"/>
        <w:tblInd w:w="-1085" w:type="dxa"/>
        <w:tblLook w:val="04A0" w:firstRow="1" w:lastRow="0" w:firstColumn="1" w:lastColumn="0" w:noHBand="0" w:noVBand="1"/>
      </w:tblPr>
      <w:tblGrid>
        <w:gridCol w:w="2520"/>
        <w:gridCol w:w="2970"/>
        <w:gridCol w:w="5760"/>
      </w:tblGrid>
      <w:tr w:rsidRPr="002960B1" w:rsidR="00B43D8B" w:rsidTr="00432541" w14:paraId="5C9B8E3B" w14:textId="77777777">
        <w:tc>
          <w:tcPr>
            <w:tcW w:w="11250" w:type="dxa"/>
            <w:gridSpan w:val="3"/>
            <w:shd w:val="clear" w:color="auto" w:fill="FBE4D5" w:themeFill="accent2" w:themeFillTint="33"/>
          </w:tcPr>
          <w:p w:rsidRPr="002960B1" w:rsidR="00B43D8B" w:rsidP="00432541" w:rsidRDefault="00B43D8B" w14:paraId="0D10E7DC" w14:textId="77777777">
            <w:pPr>
              <w:tabs>
                <w:tab w:val="left" w:pos="9765"/>
              </w:tabs>
              <w:spacing w:before="40"/>
              <w:jc w:val="center"/>
              <w:rPr>
                <w:rFonts w:cstheme="minorHAnsi"/>
              </w:rPr>
            </w:pPr>
            <w:r w:rsidRPr="002960B1">
              <w:rPr>
                <w:rFonts w:eastAsia="Times New Roman" w:cstheme="minorHAnsi"/>
                <w:b/>
              </w:rPr>
              <w:t xml:space="preserve">Section </w:t>
            </w:r>
            <w:r>
              <w:rPr>
                <w:rFonts w:eastAsia="Times New Roman" w:cstheme="minorHAnsi"/>
                <w:b/>
              </w:rPr>
              <w:t>1</w:t>
            </w:r>
            <w:r w:rsidRPr="002960B1">
              <w:rPr>
                <w:rFonts w:eastAsia="Times New Roman" w:cstheme="minorHAnsi"/>
                <w:b/>
              </w:rPr>
              <w:t>: Document</w:t>
            </w:r>
            <w:r w:rsidRPr="000F4534">
              <w:rPr>
                <w:rFonts w:eastAsia="Times New Roman" w:cstheme="minorHAnsi"/>
                <w:b/>
              </w:rPr>
              <w:t>ation</w:t>
            </w:r>
          </w:p>
        </w:tc>
      </w:tr>
      <w:tr w:rsidRPr="002960B1" w:rsidR="00B43D8B" w:rsidTr="00432541" w14:paraId="094AB57F" w14:textId="77777777">
        <w:tc>
          <w:tcPr>
            <w:tcW w:w="5490" w:type="dxa"/>
            <w:gridSpan w:val="2"/>
          </w:tcPr>
          <w:p w:rsidRPr="002960B1" w:rsidR="00B43D8B" w:rsidP="00432541" w:rsidRDefault="00B43D8B" w14:paraId="56AC46D2" w14:textId="77777777">
            <w:pPr>
              <w:jc w:val="center"/>
              <w:rPr>
                <w:rFonts w:cstheme="minorHAnsi"/>
                <w:b/>
                <w:bCs/>
              </w:rPr>
            </w:pPr>
            <w:r w:rsidRPr="002960B1">
              <w:rPr>
                <w:rFonts w:cstheme="minorHAnsi"/>
                <w:b/>
                <w:bCs/>
              </w:rPr>
              <w:t>Regulation</w:t>
            </w:r>
            <w:r>
              <w:rPr>
                <w:rFonts w:cstheme="minorHAnsi"/>
                <w:b/>
                <w:bCs/>
              </w:rPr>
              <w:t xml:space="preserve"> </w:t>
            </w:r>
            <w:r w:rsidRPr="00A02DF4">
              <w:rPr>
                <w:rFonts w:cstheme="minorHAnsi"/>
                <w:b/>
                <w:bCs/>
              </w:rPr>
              <w:t>42 CFR §71.53 (h)</w:t>
            </w:r>
          </w:p>
        </w:tc>
        <w:tc>
          <w:tcPr>
            <w:tcW w:w="5760" w:type="dxa"/>
          </w:tcPr>
          <w:p w:rsidRPr="002960B1" w:rsidR="00B43D8B" w:rsidP="00432541" w:rsidRDefault="00B43D8B" w14:paraId="2A25DAE1" w14:textId="77777777">
            <w:pPr>
              <w:jc w:val="center"/>
              <w:rPr>
                <w:rFonts w:cstheme="minorHAnsi"/>
                <w:b/>
                <w:bCs/>
              </w:rPr>
            </w:pPr>
            <w:r w:rsidRPr="002960B1">
              <w:rPr>
                <w:rFonts w:cstheme="minorHAnsi"/>
                <w:b/>
                <w:bCs/>
              </w:rPr>
              <w:t>Standard Operating Procedure</w:t>
            </w:r>
            <w:r>
              <w:rPr>
                <w:rFonts w:cstheme="minorHAnsi"/>
                <w:b/>
                <w:bCs/>
              </w:rPr>
              <w:t xml:space="preserve"> Meeting Regulation</w:t>
            </w:r>
          </w:p>
        </w:tc>
      </w:tr>
      <w:tr w:rsidRPr="002960B1" w:rsidR="00B43D8B" w:rsidTr="00432541" w14:paraId="245FC75F" w14:textId="77777777">
        <w:tc>
          <w:tcPr>
            <w:tcW w:w="5490" w:type="dxa"/>
            <w:gridSpan w:val="2"/>
          </w:tcPr>
          <w:p w:rsidR="00B43D8B" w:rsidP="00B43D8B" w:rsidRDefault="00B43D8B" w14:paraId="12216EC1" w14:textId="77777777">
            <w:pPr>
              <w:pStyle w:val="ListParagraph"/>
              <w:numPr>
                <w:ilvl w:val="0"/>
                <w:numId w:val="8"/>
              </w:numPr>
              <w:rPr>
                <w:rFonts w:eastAsia="Times New Roman" w:cstheme="minorHAnsi"/>
                <w:bCs/>
                <w:i/>
                <w:iCs/>
                <w:sz w:val="20"/>
                <w:szCs w:val="20"/>
              </w:rPr>
            </w:pPr>
            <w:r w:rsidRPr="00C40463">
              <w:rPr>
                <w:rFonts w:eastAsia="Times New Roman" w:cstheme="minorHAnsi"/>
                <w:i/>
                <w:iCs/>
                <w:sz w:val="20"/>
                <w:szCs w:val="20"/>
              </w:rPr>
              <w:t>Describe your procedures to collect or create a record of the intended purpose of importation for each imported NHP. The purpose must comply with one of the regulatory permitted purposes (science, education, or exhibition), as defined in 42 CFR§71.53 (a).</w:t>
            </w:r>
          </w:p>
        </w:tc>
        <w:tc>
          <w:tcPr>
            <w:tcW w:w="5760" w:type="dxa"/>
          </w:tcPr>
          <w:p w:rsidRPr="002960B1" w:rsidR="00B43D8B" w:rsidP="00432541" w:rsidRDefault="00B43D8B" w14:paraId="27A29CA2" w14:textId="77777777">
            <w:pPr>
              <w:jc w:val="center"/>
              <w:rPr>
                <w:rFonts w:cstheme="minorHAnsi"/>
              </w:rPr>
            </w:pPr>
          </w:p>
        </w:tc>
      </w:tr>
      <w:tr w:rsidRPr="002960B1" w:rsidR="00B43D8B" w:rsidTr="00432541" w14:paraId="0DE9E702" w14:textId="77777777">
        <w:tc>
          <w:tcPr>
            <w:tcW w:w="5490" w:type="dxa"/>
            <w:gridSpan w:val="2"/>
          </w:tcPr>
          <w:p w:rsidRPr="00C40463" w:rsidR="00B43D8B" w:rsidP="00B43D8B" w:rsidRDefault="00B43D8B" w14:paraId="09705D29" w14:textId="77777777">
            <w:pPr>
              <w:pStyle w:val="ListParagraph"/>
              <w:numPr>
                <w:ilvl w:val="0"/>
                <w:numId w:val="8"/>
              </w:numPr>
              <w:rPr>
                <w:rFonts w:eastAsia="Times New Roman" w:cstheme="minorHAnsi"/>
                <w:bCs/>
                <w:i/>
                <w:iCs/>
                <w:sz w:val="20"/>
                <w:szCs w:val="20"/>
              </w:rPr>
            </w:pPr>
            <w:r w:rsidRPr="00C40463">
              <w:rPr>
                <w:rFonts w:eastAsia="Times New Roman" w:cstheme="minorHAnsi"/>
                <w:bCs/>
                <w:i/>
                <w:iCs/>
                <w:sz w:val="20"/>
                <w:szCs w:val="20"/>
              </w:rPr>
              <w:t>Describe how you will ensure that  written certifications demonstrating that the NHPs and their offspring will continue to be used for permitted purposes are maintained for three years after the distribution or transfer of the NHP. Each record must include the identity of any recipients, the number and identity of each NHP in each shipment or sale, and the dates of each shipment or sale, for three years after the distribution or transfer of the NHP.</w:t>
            </w:r>
          </w:p>
          <w:p w:rsidRPr="00D40EFA" w:rsidR="00B43D8B" w:rsidP="00432541" w:rsidRDefault="00B43D8B" w14:paraId="36B2929C" w14:textId="77777777">
            <w:pPr>
              <w:pStyle w:val="ListParagraph"/>
              <w:rPr>
                <w:rFonts w:eastAsia="Times New Roman" w:cstheme="minorHAnsi"/>
                <w:bCs/>
                <w:i/>
                <w:iCs/>
                <w:sz w:val="20"/>
                <w:szCs w:val="20"/>
              </w:rPr>
            </w:pPr>
            <w:r w:rsidRPr="00C40463">
              <w:rPr>
                <w:rFonts w:eastAsia="Times New Roman" w:cstheme="minorHAnsi"/>
                <w:bCs/>
                <w:i/>
                <w:iCs/>
                <w:sz w:val="20"/>
                <w:szCs w:val="20"/>
              </w:rPr>
              <w:t>An importer must maintain these records in an organized manner, either electronically or in a central location that is at or in close proximity to the NHP facility to allow HHS/CDC to easily inspect the records during HHS/CDC site visits during regular business hours or within one hour of such visits. If records are maintained electronically, they must be time-dated in a manner than cannot be altered, and redundant back-up copies must be made in a manner that protects against loss.</w:t>
            </w:r>
          </w:p>
        </w:tc>
        <w:tc>
          <w:tcPr>
            <w:tcW w:w="5760" w:type="dxa"/>
          </w:tcPr>
          <w:p w:rsidRPr="002960B1" w:rsidR="00B43D8B" w:rsidP="00432541" w:rsidRDefault="00B43D8B" w14:paraId="7BAF44A8" w14:textId="77777777">
            <w:pPr>
              <w:jc w:val="center"/>
              <w:rPr>
                <w:rFonts w:cstheme="minorHAnsi"/>
              </w:rPr>
            </w:pPr>
          </w:p>
        </w:tc>
      </w:tr>
      <w:tr w:rsidRPr="002960B1" w:rsidR="00B43D8B" w:rsidTr="00432541" w14:paraId="79C51C17" w14:textId="77777777">
        <w:tc>
          <w:tcPr>
            <w:tcW w:w="2520" w:type="dxa"/>
            <w:vMerge w:val="restart"/>
          </w:tcPr>
          <w:p w:rsidRPr="003E7A9F" w:rsidR="00B43D8B" w:rsidP="00B43D8B" w:rsidRDefault="00B43D8B" w14:paraId="614FE282" w14:textId="77777777">
            <w:pPr>
              <w:pStyle w:val="ListParagraph"/>
              <w:numPr>
                <w:ilvl w:val="0"/>
                <w:numId w:val="8"/>
              </w:numPr>
              <w:rPr>
                <w:rFonts w:eastAsia="Times New Roman" w:cstheme="minorHAnsi"/>
                <w:bCs/>
                <w:i/>
                <w:iCs/>
                <w:sz w:val="20"/>
                <w:szCs w:val="20"/>
              </w:rPr>
            </w:pPr>
            <w:r>
              <w:rPr>
                <w:rFonts w:eastAsia="Times New Roman" w:cstheme="minorHAnsi"/>
                <w:bCs/>
                <w:i/>
                <w:iCs/>
                <w:sz w:val="20"/>
                <w:szCs w:val="20"/>
              </w:rPr>
              <w:lastRenderedPageBreak/>
              <w:t>Explain how, b</w:t>
            </w:r>
            <w:r w:rsidRPr="003E7A9F">
              <w:rPr>
                <w:rFonts w:eastAsia="Times New Roman" w:cstheme="minorHAnsi"/>
                <w:bCs/>
                <w:i/>
                <w:iCs/>
                <w:sz w:val="20"/>
                <w:szCs w:val="20"/>
              </w:rPr>
              <w:t>efore distributing or transferring an imported NHP</w:t>
            </w:r>
            <w:r>
              <w:rPr>
                <w:rFonts w:eastAsia="Times New Roman" w:cstheme="minorHAnsi"/>
                <w:bCs/>
                <w:i/>
                <w:iCs/>
                <w:sz w:val="20"/>
                <w:szCs w:val="20"/>
              </w:rPr>
              <w:t>, you will:</w:t>
            </w:r>
          </w:p>
        </w:tc>
        <w:tc>
          <w:tcPr>
            <w:tcW w:w="2970" w:type="dxa"/>
          </w:tcPr>
          <w:p w:rsidRPr="002960B1" w:rsidR="00B43D8B" w:rsidP="00432541" w:rsidRDefault="00B43D8B" w14:paraId="50B18A90" w14:textId="77777777">
            <w:pPr>
              <w:rPr>
                <w:rFonts w:eastAsia="Times New Roman" w:cstheme="minorHAnsi"/>
                <w:bCs/>
                <w:i/>
                <w:iCs/>
                <w:sz w:val="20"/>
                <w:szCs w:val="20"/>
              </w:rPr>
            </w:pPr>
            <w:r>
              <w:rPr>
                <w:rFonts w:eastAsia="Times New Roman" w:cstheme="minorHAnsi"/>
                <w:bCs/>
                <w:i/>
                <w:iCs/>
                <w:sz w:val="20"/>
                <w:szCs w:val="20"/>
              </w:rPr>
              <w:t xml:space="preserve">i. </w:t>
            </w:r>
            <w:r w:rsidRPr="002960B1">
              <w:rPr>
                <w:rFonts w:eastAsia="Times New Roman" w:cstheme="minorHAnsi"/>
                <w:bCs/>
                <w:i/>
                <w:iCs/>
                <w:sz w:val="20"/>
                <w:szCs w:val="20"/>
              </w:rPr>
              <w:t>Communicate to the recipients of NHPs, in writing, the restrictions and definitions of permitted purposes</w:t>
            </w:r>
            <w:r>
              <w:rPr>
                <w:rFonts w:eastAsia="Times New Roman" w:cstheme="minorHAnsi"/>
                <w:bCs/>
                <w:i/>
                <w:iCs/>
                <w:sz w:val="20"/>
                <w:szCs w:val="20"/>
              </w:rPr>
              <w:t>; and</w:t>
            </w:r>
          </w:p>
        </w:tc>
        <w:tc>
          <w:tcPr>
            <w:tcW w:w="5760" w:type="dxa"/>
          </w:tcPr>
          <w:p w:rsidRPr="002960B1" w:rsidR="00B43D8B" w:rsidP="00432541" w:rsidRDefault="00B43D8B" w14:paraId="461DA163" w14:textId="77777777">
            <w:pPr>
              <w:jc w:val="center"/>
              <w:rPr>
                <w:rFonts w:eastAsia="Times New Roman" w:cstheme="minorHAnsi"/>
                <w:i/>
                <w:iCs/>
                <w:sz w:val="18"/>
                <w:szCs w:val="18"/>
              </w:rPr>
            </w:pPr>
          </w:p>
        </w:tc>
      </w:tr>
      <w:tr w:rsidRPr="002960B1" w:rsidR="00B43D8B" w:rsidTr="00432541" w14:paraId="583F937B" w14:textId="77777777">
        <w:tc>
          <w:tcPr>
            <w:tcW w:w="2520" w:type="dxa"/>
            <w:vMerge/>
          </w:tcPr>
          <w:p w:rsidRPr="002960B1" w:rsidR="00B43D8B" w:rsidP="00432541" w:rsidRDefault="00B43D8B" w14:paraId="19D3A95A" w14:textId="77777777">
            <w:pPr>
              <w:rPr>
                <w:rFonts w:eastAsia="Times New Roman" w:cstheme="minorHAnsi"/>
                <w:bCs/>
                <w:i/>
                <w:iCs/>
                <w:sz w:val="20"/>
                <w:szCs w:val="20"/>
              </w:rPr>
            </w:pPr>
          </w:p>
        </w:tc>
        <w:tc>
          <w:tcPr>
            <w:tcW w:w="2970" w:type="dxa"/>
          </w:tcPr>
          <w:p w:rsidRPr="002960B1" w:rsidR="00B43D8B" w:rsidP="00432541" w:rsidRDefault="00B43D8B" w14:paraId="68149312" w14:textId="77777777">
            <w:pPr>
              <w:rPr>
                <w:rFonts w:eastAsia="Times New Roman" w:cstheme="minorHAnsi"/>
                <w:bCs/>
                <w:i/>
                <w:iCs/>
                <w:sz w:val="20"/>
                <w:szCs w:val="20"/>
              </w:rPr>
            </w:pPr>
            <w:r>
              <w:rPr>
                <w:rFonts w:eastAsia="Times New Roman" w:cstheme="minorHAnsi"/>
                <w:bCs/>
                <w:i/>
                <w:iCs/>
                <w:sz w:val="20"/>
                <w:szCs w:val="20"/>
              </w:rPr>
              <w:t xml:space="preserve">ii. </w:t>
            </w:r>
            <w:r w:rsidRPr="002960B1">
              <w:rPr>
                <w:rFonts w:eastAsia="Times New Roman" w:cstheme="minorHAnsi"/>
                <w:bCs/>
                <w:i/>
                <w:iCs/>
                <w:sz w:val="20"/>
                <w:szCs w:val="20"/>
              </w:rPr>
              <w:t>Obtain written certifications from the intended recipient that the NHPs will be used and distributed only for permitted purposes</w:t>
            </w:r>
            <w:r>
              <w:rPr>
                <w:rFonts w:eastAsia="Times New Roman" w:cstheme="minorHAnsi"/>
                <w:bCs/>
                <w:i/>
                <w:iCs/>
                <w:sz w:val="20"/>
                <w:szCs w:val="20"/>
              </w:rPr>
              <w:t xml:space="preserve">. </w:t>
            </w:r>
          </w:p>
        </w:tc>
        <w:tc>
          <w:tcPr>
            <w:tcW w:w="5760" w:type="dxa"/>
          </w:tcPr>
          <w:p w:rsidRPr="002960B1" w:rsidR="00B43D8B" w:rsidP="00432541" w:rsidRDefault="00B43D8B" w14:paraId="785B0E46" w14:textId="77777777">
            <w:pPr>
              <w:jc w:val="center"/>
              <w:rPr>
                <w:rFonts w:eastAsia="Times New Roman" w:cstheme="minorHAnsi"/>
                <w:i/>
                <w:iCs/>
                <w:sz w:val="18"/>
                <w:szCs w:val="18"/>
              </w:rPr>
            </w:pPr>
          </w:p>
        </w:tc>
      </w:tr>
    </w:tbl>
    <w:p w:rsidRPr="002960B1" w:rsidR="00B43D8B" w:rsidP="00B43D8B" w:rsidRDefault="00B43D8B" w14:paraId="1A09BFDC" w14:textId="77777777">
      <w:pPr>
        <w:rPr>
          <w:rFonts w:cstheme="minorHAnsi"/>
        </w:rPr>
      </w:pPr>
    </w:p>
    <w:tbl>
      <w:tblPr>
        <w:tblStyle w:val="TableGrid"/>
        <w:tblW w:w="11250" w:type="dxa"/>
        <w:tblInd w:w="-1085" w:type="dxa"/>
        <w:tblLook w:val="04A0" w:firstRow="1" w:lastRow="0" w:firstColumn="1" w:lastColumn="0" w:noHBand="0" w:noVBand="1"/>
      </w:tblPr>
      <w:tblGrid>
        <w:gridCol w:w="524"/>
        <w:gridCol w:w="12"/>
        <w:gridCol w:w="724"/>
        <w:gridCol w:w="4230"/>
        <w:gridCol w:w="5760"/>
      </w:tblGrid>
      <w:tr w:rsidRPr="002960B1" w:rsidR="00B43D8B" w:rsidTr="00432541" w14:paraId="68F5773F" w14:textId="77777777">
        <w:tc>
          <w:tcPr>
            <w:tcW w:w="11250" w:type="dxa"/>
            <w:gridSpan w:val="5"/>
            <w:shd w:val="clear" w:color="auto" w:fill="FBE4D5" w:themeFill="accent2" w:themeFillTint="33"/>
          </w:tcPr>
          <w:p w:rsidRPr="002960B1" w:rsidR="00B43D8B" w:rsidP="00432541" w:rsidRDefault="00B43D8B" w14:paraId="03121D2A" w14:textId="77777777">
            <w:pPr>
              <w:jc w:val="center"/>
              <w:rPr>
                <w:rFonts w:cstheme="minorHAnsi"/>
                <w:b/>
                <w:bCs/>
              </w:rPr>
            </w:pPr>
            <w:r w:rsidRPr="002960B1">
              <w:rPr>
                <w:rFonts w:cstheme="minorHAnsi"/>
                <w:b/>
                <w:bCs/>
              </w:rPr>
              <w:t xml:space="preserve">Section </w:t>
            </w:r>
            <w:r>
              <w:rPr>
                <w:rFonts w:cstheme="minorHAnsi"/>
                <w:b/>
                <w:bCs/>
              </w:rPr>
              <w:t>2</w:t>
            </w:r>
            <w:r w:rsidRPr="002960B1">
              <w:rPr>
                <w:rFonts w:cstheme="minorHAnsi"/>
                <w:b/>
                <w:bCs/>
              </w:rPr>
              <w:t xml:space="preserve">: Worker Protection Plan and Personal Protective Equipment </w:t>
            </w:r>
          </w:p>
        </w:tc>
      </w:tr>
      <w:tr w:rsidRPr="002960B1" w:rsidR="00B43D8B" w:rsidTr="00432541" w14:paraId="12D54DF7" w14:textId="77777777">
        <w:tc>
          <w:tcPr>
            <w:tcW w:w="5490" w:type="dxa"/>
            <w:gridSpan w:val="4"/>
          </w:tcPr>
          <w:p w:rsidRPr="002960B1" w:rsidR="00B43D8B" w:rsidP="00432541" w:rsidRDefault="00B43D8B" w14:paraId="2BECA56D" w14:textId="77777777">
            <w:pPr>
              <w:jc w:val="center"/>
              <w:rPr>
                <w:rFonts w:cstheme="minorHAnsi"/>
              </w:rPr>
            </w:pPr>
            <w:r w:rsidRPr="002960B1">
              <w:rPr>
                <w:rFonts w:cstheme="minorHAnsi"/>
                <w:b/>
                <w:bCs/>
              </w:rPr>
              <w:t>Regulation</w:t>
            </w:r>
            <w:r>
              <w:rPr>
                <w:rFonts w:cstheme="minorHAnsi"/>
                <w:b/>
                <w:bCs/>
              </w:rPr>
              <w:t xml:space="preserve"> </w:t>
            </w:r>
            <w:r w:rsidRPr="00A02DF4">
              <w:rPr>
                <w:rFonts w:cstheme="minorHAnsi"/>
                <w:b/>
                <w:bCs/>
              </w:rPr>
              <w:t>42 CFR §71.53 (</w:t>
            </w:r>
            <w:r>
              <w:rPr>
                <w:rFonts w:cstheme="minorHAnsi"/>
                <w:b/>
                <w:bCs/>
              </w:rPr>
              <w:t>i</w:t>
            </w:r>
            <w:r w:rsidRPr="00A02DF4">
              <w:rPr>
                <w:rFonts w:cstheme="minorHAnsi"/>
                <w:b/>
                <w:bCs/>
              </w:rPr>
              <w:t>)</w:t>
            </w:r>
          </w:p>
        </w:tc>
        <w:tc>
          <w:tcPr>
            <w:tcW w:w="5760" w:type="dxa"/>
          </w:tcPr>
          <w:p w:rsidRPr="002960B1" w:rsidR="00B43D8B" w:rsidP="00432541" w:rsidRDefault="00B43D8B" w14:paraId="3093028B" w14:textId="77777777">
            <w:pPr>
              <w:jc w:val="center"/>
              <w:rPr>
                <w:rFonts w:cstheme="minorHAnsi"/>
              </w:rPr>
            </w:pPr>
            <w:r w:rsidRPr="002960B1">
              <w:rPr>
                <w:rFonts w:cstheme="minorHAnsi"/>
                <w:b/>
                <w:bCs/>
              </w:rPr>
              <w:t>Standard Operating Procedure</w:t>
            </w:r>
            <w:r>
              <w:rPr>
                <w:rFonts w:cstheme="minorHAnsi"/>
                <w:b/>
                <w:bCs/>
              </w:rPr>
              <w:t xml:space="preserve"> Meeting Regulation</w:t>
            </w:r>
          </w:p>
        </w:tc>
      </w:tr>
      <w:tr w:rsidRPr="002960B1" w:rsidR="00B43D8B" w:rsidTr="00432541" w14:paraId="6BCF2DE7" w14:textId="77777777">
        <w:tc>
          <w:tcPr>
            <w:tcW w:w="5490" w:type="dxa"/>
            <w:gridSpan w:val="4"/>
          </w:tcPr>
          <w:p w:rsidRPr="009B517E" w:rsidR="00B43D8B" w:rsidP="00432541" w:rsidRDefault="00B43D8B" w14:paraId="1C1CAA70" w14:textId="77777777">
            <w:pPr>
              <w:pStyle w:val="ListParagraph"/>
              <w:rPr>
                <w:rFonts w:cstheme="minorHAnsi"/>
                <w:i/>
                <w:iCs/>
                <w:sz w:val="20"/>
                <w:szCs w:val="20"/>
              </w:rPr>
            </w:pPr>
            <w:r>
              <w:rPr>
                <w:rFonts w:cstheme="minorHAnsi"/>
                <w:i/>
                <w:iCs/>
                <w:color w:val="000000"/>
                <w:sz w:val="20"/>
                <w:szCs w:val="20"/>
              </w:rPr>
              <w:t xml:space="preserve">Note: </w:t>
            </w:r>
            <w:r w:rsidRPr="0058279F">
              <w:rPr>
                <w:rFonts w:cstheme="minorHAnsi"/>
                <w:i/>
                <w:iCs/>
                <w:color w:val="000000"/>
                <w:sz w:val="20"/>
                <w:szCs w:val="20"/>
              </w:rPr>
              <w:t>In addition to complying with the requirements of this section, an importer must comply with all relevant federal and state requirements relating to occupational health and safety.</w:t>
            </w:r>
          </w:p>
        </w:tc>
        <w:tc>
          <w:tcPr>
            <w:tcW w:w="5760" w:type="dxa"/>
            <w:shd w:val="clear" w:color="auto" w:fill="404040" w:themeFill="text1" w:themeFillTint="BF"/>
          </w:tcPr>
          <w:p w:rsidRPr="002960B1" w:rsidR="00B43D8B" w:rsidP="00432541" w:rsidRDefault="00B43D8B" w14:paraId="12C35CE3" w14:textId="77777777">
            <w:pPr>
              <w:rPr>
                <w:rFonts w:cstheme="minorHAnsi"/>
                <w:sz w:val="20"/>
                <w:szCs w:val="20"/>
              </w:rPr>
            </w:pPr>
          </w:p>
        </w:tc>
      </w:tr>
      <w:tr w:rsidRPr="002960B1" w:rsidR="00B43D8B" w:rsidTr="00432541" w14:paraId="6798C225" w14:textId="77777777">
        <w:tc>
          <w:tcPr>
            <w:tcW w:w="5490" w:type="dxa"/>
            <w:gridSpan w:val="4"/>
          </w:tcPr>
          <w:p w:rsidRPr="009B517E" w:rsidR="00B43D8B" w:rsidP="00B43D8B" w:rsidRDefault="00B43D8B" w14:paraId="0620F507" w14:textId="77777777">
            <w:pPr>
              <w:pStyle w:val="ListParagraph"/>
              <w:numPr>
                <w:ilvl w:val="0"/>
                <w:numId w:val="9"/>
              </w:numPr>
              <w:rPr>
                <w:rFonts w:cstheme="minorHAnsi"/>
                <w:i/>
                <w:iCs/>
                <w:sz w:val="20"/>
                <w:szCs w:val="20"/>
              </w:rPr>
            </w:pPr>
            <w:r>
              <w:rPr>
                <w:rFonts w:cstheme="minorHAnsi"/>
                <w:i/>
                <w:iCs/>
                <w:color w:val="000000"/>
                <w:sz w:val="20"/>
                <w:szCs w:val="20"/>
              </w:rPr>
              <w:t xml:space="preserve">Please verify that you </w:t>
            </w:r>
            <w:r w:rsidRPr="0058279F">
              <w:rPr>
                <w:rFonts w:cstheme="minorHAnsi"/>
                <w:i/>
                <w:iCs/>
                <w:color w:val="000000"/>
                <w:sz w:val="20"/>
                <w:szCs w:val="20"/>
              </w:rPr>
              <w:t>have a written worker protection plan for anyone whose duties may result in exposure to NHPs, including procedures for appropriate response measures in the event of an emergency. An importer must adhere to the plan and SOPs and must ensure that each worker covered under the plan also adheres to it and all pertinent SOPs.</w:t>
            </w:r>
            <w:r>
              <w:rPr>
                <w:rFonts w:cstheme="minorHAnsi"/>
                <w:i/>
                <w:iCs/>
                <w:color w:val="000000"/>
                <w:sz w:val="20"/>
                <w:szCs w:val="20"/>
              </w:rPr>
              <w:t xml:space="preserve">  </w:t>
            </w:r>
          </w:p>
        </w:tc>
        <w:tc>
          <w:tcPr>
            <w:tcW w:w="5760" w:type="dxa"/>
          </w:tcPr>
          <w:p w:rsidRPr="002960B1" w:rsidR="00B43D8B" w:rsidP="00432541" w:rsidRDefault="00B43D8B" w14:paraId="3964B5A1" w14:textId="77777777">
            <w:pPr>
              <w:rPr>
                <w:rFonts w:cstheme="minorHAnsi"/>
                <w:sz w:val="20"/>
                <w:szCs w:val="20"/>
              </w:rPr>
            </w:pPr>
          </w:p>
        </w:tc>
      </w:tr>
      <w:tr w:rsidRPr="002960B1" w:rsidR="00B43D8B" w:rsidTr="00432541" w14:paraId="30DF06B2" w14:textId="77777777">
        <w:tc>
          <w:tcPr>
            <w:tcW w:w="5490" w:type="dxa"/>
            <w:gridSpan w:val="4"/>
          </w:tcPr>
          <w:p w:rsidRPr="009B517E" w:rsidR="00B43D8B" w:rsidP="00B43D8B" w:rsidRDefault="00B43D8B" w14:paraId="6A5CEB6B" w14:textId="77777777">
            <w:pPr>
              <w:pStyle w:val="ListParagraph"/>
              <w:numPr>
                <w:ilvl w:val="0"/>
                <w:numId w:val="9"/>
              </w:numPr>
              <w:rPr>
                <w:rFonts w:cstheme="minorHAnsi"/>
                <w:i/>
                <w:iCs/>
                <w:sz w:val="20"/>
                <w:szCs w:val="20"/>
              </w:rPr>
            </w:pPr>
            <w:r w:rsidRPr="009B517E">
              <w:rPr>
                <w:rFonts w:cstheme="minorHAnsi"/>
                <w:i/>
                <w:iCs/>
                <w:color w:val="000000"/>
                <w:sz w:val="20"/>
                <w:szCs w:val="20"/>
              </w:rPr>
              <w:t>An importer must contact HHS/CDC immediately by telephone, text, or email, as specified in the importer's SOP, to report any instance of a worker exposed to a zoonotic illness and must include instructions for contacting HHS/CDC in its worker protection plan.</w:t>
            </w:r>
            <w:r>
              <w:rPr>
                <w:rFonts w:cstheme="minorHAnsi"/>
                <w:i/>
                <w:iCs/>
                <w:color w:val="000000"/>
                <w:sz w:val="20"/>
                <w:szCs w:val="20"/>
              </w:rPr>
              <w:t xml:space="preserve"> Please describe your procedures to contact CDC.</w:t>
            </w:r>
          </w:p>
        </w:tc>
        <w:tc>
          <w:tcPr>
            <w:tcW w:w="5760" w:type="dxa"/>
          </w:tcPr>
          <w:p w:rsidRPr="002960B1" w:rsidR="00B43D8B" w:rsidP="00432541" w:rsidRDefault="00B43D8B" w14:paraId="09C049E2" w14:textId="77777777">
            <w:pPr>
              <w:rPr>
                <w:rFonts w:cstheme="minorHAnsi"/>
                <w:sz w:val="20"/>
                <w:szCs w:val="20"/>
              </w:rPr>
            </w:pPr>
          </w:p>
        </w:tc>
      </w:tr>
      <w:tr w:rsidRPr="002960B1" w:rsidR="00B43D8B" w:rsidTr="00432541" w14:paraId="64F5E194" w14:textId="77777777">
        <w:tc>
          <w:tcPr>
            <w:tcW w:w="5490" w:type="dxa"/>
            <w:gridSpan w:val="4"/>
          </w:tcPr>
          <w:p w:rsidRPr="009B517E" w:rsidR="00B43D8B" w:rsidP="00B43D8B" w:rsidRDefault="00B43D8B" w14:paraId="771098DA" w14:textId="77777777">
            <w:pPr>
              <w:pStyle w:val="ListParagraph"/>
              <w:numPr>
                <w:ilvl w:val="0"/>
                <w:numId w:val="9"/>
              </w:numPr>
              <w:rPr>
                <w:rFonts w:cstheme="minorHAnsi"/>
                <w:i/>
                <w:iCs/>
                <w:sz w:val="20"/>
                <w:szCs w:val="20"/>
              </w:rPr>
            </w:pPr>
            <w:r>
              <w:rPr>
                <w:rFonts w:cstheme="minorHAnsi"/>
                <w:i/>
                <w:iCs/>
                <w:color w:val="000000"/>
                <w:sz w:val="20"/>
                <w:szCs w:val="20"/>
              </w:rPr>
              <w:t xml:space="preserve">Describe the elements of your </w:t>
            </w:r>
            <w:r w:rsidRPr="001803F3">
              <w:rPr>
                <w:rFonts w:cstheme="minorHAnsi"/>
                <w:i/>
                <w:iCs/>
                <w:color w:val="000000"/>
                <w:sz w:val="20"/>
                <w:szCs w:val="20"/>
              </w:rPr>
              <w:t xml:space="preserve">worker protection plan </w:t>
            </w:r>
            <w:r>
              <w:rPr>
                <w:rFonts w:cstheme="minorHAnsi"/>
                <w:i/>
                <w:iCs/>
                <w:color w:val="000000"/>
                <w:sz w:val="20"/>
                <w:szCs w:val="20"/>
              </w:rPr>
              <w:t>that address the</w:t>
            </w:r>
            <w:r w:rsidRPr="001803F3">
              <w:rPr>
                <w:rFonts w:cstheme="minorHAnsi"/>
                <w:i/>
                <w:iCs/>
                <w:color w:val="000000"/>
                <w:sz w:val="20"/>
                <w:szCs w:val="20"/>
              </w:rPr>
              <w:t xml:space="preserve"> following:</w:t>
            </w:r>
          </w:p>
        </w:tc>
        <w:tc>
          <w:tcPr>
            <w:tcW w:w="5760" w:type="dxa"/>
            <w:shd w:val="clear" w:color="auto" w:fill="595959" w:themeFill="text1" w:themeFillTint="A6"/>
          </w:tcPr>
          <w:p w:rsidRPr="001F6BF1" w:rsidR="00B43D8B" w:rsidP="00432541" w:rsidRDefault="00B43D8B" w14:paraId="52C4DA41" w14:textId="77777777">
            <w:pPr>
              <w:ind w:left="360" w:firstLine="720"/>
              <w:rPr>
                <w:rFonts w:cstheme="minorHAnsi"/>
                <w:i/>
                <w:iCs/>
                <w:sz w:val="20"/>
                <w:szCs w:val="20"/>
              </w:rPr>
            </w:pPr>
          </w:p>
        </w:tc>
      </w:tr>
      <w:tr w:rsidRPr="002960B1" w:rsidR="00B43D8B" w:rsidTr="00432541" w14:paraId="0FDA5739" w14:textId="77777777">
        <w:tc>
          <w:tcPr>
            <w:tcW w:w="536" w:type="dxa"/>
            <w:gridSpan w:val="2"/>
            <w:vMerge w:val="restart"/>
          </w:tcPr>
          <w:p w:rsidRPr="009B517E" w:rsidR="00B43D8B" w:rsidP="00432541" w:rsidRDefault="00B43D8B" w14:paraId="47DBCF2B" w14:textId="77777777">
            <w:pPr>
              <w:rPr>
                <w:rFonts w:cstheme="minorHAnsi"/>
                <w:i/>
                <w:iCs/>
                <w:sz w:val="20"/>
                <w:szCs w:val="20"/>
              </w:rPr>
            </w:pPr>
          </w:p>
        </w:tc>
        <w:tc>
          <w:tcPr>
            <w:tcW w:w="4954" w:type="dxa"/>
            <w:gridSpan w:val="2"/>
          </w:tcPr>
          <w:p w:rsidRPr="009B517E" w:rsidR="00B43D8B" w:rsidP="00B43D8B" w:rsidRDefault="00B43D8B" w14:paraId="56A78DBF" w14:textId="77777777">
            <w:pPr>
              <w:pStyle w:val="ListParagraph"/>
              <w:numPr>
                <w:ilvl w:val="0"/>
                <w:numId w:val="10"/>
              </w:numPr>
              <w:rPr>
                <w:rFonts w:cstheme="minorHAnsi"/>
                <w:i/>
                <w:iCs/>
                <w:sz w:val="20"/>
                <w:szCs w:val="20"/>
              </w:rPr>
            </w:pPr>
            <w:r w:rsidRPr="009B517E">
              <w:rPr>
                <w:rFonts w:cstheme="minorHAnsi"/>
                <w:i/>
                <w:iCs/>
                <w:color w:val="000000"/>
                <w:sz w:val="20"/>
                <w:szCs w:val="20"/>
              </w:rPr>
              <w:t>Procedures to protect and train transport workers in how to avoid and respond to zoonotic disease exposures associated with NHPs, including procedures for appropriate responses in the event of a vehicle crash or other emergency during transport;</w:t>
            </w:r>
          </w:p>
        </w:tc>
        <w:tc>
          <w:tcPr>
            <w:tcW w:w="5760" w:type="dxa"/>
          </w:tcPr>
          <w:p w:rsidRPr="002960B1" w:rsidR="00B43D8B" w:rsidP="00432541" w:rsidRDefault="00B43D8B" w14:paraId="74F5AC27" w14:textId="77777777">
            <w:pPr>
              <w:rPr>
                <w:rFonts w:cstheme="minorHAnsi"/>
              </w:rPr>
            </w:pPr>
          </w:p>
        </w:tc>
      </w:tr>
      <w:tr w:rsidRPr="002960B1" w:rsidR="00B43D8B" w:rsidTr="00432541" w14:paraId="0C11B17C" w14:textId="77777777">
        <w:tc>
          <w:tcPr>
            <w:tcW w:w="536" w:type="dxa"/>
            <w:gridSpan w:val="2"/>
            <w:vMerge/>
          </w:tcPr>
          <w:p w:rsidRPr="009B517E" w:rsidR="00B43D8B" w:rsidP="00432541" w:rsidRDefault="00B43D8B" w14:paraId="4650CD58" w14:textId="77777777">
            <w:pPr>
              <w:rPr>
                <w:rFonts w:cstheme="minorHAnsi"/>
                <w:i/>
                <w:iCs/>
                <w:sz w:val="20"/>
                <w:szCs w:val="20"/>
              </w:rPr>
            </w:pPr>
          </w:p>
        </w:tc>
        <w:tc>
          <w:tcPr>
            <w:tcW w:w="4954" w:type="dxa"/>
            <w:gridSpan w:val="2"/>
          </w:tcPr>
          <w:p w:rsidRPr="009B517E" w:rsidR="00B43D8B" w:rsidP="00B43D8B" w:rsidRDefault="00B43D8B" w14:paraId="24E2862E" w14:textId="77777777">
            <w:pPr>
              <w:pStyle w:val="ListParagraph"/>
              <w:numPr>
                <w:ilvl w:val="0"/>
                <w:numId w:val="10"/>
              </w:numPr>
              <w:rPr>
                <w:rFonts w:cstheme="minorHAnsi"/>
                <w:i/>
                <w:iCs/>
                <w:sz w:val="20"/>
                <w:szCs w:val="20"/>
              </w:rPr>
            </w:pPr>
            <w:r w:rsidRPr="009B517E">
              <w:rPr>
                <w:rFonts w:cstheme="minorHAnsi"/>
                <w:i/>
                <w:iCs/>
                <w:color w:val="000000"/>
                <w:sz w:val="20"/>
                <w:szCs w:val="20"/>
              </w:rPr>
              <w:t>An infection-prevention program, including infection-prevention methods requiring, at a minimum, PPE and workplace practices for preventing infection among workers whose duties may result in exposure to NHPs and;</w:t>
            </w:r>
          </w:p>
        </w:tc>
        <w:tc>
          <w:tcPr>
            <w:tcW w:w="5760" w:type="dxa"/>
          </w:tcPr>
          <w:p w:rsidRPr="002960B1" w:rsidR="00B43D8B" w:rsidP="00432541" w:rsidRDefault="00B43D8B" w14:paraId="21426B0E" w14:textId="77777777">
            <w:pPr>
              <w:rPr>
                <w:rFonts w:cstheme="minorHAnsi"/>
              </w:rPr>
            </w:pPr>
          </w:p>
        </w:tc>
      </w:tr>
      <w:tr w:rsidRPr="002960B1" w:rsidR="00B43D8B" w:rsidTr="00432541" w14:paraId="5C6AC569" w14:textId="77777777">
        <w:tc>
          <w:tcPr>
            <w:tcW w:w="1260" w:type="dxa"/>
            <w:gridSpan w:val="3"/>
            <w:vMerge w:val="restart"/>
          </w:tcPr>
          <w:p w:rsidRPr="009B517E" w:rsidR="00B43D8B" w:rsidP="00432541" w:rsidRDefault="00B43D8B" w14:paraId="1DD29AC5" w14:textId="77777777">
            <w:pPr>
              <w:pStyle w:val="ListParagraph"/>
              <w:rPr>
                <w:rFonts w:cstheme="minorHAnsi"/>
                <w:i/>
                <w:iCs/>
                <w:color w:val="000000"/>
                <w:sz w:val="20"/>
                <w:szCs w:val="20"/>
              </w:rPr>
            </w:pPr>
          </w:p>
        </w:tc>
        <w:tc>
          <w:tcPr>
            <w:tcW w:w="4230" w:type="dxa"/>
          </w:tcPr>
          <w:p w:rsidRPr="009B517E" w:rsidR="00B43D8B" w:rsidP="00B43D8B" w:rsidRDefault="00B43D8B" w14:paraId="33883E4D" w14:textId="77777777">
            <w:pPr>
              <w:pStyle w:val="ListParagraph"/>
              <w:numPr>
                <w:ilvl w:val="0"/>
                <w:numId w:val="11"/>
              </w:numPr>
              <w:rPr>
                <w:rFonts w:cstheme="minorHAnsi"/>
                <w:i/>
                <w:iCs/>
                <w:color w:val="000000"/>
                <w:sz w:val="20"/>
                <w:szCs w:val="20"/>
              </w:rPr>
            </w:pPr>
            <w:r w:rsidRPr="009B517E">
              <w:rPr>
                <w:rFonts w:cstheme="minorHAnsi"/>
                <w:i/>
                <w:iCs/>
                <w:color w:val="000000"/>
                <w:sz w:val="20"/>
                <w:szCs w:val="20"/>
              </w:rPr>
              <w:t>SOPs that include requirements for preventing workplace infection from potentially contaminated needles or other sharp instruments and that, at a minimum, prohibit workers from recapping used needles by hand; removing needles by hand; or otherwise bending, breaking, or manipulating used needles by hand.</w:t>
            </w:r>
          </w:p>
        </w:tc>
        <w:tc>
          <w:tcPr>
            <w:tcW w:w="5760" w:type="dxa"/>
          </w:tcPr>
          <w:p w:rsidRPr="002960B1" w:rsidR="00B43D8B" w:rsidP="00432541" w:rsidRDefault="00B43D8B" w14:paraId="0CCAD56F" w14:textId="77777777">
            <w:pPr>
              <w:rPr>
                <w:rFonts w:cstheme="minorHAnsi"/>
              </w:rPr>
            </w:pPr>
          </w:p>
        </w:tc>
      </w:tr>
      <w:tr w:rsidRPr="002960B1" w:rsidR="00B43D8B" w:rsidTr="00432541" w14:paraId="07A41405" w14:textId="77777777">
        <w:tc>
          <w:tcPr>
            <w:tcW w:w="1260" w:type="dxa"/>
            <w:gridSpan w:val="3"/>
            <w:vMerge/>
          </w:tcPr>
          <w:p w:rsidRPr="009B517E" w:rsidR="00B43D8B" w:rsidP="00432541" w:rsidRDefault="00B43D8B" w14:paraId="07242EEE" w14:textId="77777777">
            <w:pPr>
              <w:pStyle w:val="ListParagraph"/>
              <w:rPr>
                <w:rFonts w:cstheme="minorHAnsi"/>
                <w:i/>
                <w:iCs/>
                <w:color w:val="000000"/>
                <w:sz w:val="20"/>
                <w:szCs w:val="20"/>
              </w:rPr>
            </w:pPr>
          </w:p>
        </w:tc>
        <w:tc>
          <w:tcPr>
            <w:tcW w:w="4230" w:type="dxa"/>
          </w:tcPr>
          <w:p w:rsidRPr="009B517E" w:rsidR="00B43D8B" w:rsidP="00B43D8B" w:rsidRDefault="00B43D8B" w14:paraId="12291583" w14:textId="77777777">
            <w:pPr>
              <w:pStyle w:val="ListParagraph"/>
              <w:numPr>
                <w:ilvl w:val="0"/>
                <w:numId w:val="11"/>
              </w:numPr>
              <w:rPr>
                <w:rFonts w:cstheme="minorHAnsi"/>
                <w:i/>
                <w:iCs/>
                <w:color w:val="000000"/>
                <w:sz w:val="20"/>
                <w:szCs w:val="20"/>
              </w:rPr>
            </w:pPr>
            <w:r w:rsidRPr="009B517E">
              <w:rPr>
                <w:rFonts w:cstheme="minorHAnsi"/>
                <w:i/>
                <w:iCs/>
                <w:color w:val="000000"/>
                <w:sz w:val="20"/>
                <w:szCs w:val="20"/>
              </w:rPr>
              <w:t>SOPs requiring that used disposable syringes and needles, scalpel blades, and other sharp items be placed in puncture-resistant containers kept as close to the work site as practical and disinfected and/or disposed of as hazardous waste.</w:t>
            </w:r>
          </w:p>
        </w:tc>
        <w:tc>
          <w:tcPr>
            <w:tcW w:w="5760" w:type="dxa"/>
          </w:tcPr>
          <w:p w:rsidRPr="002960B1" w:rsidR="00B43D8B" w:rsidP="00432541" w:rsidRDefault="00B43D8B" w14:paraId="4D2B0D25" w14:textId="77777777">
            <w:pPr>
              <w:rPr>
                <w:rFonts w:cstheme="minorHAnsi"/>
              </w:rPr>
            </w:pPr>
          </w:p>
        </w:tc>
      </w:tr>
      <w:tr w:rsidRPr="00EB2999" w:rsidR="00B43D8B" w:rsidTr="00432541" w14:paraId="066CBE01" w14:textId="77777777">
        <w:trPr>
          <w:trHeight w:val="855"/>
        </w:trPr>
        <w:tc>
          <w:tcPr>
            <w:tcW w:w="1260" w:type="dxa"/>
            <w:gridSpan w:val="3"/>
            <w:vMerge/>
          </w:tcPr>
          <w:p w:rsidRPr="009B517E" w:rsidR="00B43D8B" w:rsidP="00432541" w:rsidRDefault="00B43D8B" w14:paraId="3CA0B38C" w14:textId="77777777">
            <w:pPr>
              <w:pStyle w:val="ListParagraph"/>
              <w:rPr>
                <w:rFonts w:cstheme="minorHAnsi"/>
                <w:i/>
                <w:iCs/>
                <w:color w:val="000000"/>
                <w:sz w:val="20"/>
                <w:szCs w:val="20"/>
              </w:rPr>
            </w:pPr>
          </w:p>
        </w:tc>
        <w:tc>
          <w:tcPr>
            <w:tcW w:w="4230" w:type="dxa"/>
          </w:tcPr>
          <w:p w:rsidRPr="003B3184" w:rsidR="00B43D8B" w:rsidP="00B43D8B" w:rsidRDefault="00B43D8B" w14:paraId="7C14D062" w14:textId="77777777">
            <w:pPr>
              <w:pStyle w:val="ListParagraph"/>
              <w:numPr>
                <w:ilvl w:val="0"/>
                <w:numId w:val="11"/>
              </w:numPr>
              <w:rPr>
                <w:rFonts w:cstheme="minorHAnsi"/>
                <w:i/>
                <w:iCs/>
                <w:color w:val="000000"/>
                <w:sz w:val="20"/>
                <w:szCs w:val="20"/>
              </w:rPr>
            </w:pPr>
            <w:r w:rsidRPr="009B517E">
              <w:rPr>
                <w:rFonts w:cstheme="minorHAnsi"/>
                <w:i/>
                <w:iCs/>
                <w:color w:val="000000"/>
                <w:sz w:val="20"/>
                <w:szCs w:val="20"/>
              </w:rPr>
              <w:t xml:space="preserve">SOPs requiring that removable, disposable PPE be autoclaved, incinerated, or otherwise disposed of as biohazardous waste. </w:t>
            </w:r>
          </w:p>
        </w:tc>
        <w:tc>
          <w:tcPr>
            <w:tcW w:w="5760" w:type="dxa"/>
            <w:vMerge w:val="restart"/>
          </w:tcPr>
          <w:p w:rsidRPr="00EB2999" w:rsidR="00B43D8B" w:rsidP="00432541" w:rsidRDefault="00B43D8B" w14:paraId="458B273A" w14:textId="77777777">
            <w:pPr>
              <w:rPr>
                <w:rFonts w:cstheme="minorHAnsi"/>
                <w:sz w:val="20"/>
                <w:szCs w:val="20"/>
              </w:rPr>
            </w:pPr>
          </w:p>
        </w:tc>
      </w:tr>
      <w:tr w:rsidRPr="00EB2999" w:rsidR="00B43D8B" w:rsidTr="00432541" w14:paraId="71C06CC5" w14:textId="77777777">
        <w:trPr>
          <w:trHeight w:val="855"/>
        </w:trPr>
        <w:tc>
          <w:tcPr>
            <w:tcW w:w="1260" w:type="dxa"/>
            <w:gridSpan w:val="3"/>
            <w:vMerge/>
          </w:tcPr>
          <w:p w:rsidRPr="009B517E" w:rsidR="00B43D8B" w:rsidP="00432541" w:rsidRDefault="00B43D8B" w14:paraId="14C1EF5A" w14:textId="77777777">
            <w:pPr>
              <w:pStyle w:val="ListParagraph"/>
              <w:rPr>
                <w:rFonts w:cstheme="minorHAnsi"/>
                <w:i/>
                <w:iCs/>
                <w:color w:val="000000"/>
                <w:sz w:val="20"/>
                <w:szCs w:val="20"/>
              </w:rPr>
            </w:pPr>
          </w:p>
        </w:tc>
        <w:tc>
          <w:tcPr>
            <w:tcW w:w="4230" w:type="dxa"/>
          </w:tcPr>
          <w:p w:rsidRPr="009B517E" w:rsidR="00B43D8B" w:rsidP="00B43D8B" w:rsidRDefault="00B43D8B" w14:paraId="6F081201" w14:textId="77777777">
            <w:pPr>
              <w:pStyle w:val="ListParagraph"/>
              <w:numPr>
                <w:ilvl w:val="0"/>
                <w:numId w:val="11"/>
              </w:numPr>
              <w:rPr>
                <w:rFonts w:cstheme="minorHAnsi"/>
                <w:i/>
                <w:iCs/>
                <w:color w:val="000000"/>
                <w:sz w:val="20"/>
                <w:szCs w:val="20"/>
              </w:rPr>
            </w:pPr>
            <w:r w:rsidRPr="009B517E">
              <w:rPr>
                <w:rFonts w:cstheme="minorHAnsi"/>
                <w:i/>
                <w:iCs/>
                <w:color w:val="000000"/>
                <w:sz w:val="20"/>
                <w:szCs w:val="20"/>
              </w:rPr>
              <w:t>Nondisposable clothing worn in the quarantine facility must be disinfected on site before laundering.</w:t>
            </w:r>
            <w:r>
              <w:rPr>
                <w:rFonts w:cstheme="minorHAnsi"/>
                <w:i/>
                <w:iCs/>
                <w:color w:val="000000"/>
                <w:sz w:val="20"/>
                <w:szCs w:val="20"/>
              </w:rPr>
              <w:t xml:space="preserve"> Please provide a detailed description of how quarantine laundry is handled.</w:t>
            </w:r>
          </w:p>
        </w:tc>
        <w:tc>
          <w:tcPr>
            <w:tcW w:w="5760" w:type="dxa"/>
            <w:vMerge/>
          </w:tcPr>
          <w:p w:rsidRPr="00EB2999" w:rsidR="00B43D8B" w:rsidP="00432541" w:rsidRDefault="00B43D8B" w14:paraId="23A7A70D" w14:textId="77777777">
            <w:pPr>
              <w:rPr>
                <w:rFonts w:cstheme="minorHAnsi"/>
                <w:sz w:val="20"/>
                <w:szCs w:val="20"/>
              </w:rPr>
            </w:pPr>
          </w:p>
        </w:tc>
      </w:tr>
      <w:tr w:rsidRPr="00EB2999" w:rsidR="00B43D8B" w:rsidTr="00432541" w14:paraId="4AA769C7" w14:textId="77777777">
        <w:tc>
          <w:tcPr>
            <w:tcW w:w="1260" w:type="dxa"/>
            <w:gridSpan w:val="3"/>
            <w:vMerge/>
          </w:tcPr>
          <w:p w:rsidRPr="009B517E" w:rsidR="00B43D8B" w:rsidP="00432541" w:rsidRDefault="00B43D8B" w14:paraId="7E19B39B" w14:textId="77777777">
            <w:pPr>
              <w:pStyle w:val="ListParagraph"/>
              <w:rPr>
                <w:rFonts w:cstheme="minorHAnsi"/>
                <w:i/>
                <w:iCs/>
                <w:color w:val="000000"/>
                <w:sz w:val="20"/>
                <w:szCs w:val="20"/>
              </w:rPr>
            </w:pPr>
          </w:p>
        </w:tc>
        <w:tc>
          <w:tcPr>
            <w:tcW w:w="4230" w:type="dxa"/>
          </w:tcPr>
          <w:p w:rsidRPr="009B517E" w:rsidR="00B43D8B" w:rsidP="00B43D8B" w:rsidRDefault="00B43D8B" w14:paraId="3B0C2CD5" w14:textId="77777777">
            <w:pPr>
              <w:pStyle w:val="ListParagraph"/>
              <w:numPr>
                <w:ilvl w:val="0"/>
                <w:numId w:val="11"/>
              </w:numPr>
              <w:rPr>
                <w:rFonts w:cstheme="minorHAnsi"/>
                <w:i/>
                <w:iCs/>
                <w:color w:val="000000"/>
                <w:sz w:val="20"/>
                <w:szCs w:val="20"/>
              </w:rPr>
            </w:pPr>
            <w:r>
              <w:rPr>
                <w:rFonts w:cstheme="minorHAnsi"/>
                <w:i/>
                <w:iCs/>
                <w:color w:val="000000"/>
                <w:sz w:val="20"/>
                <w:szCs w:val="20"/>
              </w:rPr>
              <w:t>Describe your</w:t>
            </w:r>
            <w:r w:rsidRPr="00FF3BE6">
              <w:rPr>
                <w:rFonts w:cstheme="minorHAnsi"/>
                <w:i/>
                <w:iCs/>
                <w:color w:val="000000"/>
                <w:sz w:val="20"/>
                <w:szCs w:val="20"/>
              </w:rPr>
              <w:t xml:space="preserve"> infection-prevention program that requires </w:t>
            </w:r>
            <w:r w:rsidRPr="009B517E">
              <w:rPr>
                <w:rFonts w:cstheme="minorHAnsi"/>
                <w:i/>
                <w:iCs/>
                <w:color w:val="000000"/>
                <w:sz w:val="20"/>
                <w:szCs w:val="20"/>
              </w:rPr>
              <w:t>that requires NHP handlers to cleanse all bites, scratches, and/or mucosal surfaces or abraded skin exposed to blood or body fluids immediately and thoroughly.</w:t>
            </w:r>
          </w:p>
        </w:tc>
        <w:tc>
          <w:tcPr>
            <w:tcW w:w="5760" w:type="dxa"/>
          </w:tcPr>
          <w:p w:rsidRPr="00EB2999" w:rsidR="00B43D8B" w:rsidP="00432541" w:rsidRDefault="00B43D8B" w14:paraId="5D20B407" w14:textId="77777777">
            <w:pPr>
              <w:rPr>
                <w:rFonts w:cstheme="minorHAnsi"/>
                <w:sz w:val="20"/>
                <w:szCs w:val="20"/>
              </w:rPr>
            </w:pPr>
          </w:p>
        </w:tc>
      </w:tr>
      <w:tr w:rsidRPr="00EB2999" w:rsidR="00B43D8B" w:rsidTr="00432541" w14:paraId="6855F650" w14:textId="77777777">
        <w:tc>
          <w:tcPr>
            <w:tcW w:w="1260" w:type="dxa"/>
            <w:gridSpan w:val="3"/>
            <w:vMerge/>
          </w:tcPr>
          <w:p w:rsidRPr="009B517E" w:rsidR="00B43D8B" w:rsidP="00432541" w:rsidRDefault="00B43D8B" w14:paraId="1391CD17" w14:textId="77777777">
            <w:pPr>
              <w:pStyle w:val="ListParagraph"/>
              <w:rPr>
                <w:rFonts w:cstheme="minorHAnsi"/>
                <w:i/>
                <w:iCs/>
                <w:color w:val="000000"/>
                <w:sz w:val="20"/>
                <w:szCs w:val="20"/>
              </w:rPr>
            </w:pPr>
          </w:p>
        </w:tc>
        <w:tc>
          <w:tcPr>
            <w:tcW w:w="4230" w:type="dxa"/>
          </w:tcPr>
          <w:p w:rsidRPr="009B517E" w:rsidR="00B43D8B" w:rsidP="00B43D8B" w:rsidRDefault="00B43D8B" w14:paraId="5B759E01" w14:textId="77777777">
            <w:pPr>
              <w:pStyle w:val="ListParagraph"/>
              <w:numPr>
                <w:ilvl w:val="0"/>
                <w:numId w:val="11"/>
              </w:numPr>
              <w:rPr>
                <w:rFonts w:cstheme="minorHAnsi"/>
                <w:i/>
                <w:iCs/>
                <w:color w:val="000000"/>
                <w:sz w:val="20"/>
                <w:szCs w:val="20"/>
              </w:rPr>
            </w:pPr>
            <w:r w:rsidRPr="00FF3BE6">
              <w:rPr>
                <w:rFonts w:cstheme="minorHAnsi"/>
                <w:i/>
                <w:iCs/>
                <w:color w:val="000000"/>
                <w:sz w:val="20"/>
                <w:szCs w:val="20"/>
              </w:rPr>
              <w:t xml:space="preserve">Describe your </w:t>
            </w:r>
            <w:r>
              <w:rPr>
                <w:rFonts w:cstheme="minorHAnsi"/>
                <w:i/>
                <w:iCs/>
                <w:color w:val="000000"/>
                <w:sz w:val="20"/>
                <w:szCs w:val="20"/>
              </w:rPr>
              <w:t>i</w:t>
            </w:r>
            <w:r w:rsidRPr="00FF3BE6">
              <w:rPr>
                <w:rFonts w:cstheme="minorHAnsi"/>
                <w:i/>
                <w:iCs/>
                <w:color w:val="000000"/>
                <w:sz w:val="20"/>
                <w:szCs w:val="20"/>
              </w:rPr>
              <w:t xml:space="preserve">nfection-prevention procedures </w:t>
            </w:r>
            <w:r w:rsidRPr="009B517E">
              <w:rPr>
                <w:rFonts w:cstheme="minorHAnsi"/>
                <w:i/>
                <w:iCs/>
                <w:color w:val="000000"/>
                <w:sz w:val="20"/>
                <w:szCs w:val="20"/>
              </w:rPr>
              <w:t>that require workers to immediately flush their eyes with water for at least 15 minutes following an exposure of blood or body fluids to the eye.</w:t>
            </w:r>
          </w:p>
        </w:tc>
        <w:tc>
          <w:tcPr>
            <w:tcW w:w="5760" w:type="dxa"/>
          </w:tcPr>
          <w:p w:rsidRPr="00EB2999" w:rsidR="00B43D8B" w:rsidP="00432541" w:rsidRDefault="00B43D8B" w14:paraId="4A3B8479" w14:textId="77777777">
            <w:pPr>
              <w:rPr>
                <w:rFonts w:cstheme="minorHAnsi"/>
                <w:sz w:val="20"/>
                <w:szCs w:val="20"/>
              </w:rPr>
            </w:pPr>
          </w:p>
        </w:tc>
      </w:tr>
      <w:tr w:rsidRPr="00EB2999" w:rsidR="00B43D8B" w:rsidTr="00432541" w14:paraId="22215959" w14:textId="77777777">
        <w:tc>
          <w:tcPr>
            <w:tcW w:w="536" w:type="dxa"/>
            <w:gridSpan w:val="2"/>
          </w:tcPr>
          <w:p w:rsidRPr="009B517E" w:rsidR="00B43D8B" w:rsidP="00432541" w:rsidRDefault="00B43D8B" w14:paraId="44D74B88" w14:textId="77777777">
            <w:pPr>
              <w:rPr>
                <w:rFonts w:cstheme="minorHAnsi"/>
                <w:i/>
                <w:iCs/>
                <w:color w:val="000000"/>
                <w:sz w:val="20"/>
                <w:szCs w:val="20"/>
              </w:rPr>
            </w:pPr>
          </w:p>
        </w:tc>
        <w:tc>
          <w:tcPr>
            <w:tcW w:w="4954" w:type="dxa"/>
            <w:gridSpan w:val="2"/>
          </w:tcPr>
          <w:p w:rsidRPr="009B517E" w:rsidR="00B43D8B" w:rsidP="00B43D8B" w:rsidRDefault="00B43D8B" w14:paraId="12796C89" w14:textId="77777777">
            <w:pPr>
              <w:pStyle w:val="ListParagraph"/>
              <w:numPr>
                <w:ilvl w:val="0"/>
                <w:numId w:val="10"/>
              </w:numPr>
              <w:rPr>
                <w:rFonts w:cstheme="minorHAnsi"/>
                <w:i/>
                <w:iCs/>
                <w:color w:val="000000"/>
                <w:sz w:val="20"/>
                <w:szCs w:val="20"/>
              </w:rPr>
            </w:pPr>
            <w:r>
              <w:rPr>
                <w:rFonts w:cstheme="minorHAnsi"/>
                <w:i/>
                <w:iCs/>
                <w:color w:val="000000"/>
                <w:sz w:val="20"/>
                <w:szCs w:val="20"/>
              </w:rPr>
              <w:t>Describe your p</w:t>
            </w:r>
            <w:r w:rsidRPr="00EB2999">
              <w:rPr>
                <w:rFonts w:cstheme="minorHAnsi"/>
                <w:i/>
                <w:iCs/>
                <w:color w:val="000000"/>
                <w:sz w:val="20"/>
                <w:szCs w:val="20"/>
              </w:rPr>
              <w:t>ost-exposure procedures that provide potentially exposed workers with direct and rapid access to a medical consultant including:</w:t>
            </w:r>
          </w:p>
        </w:tc>
        <w:tc>
          <w:tcPr>
            <w:tcW w:w="5760" w:type="dxa"/>
            <w:shd w:val="clear" w:color="auto" w:fill="595959" w:themeFill="text1" w:themeFillTint="A6"/>
          </w:tcPr>
          <w:p w:rsidRPr="00EB2999" w:rsidR="00B43D8B" w:rsidP="00432541" w:rsidRDefault="00B43D8B" w14:paraId="57458C39" w14:textId="77777777">
            <w:pPr>
              <w:rPr>
                <w:rFonts w:cstheme="minorHAnsi"/>
                <w:i/>
                <w:iCs/>
                <w:color w:val="000000"/>
                <w:sz w:val="20"/>
                <w:szCs w:val="20"/>
              </w:rPr>
            </w:pPr>
          </w:p>
        </w:tc>
      </w:tr>
      <w:tr w:rsidRPr="00EB2999" w:rsidR="00B43D8B" w:rsidTr="00432541" w14:paraId="67E8CC21" w14:textId="77777777">
        <w:tc>
          <w:tcPr>
            <w:tcW w:w="1260" w:type="dxa"/>
            <w:gridSpan w:val="3"/>
            <w:vMerge w:val="restart"/>
          </w:tcPr>
          <w:p w:rsidRPr="009B517E" w:rsidR="00B43D8B" w:rsidP="00432541" w:rsidRDefault="00B43D8B" w14:paraId="746D81B9" w14:textId="77777777">
            <w:pPr>
              <w:rPr>
                <w:rFonts w:cstheme="minorHAnsi"/>
                <w:i/>
                <w:iCs/>
                <w:color w:val="000000"/>
                <w:sz w:val="20"/>
                <w:szCs w:val="20"/>
              </w:rPr>
            </w:pPr>
          </w:p>
        </w:tc>
        <w:tc>
          <w:tcPr>
            <w:tcW w:w="4230" w:type="dxa"/>
          </w:tcPr>
          <w:p w:rsidRPr="009B517E" w:rsidR="00B43D8B" w:rsidP="00B43D8B" w:rsidRDefault="00B43D8B" w14:paraId="2816809B" w14:textId="77777777">
            <w:pPr>
              <w:pStyle w:val="ListParagraph"/>
              <w:numPr>
                <w:ilvl w:val="0"/>
                <w:numId w:val="12"/>
              </w:numPr>
              <w:rPr>
                <w:rFonts w:cstheme="minorHAnsi"/>
                <w:i/>
                <w:iCs/>
                <w:color w:val="000000"/>
                <w:sz w:val="20"/>
                <w:szCs w:val="20"/>
              </w:rPr>
            </w:pPr>
            <w:r w:rsidRPr="009B517E">
              <w:rPr>
                <w:rFonts w:cstheme="minorHAnsi"/>
                <w:i/>
                <w:iCs/>
                <w:color w:val="000000"/>
                <w:sz w:val="20"/>
                <w:szCs w:val="20"/>
              </w:rPr>
              <w:t>Procedures ensuring that exposed workers have direct and immediate access to a medical consultant who has been previously identified in the SOPs to HHS/CDC.</w:t>
            </w:r>
          </w:p>
        </w:tc>
        <w:tc>
          <w:tcPr>
            <w:tcW w:w="5760" w:type="dxa"/>
          </w:tcPr>
          <w:p w:rsidRPr="00EB2999" w:rsidR="00B43D8B" w:rsidP="00432541" w:rsidRDefault="00B43D8B" w14:paraId="02509174" w14:textId="77777777">
            <w:pPr>
              <w:rPr>
                <w:rFonts w:cstheme="minorHAnsi"/>
                <w:sz w:val="20"/>
                <w:szCs w:val="20"/>
              </w:rPr>
            </w:pPr>
          </w:p>
        </w:tc>
      </w:tr>
      <w:tr w:rsidRPr="00EB2999" w:rsidR="00B43D8B" w:rsidTr="00432541" w14:paraId="16A497FD" w14:textId="77777777">
        <w:tc>
          <w:tcPr>
            <w:tcW w:w="1260" w:type="dxa"/>
            <w:gridSpan w:val="3"/>
            <w:vMerge/>
          </w:tcPr>
          <w:p w:rsidRPr="009B517E" w:rsidR="00B43D8B" w:rsidP="00432541" w:rsidRDefault="00B43D8B" w14:paraId="68EC08A5" w14:textId="77777777">
            <w:pPr>
              <w:rPr>
                <w:rFonts w:cstheme="minorHAnsi"/>
                <w:i/>
                <w:iCs/>
                <w:color w:val="000000"/>
                <w:sz w:val="20"/>
                <w:szCs w:val="20"/>
              </w:rPr>
            </w:pPr>
          </w:p>
        </w:tc>
        <w:tc>
          <w:tcPr>
            <w:tcW w:w="4230" w:type="dxa"/>
          </w:tcPr>
          <w:p w:rsidRPr="009B517E" w:rsidR="00B43D8B" w:rsidP="00B43D8B" w:rsidRDefault="00B43D8B" w14:paraId="4214A00C" w14:textId="77777777">
            <w:pPr>
              <w:pStyle w:val="ListParagraph"/>
              <w:numPr>
                <w:ilvl w:val="0"/>
                <w:numId w:val="12"/>
              </w:numPr>
              <w:rPr>
                <w:rFonts w:cstheme="minorHAnsi"/>
                <w:i/>
                <w:iCs/>
                <w:color w:val="000000"/>
                <w:sz w:val="20"/>
                <w:szCs w:val="20"/>
              </w:rPr>
            </w:pPr>
            <w:r w:rsidRPr="009B517E">
              <w:rPr>
                <w:rFonts w:cstheme="minorHAnsi"/>
                <w:i/>
                <w:iCs/>
                <w:color w:val="000000"/>
                <w:sz w:val="20"/>
                <w:szCs w:val="20"/>
              </w:rPr>
              <w:t>For potential exposures to herpes B virus, post-exposure procedures that require the routing of diagnostic specimens to the National B Virus Resource Center located at Georgia State University in Atlanta, Georgia, or another location as specified by HHS/CDC.</w:t>
            </w:r>
          </w:p>
        </w:tc>
        <w:tc>
          <w:tcPr>
            <w:tcW w:w="5760" w:type="dxa"/>
          </w:tcPr>
          <w:p w:rsidRPr="00EB2999" w:rsidR="00B43D8B" w:rsidP="00432541" w:rsidRDefault="00B43D8B" w14:paraId="2C4CBABC" w14:textId="77777777">
            <w:pPr>
              <w:rPr>
                <w:rFonts w:cstheme="minorHAnsi"/>
                <w:sz w:val="20"/>
                <w:szCs w:val="20"/>
              </w:rPr>
            </w:pPr>
          </w:p>
        </w:tc>
      </w:tr>
      <w:tr w:rsidRPr="00EB2999" w:rsidR="00B43D8B" w:rsidTr="00432541" w14:paraId="6D79BB55" w14:textId="77777777">
        <w:tc>
          <w:tcPr>
            <w:tcW w:w="536" w:type="dxa"/>
            <w:gridSpan w:val="2"/>
          </w:tcPr>
          <w:p w:rsidRPr="009B517E" w:rsidR="00B43D8B" w:rsidP="00432541" w:rsidRDefault="00B43D8B" w14:paraId="436788A5" w14:textId="77777777">
            <w:pPr>
              <w:rPr>
                <w:rFonts w:cstheme="minorHAnsi"/>
                <w:i/>
                <w:iCs/>
                <w:color w:val="000000"/>
                <w:sz w:val="20"/>
                <w:szCs w:val="20"/>
              </w:rPr>
            </w:pPr>
          </w:p>
        </w:tc>
        <w:tc>
          <w:tcPr>
            <w:tcW w:w="4954" w:type="dxa"/>
            <w:gridSpan w:val="2"/>
          </w:tcPr>
          <w:p w:rsidRPr="00FF3BE6" w:rsidR="00B43D8B" w:rsidP="00B43D8B" w:rsidRDefault="00B43D8B" w14:paraId="75F20392" w14:textId="77777777">
            <w:pPr>
              <w:pStyle w:val="ListParagraph"/>
              <w:numPr>
                <w:ilvl w:val="0"/>
                <w:numId w:val="10"/>
              </w:numPr>
              <w:rPr>
                <w:rFonts w:cstheme="minorHAnsi"/>
                <w:i/>
                <w:iCs/>
                <w:sz w:val="20"/>
                <w:szCs w:val="20"/>
              </w:rPr>
            </w:pPr>
            <w:r>
              <w:rPr>
                <w:rFonts w:cstheme="minorHAnsi"/>
                <w:i/>
                <w:iCs/>
                <w:color w:val="000000"/>
                <w:sz w:val="20"/>
                <w:szCs w:val="20"/>
              </w:rPr>
              <w:t>How do you document</w:t>
            </w:r>
            <w:r w:rsidRPr="00A8629C">
              <w:rPr>
                <w:rFonts w:cstheme="minorHAnsi"/>
                <w:i/>
                <w:iCs/>
                <w:color w:val="000000"/>
                <w:sz w:val="20"/>
                <w:szCs w:val="20"/>
              </w:rPr>
              <w:t xml:space="preserve"> worker training, including for those working in the quarantine facility</w:t>
            </w:r>
            <w:r>
              <w:rPr>
                <w:rFonts w:cstheme="minorHAnsi"/>
                <w:i/>
                <w:iCs/>
                <w:color w:val="000000"/>
                <w:sz w:val="20"/>
                <w:szCs w:val="20"/>
              </w:rPr>
              <w:t xml:space="preserve">?  </w:t>
            </w:r>
          </w:p>
          <w:p w:rsidRPr="009B517E" w:rsidR="00B43D8B" w:rsidP="00B43D8B" w:rsidRDefault="00B43D8B" w14:paraId="607FEBE0" w14:textId="77777777">
            <w:pPr>
              <w:pStyle w:val="ListParagraph"/>
              <w:numPr>
                <w:ilvl w:val="0"/>
                <w:numId w:val="10"/>
              </w:numPr>
              <w:rPr>
                <w:rFonts w:cstheme="minorHAnsi"/>
                <w:i/>
                <w:iCs/>
                <w:sz w:val="20"/>
                <w:szCs w:val="20"/>
              </w:rPr>
            </w:pPr>
            <w:r>
              <w:rPr>
                <w:rFonts w:cstheme="minorHAnsi"/>
                <w:i/>
                <w:iCs/>
                <w:sz w:val="20"/>
                <w:szCs w:val="20"/>
              </w:rPr>
              <w:t>What is the frequency of quarantine worker training?</w:t>
            </w:r>
          </w:p>
        </w:tc>
        <w:tc>
          <w:tcPr>
            <w:tcW w:w="5760" w:type="dxa"/>
          </w:tcPr>
          <w:p w:rsidRPr="00EB2999" w:rsidR="00B43D8B" w:rsidP="00432541" w:rsidRDefault="00B43D8B" w14:paraId="2688E9B0" w14:textId="77777777">
            <w:pPr>
              <w:pStyle w:val="ListParagraph"/>
              <w:ind w:left="1080"/>
              <w:rPr>
                <w:rFonts w:cstheme="minorHAnsi"/>
                <w:sz w:val="20"/>
                <w:szCs w:val="20"/>
              </w:rPr>
            </w:pPr>
          </w:p>
        </w:tc>
      </w:tr>
      <w:tr w:rsidRPr="00EB2999" w:rsidR="00B43D8B" w:rsidTr="00432541" w14:paraId="09A1BD87" w14:textId="77777777">
        <w:tc>
          <w:tcPr>
            <w:tcW w:w="5490" w:type="dxa"/>
            <w:gridSpan w:val="4"/>
          </w:tcPr>
          <w:p w:rsidRPr="009B517E" w:rsidR="00B43D8B" w:rsidP="00B43D8B" w:rsidRDefault="00B43D8B" w14:paraId="7214A722" w14:textId="77777777">
            <w:pPr>
              <w:pStyle w:val="ListParagraph"/>
              <w:numPr>
                <w:ilvl w:val="0"/>
                <w:numId w:val="9"/>
              </w:numPr>
              <w:rPr>
                <w:rFonts w:cstheme="minorHAnsi"/>
                <w:i/>
                <w:iCs/>
                <w:sz w:val="20"/>
                <w:szCs w:val="20"/>
              </w:rPr>
            </w:pPr>
            <w:r>
              <w:rPr>
                <w:rFonts w:cstheme="minorHAnsi"/>
                <w:i/>
                <w:iCs/>
                <w:color w:val="000000"/>
                <w:sz w:val="20"/>
                <w:szCs w:val="20"/>
              </w:rPr>
              <w:lastRenderedPageBreak/>
              <w:t xml:space="preserve">Describe how your </w:t>
            </w:r>
            <w:r w:rsidRPr="00A8629C">
              <w:rPr>
                <w:rFonts w:cstheme="minorHAnsi"/>
                <w:i/>
                <w:iCs/>
                <w:color w:val="000000"/>
                <w:sz w:val="20"/>
                <w:szCs w:val="20"/>
              </w:rPr>
              <w:t xml:space="preserve"> worker protection </w:t>
            </w:r>
            <w:r>
              <w:rPr>
                <w:rFonts w:cstheme="minorHAnsi"/>
                <w:i/>
                <w:iCs/>
                <w:color w:val="000000"/>
                <w:sz w:val="20"/>
                <w:szCs w:val="20"/>
              </w:rPr>
              <w:t>program</w:t>
            </w:r>
            <w:r w:rsidRPr="00A8629C">
              <w:rPr>
                <w:rFonts w:cstheme="minorHAnsi"/>
                <w:i/>
                <w:iCs/>
                <w:color w:val="000000"/>
                <w:sz w:val="20"/>
                <w:szCs w:val="20"/>
              </w:rPr>
              <w:t xml:space="preserve"> </w:t>
            </w:r>
            <w:r>
              <w:rPr>
                <w:rFonts w:cstheme="minorHAnsi"/>
                <w:i/>
                <w:iCs/>
                <w:color w:val="000000"/>
                <w:sz w:val="20"/>
                <w:szCs w:val="20"/>
              </w:rPr>
              <w:t xml:space="preserve">addresses </w:t>
            </w:r>
            <w:r w:rsidRPr="00A8629C">
              <w:rPr>
                <w:rFonts w:cstheme="minorHAnsi"/>
                <w:i/>
                <w:iCs/>
                <w:color w:val="000000"/>
                <w:sz w:val="20"/>
                <w:szCs w:val="20"/>
              </w:rPr>
              <w:t>hazard evaluation and worker communication procedures that include the following:</w:t>
            </w:r>
          </w:p>
        </w:tc>
        <w:tc>
          <w:tcPr>
            <w:tcW w:w="5760" w:type="dxa"/>
            <w:shd w:val="clear" w:color="auto" w:fill="595959" w:themeFill="text1" w:themeFillTint="A6"/>
          </w:tcPr>
          <w:p w:rsidRPr="00EB2999" w:rsidR="00B43D8B" w:rsidP="00432541" w:rsidRDefault="00B43D8B" w14:paraId="1D5CBBEA" w14:textId="77777777">
            <w:pPr>
              <w:pStyle w:val="ListParagraph"/>
              <w:rPr>
                <w:rFonts w:cstheme="minorHAnsi"/>
                <w:sz w:val="20"/>
                <w:szCs w:val="20"/>
              </w:rPr>
            </w:pPr>
          </w:p>
        </w:tc>
      </w:tr>
      <w:tr w:rsidRPr="00EB2999" w:rsidR="00B43D8B" w:rsidTr="00432541" w14:paraId="523F7660" w14:textId="77777777">
        <w:tc>
          <w:tcPr>
            <w:tcW w:w="536" w:type="dxa"/>
            <w:gridSpan w:val="2"/>
            <w:vMerge w:val="restart"/>
          </w:tcPr>
          <w:p w:rsidRPr="009B517E" w:rsidR="00B43D8B" w:rsidP="00432541" w:rsidRDefault="00B43D8B" w14:paraId="1CF09C64" w14:textId="77777777">
            <w:pPr>
              <w:rPr>
                <w:rFonts w:cstheme="minorHAnsi"/>
                <w:i/>
                <w:iCs/>
                <w:color w:val="000000"/>
                <w:sz w:val="20"/>
                <w:szCs w:val="20"/>
              </w:rPr>
            </w:pPr>
          </w:p>
        </w:tc>
        <w:tc>
          <w:tcPr>
            <w:tcW w:w="4954" w:type="dxa"/>
            <w:gridSpan w:val="2"/>
          </w:tcPr>
          <w:p w:rsidRPr="009B517E" w:rsidR="00B43D8B" w:rsidP="00B43D8B" w:rsidRDefault="00B43D8B" w14:paraId="55AC7295" w14:textId="77777777">
            <w:pPr>
              <w:pStyle w:val="ListParagraph"/>
              <w:numPr>
                <w:ilvl w:val="0"/>
                <w:numId w:val="13"/>
              </w:numPr>
              <w:rPr>
                <w:rFonts w:cstheme="minorHAnsi"/>
                <w:i/>
                <w:iCs/>
                <w:color w:val="000000"/>
                <w:sz w:val="20"/>
                <w:szCs w:val="20"/>
              </w:rPr>
            </w:pPr>
            <w:r w:rsidRPr="009B517E">
              <w:rPr>
                <w:rFonts w:cstheme="minorHAnsi"/>
                <w:i/>
                <w:iCs/>
                <w:color w:val="000000"/>
                <w:sz w:val="20"/>
                <w:szCs w:val="20"/>
              </w:rPr>
              <w:t>A description of the known zoonotic disease and injury hazards associated with handling NHPs</w:t>
            </w:r>
          </w:p>
        </w:tc>
        <w:tc>
          <w:tcPr>
            <w:tcW w:w="5760" w:type="dxa"/>
          </w:tcPr>
          <w:p w:rsidRPr="00EB2999" w:rsidR="00B43D8B" w:rsidP="00432541" w:rsidRDefault="00B43D8B" w14:paraId="53B49831" w14:textId="77777777">
            <w:pPr>
              <w:rPr>
                <w:rFonts w:cstheme="minorHAnsi"/>
                <w:sz w:val="20"/>
                <w:szCs w:val="20"/>
              </w:rPr>
            </w:pPr>
          </w:p>
        </w:tc>
      </w:tr>
      <w:tr w:rsidRPr="00EB2999" w:rsidR="00B43D8B" w:rsidTr="00432541" w14:paraId="16E98E78" w14:textId="77777777">
        <w:tc>
          <w:tcPr>
            <w:tcW w:w="536" w:type="dxa"/>
            <w:gridSpan w:val="2"/>
            <w:vMerge/>
          </w:tcPr>
          <w:p w:rsidRPr="009B517E" w:rsidR="00B43D8B" w:rsidP="00432541" w:rsidRDefault="00B43D8B" w14:paraId="67AD3443" w14:textId="77777777">
            <w:pPr>
              <w:rPr>
                <w:rFonts w:cstheme="minorHAnsi"/>
                <w:i/>
                <w:iCs/>
                <w:color w:val="000000"/>
                <w:sz w:val="20"/>
                <w:szCs w:val="20"/>
              </w:rPr>
            </w:pPr>
          </w:p>
        </w:tc>
        <w:tc>
          <w:tcPr>
            <w:tcW w:w="4954" w:type="dxa"/>
            <w:gridSpan w:val="2"/>
          </w:tcPr>
          <w:p w:rsidRPr="009B517E" w:rsidR="00B43D8B" w:rsidP="00B43D8B" w:rsidRDefault="00B43D8B" w14:paraId="7ABAE40D" w14:textId="77777777">
            <w:pPr>
              <w:pStyle w:val="ListParagraph"/>
              <w:numPr>
                <w:ilvl w:val="0"/>
                <w:numId w:val="13"/>
              </w:numPr>
              <w:rPr>
                <w:rFonts w:cstheme="minorHAnsi"/>
                <w:i/>
                <w:iCs/>
                <w:color w:val="000000"/>
                <w:sz w:val="20"/>
                <w:szCs w:val="20"/>
              </w:rPr>
            </w:pPr>
            <w:r w:rsidRPr="009B517E">
              <w:rPr>
                <w:rFonts w:cstheme="minorHAnsi"/>
                <w:i/>
                <w:iCs/>
                <w:color w:val="000000"/>
                <w:sz w:val="20"/>
                <w:szCs w:val="20"/>
              </w:rPr>
              <w:t>The need for PPE when handling NHPs and training in proper use of PPE, including re-training and reinforcement of appropriate use</w:t>
            </w:r>
          </w:p>
        </w:tc>
        <w:tc>
          <w:tcPr>
            <w:tcW w:w="5760" w:type="dxa"/>
          </w:tcPr>
          <w:p w:rsidRPr="00EB2999" w:rsidR="00B43D8B" w:rsidP="00432541" w:rsidRDefault="00B43D8B" w14:paraId="6ECBAE45" w14:textId="77777777">
            <w:pPr>
              <w:rPr>
                <w:rFonts w:cstheme="minorHAnsi"/>
                <w:sz w:val="20"/>
                <w:szCs w:val="20"/>
              </w:rPr>
            </w:pPr>
          </w:p>
        </w:tc>
      </w:tr>
      <w:tr w:rsidRPr="00EB2999" w:rsidR="00B43D8B" w:rsidTr="00432541" w14:paraId="7D512D22" w14:textId="77777777">
        <w:tc>
          <w:tcPr>
            <w:tcW w:w="536" w:type="dxa"/>
            <w:gridSpan w:val="2"/>
            <w:vMerge/>
          </w:tcPr>
          <w:p w:rsidRPr="009B517E" w:rsidR="00B43D8B" w:rsidP="00432541" w:rsidRDefault="00B43D8B" w14:paraId="190B5FBF" w14:textId="77777777">
            <w:pPr>
              <w:rPr>
                <w:rFonts w:cstheme="minorHAnsi"/>
                <w:i/>
                <w:iCs/>
                <w:color w:val="000000"/>
                <w:sz w:val="20"/>
                <w:szCs w:val="20"/>
              </w:rPr>
            </w:pPr>
          </w:p>
        </w:tc>
        <w:tc>
          <w:tcPr>
            <w:tcW w:w="4954" w:type="dxa"/>
            <w:gridSpan w:val="2"/>
          </w:tcPr>
          <w:p w:rsidRPr="009B517E" w:rsidR="00B43D8B" w:rsidP="00B43D8B" w:rsidRDefault="00B43D8B" w14:paraId="6464E72B" w14:textId="77777777">
            <w:pPr>
              <w:pStyle w:val="ListParagraph"/>
              <w:numPr>
                <w:ilvl w:val="0"/>
                <w:numId w:val="13"/>
              </w:numPr>
              <w:rPr>
                <w:rFonts w:cstheme="minorHAnsi"/>
                <w:i/>
                <w:iCs/>
                <w:color w:val="000000"/>
                <w:sz w:val="20"/>
                <w:szCs w:val="20"/>
              </w:rPr>
            </w:pPr>
            <w:r w:rsidRPr="009B517E">
              <w:rPr>
                <w:rFonts w:cstheme="minorHAnsi"/>
                <w:i/>
                <w:iCs/>
                <w:color w:val="000000"/>
                <w:sz w:val="20"/>
                <w:szCs w:val="20"/>
              </w:rPr>
              <w:t>Procedures for monitoring workers for signs of zoonotic illness, including procedures that ensure reporting to HHS/CDC by telephone, text, or email within 24 hours of the occurrence of illness in any worker suspected of having a zoonotic disease</w:t>
            </w:r>
          </w:p>
        </w:tc>
        <w:tc>
          <w:tcPr>
            <w:tcW w:w="5760" w:type="dxa"/>
          </w:tcPr>
          <w:p w:rsidRPr="00EB2999" w:rsidR="00B43D8B" w:rsidP="00432541" w:rsidRDefault="00B43D8B" w14:paraId="0E055316" w14:textId="77777777">
            <w:pPr>
              <w:rPr>
                <w:rFonts w:cstheme="minorHAnsi"/>
                <w:sz w:val="20"/>
                <w:szCs w:val="20"/>
              </w:rPr>
            </w:pPr>
          </w:p>
        </w:tc>
      </w:tr>
      <w:tr w:rsidRPr="00EB2999" w:rsidR="00B43D8B" w:rsidTr="00432541" w14:paraId="1D404866" w14:textId="77777777">
        <w:tc>
          <w:tcPr>
            <w:tcW w:w="536" w:type="dxa"/>
            <w:gridSpan w:val="2"/>
            <w:vMerge/>
          </w:tcPr>
          <w:p w:rsidRPr="009B517E" w:rsidR="00B43D8B" w:rsidP="00432541" w:rsidRDefault="00B43D8B" w14:paraId="2E3D6FC2" w14:textId="77777777">
            <w:pPr>
              <w:rPr>
                <w:rFonts w:cstheme="minorHAnsi"/>
                <w:i/>
                <w:iCs/>
                <w:color w:val="000000"/>
                <w:sz w:val="20"/>
                <w:szCs w:val="20"/>
              </w:rPr>
            </w:pPr>
          </w:p>
        </w:tc>
        <w:tc>
          <w:tcPr>
            <w:tcW w:w="4954" w:type="dxa"/>
            <w:gridSpan w:val="2"/>
          </w:tcPr>
          <w:p w:rsidRPr="009B517E" w:rsidR="00B43D8B" w:rsidP="00B43D8B" w:rsidRDefault="00B43D8B" w14:paraId="05F52971" w14:textId="77777777">
            <w:pPr>
              <w:pStyle w:val="ListParagraph"/>
              <w:numPr>
                <w:ilvl w:val="0"/>
                <w:numId w:val="13"/>
              </w:numPr>
              <w:rPr>
                <w:rFonts w:cstheme="minorHAnsi"/>
                <w:i/>
                <w:iCs/>
                <w:color w:val="000000"/>
                <w:sz w:val="20"/>
                <w:szCs w:val="20"/>
              </w:rPr>
            </w:pPr>
            <w:r w:rsidRPr="009B517E">
              <w:rPr>
                <w:rFonts w:cstheme="minorHAnsi"/>
                <w:i/>
                <w:iCs/>
                <w:color w:val="000000"/>
                <w:sz w:val="20"/>
                <w:szCs w:val="20"/>
              </w:rPr>
              <w:t>Procedures for disinfection of garments, supplies, equipment, and waste.</w:t>
            </w:r>
          </w:p>
        </w:tc>
        <w:tc>
          <w:tcPr>
            <w:tcW w:w="5760" w:type="dxa"/>
          </w:tcPr>
          <w:p w:rsidRPr="00EB2999" w:rsidR="00B43D8B" w:rsidP="00432541" w:rsidRDefault="00B43D8B" w14:paraId="29437DDD" w14:textId="77777777">
            <w:pPr>
              <w:rPr>
                <w:rFonts w:cstheme="minorHAnsi"/>
                <w:sz w:val="20"/>
                <w:szCs w:val="20"/>
              </w:rPr>
            </w:pPr>
          </w:p>
        </w:tc>
      </w:tr>
      <w:tr w:rsidRPr="00EB2999" w:rsidR="00B43D8B" w:rsidTr="00432541" w14:paraId="0150BE51" w14:textId="77777777">
        <w:tc>
          <w:tcPr>
            <w:tcW w:w="5490" w:type="dxa"/>
            <w:gridSpan w:val="4"/>
          </w:tcPr>
          <w:p w:rsidRPr="009B517E" w:rsidR="00B43D8B" w:rsidP="00B43D8B" w:rsidRDefault="00B43D8B" w14:paraId="462644F9" w14:textId="77777777">
            <w:pPr>
              <w:pStyle w:val="ListParagraph"/>
              <w:numPr>
                <w:ilvl w:val="0"/>
                <w:numId w:val="9"/>
              </w:numPr>
              <w:rPr>
                <w:rFonts w:cstheme="minorHAnsi"/>
                <w:i/>
                <w:iCs/>
                <w:sz w:val="20"/>
                <w:szCs w:val="20"/>
              </w:rPr>
            </w:pPr>
            <w:r w:rsidRPr="003B3184">
              <w:rPr>
                <w:rFonts w:cstheme="minorHAnsi"/>
                <w:i/>
                <w:iCs/>
                <w:color w:val="000000"/>
                <w:sz w:val="20"/>
                <w:szCs w:val="20"/>
              </w:rPr>
              <w:t>As part of your worker protection plan, you must identify the PPE required for each task or working area. Please describe your procedures for ensuring the following (be sure to describe in detail the steps for donning, doffing, and discarding or disinfecting PPE):</w:t>
            </w:r>
          </w:p>
        </w:tc>
        <w:tc>
          <w:tcPr>
            <w:tcW w:w="5760" w:type="dxa"/>
            <w:vMerge w:val="restart"/>
            <w:shd w:val="clear" w:color="auto" w:fill="auto"/>
          </w:tcPr>
          <w:p w:rsidRPr="00EB2999" w:rsidR="00B43D8B" w:rsidP="00432541" w:rsidRDefault="00B43D8B" w14:paraId="4530EF14" w14:textId="77777777">
            <w:pPr>
              <w:pStyle w:val="ListParagraph"/>
              <w:rPr>
                <w:rFonts w:cstheme="minorHAnsi"/>
                <w:sz w:val="20"/>
                <w:szCs w:val="20"/>
              </w:rPr>
            </w:pPr>
          </w:p>
        </w:tc>
      </w:tr>
      <w:tr w:rsidRPr="00EB2999" w:rsidR="00B43D8B" w:rsidTr="00432541" w14:paraId="0DB5588F" w14:textId="77777777">
        <w:trPr>
          <w:trHeight w:val="363"/>
        </w:trPr>
        <w:tc>
          <w:tcPr>
            <w:tcW w:w="524" w:type="dxa"/>
            <w:vMerge w:val="restart"/>
          </w:tcPr>
          <w:p w:rsidRPr="009B517E" w:rsidR="00B43D8B" w:rsidP="00432541" w:rsidRDefault="00B43D8B" w14:paraId="11A1DA0F" w14:textId="77777777">
            <w:pPr>
              <w:pStyle w:val="ListParagraph"/>
              <w:rPr>
                <w:rFonts w:cstheme="minorHAnsi"/>
                <w:i/>
                <w:iCs/>
                <w:color w:val="000000"/>
                <w:sz w:val="20"/>
                <w:szCs w:val="20"/>
              </w:rPr>
            </w:pPr>
          </w:p>
        </w:tc>
        <w:tc>
          <w:tcPr>
            <w:tcW w:w="4966" w:type="dxa"/>
            <w:gridSpan w:val="3"/>
          </w:tcPr>
          <w:p w:rsidRPr="009B517E" w:rsidR="00B43D8B" w:rsidP="00B43D8B" w:rsidRDefault="00B43D8B" w14:paraId="09372082" w14:textId="77777777">
            <w:pPr>
              <w:pStyle w:val="ListParagraph"/>
              <w:numPr>
                <w:ilvl w:val="0"/>
                <w:numId w:val="14"/>
              </w:numPr>
              <w:rPr>
                <w:rFonts w:cstheme="minorHAnsi"/>
                <w:i/>
                <w:iCs/>
                <w:color w:val="000000"/>
                <w:sz w:val="20"/>
                <w:szCs w:val="20"/>
              </w:rPr>
            </w:pPr>
            <w:r w:rsidRPr="009B517E">
              <w:rPr>
                <w:rFonts w:cstheme="minorHAnsi"/>
                <w:i/>
                <w:iCs/>
                <w:color w:val="000000"/>
                <w:sz w:val="20"/>
                <w:szCs w:val="20"/>
              </w:rPr>
              <w:t>Any required PPE must be available to workers when needed</w:t>
            </w:r>
          </w:p>
        </w:tc>
        <w:tc>
          <w:tcPr>
            <w:tcW w:w="5760" w:type="dxa"/>
            <w:vMerge/>
          </w:tcPr>
          <w:p w:rsidRPr="00EB2999" w:rsidR="00B43D8B" w:rsidP="00432541" w:rsidRDefault="00B43D8B" w14:paraId="22E6DCE7" w14:textId="77777777">
            <w:pPr>
              <w:pStyle w:val="ListParagraph"/>
              <w:rPr>
                <w:rFonts w:cstheme="minorHAnsi"/>
                <w:color w:val="000000"/>
                <w:sz w:val="20"/>
                <w:szCs w:val="20"/>
              </w:rPr>
            </w:pPr>
          </w:p>
        </w:tc>
      </w:tr>
      <w:tr w:rsidRPr="00EB2999" w:rsidR="00B43D8B" w:rsidTr="00432541" w14:paraId="76E013EA" w14:textId="77777777">
        <w:trPr>
          <w:trHeight w:val="347"/>
        </w:trPr>
        <w:tc>
          <w:tcPr>
            <w:tcW w:w="524" w:type="dxa"/>
            <w:vMerge/>
          </w:tcPr>
          <w:p w:rsidRPr="009B517E" w:rsidR="00B43D8B" w:rsidP="00432541" w:rsidRDefault="00B43D8B" w14:paraId="01131E7D" w14:textId="77777777">
            <w:pPr>
              <w:pStyle w:val="ListParagraph"/>
              <w:rPr>
                <w:rFonts w:cstheme="minorHAnsi"/>
                <w:i/>
                <w:iCs/>
                <w:color w:val="000000"/>
                <w:sz w:val="20"/>
                <w:szCs w:val="20"/>
              </w:rPr>
            </w:pPr>
          </w:p>
        </w:tc>
        <w:tc>
          <w:tcPr>
            <w:tcW w:w="4966" w:type="dxa"/>
            <w:gridSpan w:val="3"/>
          </w:tcPr>
          <w:p w:rsidRPr="009B517E" w:rsidR="00B43D8B" w:rsidP="00B43D8B" w:rsidRDefault="00B43D8B" w14:paraId="5585438A" w14:textId="77777777">
            <w:pPr>
              <w:pStyle w:val="ListParagraph"/>
              <w:numPr>
                <w:ilvl w:val="0"/>
                <w:numId w:val="14"/>
              </w:numPr>
              <w:rPr>
                <w:rFonts w:cstheme="minorHAnsi"/>
                <w:i/>
                <w:iCs/>
                <w:color w:val="000000"/>
                <w:sz w:val="20"/>
                <w:szCs w:val="20"/>
              </w:rPr>
            </w:pPr>
            <w:r w:rsidRPr="009B517E">
              <w:rPr>
                <w:rFonts w:cstheme="minorHAnsi"/>
                <w:i/>
                <w:iCs/>
                <w:color w:val="000000"/>
                <w:sz w:val="20"/>
                <w:szCs w:val="20"/>
              </w:rPr>
              <w:t xml:space="preserve">Workers must remove disposable PPE and discard as a biohazard </w:t>
            </w:r>
          </w:p>
        </w:tc>
        <w:tc>
          <w:tcPr>
            <w:tcW w:w="5760" w:type="dxa"/>
            <w:vMerge/>
          </w:tcPr>
          <w:p w:rsidRPr="00EB2999" w:rsidR="00B43D8B" w:rsidP="00432541" w:rsidRDefault="00B43D8B" w14:paraId="747CE813" w14:textId="77777777">
            <w:pPr>
              <w:pStyle w:val="ListParagraph"/>
              <w:rPr>
                <w:rFonts w:cstheme="minorHAnsi"/>
                <w:color w:val="000000"/>
                <w:sz w:val="20"/>
                <w:szCs w:val="20"/>
              </w:rPr>
            </w:pPr>
          </w:p>
        </w:tc>
      </w:tr>
      <w:tr w:rsidRPr="00EB2999" w:rsidR="00B43D8B" w:rsidTr="00432541" w14:paraId="767FDBE3" w14:textId="77777777">
        <w:trPr>
          <w:trHeight w:val="347"/>
        </w:trPr>
        <w:tc>
          <w:tcPr>
            <w:tcW w:w="524" w:type="dxa"/>
            <w:vMerge/>
          </w:tcPr>
          <w:p w:rsidRPr="009B517E" w:rsidR="00B43D8B" w:rsidP="00432541" w:rsidRDefault="00B43D8B" w14:paraId="0D68F152" w14:textId="77777777">
            <w:pPr>
              <w:pStyle w:val="ListParagraph"/>
              <w:rPr>
                <w:rFonts w:cstheme="minorHAnsi"/>
                <w:i/>
                <w:iCs/>
                <w:color w:val="000000"/>
                <w:sz w:val="20"/>
                <w:szCs w:val="20"/>
              </w:rPr>
            </w:pPr>
          </w:p>
        </w:tc>
        <w:tc>
          <w:tcPr>
            <w:tcW w:w="4966" w:type="dxa"/>
            <w:gridSpan w:val="3"/>
          </w:tcPr>
          <w:p w:rsidRPr="009B517E" w:rsidR="00B43D8B" w:rsidP="00B43D8B" w:rsidRDefault="00B43D8B" w14:paraId="0DFE8D44" w14:textId="77777777">
            <w:pPr>
              <w:pStyle w:val="ListParagraph"/>
              <w:numPr>
                <w:ilvl w:val="0"/>
                <w:numId w:val="14"/>
              </w:numPr>
              <w:rPr>
                <w:rFonts w:cstheme="minorHAnsi"/>
                <w:i/>
                <w:iCs/>
                <w:color w:val="000000"/>
                <w:sz w:val="20"/>
                <w:szCs w:val="20"/>
              </w:rPr>
            </w:pPr>
            <w:r w:rsidRPr="009B517E">
              <w:rPr>
                <w:rFonts w:cstheme="minorHAnsi"/>
                <w:i/>
                <w:iCs/>
                <w:color w:val="000000"/>
                <w:sz w:val="20"/>
                <w:szCs w:val="20"/>
              </w:rPr>
              <w:t>Workers must not drink, eat, or smoke while physically handling NHPs or cages, crates, or other materials from such NHPs</w:t>
            </w:r>
          </w:p>
        </w:tc>
        <w:tc>
          <w:tcPr>
            <w:tcW w:w="5760" w:type="dxa"/>
            <w:vMerge/>
          </w:tcPr>
          <w:p w:rsidRPr="00EB2999" w:rsidR="00B43D8B" w:rsidP="00432541" w:rsidRDefault="00B43D8B" w14:paraId="797E1F33" w14:textId="77777777">
            <w:pPr>
              <w:pStyle w:val="ListParagraph"/>
              <w:rPr>
                <w:rFonts w:cstheme="minorHAnsi"/>
                <w:color w:val="000000"/>
                <w:sz w:val="20"/>
                <w:szCs w:val="20"/>
              </w:rPr>
            </w:pPr>
          </w:p>
        </w:tc>
      </w:tr>
      <w:tr w:rsidRPr="00EB2999" w:rsidR="00B43D8B" w:rsidTr="00432541" w14:paraId="3C07A3FA" w14:textId="77777777">
        <w:trPr>
          <w:trHeight w:val="347"/>
        </w:trPr>
        <w:tc>
          <w:tcPr>
            <w:tcW w:w="5490" w:type="dxa"/>
            <w:gridSpan w:val="4"/>
          </w:tcPr>
          <w:p w:rsidRPr="009B517E" w:rsidR="00B43D8B" w:rsidP="00B43D8B" w:rsidRDefault="00B43D8B" w14:paraId="2223971E" w14:textId="77777777">
            <w:pPr>
              <w:pStyle w:val="ListParagraph"/>
              <w:numPr>
                <w:ilvl w:val="0"/>
                <w:numId w:val="9"/>
              </w:numPr>
              <w:rPr>
                <w:rFonts w:cstheme="minorHAnsi"/>
                <w:i/>
                <w:iCs/>
                <w:color w:val="000000"/>
                <w:sz w:val="20"/>
                <w:szCs w:val="20"/>
              </w:rPr>
            </w:pPr>
            <w:r w:rsidRPr="003B3184">
              <w:rPr>
                <w:rFonts w:cstheme="minorHAnsi"/>
                <w:i/>
                <w:iCs/>
                <w:color w:val="000000"/>
                <w:sz w:val="20"/>
                <w:szCs w:val="20"/>
              </w:rPr>
              <w:t>Describe your procedures for ensuring that each item listed below regarding tuberculosis (TB) is addressed:</w:t>
            </w:r>
          </w:p>
        </w:tc>
        <w:tc>
          <w:tcPr>
            <w:tcW w:w="5760" w:type="dxa"/>
            <w:shd w:val="clear" w:color="auto" w:fill="595959" w:themeFill="text1" w:themeFillTint="A6"/>
          </w:tcPr>
          <w:p w:rsidRPr="00EB2999" w:rsidR="00B43D8B" w:rsidP="00432541" w:rsidRDefault="00B43D8B" w14:paraId="4A6912EB" w14:textId="77777777">
            <w:pPr>
              <w:pStyle w:val="ListParagraph"/>
              <w:rPr>
                <w:rFonts w:cstheme="minorHAnsi"/>
                <w:color w:val="000000"/>
                <w:sz w:val="20"/>
                <w:szCs w:val="20"/>
              </w:rPr>
            </w:pPr>
          </w:p>
        </w:tc>
      </w:tr>
      <w:tr w:rsidRPr="00EB2999" w:rsidR="00B43D8B" w:rsidTr="00432541" w14:paraId="4B3F2DF5" w14:textId="77777777">
        <w:trPr>
          <w:trHeight w:val="347"/>
        </w:trPr>
        <w:tc>
          <w:tcPr>
            <w:tcW w:w="524" w:type="dxa"/>
            <w:vMerge w:val="restart"/>
          </w:tcPr>
          <w:p w:rsidRPr="009B517E" w:rsidR="00B43D8B" w:rsidP="00432541" w:rsidRDefault="00B43D8B" w14:paraId="0C2A8929" w14:textId="77777777">
            <w:pPr>
              <w:pStyle w:val="ListParagraph"/>
              <w:rPr>
                <w:rFonts w:cstheme="minorHAnsi"/>
                <w:i/>
                <w:iCs/>
                <w:color w:val="000000"/>
                <w:sz w:val="20"/>
                <w:szCs w:val="20"/>
              </w:rPr>
            </w:pPr>
          </w:p>
        </w:tc>
        <w:tc>
          <w:tcPr>
            <w:tcW w:w="4966" w:type="dxa"/>
            <w:gridSpan w:val="3"/>
          </w:tcPr>
          <w:p w:rsidRPr="009B517E" w:rsidR="00B43D8B" w:rsidP="00B43D8B" w:rsidRDefault="00B43D8B" w14:paraId="56DCAD7B" w14:textId="77777777">
            <w:pPr>
              <w:pStyle w:val="ListParagraph"/>
              <w:numPr>
                <w:ilvl w:val="0"/>
                <w:numId w:val="17"/>
              </w:numPr>
              <w:rPr>
                <w:rFonts w:cstheme="minorHAnsi"/>
                <w:i/>
                <w:iCs/>
                <w:color w:val="000000"/>
                <w:sz w:val="20"/>
                <w:szCs w:val="20"/>
              </w:rPr>
            </w:pPr>
            <w:r w:rsidRPr="009B517E">
              <w:rPr>
                <w:rFonts w:cstheme="minorHAnsi"/>
                <w:i/>
                <w:iCs/>
                <w:color w:val="000000"/>
                <w:sz w:val="20"/>
                <w:szCs w:val="20"/>
              </w:rPr>
              <w:t>Workers in a facility housing NHPs must have a baseline evaluation for TB prior to working with NHPs and an evaluation at least annually</w:t>
            </w:r>
          </w:p>
        </w:tc>
        <w:tc>
          <w:tcPr>
            <w:tcW w:w="5760" w:type="dxa"/>
          </w:tcPr>
          <w:p w:rsidRPr="00EB2999" w:rsidR="00B43D8B" w:rsidP="00432541" w:rsidRDefault="00B43D8B" w14:paraId="6AF81B60" w14:textId="77777777">
            <w:pPr>
              <w:pStyle w:val="ListParagraph"/>
              <w:rPr>
                <w:rFonts w:cstheme="minorHAnsi"/>
                <w:color w:val="000000"/>
                <w:sz w:val="20"/>
                <w:szCs w:val="20"/>
              </w:rPr>
            </w:pPr>
          </w:p>
        </w:tc>
      </w:tr>
      <w:tr w:rsidRPr="00EB2999" w:rsidR="00B43D8B" w:rsidTr="00432541" w14:paraId="3C03F7BB" w14:textId="77777777">
        <w:trPr>
          <w:trHeight w:val="347"/>
        </w:trPr>
        <w:tc>
          <w:tcPr>
            <w:tcW w:w="524" w:type="dxa"/>
            <w:vMerge/>
          </w:tcPr>
          <w:p w:rsidRPr="009B517E" w:rsidR="00B43D8B" w:rsidP="00432541" w:rsidRDefault="00B43D8B" w14:paraId="51D2E20D" w14:textId="77777777">
            <w:pPr>
              <w:pStyle w:val="ListParagraph"/>
              <w:rPr>
                <w:rFonts w:cstheme="minorHAnsi"/>
                <w:i/>
                <w:iCs/>
                <w:color w:val="000000"/>
                <w:sz w:val="20"/>
                <w:szCs w:val="20"/>
              </w:rPr>
            </w:pPr>
          </w:p>
        </w:tc>
        <w:tc>
          <w:tcPr>
            <w:tcW w:w="4966" w:type="dxa"/>
            <w:gridSpan w:val="3"/>
          </w:tcPr>
          <w:p w:rsidRPr="009B517E" w:rsidR="00B43D8B" w:rsidP="00B43D8B" w:rsidRDefault="00B43D8B" w14:paraId="2236E298" w14:textId="77777777">
            <w:pPr>
              <w:pStyle w:val="ListParagraph"/>
              <w:numPr>
                <w:ilvl w:val="0"/>
                <w:numId w:val="17"/>
              </w:numPr>
              <w:rPr>
                <w:rFonts w:cstheme="minorHAnsi"/>
                <w:i/>
                <w:iCs/>
                <w:color w:val="000000"/>
                <w:sz w:val="20"/>
                <w:szCs w:val="20"/>
              </w:rPr>
            </w:pPr>
            <w:r w:rsidRPr="009B517E">
              <w:rPr>
                <w:rFonts w:cstheme="minorHAnsi"/>
                <w:i/>
                <w:iCs/>
                <w:color w:val="000000"/>
                <w:sz w:val="20"/>
                <w:szCs w:val="20"/>
              </w:rPr>
              <w:t>Prompt and direct access to a medical consultant who is capable of performing the evaluation and maintaining records for such tests</w:t>
            </w:r>
          </w:p>
        </w:tc>
        <w:tc>
          <w:tcPr>
            <w:tcW w:w="5760" w:type="dxa"/>
          </w:tcPr>
          <w:p w:rsidRPr="00EB2999" w:rsidR="00B43D8B" w:rsidP="00432541" w:rsidRDefault="00B43D8B" w14:paraId="2E9F9AD7" w14:textId="77777777">
            <w:pPr>
              <w:pStyle w:val="ListParagraph"/>
              <w:rPr>
                <w:rFonts w:cstheme="minorHAnsi"/>
                <w:color w:val="000000"/>
                <w:sz w:val="20"/>
                <w:szCs w:val="20"/>
              </w:rPr>
            </w:pPr>
          </w:p>
        </w:tc>
      </w:tr>
      <w:tr w:rsidRPr="00EB2999" w:rsidR="00B43D8B" w:rsidTr="00432541" w14:paraId="2C0E83DD" w14:textId="77777777">
        <w:trPr>
          <w:trHeight w:val="347"/>
        </w:trPr>
        <w:tc>
          <w:tcPr>
            <w:tcW w:w="524" w:type="dxa"/>
            <w:vMerge/>
          </w:tcPr>
          <w:p w:rsidRPr="009B517E" w:rsidR="00B43D8B" w:rsidP="00432541" w:rsidRDefault="00B43D8B" w14:paraId="7F43A1AA" w14:textId="77777777">
            <w:pPr>
              <w:pStyle w:val="ListParagraph"/>
              <w:rPr>
                <w:rFonts w:cstheme="minorHAnsi"/>
                <w:i/>
                <w:iCs/>
                <w:color w:val="000000"/>
                <w:sz w:val="20"/>
                <w:szCs w:val="20"/>
              </w:rPr>
            </w:pPr>
          </w:p>
        </w:tc>
        <w:tc>
          <w:tcPr>
            <w:tcW w:w="4966" w:type="dxa"/>
            <w:gridSpan w:val="3"/>
          </w:tcPr>
          <w:p w:rsidRPr="009B517E" w:rsidR="00B43D8B" w:rsidP="00B43D8B" w:rsidRDefault="00B43D8B" w14:paraId="609DE3B4" w14:textId="77777777">
            <w:pPr>
              <w:pStyle w:val="ListParagraph"/>
              <w:numPr>
                <w:ilvl w:val="0"/>
                <w:numId w:val="17"/>
              </w:numPr>
              <w:rPr>
                <w:rFonts w:cstheme="minorHAnsi"/>
                <w:i/>
                <w:iCs/>
                <w:color w:val="000000"/>
                <w:sz w:val="20"/>
                <w:szCs w:val="20"/>
              </w:rPr>
            </w:pPr>
            <w:r w:rsidRPr="009B517E">
              <w:rPr>
                <w:rFonts w:cstheme="minorHAnsi"/>
                <w:i/>
                <w:iCs/>
                <w:color w:val="000000"/>
                <w:sz w:val="20"/>
                <w:szCs w:val="20"/>
              </w:rPr>
              <w:t>If an NHP is found to have laboratory-confirmed TB, any worker who had previously entered any room where a confirmed NHP has been housed must promptly undergo a post-exposure TB evaluation and</w:t>
            </w:r>
          </w:p>
        </w:tc>
        <w:tc>
          <w:tcPr>
            <w:tcW w:w="5760" w:type="dxa"/>
            <w:vMerge w:val="restart"/>
          </w:tcPr>
          <w:p w:rsidRPr="00EB2999" w:rsidR="00B43D8B" w:rsidP="00432541" w:rsidRDefault="00B43D8B" w14:paraId="24354E6D" w14:textId="77777777">
            <w:pPr>
              <w:pStyle w:val="ListParagraph"/>
              <w:rPr>
                <w:rFonts w:cstheme="minorHAnsi"/>
                <w:color w:val="000000"/>
                <w:sz w:val="20"/>
                <w:szCs w:val="20"/>
              </w:rPr>
            </w:pPr>
          </w:p>
        </w:tc>
      </w:tr>
      <w:tr w:rsidRPr="00EB2999" w:rsidR="00B43D8B" w:rsidTr="00432541" w14:paraId="028840AA" w14:textId="77777777">
        <w:trPr>
          <w:trHeight w:val="347"/>
        </w:trPr>
        <w:tc>
          <w:tcPr>
            <w:tcW w:w="524" w:type="dxa"/>
            <w:vMerge/>
          </w:tcPr>
          <w:p w:rsidRPr="009B517E" w:rsidR="00B43D8B" w:rsidP="00432541" w:rsidRDefault="00B43D8B" w14:paraId="43E58E13" w14:textId="77777777">
            <w:pPr>
              <w:pStyle w:val="ListParagraph"/>
              <w:rPr>
                <w:rFonts w:cstheme="minorHAnsi"/>
                <w:i/>
                <w:iCs/>
                <w:color w:val="000000"/>
                <w:sz w:val="20"/>
                <w:szCs w:val="20"/>
              </w:rPr>
            </w:pPr>
          </w:p>
        </w:tc>
        <w:tc>
          <w:tcPr>
            <w:tcW w:w="736" w:type="dxa"/>
            <w:gridSpan w:val="2"/>
            <w:vMerge w:val="restart"/>
          </w:tcPr>
          <w:p w:rsidRPr="009B517E" w:rsidR="00B43D8B" w:rsidP="00432541" w:rsidRDefault="00B43D8B" w14:paraId="5888521B" w14:textId="77777777">
            <w:pPr>
              <w:rPr>
                <w:rFonts w:cstheme="minorHAnsi"/>
                <w:i/>
                <w:iCs/>
                <w:color w:val="000000"/>
                <w:sz w:val="20"/>
                <w:szCs w:val="20"/>
              </w:rPr>
            </w:pPr>
          </w:p>
        </w:tc>
        <w:tc>
          <w:tcPr>
            <w:tcW w:w="4230" w:type="dxa"/>
          </w:tcPr>
          <w:p w:rsidRPr="009B517E" w:rsidR="00B43D8B" w:rsidP="00B43D8B" w:rsidRDefault="00B43D8B" w14:paraId="00C2C289" w14:textId="77777777">
            <w:pPr>
              <w:pStyle w:val="ListParagraph"/>
              <w:numPr>
                <w:ilvl w:val="0"/>
                <w:numId w:val="18"/>
              </w:numPr>
              <w:rPr>
                <w:rFonts w:cstheme="minorHAnsi"/>
                <w:i/>
                <w:iCs/>
                <w:color w:val="000000"/>
                <w:sz w:val="20"/>
                <w:szCs w:val="20"/>
              </w:rPr>
            </w:pPr>
            <w:r w:rsidRPr="009B517E">
              <w:rPr>
                <w:rFonts w:cstheme="minorHAnsi"/>
                <w:i/>
                <w:iCs/>
                <w:color w:val="000000"/>
                <w:sz w:val="20"/>
                <w:szCs w:val="20"/>
              </w:rPr>
              <w:t>If that test is negative, the worker must undergo another TB evaluation 3 months later; and</w:t>
            </w:r>
          </w:p>
        </w:tc>
        <w:tc>
          <w:tcPr>
            <w:tcW w:w="5760" w:type="dxa"/>
            <w:vMerge/>
          </w:tcPr>
          <w:p w:rsidRPr="00EB2999" w:rsidR="00B43D8B" w:rsidP="00432541" w:rsidRDefault="00B43D8B" w14:paraId="4AADA463" w14:textId="77777777">
            <w:pPr>
              <w:pStyle w:val="ListParagraph"/>
              <w:rPr>
                <w:rFonts w:cstheme="minorHAnsi"/>
                <w:color w:val="000000"/>
                <w:sz w:val="20"/>
                <w:szCs w:val="20"/>
              </w:rPr>
            </w:pPr>
          </w:p>
        </w:tc>
      </w:tr>
      <w:tr w:rsidRPr="00EB2999" w:rsidR="00B43D8B" w:rsidTr="00432541" w14:paraId="7F227C46" w14:textId="77777777">
        <w:trPr>
          <w:trHeight w:val="347"/>
        </w:trPr>
        <w:tc>
          <w:tcPr>
            <w:tcW w:w="524" w:type="dxa"/>
            <w:vMerge/>
          </w:tcPr>
          <w:p w:rsidRPr="009B517E" w:rsidR="00B43D8B" w:rsidP="00432541" w:rsidRDefault="00B43D8B" w14:paraId="40255867" w14:textId="77777777">
            <w:pPr>
              <w:pStyle w:val="ListParagraph"/>
              <w:rPr>
                <w:rFonts w:cstheme="minorHAnsi"/>
                <w:i/>
                <w:iCs/>
                <w:color w:val="000000"/>
                <w:sz w:val="20"/>
                <w:szCs w:val="20"/>
              </w:rPr>
            </w:pPr>
          </w:p>
        </w:tc>
        <w:tc>
          <w:tcPr>
            <w:tcW w:w="736" w:type="dxa"/>
            <w:gridSpan w:val="2"/>
            <w:vMerge/>
          </w:tcPr>
          <w:p w:rsidRPr="009B517E" w:rsidR="00B43D8B" w:rsidP="00432541" w:rsidRDefault="00B43D8B" w14:paraId="73BD4C6C" w14:textId="77777777">
            <w:pPr>
              <w:rPr>
                <w:rFonts w:cstheme="minorHAnsi"/>
                <w:i/>
                <w:iCs/>
                <w:color w:val="000000"/>
                <w:sz w:val="20"/>
                <w:szCs w:val="20"/>
              </w:rPr>
            </w:pPr>
          </w:p>
        </w:tc>
        <w:tc>
          <w:tcPr>
            <w:tcW w:w="4230" w:type="dxa"/>
          </w:tcPr>
          <w:p w:rsidRPr="009B517E" w:rsidR="00B43D8B" w:rsidP="00B43D8B" w:rsidRDefault="00B43D8B" w14:paraId="4029B662" w14:textId="77777777">
            <w:pPr>
              <w:pStyle w:val="ListParagraph"/>
              <w:numPr>
                <w:ilvl w:val="0"/>
                <w:numId w:val="18"/>
              </w:numPr>
              <w:rPr>
                <w:rFonts w:cstheme="minorHAnsi"/>
                <w:i/>
                <w:iCs/>
                <w:color w:val="000000"/>
                <w:sz w:val="20"/>
                <w:szCs w:val="20"/>
              </w:rPr>
            </w:pPr>
            <w:r w:rsidRPr="009B517E">
              <w:rPr>
                <w:rFonts w:cstheme="minorHAnsi"/>
                <w:i/>
                <w:iCs/>
                <w:color w:val="000000"/>
                <w:sz w:val="20"/>
                <w:szCs w:val="20"/>
              </w:rPr>
              <w:t>If either test is reactive, the worker must be referred for medical evaluation; and</w:t>
            </w:r>
          </w:p>
        </w:tc>
        <w:tc>
          <w:tcPr>
            <w:tcW w:w="5760" w:type="dxa"/>
            <w:vMerge/>
          </w:tcPr>
          <w:p w:rsidRPr="00EB2999" w:rsidR="00B43D8B" w:rsidP="00432541" w:rsidRDefault="00B43D8B" w14:paraId="1B469DDA" w14:textId="77777777">
            <w:pPr>
              <w:pStyle w:val="ListParagraph"/>
              <w:rPr>
                <w:rFonts w:cstheme="minorHAnsi"/>
                <w:color w:val="000000"/>
                <w:sz w:val="20"/>
                <w:szCs w:val="20"/>
              </w:rPr>
            </w:pPr>
          </w:p>
        </w:tc>
      </w:tr>
      <w:tr w:rsidRPr="00EB2999" w:rsidR="00B43D8B" w:rsidTr="00432541" w14:paraId="40666EB7" w14:textId="77777777">
        <w:trPr>
          <w:trHeight w:val="347"/>
        </w:trPr>
        <w:tc>
          <w:tcPr>
            <w:tcW w:w="524" w:type="dxa"/>
            <w:vMerge/>
          </w:tcPr>
          <w:p w:rsidRPr="009B517E" w:rsidR="00B43D8B" w:rsidP="00432541" w:rsidRDefault="00B43D8B" w14:paraId="69067F97" w14:textId="77777777">
            <w:pPr>
              <w:pStyle w:val="ListParagraph"/>
              <w:rPr>
                <w:rFonts w:cstheme="minorHAnsi"/>
                <w:i/>
                <w:iCs/>
                <w:color w:val="000000"/>
                <w:sz w:val="20"/>
                <w:szCs w:val="20"/>
              </w:rPr>
            </w:pPr>
          </w:p>
        </w:tc>
        <w:tc>
          <w:tcPr>
            <w:tcW w:w="736" w:type="dxa"/>
            <w:gridSpan w:val="2"/>
            <w:vMerge/>
          </w:tcPr>
          <w:p w:rsidRPr="009B517E" w:rsidR="00B43D8B" w:rsidP="00432541" w:rsidRDefault="00B43D8B" w14:paraId="3959AEEE" w14:textId="77777777">
            <w:pPr>
              <w:rPr>
                <w:rFonts w:cstheme="minorHAnsi"/>
                <w:i/>
                <w:iCs/>
                <w:color w:val="000000"/>
                <w:sz w:val="20"/>
                <w:szCs w:val="20"/>
              </w:rPr>
            </w:pPr>
          </w:p>
        </w:tc>
        <w:tc>
          <w:tcPr>
            <w:tcW w:w="4230" w:type="dxa"/>
          </w:tcPr>
          <w:p w:rsidRPr="009B517E" w:rsidR="00B43D8B" w:rsidP="00B43D8B" w:rsidRDefault="00B43D8B" w14:paraId="4098A997" w14:textId="77777777">
            <w:pPr>
              <w:pStyle w:val="ListParagraph"/>
              <w:numPr>
                <w:ilvl w:val="0"/>
                <w:numId w:val="18"/>
              </w:numPr>
              <w:rPr>
                <w:rFonts w:cstheme="minorHAnsi"/>
                <w:i/>
                <w:iCs/>
                <w:color w:val="000000"/>
                <w:sz w:val="20"/>
                <w:szCs w:val="20"/>
              </w:rPr>
            </w:pPr>
            <w:r w:rsidRPr="009B517E">
              <w:rPr>
                <w:rFonts w:cstheme="minorHAnsi"/>
                <w:i/>
                <w:iCs/>
                <w:color w:val="000000"/>
                <w:sz w:val="20"/>
                <w:szCs w:val="20"/>
              </w:rPr>
              <w:t>The HHS/CDC must be immediately notified of the results of the medical evaluation by telephone, text, or email as specified in the importer's SOPs</w:t>
            </w:r>
          </w:p>
        </w:tc>
        <w:tc>
          <w:tcPr>
            <w:tcW w:w="5760" w:type="dxa"/>
            <w:vMerge/>
          </w:tcPr>
          <w:p w:rsidRPr="00EB2999" w:rsidR="00B43D8B" w:rsidP="00432541" w:rsidRDefault="00B43D8B" w14:paraId="3BAEEA7C" w14:textId="77777777">
            <w:pPr>
              <w:pStyle w:val="ListParagraph"/>
              <w:rPr>
                <w:rFonts w:cstheme="minorHAnsi"/>
                <w:color w:val="000000"/>
                <w:sz w:val="20"/>
                <w:szCs w:val="20"/>
              </w:rPr>
            </w:pPr>
          </w:p>
        </w:tc>
      </w:tr>
      <w:tr w:rsidRPr="00EB2999" w:rsidR="00B43D8B" w:rsidTr="00432541" w14:paraId="01096753" w14:textId="77777777">
        <w:trPr>
          <w:trHeight w:val="347"/>
        </w:trPr>
        <w:tc>
          <w:tcPr>
            <w:tcW w:w="524" w:type="dxa"/>
            <w:vMerge/>
          </w:tcPr>
          <w:p w:rsidRPr="009B517E" w:rsidR="00B43D8B" w:rsidP="00432541" w:rsidRDefault="00B43D8B" w14:paraId="34B229E3" w14:textId="77777777">
            <w:pPr>
              <w:pStyle w:val="ListParagraph"/>
              <w:rPr>
                <w:rFonts w:cstheme="minorHAnsi"/>
                <w:i/>
                <w:iCs/>
                <w:color w:val="000000"/>
                <w:sz w:val="20"/>
                <w:szCs w:val="20"/>
              </w:rPr>
            </w:pPr>
          </w:p>
        </w:tc>
        <w:tc>
          <w:tcPr>
            <w:tcW w:w="4966" w:type="dxa"/>
            <w:gridSpan w:val="3"/>
          </w:tcPr>
          <w:p w:rsidRPr="009B517E" w:rsidR="00B43D8B" w:rsidP="00B43D8B" w:rsidRDefault="00B43D8B" w14:paraId="31FDC747" w14:textId="77777777">
            <w:pPr>
              <w:pStyle w:val="ListParagraph"/>
              <w:numPr>
                <w:ilvl w:val="0"/>
                <w:numId w:val="17"/>
              </w:numPr>
              <w:rPr>
                <w:rFonts w:cstheme="minorHAnsi"/>
                <w:i/>
                <w:iCs/>
                <w:color w:val="000000"/>
                <w:sz w:val="20"/>
                <w:szCs w:val="20"/>
              </w:rPr>
            </w:pPr>
            <w:r>
              <w:rPr>
                <w:rFonts w:cstheme="minorHAnsi"/>
                <w:i/>
                <w:iCs/>
                <w:color w:val="000000"/>
                <w:sz w:val="20"/>
                <w:szCs w:val="20"/>
              </w:rPr>
              <w:t>Describe how you ensure c</w:t>
            </w:r>
            <w:r w:rsidRPr="00A8629C">
              <w:rPr>
                <w:rFonts w:cstheme="minorHAnsi"/>
                <w:i/>
                <w:iCs/>
                <w:color w:val="000000"/>
                <w:sz w:val="20"/>
                <w:szCs w:val="20"/>
              </w:rPr>
              <w:t xml:space="preserve">ompliance with exposure-control planning elements under </w:t>
            </w:r>
            <w:hyperlink w:history="1" r:id="rId10">
              <w:r w:rsidRPr="00A8629C">
                <w:rPr>
                  <w:rStyle w:val="Hyperlink"/>
                  <w:rFonts w:cstheme="minorHAnsi"/>
                  <w:i/>
                  <w:iCs/>
                  <w:sz w:val="20"/>
                  <w:szCs w:val="20"/>
                </w:rPr>
                <w:t>29 CFR 1910.1030</w:t>
              </w:r>
            </w:hyperlink>
            <w:r w:rsidRPr="00A8629C">
              <w:rPr>
                <w:rFonts w:cstheme="minorHAnsi"/>
                <w:i/>
                <w:iCs/>
                <w:color w:val="000000"/>
                <w:sz w:val="20"/>
                <w:szCs w:val="20"/>
              </w:rPr>
              <w:t xml:space="preserve"> for workers who will have parenteral and other contact with blood or other potentially infectious material from NHPs.</w:t>
            </w:r>
          </w:p>
        </w:tc>
        <w:tc>
          <w:tcPr>
            <w:tcW w:w="5760" w:type="dxa"/>
          </w:tcPr>
          <w:p w:rsidRPr="00EB2999" w:rsidR="00B43D8B" w:rsidP="00432541" w:rsidRDefault="00B43D8B" w14:paraId="6FD2B227" w14:textId="77777777">
            <w:pPr>
              <w:pStyle w:val="ListParagraph"/>
              <w:rPr>
                <w:rFonts w:cstheme="minorHAnsi"/>
                <w:color w:val="000000"/>
                <w:sz w:val="20"/>
                <w:szCs w:val="20"/>
              </w:rPr>
            </w:pPr>
          </w:p>
        </w:tc>
      </w:tr>
      <w:tr w:rsidRPr="00EB2999" w:rsidR="00B43D8B" w:rsidTr="00432541" w14:paraId="5F6CAFAB" w14:textId="77777777">
        <w:trPr>
          <w:trHeight w:val="347"/>
        </w:trPr>
        <w:tc>
          <w:tcPr>
            <w:tcW w:w="524" w:type="dxa"/>
          </w:tcPr>
          <w:p w:rsidRPr="009B517E" w:rsidR="00B43D8B" w:rsidP="00432541" w:rsidRDefault="00B43D8B" w14:paraId="60CD9705" w14:textId="77777777">
            <w:pPr>
              <w:pStyle w:val="ListParagraph"/>
              <w:rPr>
                <w:rFonts w:cstheme="minorHAnsi"/>
                <w:i/>
                <w:iCs/>
                <w:color w:val="000000"/>
                <w:sz w:val="20"/>
                <w:szCs w:val="20"/>
              </w:rPr>
            </w:pPr>
          </w:p>
        </w:tc>
        <w:tc>
          <w:tcPr>
            <w:tcW w:w="4966" w:type="dxa"/>
            <w:gridSpan w:val="3"/>
          </w:tcPr>
          <w:p w:rsidRPr="009B517E" w:rsidR="00B43D8B" w:rsidP="00B43D8B" w:rsidRDefault="00B43D8B" w14:paraId="4A2779AD" w14:textId="77777777">
            <w:pPr>
              <w:pStyle w:val="ListParagraph"/>
              <w:numPr>
                <w:ilvl w:val="0"/>
                <w:numId w:val="17"/>
              </w:numPr>
              <w:rPr>
                <w:rFonts w:cstheme="minorHAnsi"/>
                <w:i/>
                <w:iCs/>
                <w:color w:val="000000"/>
                <w:sz w:val="20"/>
                <w:szCs w:val="20"/>
              </w:rPr>
            </w:pPr>
            <w:r>
              <w:rPr>
                <w:rFonts w:cstheme="minorHAnsi"/>
                <w:i/>
                <w:iCs/>
                <w:color w:val="000000"/>
                <w:sz w:val="20"/>
                <w:szCs w:val="20"/>
              </w:rPr>
              <w:t xml:space="preserve">Describe how you will ensure </w:t>
            </w:r>
            <w:r w:rsidRPr="00E962F6">
              <w:rPr>
                <w:rFonts w:cstheme="minorHAnsi"/>
                <w:i/>
                <w:iCs/>
                <w:color w:val="000000"/>
                <w:sz w:val="20"/>
                <w:szCs w:val="20"/>
              </w:rPr>
              <w:t xml:space="preserve">compliance with the respiratory protection requirements in </w:t>
            </w:r>
            <w:hyperlink w:history="1" r:id="rId11">
              <w:r w:rsidRPr="00E962F6">
                <w:rPr>
                  <w:rStyle w:val="Hyperlink"/>
                  <w:rFonts w:cstheme="minorHAnsi"/>
                  <w:i/>
                  <w:iCs/>
                  <w:sz w:val="20"/>
                  <w:szCs w:val="20"/>
                </w:rPr>
                <w:t>29 CFR 1910.134</w:t>
              </w:r>
            </w:hyperlink>
            <w:r w:rsidRPr="00E962F6">
              <w:rPr>
                <w:rFonts w:cstheme="minorHAnsi"/>
                <w:i/>
                <w:iCs/>
                <w:color w:val="000000"/>
                <w:sz w:val="20"/>
                <w:szCs w:val="20"/>
              </w:rPr>
              <w:t>.</w:t>
            </w:r>
          </w:p>
        </w:tc>
        <w:tc>
          <w:tcPr>
            <w:tcW w:w="5760" w:type="dxa"/>
          </w:tcPr>
          <w:p w:rsidRPr="00EB2999" w:rsidR="00B43D8B" w:rsidP="00432541" w:rsidRDefault="00B43D8B" w14:paraId="6773C580" w14:textId="77777777">
            <w:pPr>
              <w:pStyle w:val="ListParagraph"/>
              <w:rPr>
                <w:rFonts w:cstheme="minorHAnsi"/>
                <w:color w:val="000000"/>
                <w:sz w:val="20"/>
                <w:szCs w:val="20"/>
              </w:rPr>
            </w:pPr>
          </w:p>
        </w:tc>
      </w:tr>
      <w:tr w:rsidRPr="00EB2999" w:rsidR="00B43D8B" w:rsidTr="00432541" w14:paraId="58A28EB9" w14:textId="77777777">
        <w:trPr>
          <w:trHeight w:val="347"/>
        </w:trPr>
        <w:tc>
          <w:tcPr>
            <w:tcW w:w="5490" w:type="dxa"/>
            <w:gridSpan w:val="4"/>
          </w:tcPr>
          <w:p w:rsidRPr="009B517E" w:rsidR="00B43D8B" w:rsidP="00B43D8B" w:rsidRDefault="00B43D8B" w14:paraId="679C09BC" w14:textId="77777777">
            <w:pPr>
              <w:pStyle w:val="ListParagraph"/>
              <w:numPr>
                <w:ilvl w:val="0"/>
                <w:numId w:val="9"/>
              </w:numPr>
              <w:rPr>
                <w:rFonts w:cstheme="minorHAnsi"/>
                <w:i/>
                <w:iCs/>
                <w:color w:val="000000"/>
                <w:sz w:val="20"/>
                <w:szCs w:val="20"/>
              </w:rPr>
            </w:pPr>
            <w:r w:rsidRPr="00A8629C">
              <w:rPr>
                <w:rFonts w:cstheme="minorHAnsi"/>
                <w:i/>
                <w:iCs/>
                <w:color w:val="000000"/>
                <w:sz w:val="20"/>
                <w:szCs w:val="20"/>
              </w:rPr>
              <w:t>For importation of macaques, an importer must develop, implement and adhere to a written PPE program to prevent herpes B virus transmission. The program must be based on a thorough hazard assessment of all work procedures, potential routes of exposure (e.g., bites, scratches, or mucosal exposures), and potential adverse health outcomes</w:t>
            </w:r>
            <w:r>
              <w:rPr>
                <w:rFonts w:cstheme="minorHAnsi"/>
                <w:i/>
                <w:iCs/>
                <w:color w:val="000000"/>
                <w:sz w:val="20"/>
                <w:szCs w:val="20"/>
              </w:rPr>
              <w:t>.  If you intend to import macaques during the 2-year registration period, please provide a description of your program addressing herpes B.</w:t>
            </w:r>
          </w:p>
        </w:tc>
        <w:tc>
          <w:tcPr>
            <w:tcW w:w="5760" w:type="dxa"/>
          </w:tcPr>
          <w:p w:rsidRPr="00EB2999" w:rsidR="00B43D8B" w:rsidP="00432541" w:rsidRDefault="00B43D8B" w14:paraId="682E7099" w14:textId="77777777">
            <w:pPr>
              <w:pStyle w:val="ListParagraph"/>
              <w:rPr>
                <w:rFonts w:cstheme="minorHAnsi"/>
                <w:color w:val="000000"/>
                <w:sz w:val="20"/>
                <w:szCs w:val="20"/>
              </w:rPr>
            </w:pPr>
          </w:p>
        </w:tc>
      </w:tr>
      <w:tr w:rsidRPr="00EB2999" w:rsidR="00B43D8B" w:rsidTr="00432541" w14:paraId="760FA191" w14:textId="77777777">
        <w:trPr>
          <w:trHeight w:val="347"/>
        </w:trPr>
        <w:tc>
          <w:tcPr>
            <w:tcW w:w="5490" w:type="dxa"/>
            <w:gridSpan w:val="4"/>
          </w:tcPr>
          <w:p w:rsidR="00B43D8B" w:rsidP="00B43D8B" w:rsidRDefault="00B43D8B" w14:paraId="6F4A33AF" w14:textId="77777777">
            <w:pPr>
              <w:pStyle w:val="ListParagraph"/>
              <w:numPr>
                <w:ilvl w:val="0"/>
                <w:numId w:val="9"/>
              </w:numPr>
              <w:rPr>
                <w:rFonts w:cstheme="minorHAnsi"/>
                <w:i/>
                <w:iCs/>
                <w:color w:val="000000"/>
                <w:sz w:val="20"/>
                <w:szCs w:val="20"/>
              </w:rPr>
            </w:pPr>
            <w:r>
              <w:rPr>
                <w:rFonts w:cstheme="minorHAnsi"/>
                <w:i/>
                <w:iCs/>
                <w:color w:val="000000"/>
                <w:sz w:val="20"/>
                <w:szCs w:val="20"/>
              </w:rPr>
              <w:t>Describe how you will ensure the following requirements are met:</w:t>
            </w:r>
          </w:p>
          <w:p w:rsidR="00B43D8B" w:rsidP="00B43D8B" w:rsidRDefault="00B43D8B" w14:paraId="0CADB0AC" w14:textId="77777777">
            <w:pPr>
              <w:pStyle w:val="ListParagraph"/>
              <w:numPr>
                <w:ilvl w:val="1"/>
                <w:numId w:val="9"/>
              </w:numPr>
              <w:rPr>
                <w:rFonts w:cstheme="minorHAnsi"/>
                <w:i/>
                <w:iCs/>
                <w:color w:val="000000"/>
                <w:sz w:val="20"/>
                <w:szCs w:val="20"/>
              </w:rPr>
            </w:pPr>
            <w:r>
              <w:rPr>
                <w:rFonts w:cstheme="minorHAnsi"/>
                <w:i/>
                <w:iCs/>
                <w:color w:val="000000"/>
                <w:sz w:val="20"/>
                <w:szCs w:val="20"/>
              </w:rPr>
              <w:t xml:space="preserve">An </w:t>
            </w:r>
            <w:r w:rsidRPr="00A8629C">
              <w:rPr>
                <w:rFonts w:cstheme="minorHAnsi"/>
                <w:i/>
                <w:iCs/>
                <w:color w:val="000000"/>
                <w:sz w:val="20"/>
                <w:szCs w:val="20"/>
              </w:rPr>
              <w:t xml:space="preserve"> importer must keep records of all serious febrile illnesses (fever greater than 101.3 degrees Fahrenheit [38.5 degrees Celsius] for more than 48 hours) in workers having exposure to NHPs in transit or in quarantine. The record must be kept by the importer as part of the worker's administrative records.</w:t>
            </w:r>
          </w:p>
          <w:p w:rsidR="00B43D8B" w:rsidP="00B43D8B" w:rsidRDefault="00B43D8B" w14:paraId="7E5F5FC4" w14:textId="77777777">
            <w:pPr>
              <w:pStyle w:val="ListParagraph"/>
              <w:numPr>
                <w:ilvl w:val="1"/>
                <w:numId w:val="9"/>
              </w:numPr>
              <w:rPr>
                <w:rFonts w:cstheme="minorHAnsi"/>
                <w:i/>
                <w:iCs/>
                <w:color w:val="000000"/>
                <w:sz w:val="20"/>
                <w:szCs w:val="20"/>
              </w:rPr>
            </w:pPr>
            <w:r w:rsidRPr="00A8629C">
              <w:rPr>
                <w:rFonts w:cstheme="minorHAnsi"/>
                <w:i/>
                <w:iCs/>
                <w:color w:val="000000"/>
                <w:sz w:val="20"/>
                <w:szCs w:val="20"/>
              </w:rPr>
              <w:t xml:space="preserve">The importer must promptly notify HHS/CDC by telephone, text, or email if such an illness occurs. </w:t>
            </w:r>
          </w:p>
          <w:p w:rsidRPr="00737079" w:rsidR="00B43D8B" w:rsidP="00B43D8B" w:rsidRDefault="00B43D8B" w14:paraId="2BE9E5A1" w14:textId="77777777">
            <w:pPr>
              <w:pStyle w:val="ListParagraph"/>
              <w:numPr>
                <w:ilvl w:val="1"/>
                <w:numId w:val="9"/>
              </w:numPr>
              <w:rPr>
                <w:rFonts w:cstheme="minorHAnsi"/>
                <w:i/>
                <w:iCs/>
                <w:color w:val="000000"/>
                <w:sz w:val="20"/>
                <w:szCs w:val="20"/>
              </w:rPr>
            </w:pPr>
            <w:r w:rsidRPr="00737079">
              <w:rPr>
                <w:rFonts w:cstheme="minorHAnsi"/>
                <w:i/>
                <w:iCs/>
                <w:color w:val="000000"/>
                <w:sz w:val="20"/>
                <w:szCs w:val="20"/>
              </w:rPr>
              <w:t>An importer must ensure that the medical consultant providing care is informed that the patient works with and/or has been exposed to NHPs.</w:t>
            </w:r>
          </w:p>
        </w:tc>
        <w:tc>
          <w:tcPr>
            <w:tcW w:w="5760" w:type="dxa"/>
          </w:tcPr>
          <w:p w:rsidRPr="00EB2999" w:rsidR="00B43D8B" w:rsidP="00432541" w:rsidRDefault="00B43D8B" w14:paraId="471B1C0B" w14:textId="77777777">
            <w:pPr>
              <w:pStyle w:val="ListParagraph"/>
              <w:rPr>
                <w:rFonts w:cstheme="minorHAnsi"/>
                <w:color w:val="000000"/>
                <w:sz w:val="20"/>
                <w:szCs w:val="20"/>
              </w:rPr>
            </w:pPr>
          </w:p>
        </w:tc>
      </w:tr>
    </w:tbl>
    <w:p w:rsidRPr="00EB2999" w:rsidR="00B43D8B" w:rsidP="00B43D8B" w:rsidRDefault="00B43D8B" w14:paraId="50B63422" w14:textId="77777777">
      <w:pPr>
        <w:rPr>
          <w:rFonts w:cstheme="minorHAnsi"/>
          <w:sz w:val="20"/>
          <w:szCs w:val="20"/>
        </w:rPr>
      </w:pPr>
    </w:p>
    <w:p w:rsidRPr="00C008C7" w:rsidR="00B43D8B" w:rsidP="00B43D8B" w:rsidRDefault="00B43D8B" w14:paraId="78FACAF3" w14:textId="77777777">
      <w:pPr>
        <w:rPr>
          <w:rFonts w:cstheme="minorHAnsi"/>
          <w:sz w:val="20"/>
          <w:szCs w:val="20"/>
        </w:rPr>
      </w:pPr>
    </w:p>
    <w:tbl>
      <w:tblPr>
        <w:tblStyle w:val="TableGrid"/>
        <w:tblW w:w="11250" w:type="dxa"/>
        <w:tblInd w:w="-1085" w:type="dxa"/>
        <w:tblLook w:val="04A0" w:firstRow="1" w:lastRow="0" w:firstColumn="1" w:lastColumn="0" w:noHBand="0" w:noVBand="1"/>
      </w:tblPr>
      <w:tblGrid>
        <w:gridCol w:w="5940"/>
        <w:gridCol w:w="5310"/>
      </w:tblGrid>
      <w:tr w:rsidR="00B43D8B" w:rsidTr="00432541" w14:paraId="2935DAC0" w14:textId="77777777">
        <w:tc>
          <w:tcPr>
            <w:tcW w:w="11250" w:type="dxa"/>
            <w:gridSpan w:val="2"/>
            <w:shd w:val="clear" w:color="auto" w:fill="FBE4D5" w:themeFill="accent2" w:themeFillTint="33"/>
          </w:tcPr>
          <w:p w:rsidRPr="000F4534" w:rsidR="00B43D8B" w:rsidP="00432541" w:rsidRDefault="00B43D8B" w14:paraId="4848BADF" w14:textId="77777777">
            <w:pPr>
              <w:jc w:val="center"/>
              <w:rPr>
                <w:rFonts w:cstheme="minorHAnsi"/>
                <w:b/>
                <w:bCs/>
              </w:rPr>
            </w:pPr>
            <w:r>
              <w:rPr>
                <w:rFonts w:cstheme="minorHAnsi"/>
                <w:b/>
                <w:bCs/>
              </w:rPr>
              <w:t xml:space="preserve">Section 3: Crating, Caging, and Transport </w:t>
            </w:r>
          </w:p>
        </w:tc>
      </w:tr>
      <w:tr w:rsidR="00B43D8B" w:rsidTr="00432541" w14:paraId="2D430867" w14:textId="77777777">
        <w:tc>
          <w:tcPr>
            <w:tcW w:w="5940" w:type="dxa"/>
            <w:shd w:val="clear" w:color="auto" w:fill="auto"/>
          </w:tcPr>
          <w:p w:rsidR="00B43D8B" w:rsidP="00432541" w:rsidRDefault="00B43D8B" w14:paraId="1215B425" w14:textId="77777777">
            <w:pPr>
              <w:jc w:val="center"/>
              <w:rPr>
                <w:rFonts w:cstheme="minorHAnsi"/>
                <w:b/>
                <w:bCs/>
              </w:rPr>
            </w:pPr>
            <w:r>
              <w:rPr>
                <w:rFonts w:cstheme="minorHAnsi"/>
                <w:b/>
                <w:bCs/>
              </w:rPr>
              <w:t xml:space="preserve">Regulation </w:t>
            </w:r>
            <w:r w:rsidRPr="00A02DF4">
              <w:rPr>
                <w:rFonts w:cstheme="minorHAnsi"/>
                <w:b/>
                <w:bCs/>
              </w:rPr>
              <w:t>42 CFR §71.53 (</w:t>
            </w:r>
            <w:r>
              <w:rPr>
                <w:rFonts w:cstheme="minorHAnsi"/>
                <w:b/>
                <w:bCs/>
              </w:rPr>
              <w:t>j</w:t>
            </w:r>
            <w:r w:rsidRPr="00A02DF4">
              <w:rPr>
                <w:rFonts w:cstheme="minorHAnsi"/>
                <w:b/>
                <w:bCs/>
              </w:rPr>
              <w:t>)</w:t>
            </w:r>
          </w:p>
        </w:tc>
        <w:tc>
          <w:tcPr>
            <w:tcW w:w="5310" w:type="dxa"/>
            <w:shd w:val="clear" w:color="auto" w:fill="auto"/>
          </w:tcPr>
          <w:p w:rsidR="00B43D8B" w:rsidP="00432541" w:rsidRDefault="00B43D8B" w14:paraId="65ACB25A" w14:textId="77777777">
            <w:pPr>
              <w:jc w:val="center"/>
              <w:rPr>
                <w:rFonts w:cstheme="minorHAnsi"/>
                <w:b/>
                <w:bCs/>
              </w:rPr>
            </w:pPr>
            <w:r>
              <w:rPr>
                <w:rFonts w:cstheme="minorHAnsi"/>
                <w:b/>
                <w:bCs/>
              </w:rPr>
              <w:t>Standard Operating Procedure Meeting Regulation</w:t>
            </w:r>
          </w:p>
        </w:tc>
      </w:tr>
      <w:tr w:rsidRPr="00DB7974" w:rsidR="00B43D8B" w:rsidTr="00432541" w14:paraId="481F2BB7" w14:textId="77777777">
        <w:tc>
          <w:tcPr>
            <w:tcW w:w="5940" w:type="dxa"/>
          </w:tcPr>
          <w:p w:rsidRPr="00DB7974" w:rsidR="00B43D8B" w:rsidP="00432541" w:rsidRDefault="00B43D8B" w14:paraId="7FA62BDC" w14:textId="77777777">
            <w:pPr>
              <w:rPr>
                <w:rFonts w:cstheme="minorHAnsi"/>
                <w:i/>
                <w:iCs/>
                <w:sz w:val="20"/>
                <w:szCs w:val="20"/>
              </w:rPr>
            </w:pPr>
            <w:r w:rsidRPr="00DB7974">
              <w:rPr>
                <w:rFonts w:ascii="Calibri" w:hAnsi="Calibri" w:cs="Calibri"/>
                <w:i/>
                <w:iCs/>
                <w:color w:val="000000"/>
                <w:sz w:val="20"/>
                <w:szCs w:val="20"/>
              </w:rPr>
              <w:t xml:space="preserve">Equipment standards for crating, caging, and transporting live NHPs must be in accordance with </w:t>
            </w:r>
            <w:hyperlink w:history="1" r:id="rId12">
              <w:r w:rsidRPr="00E962F6">
                <w:rPr>
                  <w:rStyle w:val="Hyperlink"/>
                  <w:rFonts w:ascii="Calibri" w:hAnsi="Calibri" w:cs="Calibri"/>
                  <w:i/>
                  <w:iCs/>
                  <w:sz w:val="20"/>
                  <w:szCs w:val="20"/>
                </w:rPr>
                <w:t>USDA Animal Welfare</w:t>
              </w:r>
            </w:hyperlink>
            <w:r w:rsidRPr="00DB7974">
              <w:rPr>
                <w:rFonts w:ascii="Calibri" w:hAnsi="Calibri" w:cs="Calibri"/>
                <w:i/>
                <w:iCs/>
                <w:color w:val="000000"/>
                <w:sz w:val="20"/>
                <w:szCs w:val="20"/>
              </w:rPr>
              <w:t xml:space="preserve"> regulation standards (9 CFR parts 1, 2, and 3) and </w:t>
            </w:r>
            <w:hyperlink w:history="1" r:id="rId13">
              <w:r w:rsidRPr="00E962F6">
                <w:rPr>
                  <w:rStyle w:val="Hyperlink"/>
                  <w:rFonts w:ascii="Calibri" w:hAnsi="Calibri" w:cs="Calibri"/>
                  <w:i/>
                  <w:iCs/>
                  <w:sz w:val="20"/>
                  <w:szCs w:val="20"/>
                </w:rPr>
                <w:t>International Air Transport Association</w:t>
              </w:r>
            </w:hyperlink>
            <w:r w:rsidRPr="00DB7974">
              <w:rPr>
                <w:rFonts w:ascii="Calibri" w:hAnsi="Calibri" w:cs="Calibri"/>
                <w:i/>
                <w:iCs/>
                <w:color w:val="000000"/>
                <w:sz w:val="20"/>
                <w:szCs w:val="20"/>
              </w:rPr>
              <w:t xml:space="preserve"> standards</w:t>
            </w:r>
            <w:r>
              <w:rPr>
                <w:rFonts w:ascii="Calibri" w:hAnsi="Calibri" w:cs="Calibri"/>
                <w:i/>
                <w:iCs/>
                <w:color w:val="000000"/>
                <w:sz w:val="20"/>
                <w:szCs w:val="20"/>
              </w:rPr>
              <w:t xml:space="preserve">.  Additionally, importers must </w:t>
            </w:r>
            <w:r w:rsidRPr="00764FD1">
              <w:rPr>
                <w:rFonts w:ascii="Calibri" w:hAnsi="Calibri" w:cs="Calibri"/>
                <w:i/>
                <w:iCs/>
                <w:color w:val="000000"/>
                <w:sz w:val="20"/>
                <w:szCs w:val="20"/>
              </w:rPr>
              <w:t xml:space="preserve">establish, implement, maintain, and adhere to SOPs that ensure the </w:t>
            </w:r>
            <w:r>
              <w:rPr>
                <w:rFonts w:ascii="Calibri" w:hAnsi="Calibri" w:cs="Calibri"/>
                <w:i/>
                <w:iCs/>
                <w:color w:val="000000"/>
                <w:sz w:val="20"/>
                <w:szCs w:val="20"/>
              </w:rPr>
              <w:t xml:space="preserve">items listed below are met.   Describe the elements of your SOPs that will </w:t>
            </w:r>
            <w:r w:rsidRPr="00DB7974">
              <w:rPr>
                <w:rFonts w:ascii="Calibri" w:hAnsi="Calibri" w:cs="Calibri"/>
                <w:i/>
                <w:iCs/>
                <w:color w:val="000000"/>
                <w:sz w:val="20"/>
                <w:szCs w:val="20"/>
              </w:rPr>
              <w:t>ensure the following</w:t>
            </w:r>
            <w:r>
              <w:rPr>
                <w:rFonts w:ascii="Calibri" w:hAnsi="Calibri" w:cs="Calibri"/>
                <w:i/>
                <w:iCs/>
                <w:color w:val="000000"/>
                <w:sz w:val="20"/>
                <w:szCs w:val="20"/>
              </w:rPr>
              <w:t>:</w:t>
            </w:r>
          </w:p>
        </w:tc>
        <w:tc>
          <w:tcPr>
            <w:tcW w:w="5310" w:type="dxa"/>
            <w:shd w:val="clear" w:color="auto" w:fill="595959" w:themeFill="text1" w:themeFillTint="A6"/>
          </w:tcPr>
          <w:p w:rsidRPr="00DB7974" w:rsidR="00B43D8B" w:rsidP="00432541" w:rsidRDefault="00B43D8B" w14:paraId="24ED8BF6" w14:textId="77777777">
            <w:pPr>
              <w:rPr>
                <w:rFonts w:cstheme="minorHAnsi"/>
                <w:i/>
                <w:iCs/>
                <w:sz w:val="20"/>
                <w:szCs w:val="20"/>
              </w:rPr>
            </w:pPr>
          </w:p>
        </w:tc>
      </w:tr>
      <w:tr w:rsidRPr="00DB7974" w:rsidR="00B43D8B" w:rsidTr="00432541" w14:paraId="7D15D652" w14:textId="77777777">
        <w:trPr>
          <w:trHeight w:val="323"/>
        </w:trPr>
        <w:tc>
          <w:tcPr>
            <w:tcW w:w="5940" w:type="dxa"/>
          </w:tcPr>
          <w:p w:rsidRPr="00DB7974" w:rsidR="00B43D8B" w:rsidP="00B43D8B" w:rsidRDefault="00B43D8B" w14:paraId="6EDCF307" w14:textId="77777777">
            <w:pPr>
              <w:pStyle w:val="ListParagraph"/>
              <w:numPr>
                <w:ilvl w:val="0"/>
                <w:numId w:val="19"/>
              </w:numPr>
              <w:rPr>
                <w:rFonts w:cstheme="minorHAnsi"/>
                <w:i/>
                <w:iCs/>
                <w:sz w:val="20"/>
                <w:szCs w:val="20"/>
              </w:rPr>
            </w:pPr>
            <w:r w:rsidRPr="00DB7974">
              <w:rPr>
                <w:rFonts w:ascii="Calibri" w:hAnsi="Calibri" w:cs="Calibri"/>
                <w:i/>
                <w:iCs/>
                <w:color w:val="000000"/>
                <w:sz w:val="20"/>
                <w:szCs w:val="20"/>
              </w:rPr>
              <w:lastRenderedPageBreak/>
              <w:t>Any crate used to transport NHPs must be free of sharp projections that could scratch or otherwise injure workers or NHPs</w:t>
            </w:r>
          </w:p>
        </w:tc>
        <w:tc>
          <w:tcPr>
            <w:tcW w:w="5310" w:type="dxa"/>
          </w:tcPr>
          <w:p w:rsidRPr="00DB7974" w:rsidR="00B43D8B" w:rsidP="00432541" w:rsidRDefault="00B43D8B" w14:paraId="2D6454CC" w14:textId="77777777">
            <w:pPr>
              <w:rPr>
                <w:rFonts w:cstheme="minorHAnsi"/>
                <w:i/>
                <w:iCs/>
                <w:sz w:val="20"/>
                <w:szCs w:val="20"/>
              </w:rPr>
            </w:pPr>
          </w:p>
        </w:tc>
      </w:tr>
      <w:tr w:rsidRPr="00DB7974" w:rsidR="00B43D8B" w:rsidTr="00432541" w14:paraId="2C669E00" w14:textId="77777777">
        <w:tc>
          <w:tcPr>
            <w:tcW w:w="5940" w:type="dxa"/>
          </w:tcPr>
          <w:p w:rsidRPr="00DB7974" w:rsidR="00B43D8B" w:rsidP="00B43D8B" w:rsidRDefault="00B43D8B" w14:paraId="49CBFB2E" w14:textId="77777777">
            <w:pPr>
              <w:pStyle w:val="ListParagraph"/>
              <w:numPr>
                <w:ilvl w:val="0"/>
                <w:numId w:val="19"/>
              </w:numPr>
              <w:rPr>
                <w:rFonts w:cstheme="minorHAnsi"/>
                <w:i/>
                <w:iCs/>
                <w:sz w:val="20"/>
                <w:szCs w:val="20"/>
              </w:rPr>
            </w:pPr>
            <w:r w:rsidRPr="00DB7974">
              <w:rPr>
                <w:rFonts w:ascii="Calibri" w:hAnsi="Calibri" w:cs="Calibri"/>
                <w:i/>
                <w:iCs/>
                <w:color w:val="000000"/>
                <w:sz w:val="20"/>
                <w:szCs w:val="20"/>
              </w:rPr>
              <w:t>Glass items must not be used for feeding or watering NHPs during transport.</w:t>
            </w:r>
          </w:p>
        </w:tc>
        <w:tc>
          <w:tcPr>
            <w:tcW w:w="5310" w:type="dxa"/>
          </w:tcPr>
          <w:p w:rsidRPr="00DB7974" w:rsidR="00B43D8B" w:rsidP="00432541" w:rsidRDefault="00B43D8B" w14:paraId="316FE310" w14:textId="77777777">
            <w:pPr>
              <w:rPr>
                <w:rFonts w:cstheme="minorHAnsi"/>
                <w:i/>
                <w:iCs/>
                <w:sz w:val="20"/>
                <w:szCs w:val="20"/>
              </w:rPr>
            </w:pPr>
          </w:p>
        </w:tc>
      </w:tr>
      <w:tr w:rsidRPr="00DB7974" w:rsidR="00B43D8B" w:rsidTr="00432541" w14:paraId="15733228" w14:textId="77777777">
        <w:tc>
          <w:tcPr>
            <w:tcW w:w="5940" w:type="dxa"/>
          </w:tcPr>
          <w:p w:rsidRPr="00DB7974" w:rsidR="00B43D8B" w:rsidP="00B43D8B" w:rsidRDefault="00B43D8B" w14:paraId="77C840E3" w14:textId="77777777">
            <w:pPr>
              <w:pStyle w:val="ListParagraph"/>
              <w:numPr>
                <w:ilvl w:val="0"/>
                <w:numId w:val="19"/>
              </w:numPr>
              <w:rPr>
                <w:rFonts w:cstheme="minorHAnsi"/>
                <w:i/>
                <w:iCs/>
                <w:sz w:val="20"/>
                <w:szCs w:val="20"/>
              </w:rPr>
            </w:pPr>
            <w:r w:rsidRPr="00DB7974">
              <w:rPr>
                <w:rFonts w:ascii="Calibri" w:hAnsi="Calibri" w:cs="Calibri"/>
                <w:i/>
                <w:iCs/>
                <w:color w:val="000000"/>
                <w:sz w:val="20"/>
                <w:szCs w:val="20"/>
              </w:rPr>
              <w:t>Upon arrival into the United States, only an importer or an authorized representative may receive the NHPs from a conveyance (e.g., airplane, ship). The importer must establish an emergency contingency plan in the unlikely event they are unable to meet the shipment.</w:t>
            </w:r>
          </w:p>
        </w:tc>
        <w:tc>
          <w:tcPr>
            <w:tcW w:w="5310" w:type="dxa"/>
          </w:tcPr>
          <w:p w:rsidRPr="00DB7974" w:rsidR="00B43D8B" w:rsidP="00432541" w:rsidRDefault="00B43D8B" w14:paraId="586E2AF7" w14:textId="77777777">
            <w:pPr>
              <w:rPr>
                <w:rFonts w:cstheme="minorHAnsi"/>
                <w:i/>
                <w:iCs/>
                <w:sz w:val="20"/>
                <w:szCs w:val="20"/>
              </w:rPr>
            </w:pPr>
          </w:p>
        </w:tc>
      </w:tr>
      <w:tr w:rsidRPr="00DB7974" w:rsidR="00B43D8B" w:rsidTr="00432541" w14:paraId="415A9BD0" w14:textId="77777777">
        <w:tc>
          <w:tcPr>
            <w:tcW w:w="5940" w:type="dxa"/>
          </w:tcPr>
          <w:p w:rsidRPr="005568D4" w:rsidR="00B43D8B" w:rsidP="00B43D8B" w:rsidRDefault="00B43D8B" w14:paraId="7F57D5A2" w14:textId="77777777">
            <w:pPr>
              <w:pStyle w:val="ListParagraph"/>
              <w:numPr>
                <w:ilvl w:val="0"/>
                <w:numId w:val="19"/>
              </w:numPr>
              <w:rPr>
                <w:rFonts w:ascii="Calibri" w:hAnsi="Calibri" w:cs="Calibri"/>
                <w:i/>
                <w:iCs/>
                <w:color w:val="000000"/>
                <w:sz w:val="20"/>
                <w:szCs w:val="20"/>
              </w:rPr>
            </w:pPr>
            <w:r w:rsidRPr="005568D4">
              <w:rPr>
                <w:rFonts w:ascii="Calibri" w:hAnsi="Calibri" w:cs="Calibri"/>
                <w:i/>
                <w:iCs/>
                <w:color w:val="000000"/>
                <w:sz w:val="20"/>
                <w:szCs w:val="20"/>
              </w:rPr>
              <w:t>Workers, as well as NHPs, must be protected from communicable disease exposures at any facility used en route, including transportation holding facilities. An importer must maintain a description of any transportation holding facilities and document the communicable disease prevention measures taken to protect workers at facilities used en route</w:t>
            </w:r>
          </w:p>
        </w:tc>
        <w:tc>
          <w:tcPr>
            <w:tcW w:w="5310" w:type="dxa"/>
          </w:tcPr>
          <w:p w:rsidRPr="00DB7974" w:rsidR="00B43D8B" w:rsidP="00432541" w:rsidRDefault="00B43D8B" w14:paraId="67ABB564" w14:textId="77777777">
            <w:pPr>
              <w:rPr>
                <w:rFonts w:cstheme="minorHAnsi"/>
                <w:i/>
                <w:iCs/>
                <w:sz w:val="20"/>
                <w:szCs w:val="20"/>
              </w:rPr>
            </w:pPr>
          </w:p>
        </w:tc>
      </w:tr>
      <w:tr w:rsidRPr="00DB7974" w:rsidR="00B43D8B" w:rsidTr="00432541" w14:paraId="4BF83403" w14:textId="77777777">
        <w:tc>
          <w:tcPr>
            <w:tcW w:w="5940" w:type="dxa"/>
          </w:tcPr>
          <w:p w:rsidRPr="005568D4" w:rsidR="00B43D8B" w:rsidP="00B43D8B" w:rsidRDefault="00B43D8B" w14:paraId="4C185646" w14:textId="77777777">
            <w:pPr>
              <w:pStyle w:val="ListParagraph"/>
              <w:numPr>
                <w:ilvl w:val="0"/>
                <w:numId w:val="19"/>
              </w:numPr>
              <w:rPr>
                <w:rFonts w:ascii="Calibri" w:hAnsi="Calibri" w:cs="Calibri"/>
                <w:i/>
                <w:iCs/>
                <w:color w:val="000000"/>
                <w:sz w:val="20"/>
                <w:szCs w:val="20"/>
              </w:rPr>
            </w:pPr>
            <w:r w:rsidRPr="005568D4">
              <w:rPr>
                <w:rFonts w:ascii="Calibri" w:hAnsi="Calibri" w:cs="Calibri"/>
                <w:i/>
                <w:iCs/>
                <w:color w:val="000000"/>
                <w:sz w:val="20"/>
                <w:szCs w:val="20"/>
              </w:rPr>
              <w:t>For each import, documentation must be made of the communicable disease-prevention procedures to be carried out in every step of the chain of custody, from the time of embarkation of the NHPs at the country of origin until arrival at the quarantine facility.</w:t>
            </w:r>
          </w:p>
        </w:tc>
        <w:tc>
          <w:tcPr>
            <w:tcW w:w="5310" w:type="dxa"/>
          </w:tcPr>
          <w:p w:rsidRPr="00DB7974" w:rsidR="00B43D8B" w:rsidP="00432541" w:rsidRDefault="00B43D8B" w14:paraId="5CB2A1DB" w14:textId="77777777">
            <w:pPr>
              <w:rPr>
                <w:rFonts w:cstheme="minorHAnsi"/>
                <w:i/>
                <w:iCs/>
                <w:sz w:val="20"/>
                <w:szCs w:val="20"/>
              </w:rPr>
            </w:pPr>
          </w:p>
        </w:tc>
      </w:tr>
      <w:tr w:rsidRPr="00DB7974" w:rsidR="00B43D8B" w:rsidTr="00432541" w14:paraId="44DC4505" w14:textId="77777777">
        <w:tc>
          <w:tcPr>
            <w:tcW w:w="5940" w:type="dxa"/>
          </w:tcPr>
          <w:p w:rsidRPr="005568D4" w:rsidR="00B43D8B" w:rsidP="00B43D8B" w:rsidRDefault="00B43D8B" w14:paraId="0BF02EAF" w14:textId="77777777">
            <w:pPr>
              <w:pStyle w:val="ListParagraph"/>
              <w:numPr>
                <w:ilvl w:val="0"/>
                <w:numId w:val="19"/>
              </w:numPr>
              <w:rPr>
                <w:rFonts w:ascii="Calibri" w:hAnsi="Calibri" w:cs="Calibri"/>
                <w:i/>
                <w:iCs/>
                <w:color w:val="000000"/>
                <w:sz w:val="20"/>
                <w:szCs w:val="20"/>
              </w:rPr>
            </w:pPr>
            <w:r w:rsidRPr="005568D4">
              <w:rPr>
                <w:rFonts w:ascii="Calibri" w:hAnsi="Calibri" w:cs="Calibri"/>
                <w:i/>
                <w:iCs/>
                <w:color w:val="000000"/>
                <w:sz w:val="20"/>
                <w:szCs w:val="20"/>
              </w:rPr>
              <w:t>Procedures to ensure that aircraft, ship, vehicles, and related equipment are decontaminated following transport.</w:t>
            </w:r>
          </w:p>
        </w:tc>
        <w:tc>
          <w:tcPr>
            <w:tcW w:w="5310" w:type="dxa"/>
          </w:tcPr>
          <w:p w:rsidRPr="00DB7974" w:rsidR="00B43D8B" w:rsidP="00432541" w:rsidRDefault="00B43D8B" w14:paraId="183BB004" w14:textId="77777777">
            <w:pPr>
              <w:rPr>
                <w:rFonts w:cstheme="minorHAnsi"/>
                <w:i/>
                <w:iCs/>
                <w:sz w:val="20"/>
                <w:szCs w:val="20"/>
              </w:rPr>
            </w:pPr>
          </w:p>
        </w:tc>
      </w:tr>
    </w:tbl>
    <w:p w:rsidRPr="002960B1" w:rsidR="00B43D8B" w:rsidP="00B43D8B" w:rsidRDefault="00B43D8B" w14:paraId="5150BA2A" w14:textId="77777777">
      <w:pPr>
        <w:rPr>
          <w:rFonts w:cstheme="minorHAnsi"/>
        </w:rPr>
      </w:pPr>
    </w:p>
    <w:tbl>
      <w:tblPr>
        <w:tblStyle w:val="TableGrid"/>
        <w:tblW w:w="11250" w:type="dxa"/>
        <w:tblInd w:w="-1085" w:type="dxa"/>
        <w:tblLook w:val="04A0" w:firstRow="1" w:lastRow="0" w:firstColumn="1" w:lastColumn="0" w:noHBand="0" w:noVBand="1"/>
      </w:tblPr>
      <w:tblGrid>
        <w:gridCol w:w="5940"/>
        <w:gridCol w:w="5310"/>
      </w:tblGrid>
      <w:tr w:rsidR="00B43D8B" w:rsidTr="00432541" w14:paraId="02703227" w14:textId="77777777">
        <w:tc>
          <w:tcPr>
            <w:tcW w:w="11250" w:type="dxa"/>
            <w:gridSpan w:val="2"/>
            <w:shd w:val="clear" w:color="auto" w:fill="FBE4D5" w:themeFill="accent2" w:themeFillTint="33"/>
          </w:tcPr>
          <w:p w:rsidRPr="000F4534" w:rsidR="00B43D8B" w:rsidP="00432541" w:rsidRDefault="00B43D8B" w14:paraId="2102C5EF" w14:textId="77777777">
            <w:pPr>
              <w:jc w:val="center"/>
              <w:rPr>
                <w:rFonts w:cstheme="minorHAnsi"/>
                <w:b/>
                <w:bCs/>
              </w:rPr>
            </w:pPr>
            <w:r>
              <w:rPr>
                <w:rFonts w:cstheme="minorHAnsi"/>
                <w:b/>
                <w:bCs/>
              </w:rPr>
              <w:t xml:space="preserve">Section 4: Ground Transport Vehicles </w:t>
            </w:r>
          </w:p>
        </w:tc>
      </w:tr>
      <w:tr w:rsidRPr="00DB7974" w:rsidR="00B43D8B" w:rsidTr="00432541" w14:paraId="133D832D" w14:textId="77777777">
        <w:tc>
          <w:tcPr>
            <w:tcW w:w="5940" w:type="dxa"/>
          </w:tcPr>
          <w:p w:rsidRPr="00A02DF4" w:rsidR="00B43D8B" w:rsidP="00432541" w:rsidRDefault="00B43D8B" w14:paraId="2540AADB" w14:textId="77777777">
            <w:pPr>
              <w:jc w:val="center"/>
              <w:rPr>
                <w:rFonts w:ascii="Calibri" w:hAnsi="Calibri" w:cs="Calibri"/>
                <w:b/>
                <w:bCs/>
                <w:color w:val="000000"/>
              </w:rPr>
            </w:pPr>
            <w:r w:rsidRPr="00A02DF4">
              <w:rPr>
                <w:rFonts w:ascii="Calibri" w:hAnsi="Calibri" w:cs="Calibri"/>
                <w:b/>
                <w:bCs/>
                <w:color w:val="000000"/>
              </w:rPr>
              <w:t>Regulation 42 CFR §71.53 (</w:t>
            </w:r>
            <w:r>
              <w:rPr>
                <w:rFonts w:ascii="Calibri" w:hAnsi="Calibri" w:cs="Calibri"/>
                <w:b/>
                <w:bCs/>
                <w:color w:val="000000"/>
              </w:rPr>
              <w:t>k</w:t>
            </w:r>
            <w:r w:rsidRPr="00A02DF4">
              <w:rPr>
                <w:rFonts w:ascii="Calibri" w:hAnsi="Calibri" w:cs="Calibri"/>
                <w:b/>
                <w:bCs/>
                <w:color w:val="000000"/>
              </w:rPr>
              <w:t>)</w:t>
            </w:r>
          </w:p>
        </w:tc>
        <w:tc>
          <w:tcPr>
            <w:tcW w:w="5310" w:type="dxa"/>
            <w:shd w:val="clear" w:color="auto" w:fill="auto"/>
          </w:tcPr>
          <w:p w:rsidRPr="0079191C" w:rsidR="00B43D8B" w:rsidP="00432541" w:rsidRDefault="00B43D8B" w14:paraId="3CE75F3D" w14:textId="77777777">
            <w:pPr>
              <w:rPr>
                <w:rFonts w:cstheme="minorHAnsi"/>
                <w:b/>
                <w:bCs/>
              </w:rPr>
            </w:pPr>
            <w:r w:rsidRPr="0079191C">
              <w:rPr>
                <w:rFonts w:cstheme="minorHAnsi"/>
                <w:b/>
                <w:bCs/>
              </w:rPr>
              <w:t>Standard Operating Procedure Meeting Regulation</w:t>
            </w:r>
          </w:p>
        </w:tc>
      </w:tr>
      <w:tr w:rsidRPr="00DB7974" w:rsidR="00B43D8B" w:rsidTr="00432541" w14:paraId="75CDD67A" w14:textId="77777777">
        <w:tc>
          <w:tcPr>
            <w:tcW w:w="5940" w:type="dxa"/>
          </w:tcPr>
          <w:p w:rsidRPr="00DB7974" w:rsidR="00B43D8B" w:rsidP="00B43D8B" w:rsidRDefault="00B43D8B" w14:paraId="39DE0AEC" w14:textId="77777777">
            <w:pPr>
              <w:pStyle w:val="ListParagraph"/>
              <w:numPr>
                <w:ilvl w:val="0"/>
                <w:numId w:val="20"/>
              </w:numPr>
              <w:rPr>
                <w:rFonts w:cstheme="minorHAnsi"/>
                <w:i/>
                <w:iCs/>
                <w:sz w:val="20"/>
                <w:szCs w:val="20"/>
              </w:rPr>
            </w:pPr>
            <w:r w:rsidRPr="00254F54">
              <w:rPr>
                <w:rFonts w:ascii="Calibri" w:hAnsi="Calibri" w:cs="Calibri"/>
                <w:i/>
                <w:iCs/>
                <w:color w:val="000000"/>
                <w:sz w:val="20"/>
                <w:szCs w:val="20"/>
              </w:rPr>
              <w:t>After transport of the NHP shipment from the port of entry to the quarantine facility, the importer must notify HHS/CDC in writing, text message, or email as specified within the SOP, within 48 hours of the time the shipment arrived at the quarantine facility.</w:t>
            </w:r>
          </w:p>
        </w:tc>
        <w:tc>
          <w:tcPr>
            <w:tcW w:w="5310" w:type="dxa"/>
          </w:tcPr>
          <w:p w:rsidRPr="00DB7974" w:rsidR="00B43D8B" w:rsidP="00432541" w:rsidRDefault="00B43D8B" w14:paraId="1655D4B5" w14:textId="77777777">
            <w:pPr>
              <w:rPr>
                <w:rFonts w:cstheme="minorHAnsi"/>
                <w:i/>
                <w:iCs/>
                <w:sz w:val="20"/>
                <w:szCs w:val="20"/>
              </w:rPr>
            </w:pPr>
          </w:p>
        </w:tc>
      </w:tr>
      <w:tr w:rsidRPr="00DB7974" w:rsidR="00B43D8B" w:rsidTr="00432541" w14:paraId="7BFE65CC" w14:textId="77777777">
        <w:tc>
          <w:tcPr>
            <w:tcW w:w="5940" w:type="dxa"/>
          </w:tcPr>
          <w:p w:rsidRPr="00DB7974" w:rsidR="00B43D8B" w:rsidP="00B43D8B" w:rsidRDefault="00B43D8B" w14:paraId="74AA0565" w14:textId="77777777">
            <w:pPr>
              <w:pStyle w:val="ListParagraph"/>
              <w:numPr>
                <w:ilvl w:val="0"/>
                <w:numId w:val="20"/>
              </w:numPr>
              <w:rPr>
                <w:rFonts w:cstheme="minorHAnsi"/>
                <w:i/>
                <w:iCs/>
                <w:sz w:val="20"/>
                <w:szCs w:val="20"/>
              </w:rPr>
            </w:pPr>
            <w:r w:rsidRPr="00254F54">
              <w:rPr>
                <w:rFonts w:ascii="Calibri" w:hAnsi="Calibri" w:cs="Calibri"/>
                <w:i/>
                <w:iCs/>
                <w:color w:val="000000"/>
                <w:sz w:val="20"/>
                <w:szCs w:val="20"/>
              </w:rPr>
              <w:t>As part of the notification of arrival in paragraph (k)(5) of this section, an importer must inform HHS/CDC whether suspected or confirmed transmission or spread of communicable disease occurred during transport, including notification of NHPs that died, became ill, or were injured during transport, or malfunctions associated with disease-mitigation procedures or equipment.</w:t>
            </w:r>
          </w:p>
        </w:tc>
        <w:tc>
          <w:tcPr>
            <w:tcW w:w="5310" w:type="dxa"/>
          </w:tcPr>
          <w:p w:rsidRPr="00DB7974" w:rsidR="00B43D8B" w:rsidP="00432541" w:rsidRDefault="00B43D8B" w14:paraId="399DF64B" w14:textId="77777777">
            <w:pPr>
              <w:rPr>
                <w:rFonts w:cstheme="minorHAnsi"/>
                <w:i/>
                <w:iCs/>
                <w:sz w:val="20"/>
                <w:szCs w:val="20"/>
              </w:rPr>
            </w:pPr>
          </w:p>
        </w:tc>
      </w:tr>
    </w:tbl>
    <w:p w:rsidRPr="002960B1" w:rsidR="00B43D8B" w:rsidP="00B43D8B" w:rsidRDefault="00B43D8B" w14:paraId="6994390B" w14:textId="77777777">
      <w:pPr>
        <w:rPr>
          <w:rFonts w:cstheme="minorHAnsi"/>
        </w:rPr>
      </w:pPr>
    </w:p>
    <w:p w:rsidRPr="002960B1" w:rsidR="00B43D8B" w:rsidP="00B43D8B" w:rsidRDefault="00B43D8B" w14:paraId="765D5799" w14:textId="77777777">
      <w:pPr>
        <w:rPr>
          <w:rFonts w:cstheme="minorHAnsi"/>
        </w:rPr>
      </w:pPr>
    </w:p>
    <w:tbl>
      <w:tblPr>
        <w:tblStyle w:val="TableGrid"/>
        <w:tblW w:w="11250" w:type="dxa"/>
        <w:tblInd w:w="-1085" w:type="dxa"/>
        <w:tblLook w:val="04A0" w:firstRow="1" w:lastRow="0" w:firstColumn="1" w:lastColumn="0" w:noHBand="0" w:noVBand="1"/>
      </w:tblPr>
      <w:tblGrid>
        <w:gridCol w:w="5940"/>
        <w:gridCol w:w="5310"/>
      </w:tblGrid>
      <w:tr w:rsidR="00B43D8B" w:rsidTr="00432541" w14:paraId="0E4EF451" w14:textId="77777777">
        <w:tc>
          <w:tcPr>
            <w:tcW w:w="11250" w:type="dxa"/>
            <w:gridSpan w:val="2"/>
            <w:shd w:val="clear" w:color="auto" w:fill="FBE4D5" w:themeFill="accent2" w:themeFillTint="33"/>
          </w:tcPr>
          <w:p w:rsidRPr="000F4534" w:rsidR="00B43D8B" w:rsidP="00432541" w:rsidRDefault="00B43D8B" w14:paraId="75F68B67" w14:textId="77777777">
            <w:pPr>
              <w:jc w:val="center"/>
              <w:rPr>
                <w:rFonts w:cstheme="minorHAnsi"/>
                <w:b/>
                <w:bCs/>
              </w:rPr>
            </w:pPr>
            <w:bookmarkStart w:name="_Hlk90884238" w:id="0"/>
            <w:r>
              <w:rPr>
                <w:rFonts w:cstheme="minorHAnsi"/>
                <w:b/>
                <w:bCs/>
              </w:rPr>
              <w:t xml:space="preserve">Section 5: Health Reporting for NHPs </w:t>
            </w:r>
          </w:p>
        </w:tc>
      </w:tr>
      <w:tr w:rsidRPr="00DB7974" w:rsidR="00B43D8B" w:rsidTr="00432541" w14:paraId="521F5601" w14:textId="77777777">
        <w:tc>
          <w:tcPr>
            <w:tcW w:w="5940" w:type="dxa"/>
          </w:tcPr>
          <w:p w:rsidRPr="0079191C" w:rsidR="00B43D8B" w:rsidP="00432541" w:rsidRDefault="00B43D8B" w14:paraId="05FF91AF" w14:textId="77777777">
            <w:pPr>
              <w:jc w:val="center"/>
              <w:rPr>
                <w:rFonts w:ascii="Calibri" w:hAnsi="Calibri" w:cs="Calibri"/>
                <w:b/>
                <w:bCs/>
                <w:color w:val="000000"/>
              </w:rPr>
            </w:pPr>
            <w:r>
              <w:rPr>
                <w:rFonts w:ascii="Calibri" w:hAnsi="Calibri" w:cs="Calibri"/>
                <w:b/>
                <w:bCs/>
                <w:color w:val="000000"/>
              </w:rPr>
              <w:t xml:space="preserve">Regulation </w:t>
            </w:r>
            <w:r w:rsidRPr="0079191C">
              <w:rPr>
                <w:rFonts w:ascii="Calibri" w:hAnsi="Calibri" w:cs="Calibri"/>
                <w:b/>
                <w:bCs/>
                <w:color w:val="000000"/>
              </w:rPr>
              <w:t>42 CFR §71.53 (</w:t>
            </w:r>
            <w:r>
              <w:rPr>
                <w:rFonts w:ascii="Calibri" w:hAnsi="Calibri" w:cs="Calibri"/>
                <w:b/>
                <w:bCs/>
                <w:color w:val="000000"/>
              </w:rPr>
              <w:t>m</w:t>
            </w:r>
            <w:r w:rsidRPr="0079191C">
              <w:rPr>
                <w:rFonts w:ascii="Calibri" w:hAnsi="Calibri" w:cs="Calibri"/>
                <w:b/>
                <w:bCs/>
                <w:color w:val="000000"/>
              </w:rPr>
              <w:t>)</w:t>
            </w:r>
          </w:p>
        </w:tc>
        <w:tc>
          <w:tcPr>
            <w:tcW w:w="5310" w:type="dxa"/>
            <w:shd w:val="clear" w:color="auto" w:fill="auto"/>
          </w:tcPr>
          <w:p w:rsidRPr="0079191C" w:rsidR="00B43D8B" w:rsidP="00432541" w:rsidRDefault="00B43D8B" w14:paraId="38849A47" w14:textId="77777777">
            <w:pPr>
              <w:jc w:val="center"/>
              <w:rPr>
                <w:rFonts w:cstheme="minorHAnsi"/>
                <w:b/>
                <w:bCs/>
              </w:rPr>
            </w:pPr>
            <w:r>
              <w:rPr>
                <w:rFonts w:cstheme="minorHAnsi"/>
                <w:b/>
                <w:bCs/>
              </w:rPr>
              <w:t>Standard Operating Procedure Meeting Regulation</w:t>
            </w:r>
          </w:p>
        </w:tc>
      </w:tr>
      <w:tr w:rsidRPr="00DB7974" w:rsidR="00B43D8B" w:rsidTr="00432541" w14:paraId="3293D46B" w14:textId="77777777">
        <w:tc>
          <w:tcPr>
            <w:tcW w:w="5940" w:type="dxa"/>
          </w:tcPr>
          <w:p w:rsidRPr="00DB7974" w:rsidR="00B43D8B" w:rsidP="00432541" w:rsidRDefault="00B43D8B" w14:paraId="173357C1" w14:textId="77777777">
            <w:pPr>
              <w:rPr>
                <w:rFonts w:cstheme="minorHAnsi"/>
                <w:i/>
                <w:iCs/>
                <w:sz w:val="20"/>
                <w:szCs w:val="20"/>
              </w:rPr>
            </w:pPr>
            <w:r w:rsidRPr="0047107E">
              <w:rPr>
                <w:rFonts w:ascii="Calibri" w:hAnsi="Calibri" w:cs="Calibri"/>
                <w:i/>
                <w:iCs/>
                <w:color w:val="000000"/>
                <w:sz w:val="20"/>
                <w:szCs w:val="20"/>
              </w:rPr>
              <w:t xml:space="preserve">An importer must notify HHS/CDC of the events listed in </w:t>
            </w:r>
            <w:r>
              <w:rPr>
                <w:rFonts w:ascii="Calibri" w:hAnsi="Calibri" w:cs="Calibri"/>
                <w:i/>
                <w:iCs/>
                <w:color w:val="000000"/>
                <w:sz w:val="20"/>
                <w:szCs w:val="20"/>
              </w:rPr>
              <w:t xml:space="preserve">this section (Section 5) </w:t>
            </w:r>
            <w:r w:rsidRPr="0047107E">
              <w:rPr>
                <w:rFonts w:ascii="Calibri" w:hAnsi="Calibri" w:cs="Calibri"/>
                <w:i/>
                <w:iCs/>
                <w:color w:val="000000"/>
                <w:sz w:val="20"/>
                <w:szCs w:val="20"/>
              </w:rPr>
              <w:t>by telephone, text, or email.</w:t>
            </w:r>
            <w:r>
              <w:rPr>
                <w:rFonts w:ascii="Calibri" w:hAnsi="Calibri" w:cs="Calibri"/>
                <w:i/>
                <w:iCs/>
                <w:color w:val="000000"/>
                <w:sz w:val="20"/>
                <w:szCs w:val="20"/>
              </w:rPr>
              <w:t xml:space="preserve"> Please provide elements of your SOPs that ensure the following:</w:t>
            </w:r>
          </w:p>
        </w:tc>
        <w:tc>
          <w:tcPr>
            <w:tcW w:w="5310" w:type="dxa"/>
            <w:shd w:val="clear" w:color="auto" w:fill="595959" w:themeFill="text1" w:themeFillTint="A6"/>
          </w:tcPr>
          <w:p w:rsidRPr="00DB7974" w:rsidR="00B43D8B" w:rsidP="00432541" w:rsidRDefault="00B43D8B" w14:paraId="27BA5677" w14:textId="77777777">
            <w:pPr>
              <w:rPr>
                <w:rFonts w:cstheme="minorHAnsi"/>
                <w:i/>
                <w:iCs/>
                <w:sz w:val="20"/>
                <w:szCs w:val="20"/>
              </w:rPr>
            </w:pPr>
          </w:p>
        </w:tc>
      </w:tr>
      <w:tr w:rsidRPr="00DB7974" w:rsidR="00B43D8B" w:rsidTr="00432541" w14:paraId="6509DA3D" w14:textId="77777777">
        <w:trPr>
          <w:trHeight w:val="323"/>
        </w:trPr>
        <w:tc>
          <w:tcPr>
            <w:tcW w:w="5940" w:type="dxa"/>
          </w:tcPr>
          <w:p w:rsidRPr="00DB7974" w:rsidR="00B43D8B" w:rsidP="00B43D8B" w:rsidRDefault="00B43D8B" w14:paraId="6C48E7C2" w14:textId="77777777">
            <w:pPr>
              <w:pStyle w:val="ListParagraph"/>
              <w:numPr>
                <w:ilvl w:val="0"/>
                <w:numId w:val="28"/>
              </w:numPr>
              <w:rPr>
                <w:rFonts w:cstheme="minorHAnsi"/>
                <w:i/>
                <w:iCs/>
                <w:sz w:val="20"/>
                <w:szCs w:val="20"/>
              </w:rPr>
            </w:pPr>
            <w:r w:rsidRPr="0047107E">
              <w:rPr>
                <w:rFonts w:ascii="Calibri" w:hAnsi="Calibri" w:cs="Calibri"/>
                <w:i/>
                <w:iCs/>
                <w:color w:val="000000"/>
                <w:sz w:val="20"/>
                <w:szCs w:val="20"/>
              </w:rPr>
              <w:t>An importer must notify HHS/CDC within 24 hours of the occurrence of any morbidity or mortality of NHPs in quarantine facilities, or following a zoo-to-zoo or laboratory-to-laboratory transfer.</w:t>
            </w:r>
          </w:p>
        </w:tc>
        <w:tc>
          <w:tcPr>
            <w:tcW w:w="5310" w:type="dxa"/>
          </w:tcPr>
          <w:p w:rsidRPr="00DB7974" w:rsidR="00B43D8B" w:rsidP="00432541" w:rsidRDefault="00B43D8B" w14:paraId="43EFE3FB" w14:textId="77777777">
            <w:pPr>
              <w:rPr>
                <w:rFonts w:cstheme="minorHAnsi"/>
                <w:i/>
                <w:iCs/>
                <w:sz w:val="20"/>
                <w:szCs w:val="20"/>
              </w:rPr>
            </w:pPr>
          </w:p>
        </w:tc>
      </w:tr>
      <w:tr w:rsidRPr="00DB7974" w:rsidR="00B43D8B" w:rsidTr="00432541" w14:paraId="2192DC30" w14:textId="77777777">
        <w:tc>
          <w:tcPr>
            <w:tcW w:w="5940" w:type="dxa"/>
          </w:tcPr>
          <w:p w:rsidRPr="00DB7974" w:rsidR="00B43D8B" w:rsidP="00B43D8B" w:rsidRDefault="00B43D8B" w14:paraId="46064FFE" w14:textId="77777777">
            <w:pPr>
              <w:pStyle w:val="ListParagraph"/>
              <w:numPr>
                <w:ilvl w:val="0"/>
                <w:numId w:val="28"/>
              </w:numPr>
              <w:rPr>
                <w:rFonts w:cstheme="minorHAnsi"/>
                <w:i/>
                <w:iCs/>
                <w:sz w:val="20"/>
                <w:szCs w:val="20"/>
              </w:rPr>
            </w:pPr>
            <w:r w:rsidRPr="0047107E">
              <w:rPr>
                <w:rFonts w:ascii="Calibri" w:hAnsi="Calibri" w:cs="Calibri"/>
                <w:i/>
                <w:iCs/>
                <w:color w:val="000000"/>
                <w:sz w:val="20"/>
                <w:szCs w:val="20"/>
              </w:rPr>
              <w:lastRenderedPageBreak/>
              <w:t>An importer must notify HHS/CDC within 24 hours if any NHP tests positive for filovirus virus antigen or antibody.</w:t>
            </w:r>
          </w:p>
        </w:tc>
        <w:tc>
          <w:tcPr>
            <w:tcW w:w="5310" w:type="dxa"/>
          </w:tcPr>
          <w:p w:rsidRPr="00DB7974" w:rsidR="00B43D8B" w:rsidP="00432541" w:rsidRDefault="00B43D8B" w14:paraId="7B37AA72" w14:textId="77777777">
            <w:pPr>
              <w:rPr>
                <w:rFonts w:cstheme="minorHAnsi"/>
                <w:i/>
                <w:iCs/>
                <w:sz w:val="20"/>
                <w:szCs w:val="20"/>
              </w:rPr>
            </w:pPr>
          </w:p>
        </w:tc>
      </w:tr>
      <w:tr w:rsidRPr="00DB7974" w:rsidR="00B43D8B" w:rsidTr="00432541" w14:paraId="1EE7FE0F" w14:textId="77777777">
        <w:tc>
          <w:tcPr>
            <w:tcW w:w="5940" w:type="dxa"/>
          </w:tcPr>
          <w:p w:rsidRPr="00DB7974" w:rsidR="00B43D8B" w:rsidP="00B43D8B" w:rsidRDefault="00B43D8B" w14:paraId="1A15F22F" w14:textId="77777777">
            <w:pPr>
              <w:pStyle w:val="ListParagraph"/>
              <w:numPr>
                <w:ilvl w:val="0"/>
                <w:numId w:val="28"/>
              </w:numPr>
              <w:rPr>
                <w:rFonts w:cstheme="minorHAnsi"/>
                <w:i/>
                <w:iCs/>
                <w:sz w:val="20"/>
                <w:szCs w:val="20"/>
              </w:rPr>
            </w:pPr>
            <w:r w:rsidRPr="0047107E">
              <w:rPr>
                <w:rFonts w:ascii="Calibri" w:hAnsi="Calibri" w:cs="Calibri"/>
                <w:i/>
                <w:iCs/>
                <w:color w:val="000000"/>
                <w:sz w:val="20"/>
                <w:szCs w:val="20"/>
              </w:rPr>
              <w:t>An importer must report to HHS/CDC within 24 hours, any positive or suspicious TST results, necropsy findings, or laboratory results. Any report required under this section must include a copy or summary of the individual NHP's health records.</w:t>
            </w:r>
          </w:p>
        </w:tc>
        <w:tc>
          <w:tcPr>
            <w:tcW w:w="5310" w:type="dxa"/>
          </w:tcPr>
          <w:p w:rsidRPr="00DB7974" w:rsidR="00B43D8B" w:rsidP="00432541" w:rsidRDefault="00B43D8B" w14:paraId="56F8B942" w14:textId="77777777">
            <w:pPr>
              <w:rPr>
                <w:rFonts w:cstheme="minorHAnsi"/>
                <w:i/>
                <w:iCs/>
                <w:sz w:val="20"/>
                <w:szCs w:val="20"/>
              </w:rPr>
            </w:pPr>
          </w:p>
        </w:tc>
      </w:tr>
    </w:tbl>
    <w:tbl>
      <w:tblPr>
        <w:tblStyle w:val="TableGrid1"/>
        <w:tblW w:w="11250" w:type="dxa"/>
        <w:tblInd w:w="-1085" w:type="dxa"/>
        <w:tblLook w:val="04A0" w:firstRow="1" w:lastRow="0" w:firstColumn="1" w:lastColumn="0" w:noHBand="0" w:noVBand="1"/>
      </w:tblPr>
      <w:tblGrid>
        <w:gridCol w:w="5940"/>
        <w:gridCol w:w="5310"/>
      </w:tblGrid>
      <w:tr w:rsidR="00B43D8B" w:rsidTr="00432541" w14:paraId="34678B92" w14:textId="77777777">
        <w:tc>
          <w:tcPr>
            <w:tcW w:w="11250" w:type="dxa"/>
            <w:gridSpan w:val="2"/>
            <w:shd w:val="clear" w:color="auto" w:fill="FBE4D5" w:themeFill="accent2" w:themeFillTint="33"/>
          </w:tcPr>
          <w:bookmarkEnd w:id="0"/>
          <w:p w:rsidRPr="000F4534" w:rsidR="00B43D8B" w:rsidP="00432541" w:rsidRDefault="00B43D8B" w14:paraId="450A3A33" w14:textId="77777777">
            <w:pPr>
              <w:jc w:val="center"/>
              <w:rPr>
                <w:rFonts w:cstheme="minorHAnsi"/>
                <w:b/>
                <w:bCs/>
              </w:rPr>
            </w:pPr>
            <w:r>
              <w:rPr>
                <w:rFonts w:cstheme="minorHAnsi"/>
                <w:b/>
                <w:bCs/>
              </w:rPr>
              <w:t xml:space="preserve">Section 6: Zoo-to-Zoo Transfers </w:t>
            </w:r>
          </w:p>
        </w:tc>
      </w:tr>
      <w:tr w:rsidRPr="00DB7974" w:rsidR="00B43D8B" w:rsidTr="00432541" w14:paraId="57627075" w14:textId="77777777">
        <w:tc>
          <w:tcPr>
            <w:tcW w:w="5940" w:type="dxa"/>
          </w:tcPr>
          <w:p w:rsidRPr="0079191C" w:rsidR="00B43D8B" w:rsidP="00432541" w:rsidRDefault="00B43D8B" w14:paraId="0362401A" w14:textId="77777777">
            <w:pPr>
              <w:jc w:val="center"/>
              <w:rPr>
                <w:rFonts w:ascii="Calibri" w:hAnsi="Calibri" w:cs="Calibri"/>
                <w:b/>
                <w:bCs/>
                <w:color w:val="000000"/>
              </w:rPr>
            </w:pPr>
            <w:r>
              <w:rPr>
                <w:rFonts w:ascii="Calibri" w:hAnsi="Calibri" w:cs="Calibri"/>
                <w:b/>
                <w:bCs/>
                <w:color w:val="000000"/>
              </w:rPr>
              <w:t xml:space="preserve">Regulation </w:t>
            </w:r>
            <w:r w:rsidRPr="0079191C">
              <w:rPr>
                <w:rFonts w:ascii="Calibri" w:hAnsi="Calibri" w:cs="Calibri"/>
                <w:b/>
                <w:bCs/>
                <w:color w:val="000000"/>
              </w:rPr>
              <w:t>42 CFR §71.53 (</w:t>
            </w:r>
            <w:r>
              <w:rPr>
                <w:rFonts w:ascii="Calibri" w:hAnsi="Calibri" w:cs="Calibri"/>
                <w:b/>
                <w:bCs/>
                <w:color w:val="000000"/>
              </w:rPr>
              <w:t>p</w:t>
            </w:r>
            <w:r w:rsidRPr="0079191C">
              <w:rPr>
                <w:rFonts w:ascii="Calibri" w:hAnsi="Calibri" w:cs="Calibri"/>
                <w:b/>
                <w:bCs/>
                <w:color w:val="000000"/>
              </w:rPr>
              <w:t>)</w:t>
            </w:r>
          </w:p>
        </w:tc>
        <w:tc>
          <w:tcPr>
            <w:tcW w:w="5310" w:type="dxa"/>
            <w:shd w:val="clear" w:color="auto" w:fill="auto"/>
          </w:tcPr>
          <w:p w:rsidRPr="0079191C" w:rsidR="00B43D8B" w:rsidP="00432541" w:rsidRDefault="00B43D8B" w14:paraId="6B41D3AC" w14:textId="77777777">
            <w:pPr>
              <w:jc w:val="center"/>
              <w:rPr>
                <w:rFonts w:cstheme="minorHAnsi"/>
                <w:b/>
                <w:bCs/>
              </w:rPr>
            </w:pPr>
            <w:r>
              <w:rPr>
                <w:rFonts w:cstheme="minorHAnsi"/>
                <w:b/>
                <w:bCs/>
              </w:rPr>
              <w:t>Standard Operating Procedure Meeting Regulation</w:t>
            </w:r>
          </w:p>
        </w:tc>
      </w:tr>
      <w:tr w:rsidRPr="00DB7974" w:rsidR="00B43D8B" w:rsidTr="00432541" w14:paraId="12E277B1" w14:textId="77777777">
        <w:tc>
          <w:tcPr>
            <w:tcW w:w="5940" w:type="dxa"/>
          </w:tcPr>
          <w:p w:rsidRPr="00DB7974" w:rsidR="00B43D8B" w:rsidP="00432541" w:rsidRDefault="00B43D8B" w14:paraId="768125D2" w14:textId="77777777">
            <w:pPr>
              <w:rPr>
                <w:rFonts w:cstheme="minorHAnsi"/>
                <w:i/>
                <w:iCs/>
                <w:sz w:val="20"/>
                <w:szCs w:val="20"/>
              </w:rPr>
            </w:pPr>
            <w:r w:rsidRPr="0058180D">
              <w:rPr>
                <w:rFonts w:ascii="Calibri" w:hAnsi="Calibri" w:cs="Calibri"/>
                <w:i/>
                <w:iCs/>
                <w:color w:val="000000"/>
                <w:sz w:val="20"/>
                <w:szCs w:val="20"/>
              </w:rPr>
              <w:t xml:space="preserve">If a </w:t>
            </w:r>
            <w:r>
              <w:rPr>
                <w:rFonts w:ascii="Calibri" w:hAnsi="Calibri" w:cs="Calibri"/>
                <w:i/>
                <w:iCs/>
                <w:color w:val="000000"/>
                <w:sz w:val="20"/>
                <w:szCs w:val="20"/>
              </w:rPr>
              <w:t xml:space="preserve">CDC-registered </w:t>
            </w:r>
            <w:r w:rsidRPr="0058180D">
              <w:rPr>
                <w:rFonts w:ascii="Calibri" w:hAnsi="Calibri" w:cs="Calibri"/>
                <w:i/>
                <w:iCs/>
                <w:color w:val="000000"/>
                <w:sz w:val="20"/>
                <w:szCs w:val="20"/>
              </w:rPr>
              <w:t xml:space="preserve">zoo is importing one or more NHPs into the United States from another zoo, the recipient zoo must, before the transfer, submit </w:t>
            </w:r>
            <w:r>
              <w:rPr>
                <w:rFonts w:ascii="Calibri" w:hAnsi="Calibri" w:cs="Calibri"/>
                <w:i/>
                <w:iCs/>
                <w:color w:val="000000"/>
                <w:sz w:val="20"/>
                <w:szCs w:val="20"/>
              </w:rPr>
              <w:t>the</w:t>
            </w:r>
            <w:r w:rsidRPr="0058180D">
              <w:rPr>
                <w:rFonts w:ascii="Calibri" w:hAnsi="Calibri" w:cs="Calibri"/>
                <w:i/>
                <w:iCs/>
                <w:color w:val="000000"/>
                <w:sz w:val="20"/>
                <w:szCs w:val="20"/>
              </w:rPr>
              <w:t xml:space="preserve"> information</w:t>
            </w:r>
            <w:r>
              <w:rPr>
                <w:rFonts w:ascii="Calibri" w:hAnsi="Calibri" w:cs="Calibri"/>
                <w:i/>
                <w:iCs/>
                <w:color w:val="000000"/>
                <w:sz w:val="20"/>
                <w:szCs w:val="20"/>
              </w:rPr>
              <w:t xml:space="preserve"> listed below </w:t>
            </w:r>
            <w:r w:rsidRPr="0058180D">
              <w:rPr>
                <w:rFonts w:ascii="Calibri" w:hAnsi="Calibri" w:cs="Calibri"/>
                <w:i/>
                <w:iCs/>
                <w:color w:val="000000"/>
                <w:sz w:val="20"/>
                <w:szCs w:val="20"/>
              </w:rPr>
              <w:t xml:space="preserve"> for approval by HHS/CDC</w:t>
            </w:r>
            <w:r>
              <w:rPr>
                <w:rFonts w:ascii="Calibri" w:hAnsi="Calibri" w:cs="Calibri"/>
                <w:i/>
                <w:iCs/>
                <w:color w:val="000000"/>
                <w:sz w:val="20"/>
                <w:szCs w:val="20"/>
              </w:rPr>
              <w:t>. Please describe your written procedures for ensuring the following information is provided to HHS/CDC for approval:</w:t>
            </w:r>
          </w:p>
        </w:tc>
        <w:tc>
          <w:tcPr>
            <w:tcW w:w="5310" w:type="dxa"/>
            <w:shd w:val="clear" w:color="auto" w:fill="595959" w:themeFill="text1" w:themeFillTint="A6"/>
          </w:tcPr>
          <w:p w:rsidRPr="00DB7974" w:rsidR="00B43D8B" w:rsidP="00432541" w:rsidRDefault="00B43D8B" w14:paraId="5394EA04" w14:textId="77777777">
            <w:pPr>
              <w:rPr>
                <w:rFonts w:cstheme="minorHAnsi"/>
                <w:i/>
                <w:iCs/>
                <w:sz w:val="20"/>
                <w:szCs w:val="20"/>
              </w:rPr>
            </w:pPr>
          </w:p>
        </w:tc>
      </w:tr>
      <w:tr w:rsidRPr="00DB7974" w:rsidR="00B43D8B" w:rsidTr="00432541" w14:paraId="3A97248E" w14:textId="77777777">
        <w:trPr>
          <w:trHeight w:val="323"/>
        </w:trPr>
        <w:tc>
          <w:tcPr>
            <w:tcW w:w="5940" w:type="dxa"/>
          </w:tcPr>
          <w:p w:rsidRPr="00DB7974" w:rsidR="00B43D8B" w:rsidP="00B43D8B" w:rsidRDefault="00B43D8B" w14:paraId="15168BC8" w14:textId="77777777">
            <w:pPr>
              <w:pStyle w:val="ListParagraph"/>
              <w:numPr>
                <w:ilvl w:val="0"/>
                <w:numId w:val="30"/>
              </w:numPr>
              <w:rPr>
                <w:rFonts w:cstheme="minorHAnsi"/>
                <w:i/>
                <w:iCs/>
                <w:sz w:val="20"/>
                <w:szCs w:val="20"/>
              </w:rPr>
            </w:pPr>
            <w:r w:rsidRPr="0058180D">
              <w:rPr>
                <w:rFonts w:ascii="Calibri" w:hAnsi="Calibri" w:cs="Calibri"/>
                <w:i/>
                <w:iCs/>
                <w:color w:val="000000"/>
                <w:sz w:val="20"/>
                <w:szCs w:val="20"/>
              </w:rPr>
              <w:t>A copy of each NHP's veterinary medical records, including regular testing for TB from the previous zoo for HHS/CDC's approval. The medical record should include a positive identification of the NHP, such as a tattoo, microchip, or photograph.</w:t>
            </w:r>
          </w:p>
        </w:tc>
        <w:tc>
          <w:tcPr>
            <w:tcW w:w="5310" w:type="dxa"/>
          </w:tcPr>
          <w:p w:rsidRPr="00DB7974" w:rsidR="00B43D8B" w:rsidP="00432541" w:rsidRDefault="00B43D8B" w14:paraId="1CFD4044" w14:textId="77777777">
            <w:pPr>
              <w:rPr>
                <w:rFonts w:cstheme="minorHAnsi"/>
                <w:i/>
                <w:iCs/>
                <w:sz w:val="20"/>
                <w:szCs w:val="20"/>
              </w:rPr>
            </w:pPr>
          </w:p>
        </w:tc>
      </w:tr>
      <w:tr w:rsidRPr="00DB7974" w:rsidR="00B43D8B" w:rsidTr="00432541" w14:paraId="19CC7184" w14:textId="77777777">
        <w:tc>
          <w:tcPr>
            <w:tcW w:w="5940" w:type="dxa"/>
          </w:tcPr>
          <w:p w:rsidRPr="00DB7974" w:rsidR="00B43D8B" w:rsidP="00B43D8B" w:rsidRDefault="00B43D8B" w14:paraId="536229BC" w14:textId="77777777">
            <w:pPr>
              <w:pStyle w:val="ListParagraph"/>
              <w:numPr>
                <w:ilvl w:val="0"/>
                <w:numId w:val="30"/>
              </w:numPr>
              <w:rPr>
                <w:rFonts w:cstheme="minorHAnsi"/>
                <w:i/>
                <w:iCs/>
                <w:sz w:val="20"/>
                <w:szCs w:val="20"/>
              </w:rPr>
            </w:pPr>
            <w:r w:rsidRPr="0058180D">
              <w:rPr>
                <w:rFonts w:ascii="Calibri" w:hAnsi="Calibri" w:cs="Calibri"/>
                <w:i/>
                <w:iCs/>
                <w:color w:val="000000"/>
                <w:sz w:val="20"/>
                <w:szCs w:val="20"/>
              </w:rPr>
              <w:t xml:space="preserve">A copy of a current health certificate, including documentation of a negative TB test, signed by a state licensed veterinarian within 14 days of the transfer stating that the NHP(s) appear healthy and are free from communicable diseases; </w:t>
            </w:r>
          </w:p>
        </w:tc>
        <w:tc>
          <w:tcPr>
            <w:tcW w:w="5310" w:type="dxa"/>
          </w:tcPr>
          <w:p w:rsidRPr="00DB7974" w:rsidR="00B43D8B" w:rsidP="00432541" w:rsidRDefault="00B43D8B" w14:paraId="77E7FC71" w14:textId="77777777">
            <w:pPr>
              <w:rPr>
                <w:rFonts w:cstheme="minorHAnsi"/>
                <w:i/>
                <w:iCs/>
                <w:sz w:val="20"/>
                <w:szCs w:val="20"/>
              </w:rPr>
            </w:pPr>
          </w:p>
        </w:tc>
      </w:tr>
      <w:tr w:rsidRPr="00DB7974" w:rsidR="00B43D8B" w:rsidTr="00432541" w14:paraId="7B8F1B66" w14:textId="77777777">
        <w:tc>
          <w:tcPr>
            <w:tcW w:w="5940" w:type="dxa"/>
          </w:tcPr>
          <w:p w:rsidRPr="0058180D" w:rsidR="00B43D8B" w:rsidP="00B43D8B" w:rsidRDefault="00B43D8B" w14:paraId="532B8F2C" w14:textId="77777777">
            <w:pPr>
              <w:pStyle w:val="ListParagraph"/>
              <w:numPr>
                <w:ilvl w:val="0"/>
                <w:numId w:val="30"/>
              </w:numPr>
              <w:rPr>
                <w:rFonts w:ascii="Calibri" w:hAnsi="Calibri" w:cs="Calibri"/>
                <w:i/>
                <w:iCs/>
                <w:color w:val="000000"/>
                <w:sz w:val="20"/>
                <w:szCs w:val="20"/>
              </w:rPr>
            </w:pPr>
            <w:r w:rsidRPr="0058180D">
              <w:rPr>
                <w:rFonts w:ascii="Calibri" w:hAnsi="Calibri" w:cs="Calibri"/>
                <w:i/>
                <w:iCs/>
                <w:color w:val="000000"/>
                <w:sz w:val="20"/>
                <w:szCs w:val="20"/>
              </w:rPr>
              <w:t>Documentation which verifies that the recipient zoo is registered</w:t>
            </w:r>
            <w:r>
              <w:rPr>
                <w:rFonts w:ascii="Calibri" w:hAnsi="Calibri" w:cs="Calibri"/>
                <w:i/>
                <w:iCs/>
                <w:color w:val="000000"/>
                <w:sz w:val="20"/>
                <w:szCs w:val="20"/>
              </w:rPr>
              <w:t xml:space="preserve"> to import NHPs for zoo-to-zoo transfer; and</w:t>
            </w:r>
          </w:p>
        </w:tc>
        <w:tc>
          <w:tcPr>
            <w:tcW w:w="5310" w:type="dxa"/>
          </w:tcPr>
          <w:p w:rsidRPr="00DB7974" w:rsidR="00B43D8B" w:rsidP="00432541" w:rsidRDefault="00B43D8B" w14:paraId="492069FE" w14:textId="77777777">
            <w:pPr>
              <w:rPr>
                <w:rFonts w:cstheme="minorHAnsi"/>
                <w:i/>
                <w:iCs/>
                <w:sz w:val="20"/>
                <w:szCs w:val="20"/>
              </w:rPr>
            </w:pPr>
          </w:p>
        </w:tc>
      </w:tr>
      <w:tr w:rsidRPr="00DB7974" w:rsidR="00B43D8B" w:rsidTr="00432541" w14:paraId="71975029" w14:textId="77777777">
        <w:tc>
          <w:tcPr>
            <w:tcW w:w="5940" w:type="dxa"/>
          </w:tcPr>
          <w:p w:rsidRPr="00DB7974" w:rsidR="00B43D8B" w:rsidP="00B43D8B" w:rsidRDefault="00B43D8B" w14:paraId="3C1B0800" w14:textId="77777777">
            <w:pPr>
              <w:pStyle w:val="ListParagraph"/>
              <w:numPr>
                <w:ilvl w:val="0"/>
                <w:numId w:val="30"/>
              </w:numPr>
              <w:rPr>
                <w:rFonts w:cstheme="minorHAnsi"/>
                <w:i/>
                <w:iCs/>
                <w:sz w:val="20"/>
                <w:szCs w:val="20"/>
              </w:rPr>
            </w:pPr>
            <w:r w:rsidRPr="0058180D">
              <w:rPr>
                <w:rFonts w:ascii="Calibri" w:hAnsi="Calibri" w:cs="Calibri"/>
                <w:i/>
                <w:iCs/>
                <w:color w:val="000000"/>
                <w:sz w:val="20"/>
                <w:szCs w:val="20"/>
              </w:rPr>
              <w:t>A specific itinerary with names, dates, flights, times, airports, seaports, and responsible parties to contact at every step of travel, including all ground transportation.</w:t>
            </w:r>
            <w:r>
              <w:rPr>
                <w:rFonts w:ascii="Calibri" w:hAnsi="Calibri" w:cs="Calibri"/>
                <w:i/>
                <w:iCs/>
                <w:color w:val="000000"/>
                <w:sz w:val="20"/>
                <w:szCs w:val="20"/>
              </w:rPr>
              <w:t xml:space="preserve">  This must be provided in writing (by email) to HHS/CDC at least 7 days before shipment arrival.</w:t>
            </w:r>
          </w:p>
        </w:tc>
        <w:tc>
          <w:tcPr>
            <w:tcW w:w="5310" w:type="dxa"/>
          </w:tcPr>
          <w:p w:rsidRPr="00DB7974" w:rsidR="00B43D8B" w:rsidP="00432541" w:rsidRDefault="00B43D8B" w14:paraId="740EA9DC" w14:textId="77777777">
            <w:pPr>
              <w:rPr>
                <w:rFonts w:cstheme="minorHAnsi"/>
                <w:i/>
                <w:iCs/>
                <w:sz w:val="20"/>
                <w:szCs w:val="20"/>
              </w:rPr>
            </w:pPr>
          </w:p>
        </w:tc>
      </w:tr>
    </w:tbl>
    <w:p w:rsidR="00B43D8B" w:rsidP="00B43D8B" w:rsidRDefault="00B43D8B" w14:paraId="54EB1CD2" w14:textId="77777777">
      <w:pPr>
        <w:rPr>
          <w:rFonts w:cstheme="minorHAnsi"/>
          <w:b/>
          <w:bCs/>
        </w:rPr>
      </w:pPr>
    </w:p>
    <w:p w:rsidR="00B43D8B" w:rsidP="00B43D8B" w:rsidRDefault="00B43D8B" w14:paraId="5ABD7BBB" w14:textId="77777777">
      <w:pPr>
        <w:rPr>
          <w:rFonts w:cstheme="minorHAnsi"/>
          <w:b/>
          <w:bCs/>
        </w:rPr>
      </w:pPr>
      <w:r>
        <w:rPr>
          <w:rFonts w:cstheme="minorHAnsi"/>
          <w:b/>
          <w:bCs/>
        </w:rPr>
        <w:t>Note: CDC-registered zoo-to-zoo importers must be accredited by the Association of Zoos and Aquariums.  Please submit evidence of AZA accreditation with your registration application.</w:t>
      </w:r>
    </w:p>
    <w:p w:rsidR="00B43D8B" w:rsidRDefault="00B43D8B" w14:paraId="047C1497" w14:textId="3CA4A2ED">
      <w:pPr>
        <w:rPr>
          <w:rFonts w:ascii="Arial" w:hAnsi="Arial" w:eastAsia="Times New Roman" w:cs="Arial"/>
          <w:b/>
          <w:color w:val="FF0000"/>
          <w:sz w:val="18"/>
          <w:szCs w:val="20"/>
        </w:rPr>
      </w:pPr>
    </w:p>
    <w:sectPr w:rsidR="00B43D8B" w:rsidSect="00C21321">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EE2F6" w14:textId="77777777" w:rsidR="00084937" w:rsidRDefault="00084937" w:rsidP="00084937">
      <w:pPr>
        <w:spacing w:after="0" w:line="240" w:lineRule="auto"/>
      </w:pPr>
      <w:r>
        <w:separator/>
      </w:r>
    </w:p>
  </w:endnote>
  <w:endnote w:type="continuationSeparator" w:id="0">
    <w:p w14:paraId="757670D3" w14:textId="77777777" w:rsidR="00084937" w:rsidRDefault="00084937" w:rsidP="00084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901C8" w14:textId="77777777" w:rsidR="00D7017D" w:rsidRDefault="00D701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11EC5" w14:textId="77777777" w:rsidR="00D7017D" w:rsidRDefault="00D701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1FCFA" w14:textId="14DEE522" w:rsidR="00C21321" w:rsidRDefault="00C21321" w:rsidP="00C21321">
    <w:pPr>
      <w:pStyle w:val="BodyText"/>
      <w:spacing w:before="56" w:line="249" w:lineRule="auto"/>
      <w:ind w:left="270" w:right="293"/>
    </w:pPr>
    <w:r>
      <w:rPr>
        <w:color w:val="231F20"/>
      </w:rPr>
      <w:t>Public</w:t>
    </w:r>
    <w:r>
      <w:rPr>
        <w:color w:val="231F20"/>
        <w:spacing w:val="-23"/>
      </w:rPr>
      <w:t xml:space="preserve"> </w:t>
    </w:r>
    <w:r>
      <w:rPr>
        <w:color w:val="231F20"/>
      </w:rPr>
      <w:t>reporting</w:t>
    </w:r>
    <w:r>
      <w:rPr>
        <w:color w:val="231F20"/>
        <w:spacing w:val="-23"/>
      </w:rPr>
      <w:t xml:space="preserve"> </w:t>
    </w:r>
    <w:r>
      <w:rPr>
        <w:color w:val="231F20"/>
      </w:rPr>
      <w:t>burden</w:t>
    </w:r>
    <w:r>
      <w:rPr>
        <w:color w:val="231F20"/>
        <w:spacing w:val="-23"/>
      </w:rPr>
      <w:t xml:space="preserve"> </w:t>
    </w:r>
    <w:r>
      <w:rPr>
        <w:color w:val="231F20"/>
      </w:rPr>
      <w:t>of</w:t>
    </w:r>
    <w:r>
      <w:rPr>
        <w:color w:val="231F20"/>
        <w:spacing w:val="-23"/>
      </w:rPr>
      <w:t xml:space="preserve"> </w:t>
    </w:r>
    <w:r>
      <w:rPr>
        <w:color w:val="231F20"/>
      </w:rPr>
      <w:t>this</w:t>
    </w:r>
    <w:r>
      <w:rPr>
        <w:color w:val="231F20"/>
        <w:spacing w:val="-23"/>
      </w:rPr>
      <w:t xml:space="preserve"> </w:t>
    </w:r>
    <w:r>
      <w:rPr>
        <w:color w:val="231F20"/>
      </w:rPr>
      <w:t>collection</w:t>
    </w:r>
    <w:r>
      <w:rPr>
        <w:color w:val="231F20"/>
        <w:spacing w:val="-23"/>
      </w:rPr>
      <w:t xml:space="preserve"> </w:t>
    </w:r>
    <w:r>
      <w:rPr>
        <w:color w:val="231F20"/>
      </w:rPr>
      <w:t>of</w:t>
    </w:r>
    <w:r>
      <w:rPr>
        <w:color w:val="231F20"/>
        <w:spacing w:val="-23"/>
      </w:rPr>
      <w:t xml:space="preserve"> </w:t>
    </w:r>
    <w:r>
      <w:rPr>
        <w:color w:val="231F20"/>
      </w:rPr>
      <w:t>information</w:t>
    </w:r>
    <w:r>
      <w:rPr>
        <w:color w:val="231F20"/>
        <w:spacing w:val="-23"/>
      </w:rPr>
      <w:t xml:space="preserve"> </w:t>
    </w:r>
    <w:r>
      <w:rPr>
        <w:color w:val="231F20"/>
      </w:rPr>
      <w:t>is</w:t>
    </w:r>
    <w:r>
      <w:rPr>
        <w:color w:val="231F20"/>
        <w:spacing w:val="-23"/>
      </w:rPr>
      <w:t xml:space="preserve"> </w:t>
    </w:r>
    <w:r>
      <w:rPr>
        <w:color w:val="231F20"/>
      </w:rPr>
      <w:t>estimated</w:t>
    </w:r>
    <w:r>
      <w:rPr>
        <w:color w:val="231F20"/>
        <w:spacing w:val="-23"/>
      </w:rPr>
      <w:t xml:space="preserve"> </w:t>
    </w:r>
    <w:r>
      <w:rPr>
        <w:color w:val="231F20"/>
      </w:rPr>
      <w:t>to</w:t>
    </w:r>
    <w:r>
      <w:rPr>
        <w:color w:val="231F20"/>
        <w:spacing w:val="-23"/>
      </w:rPr>
      <w:t xml:space="preserve"> </w:t>
    </w:r>
    <w:r>
      <w:rPr>
        <w:color w:val="231F20"/>
      </w:rPr>
      <w:t>average</w:t>
    </w:r>
    <w:r>
      <w:rPr>
        <w:color w:val="231F20"/>
        <w:spacing w:val="-23"/>
      </w:rPr>
      <w:t xml:space="preserve"> </w:t>
    </w:r>
    <w:r w:rsidR="00C452D5">
      <w:rPr>
        <w:color w:val="231F20"/>
      </w:rPr>
      <w:t>60 minutes</w:t>
    </w:r>
    <w:r>
      <w:rPr>
        <w:color w:val="231F20"/>
      </w:rPr>
      <w:t xml:space="preserve"> per</w:t>
    </w:r>
    <w:r>
      <w:rPr>
        <w:color w:val="231F20"/>
        <w:spacing w:val="-23"/>
      </w:rPr>
      <w:t xml:space="preserve"> </w:t>
    </w:r>
    <w:r>
      <w:rPr>
        <w:color w:val="231F20"/>
      </w:rPr>
      <w:t>response,</w:t>
    </w:r>
    <w:r>
      <w:rPr>
        <w:color w:val="231F20"/>
        <w:spacing w:val="-23"/>
      </w:rPr>
      <w:t xml:space="preserve"> </w:t>
    </w:r>
    <w:r>
      <w:rPr>
        <w:color w:val="231F20"/>
      </w:rPr>
      <w:t>including</w:t>
    </w:r>
    <w:r>
      <w:rPr>
        <w:color w:val="231F20"/>
        <w:spacing w:val="-23"/>
      </w:rPr>
      <w:t xml:space="preserve"> </w:t>
    </w:r>
    <w:r>
      <w:rPr>
        <w:color w:val="231F20"/>
      </w:rPr>
      <w:t>the</w:t>
    </w:r>
    <w:r>
      <w:rPr>
        <w:color w:val="231F20"/>
        <w:spacing w:val="-23"/>
      </w:rPr>
      <w:t xml:space="preserve"> </w:t>
    </w:r>
    <w:r>
      <w:rPr>
        <w:color w:val="231F20"/>
      </w:rPr>
      <w:t>time</w:t>
    </w:r>
    <w:r>
      <w:rPr>
        <w:color w:val="231F20"/>
        <w:spacing w:val="-23"/>
      </w:rPr>
      <w:t xml:space="preserve"> </w:t>
    </w:r>
    <w:r>
      <w:rPr>
        <w:color w:val="231F20"/>
      </w:rPr>
      <w:t>for reviewing</w:t>
    </w:r>
    <w:r>
      <w:rPr>
        <w:color w:val="231F20"/>
        <w:spacing w:val="-36"/>
      </w:rPr>
      <w:t xml:space="preserve"> </w:t>
    </w:r>
    <w:r>
      <w:rPr>
        <w:color w:val="231F20"/>
      </w:rPr>
      <w:t>instructions,</w:t>
    </w:r>
    <w:r>
      <w:rPr>
        <w:color w:val="231F20"/>
        <w:spacing w:val="-36"/>
      </w:rPr>
      <w:t xml:space="preserve"> </w:t>
    </w:r>
    <w:r>
      <w:rPr>
        <w:color w:val="231F20"/>
      </w:rPr>
      <w:t>searching</w:t>
    </w:r>
    <w:r>
      <w:rPr>
        <w:color w:val="231F20"/>
        <w:spacing w:val="-36"/>
      </w:rPr>
      <w:t xml:space="preserve"> </w:t>
    </w:r>
    <w:r>
      <w:rPr>
        <w:color w:val="231F20"/>
      </w:rPr>
      <w:t>existing</w:t>
    </w:r>
    <w:r>
      <w:rPr>
        <w:color w:val="231F20"/>
        <w:spacing w:val="-36"/>
      </w:rPr>
      <w:t xml:space="preserve"> </w:t>
    </w:r>
    <w:r>
      <w:rPr>
        <w:color w:val="231F20"/>
      </w:rPr>
      <w:t>data</w:t>
    </w:r>
    <w:r>
      <w:rPr>
        <w:color w:val="231F20"/>
        <w:spacing w:val="-36"/>
      </w:rPr>
      <w:t xml:space="preserve"> </w:t>
    </w:r>
    <w:r>
      <w:rPr>
        <w:color w:val="231F20"/>
      </w:rPr>
      <w:t>sources,</w:t>
    </w:r>
    <w:r>
      <w:rPr>
        <w:color w:val="231F20"/>
        <w:spacing w:val="-36"/>
      </w:rPr>
      <w:t xml:space="preserve"> </w:t>
    </w:r>
    <w:r>
      <w:rPr>
        <w:color w:val="231F20"/>
      </w:rPr>
      <w:t>gathering</w:t>
    </w:r>
    <w:r>
      <w:rPr>
        <w:color w:val="231F20"/>
        <w:spacing w:val="-36"/>
      </w:rPr>
      <w:t xml:space="preserve"> </w:t>
    </w:r>
    <w:r>
      <w:rPr>
        <w:color w:val="231F20"/>
      </w:rPr>
      <w:t>and</w:t>
    </w:r>
    <w:r>
      <w:rPr>
        <w:color w:val="231F20"/>
        <w:spacing w:val="-36"/>
      </w:rPr>
      <w:t xml:space="preserve"> </w:t>
    </w:r>
    <w:r>
      <w:rPr>
        <w:color w:val="231F20"/>
      </w:rPr>
      <w:t>maintaining</w:t>
    </w:r>
    <w:r>
      <w:rPr>
        <w:color w:val="231F20"/>
        <w:spacing w:val="-36"/>
      </w:rPr>
      <w:t xml:space="preserve"> </w:t>
    </w:r>
    <w:r>
      <w:rPr>
        <w:color w:val="231F20"/>
      </w:rPr>
      <w:t>the</w:t>
    </w:r>
    <w:r>
      <w:rPr>
        <w:color w:val="231F20"/>
        <w:spacing w:val="-36"/>
      </w:rPr>
      <w:t xml:space="preserve"> </w:t>
    </w:r>
    <w:r>
      <w:rPr>
        <w:color w:val="231F20"/>
      </w:rPr>
      <w:t>data</w:t>
    </w:r>
    <w:r>
      <w:rPr>
        <w:color w:val="231F20"/>
        <w:spacing w:val="-36"/>
      </w:rPr>
      <w:t xml:space="preserve"> </w:t>
    </w:r>
    <w:r>
      <w:rPr>
        <w:color w:val="231F20"/>
      </w:rPr>
      <w:t>needed,</w:t>
    </w:r>
    <w:r>
      <w:rPr>
        <w:color w:val="231F20"/>
        <w:spacing w:val="-36"/>
      </w:rPr>
      <w:t xml:space="preserve"> </w:t>
    </w:r>
    <w:r>
      <w:rPr>
        <w:color w:val="231F20"/>
      </w:rPr>
      <w:t>and</w:t>
    </w:r>
    <w:r>
      <w:rPr>
        <w:color w:val="231F20"/>
        <w:spacing w:val="-36"/>
      </w:rPr>
      <w:t xml:space="preserve"> </w:t>
    </w:r>
    <w:r>
      <w:rPr>
        <w:color w:val="231F20"/>
      </w:rPr>
      <w:t>completing</w:t>
    </w:r>
    <w:r>
      <w:rPr>
        <w:color w:val="231F20"/>
        <w:spacing w:val="-36"/>
      </w:rPr>
      <w:t xml:space="preserve"> </w:t>
    </w:r>
    <w:r>
      <w:rPr>
        <w:color w:val="231F20"/>
      </w:rPr>
      <w:t>and</w:t>
    </w:r>
    <w:r>
      <w:rPr>
        <w:color w:val="231F20"/>
        <w:spacing w:val="-36"/>
      </w:rPr>
      <w:t xml:space="preserve"> </w:t>
    </w:r>
    <w:r>
      <w:rPr>
        <w:color w:val="231F20"/>
      </w:rPr>
      <w:t>reviewing the</w:t>
    </w:r>
    <w:r>
      <w:rPr>
        <w:color w:val="231F20"/>
        <w:spacing w:val="-22"/>
      </w:rPr>
      <w:t xml:space="preserve"> </w:t>
    </w:r>
    <w:r>
      <w:rPr>
        <w:color w:val="231F20"/>
      </w:rPr>
      <w:t>collection</w:t>
    </w:r>
    <w:r>
      <w:rPr>
        <w:color w:val="231F20"/>
        <w:spacing w:val="-22"/>
      </w:rPr>
      <w:t xml:space="preserve"> </w:t>
    </w:r>
    <w:r>
      <w:rPr>
        <w:color w:val="231F20"/>
      </w:rPr>
      <w:t>of</w:t>
    </w:r>
    <w:r>
      <w:rPr>
        <w:color w:val="231F20"/>
        <w:spacing w:val="-22"/>
      </w:rPr>
      <w:t xml:space="preserve"> </w:t>
    </w:r>
    <w:r>
      <w:rPr>
        <w:color w:val="231F20"/>
      </w:rPr>
      <w:t>information.</w:t>
    </w:r>
    <w:r>
      <w:rPr>
        <w:color w:val="231F20"/>
        <w:spacing w:val="-22"/>
      </w:rPr>
      <w:t xml:space="preserve"> </w:t>
    </w:r>
    <w:r>
      <w:rPr>
        <w:color w:val="231F20"/>
      </w:rPr>
      <w:t>An</w:t>
    </w:r>
    <w:r>
      <w:rPr>
        <w:color w:val="231F20"/>
        <w:spacing w:val="-22"/>
      </w:rPr>
      <w:t xml:space="preserve"> </w:t>
    </w:r>
    <w:r>
      <w:rPr>
        <w:color w:val="231F20"/>
      </w:rPr>
      <w:t>agency</w:t>
    </w:r>
    <w:r>
      <w:rPr>
        <w:color w:val="231F20"/>
        <w:spacing w:val="-22"/>
      </w:rPr>
      <w:t xml:space="preserve"> </w:t>
    </w:r>
    <w:r>
      <w:rPr>
        <w:color w:val="231F20"/>
      </w:rPr>
      <w:t>may</w:t>
    </w:r>
    <w:r>
      <w:rPr>
        <w:color w:val="231F20"/>
        <w:spacing w:val="-22"/>
      </w:rPr>
      <w:t xml:space="preserve"> </w:t>
    </w:r>
    <w:r>
      <w:rPr>
        <w:color w:val="231F20"/>
      </w:rPr>
      <w:t>not</w:t>
    </w:r>
    <w:r>
      <w:rPr>
        <w:color w:val="231F20"/>
        <w:spacing w:val="-22"/>
      </w:rPr>
      <w:t xml:space="preserve"> </w:t>
    </w:r>
    <w:r>
      <w:rPr>
        <w:color w:val="231F20"/>
      </w:rPr>
      <w:t>conduct</w:t>
    </w:r>
    <w:r>
      <w:rPr>
        <w:color w:val="231F20"/>
        <w:spacing w:val="-22"/>
      </w:rPr>
      <w:t xml:space="preserve"> </w:t>
    </w:r>
    <w:r>
      <w:rPr>
        <w:color w:val="231F20"/>
      </w:rPr>
      <w:t>or</w:t>
    </w:r>
    <w:r>
      <w:rPr>
        <w:color w:val="231F20"/>
        <w:spacing w:val="-22"/>
      </w:rPr>
      <w:t xml:space="preserve"> </w:t>
    </w:r>
    <w:r>
      <w:rPr>
        <w:color w:val="231F20"/>
      </w:rPr>
      <w:t>sponsor,</w:t>
    </w:r>
    <w:r>
      <w:rPr>
        <w:color w:val="231F20"/>
        <w:spacing w:val="-22"/>
      </w:rPr>
      <w:t xml:space="preserve"> </w:t>
    </w:r>
    <w:r>
      <w:rPr>
        <w:color w:val="231F20"/>
      </w:rPr>
      <w:t>and</w:t>
    </w:r>
    <w:r>
      <w:rPr>
        <w:color w:val="231F20"/>
        <w:spacing w:val="-22"/>
      </w:rPr>
      <w:t xml:space="preserve"> </w:t>
    </w:r>
    <w:r>
      <w:rPr>
        <w:color w:val="231F20"/>
      </w:rPr>
      <w:t>a</w:t>
    </w:r>
    <w:r>
      <w:rPr>
        <w:color w:val="231F20"/>
        <w:spacing w:val="-22"/>
      </w:rPr>
      <w:t xml:space="preserve"> </w:t>
    </w:r>
    <w:r>
      <w:rPr>
        <w:color w:val="231F20"/>
      </w:rPr>
      <w:t>person</w:t>
    </w:r>
    <w:r>
      <w:rPr>
        <w:color w:val="231F20"/>
        <w:spacing w:val="-22"/>
      </w:rPr>
      <w:t xml:space="preserve"> </w:t>
    </w:r>
    <w:r>
      <w:rPr>
        <w:color w:val="231F20"/>
      </w:rPr>
      <w:t>is</w:t>
    </w:r>
    <w:r>
      <w:rPr>
        <w:color w:val="231F20"/>
        <w:spacing w:val="-22"/>
      </w:rPr>
      <w:t xml:space="preserve"> </w:t>
    </w:r>
    <w:r>
      <w:rPr>
        <w:color w:val="231F20"/>
      </w:rPr>
      <w:t>not</w:t>
    </w:r>
    <w:r>
      <w:rPr>
        <w:color w:val="231F20"/>
        <w:spacing w:val="-22"/>
      </w:rPr>
      <w:t xml:space="preserve"> </w:t>
    </w:r>
    <w:r>
      <w:rPr>
        <w:color w:val="231F20"/>
      </w:rPr>
      <w:t>required</w:t>
    </w:r>
    <w:r>
      <w:rPr>
        <w:color w:val="231F20"/>
        <w:spacing w:val="-22"/>
      </w:rPr>
      <w:t xml:space="preserve"> </w:t>
    </w:r>
    <w:r>
      <w:rPr>
        <w:color w:val="231F20"/>
      </w:rPr>
      <w:t>to</w:t>
    </w:r>
    <w:r>
      <w:rPr>
        <w:color w:val="231F20"/>
        <w:spacing w:val="-22"/>
      </w:rPr>
      <w:t xml:space="preserve"> </w:t>
    </w:r>
    <w:r>
      <w:rPr>
        <w:color w:val="231F20"/>
      </w:rPr>
      <w:t>respond</w:t>
    </w:r>
    <w:r>
      <w:rPr>
        <w:color w:val="231F20"/>
        <w:spacing w:val="-22"/>
      </w:rPr>
      <w:t xml:space="preserve"> </w:t>
    </w:r>
    <w:r>
      <w:rPr>
        <w:color w:val="231F20"/>
      </w:rPr>
      <w:t>to</w:t>
    </w:r>
    <w:r>
      <w:rPr>
        <w:color w:val="231F20"/>
        <w:spacing w:val="-22"/>
      </w:rPr>
      <w:t xml:space="preserve"> </w:t>
    </w:r>
    <w:r>
      <w:rPr>
        <w:color w:val="231F20"/>
      </w:rPr>
      <w:t>a</w:t>
    </w:r>
    <w:r>
      <w:rPr>
        <w:color w:val="231F20"/>
        <w:spacing w:val="-22"/>
      </w:rPr>
      <w:t xml:space="preserve"> </w:t>
    </w:r>
    <w:r>
      <w:rPr>
        <w:color w:val="231F20"/>
      </w:rPr>
      <w:t>collection</w:t>
    </w:r>
    <w:r>
      <w:rPr>
        <w:color w:val="231F20"/>
        <w:spacing w:val="-22"/>
      </w:rPr>
      <w:t xml:space="preserve"> </w:t>
    </w:r>
    <w:r>
      <w:rPr>
        <w:color w:val="231F20"/>
      </w:rPr>
      <w:t>of information</w:t>
    </w:r>
    <w:r>
      <w:rPr>
        <w:color w:val="231F20"/>
        <w:spacing w:val="-31"/>
      </w:rPr>
      <w:t xml:space="preserve"> </w:t>
    </w:r>
    <w:r>
      <w:rPr>
        <w:color w:val="231F20"/>
      </w:rPr>
      <w:t>unless</w:t>
    </w:r>
    <w:r>
      <w:rPr>
        <w:color w:val="231F20"/>
        <w:spacing w:val="-31"/>
      </w:rPr>
      <w:t xml:space="preserve"> </w:t>
    </w:r>
    <w:r>
      <w:rPr>
        <w:color w:val="231F20"/>
      </w:rPr>
      <w:t>it</w:t>
    </w:r>
    <w:r>
      <w:rPr>
        <w:color w:val="231F20"/>
        <w:spacing w:val="-31"/>
      </w:rPr>
      <w:t xml:space="preserve"> </w:t>
    </w:r>
    <w:r>
      <w:rPr>
        <w:color w:val="231F20"/>
      </w:rPr>
      <w:t>displays</w:t>
    </w:r>
    <w:r>
      <w:rPr>
        <w:color w:val="231F20"/>
        <w:spacing w:val="-31"/>
      </w:rPr>
      <w:t xml:space="preserve"> </w:t>
    </w:r>
    <w:r>
      <w:rPr>
        <w:color w:val="231F20"/>
      </w:rPr>
      <w:t>a</w:t>
    </w:r>
    <w:r>
      <w:rPr>
        <w:color w:val="231F20"/>
        <w:spacing w:val="-31"/>
      </w:rPr>
      <w:t xml:space="preserve"> </w:t>
    </w:r>
    <w:r>
      <w:rPr>
        <w:color w:val="231F20"/>
      </w:rPr>
      <w:t>currently</w:t>
    </w:r>
    <w:r>
      <w:rPr>
        <w:color w:val="231F20"/>
        <w:spacing w:val="-31"/>
      </w:rPr>
      <w:t xml:space="preserve"> </w:t>
    </w:r>
    <w:r>
      <w:rPr>
        <w:color w:val="231F20"/>
      </w:rPr>
      <w:t>valid</w:t>
    </w:r>
    <w:r>
      <w:rPr>
        <w:color w:val="231F20"/>
        <w:spacing w:val="-31"/>
      </w:rPr>
      <w:t xml:space="preserve"> </w:t>
    </w:r>
    <w:r>
      <w:rPr>
        <w:color w:val="231F20"/>
      </w:rPr>
      <w:t>OMB</w:t>
    </w:r>
    <w:r>
      <w:rPr>
        <w:color w:val="231F20"/>
        <w:spacing w:val="-31"/>
      </w:rPr>
      <w:t xml:space="preserve"> </w:t>
    </w:r>
    <w:r>
      <w:rPr>
        <w:color w:val="231F20"/>
      </w:rPr>
      <w:t>Control</w:t>
    </w:r>
    <w:r>
      <w:rPr>
        <w:color w:val="231F20"/>
        <w:spacing w:val="-31"/>
      </w:rPr>
      <w:t xml:space="preserve"> </w:t>
    </w:r>
    <w:r>
      <w:rPr>
        <w:color w:val="231F20"/>
      </w:rPr>
      <w:t>Number.</w:t>
    </w:r>
    <w:r>
      <w:rPr>
        <w:color w:val="231F20"/>
        <w:spacing w:val="-31"/>
      </w:rPr>
      <w:t xml:space="preserve"> </w:t>
    </w:r>
    <w:r>
      <w:rPr>
        <w:color w:val="231F20"/>
      </w:rPr>
      <w:t>Send</w:t>
    </w:r>
    <w:r>
      <w:rPr>
        <w:color w:val="231F20"/>
        <w:spacing w:val="-31"/>
      </w:rPr>
      <w:t xml:space="preserve"> </w:t>
    </w:r>
    <w:r>
      <w:rPr>
        <w:color w:val="231F20"/>
      </w:rPr>
      <w:t>comments</w:t>
    </w:r>
    <w:r>
      <w:rPr>
        <w:color w:val="231F20"/>
        <w:spacing w:val="-31"/>
      </w:rPr>
      <w:t xml:space="preserve"> </w:t>
    </w:r>
    <w:r>
      <w:rPr>
        <w:color w:val="231F20"/>
      </w:rPr>
      <w:t>regarding</w:t>
    </w:r>
    <w:r>
      <w:rPr>
        <w:color w:val="231F20"/>
        <w:spacing w:val="-31"/>
      </w:rPr>
      <w:t xml:space="preserve"> </w:t>
    </w:r>
    <w:r>
      <w:rPr>
        <w:color w:val="231F20"/>
      </w:rPr>
      <w:t>this</w:t>
    </w:r>
    <w:r>
      <w:rPr>
        <w:color w:val="231F20"/>
        <w:spacing w:val="-31"/>
      </w:rPr>
      <w:t xml:space="preserve"> </w:t>
    </w:r>
    <w:r>
      <w:rPr>
        <w:color w:val="231F20"/>
      </w:rPr>
      <w:t>burden</w:t>
    </w:r>
    <w:r>
      <w:rPr>
        <w:color w:val="231F20"/>
        <w:spacing w:val="-31"/>
      </w:rPr>
      <w:t xml:space="preserve"> </w:t>
    </w:r>
    <w:r>
      <w:rPr>
        <w:color w:val="231F20"/>
      </w:rPr>
      <w:t>estimate</w:t>
    </w:r>
    <w:r>
      <w:rPr>
        <w:color w:val="231F20"/>
        <w:spacing w:val="-31"/>
      </w:rPr>
      <w:t xml:space="preserve"> </w:t>
    </w:r>
    <w:r>
      <w:rPr>
        <w:color w:val="231F20"/>
      </w:rPr>
      <w:t>or</w:t>
    </w:r>
    <w:r>
      <w:rPr>
        <w:color w:val="231F20"/>
        <w:spacing w:val="-31"/>
      </w:rPr>
      <w:t xml:space="preserve"> </w:t>
    </w:r>
    <w:r>
      <w:rPr>
        <w:color w:val="231F20"/>
      </w:rPr>
      <w:t>any</w:t>
    </w:r>
    <w:r>
      <w:rPr>
        <w:color w:val="231F20"/>
        <w:spacing w:val="-31"/>
      </w:rPr>
      <w:t xml:space="preserve"> </w:t>
    </w:r>
    <w:r>
      <w:rPr>
        <w:color w:val="231F20"/>
      </w:rPr>
      <w:t>other aspect</w:t>
    </w:r>
    <w:r>
      <w:rPr>
        <w:color w:val="231F20"/>
        <w:spacing w:val="-34"/>
      </w:rPr>
      <w:t xml:space="preserve"> </w:t>
    </w:r>
    <w:r>
      <w:rPr>
        <w:color w:val="231F20"/>
      </w:rPr>
      <w:t>of</w:t>
    </w:r>
    <w:r>
      <w:rPr>
        <w:color w:val="231F20"/>
        <w:spacing w:val="-34"/>
      </w:rPr>
      <w:t xml:space="preserve"> </w:t>
    </w:r>
    <w:r>
      <w:rPr>
        <w:color w:val="231F20"/>
      </w:rPr>
      <w:t>this</w:t>
    </w:r>
    <w:r>
      <w:rPr>
        <w:color w:val="231F20"/>
        <w:spacing w:val="-34"/>
      </w:rPr>
      <w:t xml:space="preserve"> </w:t>
    </w:r>
    <w:r>
      <w:rPr>
        <w:color w:val="231F20"/>
      </w:rPr>
      <w:t>collection</w:t>
    </w:r>
    <w:r>
      <w:rPr>
        <w:color w:val="231F20"/>
        <w:spacing w:val="-34"/>
      </w:rPr>
      <w:t xml:space="preserve"> </w:t>
    </w:r>
    <w:r>
      <w:rPr>
        <w:color w:val="231F20"/>
      </w:rPr>
      <w:t>of</w:t>
    </w:r>
    <w:r>
      <w:rPr>
        <w:color w:val="231F20"/>
        <w:spacing w:val="-34"/>
      </w:rPr>
      <w:t xml:space="preserve"> </w:t>
    </w:r>
    <w:r>
      <w:rPr>
        <w:color w:val="231F20"/>
      </w:rPr>
      <w:t>information,</w:t>
    </w:r>
    <w:r>
      <w:rPr>
        <w:color w:val="231F20"/>
        <w:spacing w:val="-34"/>
      </w:rPr>
      <w:t xml:space="preserve"> </w:t>
    </w:r>
    <w:r>
      <w:rPr>
        <w:color w:val="231F20"/>
      </w:rPr>
      <w:t>including</w:t>
    </w:r>
    <w:r>
      <w:rPr>
        <w:color w:val="231F20"/>
        <w:spacing w:val="-34"/>
      </w:rPr>
      <w:t xml:space="preserve"> </w:t>
    </w:r>
    <w:r>
      <w:rPr>
        <w:color w:val="231F20"/>
      </w:rPr>
      <w:t>suggestions</w:t>
    </w:r>
    <w:r>
      <w:rPr>
        <w:color w:val="231F20"/>
        <w:spacing w:val="-34"/>
      </w:rPr>
      <w:t xml:space="preserve"> </w:t>
    </w:r>
    <w:r>
      <w:rPr>
        <w:color w:val="231F20"/>
      </w:rPr>
      <w:t>for</w:t>
    </w:r>
    <w:r>
      <w:rPr>
        <w:color w:val="231F20"/>
        <w:spacing w:val="-34"/>
      </w:rPr>
      <w:t xml:space="preserve"> </w:t>
    </w:r>
    <w:r>
      <w:rPr>
        <w:color w:val="231F20"/>
      </w:rPr>
      <w:t>reducing</w:t>
    </w:r>
    <w:r>
      <w:rPr>
        <w:color w:val="231F20"/>
        <w:spacing w:val="-34"/>
      </w:rPr>
      <w:t xml:space="preserve"> </w:t>
    </w:r>
    <w:r>
      <w:rPr>
        <w:color w:val="231F20"/>
      </w:rPr>
      <w:t>this</w:t>
    </w:r>
    <w:r>
      <w:rPr>
        <w:color w:val="231F20"/>
        <w:spacing w:val="-34"/>
      </w:rPr>
      <w:t xml:space="preserve"> </w:t>
    </w:r>
    <w:r>
      <w:rPr>
        <w:color w:val="231F20"/>
      </w:rPr>
      <w:t>burden</w:t>
    </w:r>
    <w:r>
      <w:rPr>
        <w:color w:val="231F20"/>
        <w:spacing w:val="-34"/>
      </w:rPr>
      <w:t xml:space="preserve"> </w:t>
    </w:r>
    <w:r>
      <w:rPr>
        <w:color w:val="231F20"/>
      </w:rPr>
      <w:t>to</w:t>
    </w:r>
    <w:r>
      <w:rPr>
        <w:color w:val="231F20"/>
        <w:spacing w:val="-34"/>
      </w:rPr>
      <w:t xml:space="preserve"> </w:t>
    </w:r>
    <w:r>
      <w:rPr>
        <w:color w:val="231F20"/>
      </w:rPr>
      <w:t>CDC/ATSDR</w:t>
    </w:r>
    <w:r>
      <w:rPr>
        <w:color w:val="231F20"/>
        <w:spacing w:val="-34"/>
      </w:rPr>
      <w:t xml:space="preserve"> </w:t>
    </w:r>
    <w:r>
      <w:rPr>
        <w:color w:val="231F20"/>
      </w:rPr>
      <w:t>Reports</w:t>
    </w:r>
    <w:r>
      <w:rPr>
        <w:color w:val="231F20"/>
        <w:spacing w:val="-34"/>
      </w:rPr>
      <w:t xml:space="preserve"> </w:t>
    </w:r>
    <w:r>
      <w:rPr>
        <w:color w:val="231F20"/>
      </w:rPr>
      <w:t>Clearance</w:t>
    </w:r>
    <w:r>
      <w:rPr>
        <w:color w:val="231F20"/>
        <w:spacing w:val="-34"/>
      </w:rPr>
      <w:t xml:space="preserve"> </w:t>
    </w:r>
    <w:r>
      <w:rPr>
        <w:color w:val="231F20"/>
      </w:rPr>
      <w:t xml:space="preserve">Officer, </w:t>
    </w:r>
    <w:r>
      <w:rPr>
        <w:color w:val="231F20"/>
        <w:w w:val="90"/>
      </w:rPr>
      <w:t>1600</w:t>
    </w:r>
    <w:r>
      <w:rPr>
        <w:color w:val="231F20"/>
        <w:spacing w:val="-7"/>
        <w:w w:val="90"/>
      </w:rPr>
      <w:t xml:space="preserve"> </w:t>
    </w:r>
    <w:r>
      <w:rPr>
        <w:color w:val="231F20"/>
        <w:w w:val="90"/>
      </w:rPr>
      <w:t>Clifton</w:t>
    </w:r>
    <w:r>
      <w:rPr>
        <w:color w:val="231F20"/>
        <w:spacing w:val="-7"/>
        <w:w w:val="90"/>
      </w:rPr>
      <w:t xml:space="preserve"> </w:t>
    </w:r>
    <w:r>
      <w:rPr>
        <w:color w:val="231F20"/>
        <w:w w:val="90"/>
      </w:rPr>
      <w:t>Road</w:t>
    </w:r>
    <w:r>
      <w:rPr>
        <w:color w:val="231F20"/>
        <w:spacing w:val="-7"/>
        <w:w w:val="90"/>
      </w:rPr>
      <w:t xml:space="preserve"> </w:t>
    </w:r>
    <w:r>
      <w:rPr>
        <w:color w:val="231F20"/>
        <w:w w:val="90"/>
      </w:rPr>
      <w:t>NE,</w:t>
    </w:r>
    <w:r>
      <w:rPr>
        <w:color w:val="231F20"/>
        <w:spacing w:val="-7"/>
        <w:w w:val="90"/>
      </w:rPr>
      <w:t xml:space="preserve"> </w:t>
    </w:r>
    <w:r>
      <w:rPr>
        <w:color w:val="231F20"/>
        <w:w w:val="90"/>
      </w:rPr>
      <w:t>MS</w:t>
    </w:r>
    <w:r>
      <w:rPr>
        <w:color w:val="231F20"/>
        <w:spacing w:val="-7"/>
        <w:w w:val="90"/>
      </w:rPr>
      <w:t xml:space="preserve"> </w:t>
    </w:r>
    <w:r>
      <w:rPr>
        <w:color w:val="231F20"/>
        <w:w w:val="90"/>
      </w:rPr>
      <w:t>D-74,</w:t>
    </w:r>
    <w:r>
      <w:rPr>
        <w:color w:val="231F20"/>
        <w:spacing w:val="-7"/>
        <w:w w:val="90"/>
      </w:rPr>
      <w:t xml:space="preserve"> </w:t>
    </w:r>
    <w:r>
      <w:rPr>
        <w:color w:val="231F20"/>
        <w:w w:val="90"/>
      </w:rPr>
      <w:t>Atlanta,</w:t>
    </w:r>
    <w:r>
      <w:rPr>
        <w:color w:val="231F20"/>
        <w:spacing w:val="-7"/>
        <w:w w:val="90"/>
      </w:rPr>
      <w:t xml:space="preserve"> </w:t>
    </w:r>
    <w:r>
      <w:rPr>
        <w:color w:val="231F20"/>
        <w:w w:val="90"/>
      </w:rPr>
      <w:t>Georgia</w:t>
    </w:r>
    <w:r>
      <w:rPr>
        <w:color w:val="231F20"/>
        <w:spacing w:val="-7"/>
        <w:w w:val="90"/>
      </w:rPr>
      <w:t xml:space="preserve"> </w:t>
    </w:r>
    <w:r>
      <w:rPr>
        <w:color w:val="231F20"/>
        <w:w w:val="90"/>
      </w:rPr>
      <w:t>30329;</w:t>
    </w:r>
    <w:r>
      <w:rPr>
        <w:color w:val="231F20"/>
        <w:spacing w:val="-7"/>
        <w:w w:val="90"/>
      </w:rPr>
      <w:t xml:space="preserve"> </w:t>
    </w:r>
    <w:r>
      <w:rPr>
        <w:color w:val="231F20"/>
        <w:w w:val="90"/>
      </w:rPr>
      <w:t>ATTN:</w:t>
    </w:r>
    <w:r>
      <w:rPr>
        <w:color w:val="231F20"/>
        <w:spacing w:val="-7"/>
        <w:w w:val="90"/>
      </w:rPr>
      <w:t xml:space="preserve"> </w:t>
    </w:r>
    <w:r>
      <w:rPr>
        <w:color w:val="231F20"/>
        <w:w w:val="90"/>
      </w:rPr>
      <w:t>PRA</w:t>
    </w:r>
    <w:r>
      <w:rPr>
        <w:color w:val="231F20"/>
        <w:spacing w:val="-7"/>
        <w:w w:val="90"/>
      </w:rPr>
      <w:t xml:space="preserve"> </w:t>
    </w:r>
    <w:r>
      <w:rPr>
        <w:color w:val="231F20"/>
        <w:w w:val="90"/>
      </w:rPr>
      <w:t>0920-XXXX.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3CD4B" w14:textId="77777777" w:rsidR="00084937" w:rsidRDefault="00084937" w:rsidP="00084937">
      <w:pPr>
        <w:spacing w:after="0" w:line="240" w:lineRule="auto"/>
      </w:pPr>
      <w:r>
        <w:separator/>
      </w:r>
    </w:p>
  </w:footnote>
  <w:footnote w:type="continuationSeparator" w:id="0">
    <w:p w14:paraId="51F003BD" w14:textId="77777777" w:rsidR="00084937" w:rsidRDefault="00084937" w:rsidP="000849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358F5" w14:textId="77777777" w:rsidR="00D7017D" w:rsidRDefault="00D701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496AE" w14:textId="2F9ED0BC" w:rsidR="00C21321" w:rsidRDefault="00C21321">
    <w:pPr>
      <w:pStyle w:val="Header"/>
    </w:pPr>
  </w:p>
  <w:p w14:paraId="2ECE3D11" w14:textId="694D781A" w:rsidR="00C21321" w:rsidRDefault="00C213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9241D" w14:textId="5F86B7C5" w:rsidR="00C21321" w:rsidRDefault="00C21321">
    <w:pPr>
      <w:pStyle w:val="Header"/>
    </w:pPr>
    <w:r w:rsidRPr="00C21321">
      <w:rPr>
        <w:b/>
        <w:noProof/>
        <w:color w:val="FF0000"/>
        <w:sz w:val="20"/>
      </w:rPr>
      <mc:AlternateContent>
        <mc:Choice Requires="wps">
          <w:drawing>
            <wp:anchor distT="45720" distB="45720" distL="114300" distR="114300" simplePos="0" relativeHeight="251659264" behindDoc="1" locked="0" layoutInCell="1" allowOverlap="1" wp14:anchorId="4E44E87E" wp14:editId="6B82B7A2">
              <wp:simplePos x="0" y="0"/>
              <wp:positionH relativeFrom="column">
                <wp:posOffset>5238427</wp:posOffset>
              </wp:positionH>
              <wp:positionV relativeFrom="paragraph">
                <wp:posOffset>-194805</wp:posOffset>
              </wp:positionV>
              <wp:extent cx="1540510" cy="1404620"/>
              <wp:effectExtent l="0" t="0" r="2540" b="0"/>
              <wp:wrapTight wrapText="bothSides">
                <wp:wrapPolygon edited="0">
                  <wp:start x="0" y="0"/>
                  <wp:lineTo x="0" y="20781"/>
                  <wp:lineTo x="21369" y="20781"/>
                  <wp:lineTo x="21369" y="0"/>
                  <wp:lineTo x="0" y="0"/>
                </wp:wrapPolygon>
              </wp:wrapTight>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0510" cy="1404620"/>
                      </a:xfrm>
                      <a:prstGeom prst="rect">
                        <a:avLst/>
                      </a:prstGeom>
                      <a:solidFill>
                        <a:srgbClr val="FFFFFF"/>
                      </a:solidFill>
                      <a:ln w="9525">
                        <a:noFill/>
                        <a:miter lim="800000"/>
                        <a:headEnd/>
                        <a:tailEnd/>
                      </a:ln>
                    </wps:spPr>
                    <wps:txbx>
                      <w:txbxContent>
                        <w:p w14:paraId="7ABA7E28" w14:textId="77777777" w:rsidR="00C21321" w:rsidRPr="00C21321" w:rsidRDefault="00C21321" w:rsidP="00C21321">
                          <w:pPr>
                            <w:rPr>
                              <w:sz w:val="18"/>
                              <w:szCs w:val="18"/>
                            </w:rPr>
                          </w:pPr>
                          <w:r w:rsidRPr="00C21321">
                            <w:rPr>
                              <w:sz w:val="18"/>
                              <w:szCs w:val="18"/>
                            </w:rPr>
                            <w:t>Form</w:t>
                          </w:r>
                          <w:r w:rsidRPr="00C21321">
                            <w:rPr>
                              <w:sz w:val="18"/>
                              <w:szCs w:val="18"/>
                            </w:rPr>
                            <w:br/>
                            <w:t>OMB Control No. 0920-XXXX</w:t>
                          </w:r>
                          <w:r w:rsidRPr="00C21321">
                            <w:rPr>
                              <w:sz w:val="18"/>
                              <w:szCs w:val="18"/>
                            </w:rPr>
                            <w:br/>
                            <w:t>Expiration Date: XX/XX/XXXX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44E87E" id="_x0000_t202" coordsize="21600,21600" o:spt="202" path="m,l,21600r21600,l21600,xe">
              <v:stroke joinstyle="miter"/>
              <v:path gradientshapeok="t" o:connecttype="rect"/>
            </v:shapetype>
            <v:shape id="Text Box 2" o:spid="_x0000_s1026" type="#_x0000_t202" style="position:absolute;margin-left:412.45pt;margin-top:-15.35pt;width:121.3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" stroked="f">
              <v:textbox style="mso-fit-shape-to-text:t">
                <w:txbxContent>
                  <w:p w14:paraId="7ABA7E28" w14:textId="77777777" w:rsidR="00C21321" w:rsidRPr="00C21321" w:rsidRDefault="00C21321" w:rsidP="00C21321">
                    <w:pPr>
                      <w:rPr>
                        <w:sz w:val="18"/>
                        <w:szCs w:val="18"/>
                      </w:rPr>
                    </w:pPr>
                    <w:r w:rsidRPr="00C21321">
                      <w:rPr>
                        <w:sz w:val="18"/>
                        <w:szCs w:val="18"/>
                      </w:rPr>
                      <w:t>Form</w:t>
                    </w:r>
                    <w:r w:rsidRPr="00C21321">
                      <w:rPr>
                        <w:sz w:val="18"/>
                        <w:szCs w:val="18"/>
                      </w:rPr>
                      <w:br/>
                      <w:t>OMB Control No. 0920-XXXX</w:t>
                    </w:r>
                    <w:r w:rsidRPr="00C21321">
                      <w:rPr>
                        <w:sz w:val="18"/>
                        <w:szCs w:val="18"/>
                      </w:rPr>
                      <w:br/>
                      <w:t>Expiration Date: XX/XX/XXXX</w:t>
                    </w:r>
                  </w:p>
                </w:txbxContent>
              </v:textbox>
              <w10:wrap type="tigh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6E24"/>
    <w:multiLevelType w:val="hybridMultilevel"/>
    <w:tmpl w:val="7CF41AA8"/>
    <w:lvl w:ilvl="0" w:tplc="70FCEF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E6FDA"/>
    <w:multiLevelType w:val="hybridMultilevel"/>
    <w:tmpl w:val="BE266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B0304"/>
    <w:multiLevelType w:val="hybridMultilevel"/>
    <w:tmpl w:val="A9EEA58C"/>
    <w:lvl w:ilvl="0" w:tplc="EBA25AB4">
      <w:start w:val="1"/>
      <w:numFmt w:val="lowerRoman"/>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A42960"/>
    <w:multiLevelType w:val="hybridMultilevel"/>
    <w:tmpl w:val="D34C9408"/>
    <w:lvl w:ilvl="0" w:tplc="A91AD22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04D79FA"/>
    <w:multiLevelType w:val="hybridMultilevel"/>
    <w:tmpl w:val="42ECD814"/>
    <w:lvl w:ilvl="0" w:tplc="98E2B4D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E970E2"/>
    <w:multiLevelType w:val="hybridMultilevel"/>
    <w:tmpl w:val="C8D2A790"/>
    <w:lvl w:ilvl="0" w:tplc="2D2EAC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296452"/>
    <w:multiLevelType w:val="hybridMultilevel"/>
    <w:tmpl w:val="4CC49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B73AE9"/>
    <w:multiLevelType w:val="hybridMultilevel"/>
    <w:tmpl w:val="8E5827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F16567"/>
    <w:multiLevelType w:val="hybridMultilevel"/>
    <w:tmpl w:val="CDAE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8822FB"/>
    <w:multiLevelType w:val="hybridMultilevel"/>
    <w:tmpl w:val="70C84C1E"/>
    <w:lvl w:ilvl="0" w:tplc="A7DA0354">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076878"/>
    <w:multiLevelType w:val="hybridMultilevel"/>
    <w:tmpl w:val="4588FC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B67389"/>
    <w:multiLevelType w:val="hybridMultilevel"/>
    <w:tmpl w:val="0F42DD94"/>
    <w:lvl w:ilvl="0" w:tplc="01C41C4A">
      <w:start w:val="1"/>
      <w:numFmt w:val="decimal"/>
      <w:lvlText w:val="%1."/>
      <w:lvlJc w:val="left"/>
      <w:pPr>
        <w:ind w:left="449" w:hanging="168"/>
        <w:jc w:val="right"/>
      </w:pPr>
      <w:rPr>
        <w:rFonts w:ascii="Arial" w:eastAsia="Arial" w:hAnsi="Arial" w:cs="Arial" w:hint="default"/>
        <w:b w:val="0"/>
        <w:bCs w:val="0"/>
        <w:i w:val="0"/>
        <w:iCs w:val="0"/>
        <w:spacing w:val="-2"/>
        <w:w w:val="86"/>
        <w:sz w:val="18"/>
        <w:szCs w:val="18"/>
        <w:lang w:val="en-US" w:eastAsia="en-US" w:bidi="ar-SA"/>
      </w:rPr>
    </w:lvl>
    <w:lvl w:ilvl="1" w:tplc="97E25C0E">
      <w:start w:val="1"/>
      <w:numFmt w:val="lowerLetter"/>
      <w:lvlText w:val="%2."/>
      <w:lvlJc w:val="left"/>
      <w:pPr>
        <w:ind w:left="616" w:hanging="164"/>
        <w:jc w:val="left"/>
      </w:pPr>
      <w:rPr>
        <w:rFonts w:ascii="Arial" w:eastAsia="Arial" w:hAnsi="Arial" w:cs="Arial" w:hint="default"/>
        <w:b w:val="0"/>
        <w:bCs w:val="0"/>
        <w:i w:val="0"/>
        <w:iCs w:val="0"/>
        <w:w w:val="84"/>
        <w:sz w:val="18"/>
        <w:szCs w:val="18"/>
        <w:lang w:val="en-US" w:eastAsia="en-US" w:bidi="ar-SA"/>
      </w:rPr>
    </w:lvl>
    <w:lvl w:ilvl="2" w:tplc="E3469C24">
      <w:start w:val="1"/>
      <w:numFmt w:val="decimal"/>
      <w:lvlText w:val="(%3)"/>
      <w:lvlJc w:val="left"/>
      <w:pPr>
        <w:ind w:left="909" w:hanging="217"/>
        <w:jc w:val="left"/>
      </w:pPr>
      <w:rPr>
        <w:rFonts w:ascii="Arial" w:eastAsia="Arial" w:hAnsi="Arial" w:cs="Arial" w:hint="default"/>
        <w:b w:val="0"/>
        <w:bCs w:val="0"/>
        <w:i w:val="0"/>
        <w:iCs w:val="0"/>
        <w:w w:val="81"/>
        <w:sz w:val="18"/>
        <w:szCs w:val="18"/>
        <w:lang w:val="en-US" w:eastAsia="en-US" w:bidi="ar-SA"/>
      </w:rPr>
    </w:lvl>
    <w:lvl w:ilvl="3" w:tplc="88661E8E">
      <w:numFmt w:val="bullet"/>
      <w:lvlText w:val="•"/>
      <w:lvlJc w:val="left"/>
      <w:pPr>
        <w:ind w:left="900" w:hanging="217"/>
      </w:pPr>
      <w:rPr>
        <w:rFonts w:hint="default"/>
        <w:lang w:val="en-US" w:eastAsia="en-US" w:bidi="ar-SA"/>
      </w:rPr>
    </w:lvl>
    <w:lvl w:ilvl="4" w:tplc="777433EE">
      <w:numFmt w:val="bullet"/>
      <w:lvlText w:val="•"/>
      <w:lvlJc w:val="left"/>
      <w:pPr>
        <w:ind w:left="1381" w:hanging="217"/>
      </w:pPr>
      <w:rPr>
        <w:rFonts w:hint="default"/>
        <w:lang w:val="en-US" w:eastAsia="en-US" w:bidi="ar-SA"/>
      </w:rPr>
    </w:lvl>
    <w:lvl w:ilvl="5" w:tplc="AE1CE9AA">
      <w:numFmt w:val="bullet"/>
      <w:lvlText w:val="•"/>
      <w:lvlJc w:val="left"/>
      <w:pPr>
        <w:ind w:left="1863" w:hanging="217"/>
      </w:pPr>
      <w:rPr>
        <w:rFonts w:hint="default"/>
        <w:lang w:val="en-US" w:eastAsia="en-US" w:bidi="ar-SA"/>
      </w:rPr>
    </w:lvl>
    <w:lvl w:ilvl="6" w:tplc="AF502D98">
      <w:numFmt w:val="bullet"/>
      <w:lvlText w:val="•"/>
      <w:lvlJc w:val="left"/>
      <w:pPr>
        <w:ind w:left="2345" w:hanging="217"/>
      </w:pPr>
      <w:rPr>
        <w:rFonts w:hint="default"/>
        <w:lang w:val="en-US" w:eastAsia="en-US" w:bidi="ar-SA"/>
      </w:rPr>
    </w:lvl>
    <w:lvl w:ilvl="7" w:tplc="79D085A4">
      <w:numFmt w:val="bullet"/>
      <w:lvlText w:val="•"/>
      <w:lvlJc w:val="left"/>
      <w:pPr>
        <w:ind w:left="2827" w:hanging="217"/>
      </w:pPr>
      <w:rPr>
        <w:rFonts w:hint="default"/>
        <w:lang w:val="en-US" w:eastAsia="en-US" w:bidi="ar-SA"/>
      </w:rPr>
    </w:lvl>
    <w:lvl w:ilvl="8" w:tplc="795E938E">
      <w:numFmt w:val="bullet"/>
      <w:lvlText w:val="•"/>
      <w:lvlJc w:val="left"/>
      <w:pPr>
        <w:ind w:left="3309" w:hanging="217"/>
      </w:pPr>
      <w:rPr>
        <w:rFonts w:hint="default"/>
        <w:lang w:val="en-US" w:eastAsia="en-US" w:bidi="ar-SA"/>
      </w:rPr>
    </w:lvl>
  </w:abstractNum>
  <w:abstractNum w:abstractNumId="12" w15:restartNumberingAfterBreak="0">
    <w:nsid w:val="30C65882"/>
    <w:multiLevelType w:val="hybridMultilevel"/>
    <w:tmpl w:val="CDAE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3C5507"/>
    <w:multiLevelType w:val="hybridMultilevel"/>
    <w:tmpl w:val="F684D8B4"/>
    <w:lvl w:ilvl="0" w:tplc="2B8E3D92">
      <w:start w:val="1"/>
      <w:numFmt w:val="lowerRoman"/>
      <w:lvlText w:val="%1."/>
      <w:lvlJc w:val="left"/>
      <w:pPr>
        <w:ind w:left="1080" w:hanging="360"/>
      </w:pPr>
      <w:rPr>
        <w:rFonts w:hint="default"/>
        <w:color w:val="000000"/>
      </w:rPr>
    </w:lvl>
    <w:lvl w:ilvl="1" w:tplc="04090015">
      <w:start w:val="1"/>
      <w:numFmt w:val="upperLetter"/>
      <w:lvlText w:val="%2."/>
      <w:lvlJc w:val="left"/>
      <w:pPr>
        <w:ind w:left="1800" w:hanging="360"/>
      </w:pPr>
    </w:lvl>
    <w:lvl w:ilvl="2" w:tplc="10D61DDC">
      <w:start w:val="1"/>
      <w:numFmt w:val="lowerRoman"/>
      <w:lvlText w:val="%3."/>
      <w:lvlJc w:val="left"/>
      <w:pPr>
        <w:ind w:left="3060" w:hanging="72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2C56B97"/>
    <w:multiLevelType w:val="hybridMultilevel"/>
    <w:tmpl w:val="CDAE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5D3E46"/>
    <w:multiLevelType w:val="hybridMultilevel"/>
    <w:tmpl w:val="24E85634"/>
    <w:lvl w:ilvl="0" w:tplc="9CFCD950">
      <w:start w:val="1"/>
      <w:numFmt w:val="upperLetter"/>
      <w:lvlText w:val="%1."/>
      <w:lvlJc w:val="left"/>
      <w:pPr>
        <w:ind w:left="72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9C203B"/>
    <w:multiLevelType w:val="hybridMultilevel"/>
    <w:tmpl w:val="CDAE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9A18C2"/>
    <w:multiLevelType w:val="hybridMultilevel"/>
    <w:tmpl w:val="156080B8"/>
    <w:lvl w:ilvl="0" w:tplc="1C983A0E">
      <w:start w:val="1"/>
      <w:numFmt w:val="lowerRoman"/>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E543D7"/>
    <w:multiLevelType w:val="hybridMultilevel"/>
    <w:tmpl w:val="2E0CF9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362DFE"/>
    <w:multiLevelType w:val="hybridMultilevel"/>
    <w:tmpl w:val="07D4C2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F64E65"/>
    <w:multiLevelType w:val="hybridMultilevel"/>
    <w:tmpl w:val="0F42DD94"/>
    <w:lvl w:ilvl="0" w:tplc="01C41C4A">
      <w:start w:val="1"/>
      <w:numFmt w:val="decimal"/>
      <w:lvlText w:val="%1."/>
      <w:lvlJc w:val="left"/>
      <w:pPr>
        <w:ind w:left="449" w:hanging="168"/>
        <w:jc w:val="right"/>
      </w:pPr>
      <w:rPr>
        <w:rFonts w:ascii="Arial" w:eastAsia="Arial" w:hAnsi="Arial" w:cs="Arial" w:hint="default"/>
        <w:b w:val="0"/>
        <w:bCs w:val="0"/>
        <w:i w:val="0"/>
        <w:iCs w:val="0"/>
        <w:spacing w:val="-2"/>
        <w:w w:val="86"/>
        <w:sz w:val="18"/>
        <w:szCs w:val="18"/>
        <w:lang w:val="en-US" w:eastAsia="en-US" w:bidi="ar-SA"/>
      </w:rPr>
    </w:lvl>
    <w:lvl w:ilvl="1" w:tplc="97E25C0E">
      <w:start w:val="1"/>
      <w:numFmt w:val="lowerLetter"/>
      <w:lvlText w:val="%2."/>
      <w:lvlJc w:val="left"/>
      <w:pPr>
        <w:ind w:left="616" w:hanging="164"/>
        <w:jc w:val="left"/>
      </w:pPr>
      <w:rPr>
        <w:rFonts w:ascii="Arial" w:eastAsia="Arial" w:hAnsi="Arial" w:cs="Arial" w:hint="default"/>
        <w:b w:val="0"/>
        <w:bCs w:val="0"/>
        <w:i w:val="0"/>
        <w:iCs w:val="0"/>
        <w:w w:val="84"/>
        <w:sz w:val="18"/>
        <w:szCs w:val="18"/>
        <w:lang w:val="en-US" w:eastAsia="en-US" w:bidi="ar-SA"/>
      </w:rPr>
    </w:lvl>
    <w:lvl w:ilvl="2" w:tplc="E3469C24">
      <w:start w:val="1"/>
      <w:numFmt w:val="decimal"/>
      <w:lvlText w:val="(%3)"/>
      <w:lvlJc w:val="left"/>
      <w:pPr>
        <w:ind w:left="909" w:hanging="217"/>
        <w:jc w:val="left"/>
      </w:pPr>
      <w:rPr>
        <w:rFonts w:ascii="Arial" w:eastAsia="Arial" w:hAnsi="Arial" w:cs="Arial" w:hint="default"/>
        <w:b w:val="0"/>
        <w:bCs w:val="0"/>
        <w:i w:val="0"/>
        <w:iCs w:val="0"/>
        <w:w w:val="81"/>
        <w:sz w:val="18"/>
        <w:szCs w:val="18"/>
        <w:lang w:val="en-US" w:eastAsia="en-US" w:bidi="ar-SA"/>
      </w:rPr>
    </w:lvl>
    <w:lvl w:ilvl="3" w:tplc="88661E8E">
      <w:numFmt w:val="bullet"/>
      <w:lvlText w:val="•"/>
      <w:lvlJc w:val="left"/>
      <w:pPr>
        <w:ind w:left="900" w:hanging="217"/>
      </w:pPr>
      <w:rPr>
        <w:rFonts w:hint="default"/>
        <w:lang w:val="en-US" w:eastAsia="en-US" w:bidi="ar-SA"/>
      </w:rPr>
    </w:lvl>
    <w:lvl w:ilvl="4" w:tplc="777433EE">
      <w:numFmt w:val="bullet"/>
      <w:lvlText w:val="•"/>
      <w:lvlJc w:val="left"/>
      <w:pPr>
        <w:ind w:left="1381" w:hanging="217"/>
      </w:pPr>
      <w:rPr>
        <w:rFonts w:hint="default"/>
        <w:lang w:val="en-US" w:eastAsia="en-US" w:bidi="ar-SA"/>
      </w:rPr>
    </w:lvl>
    <w:lvl w:ilvl="5" w:tplc="AE1CE9AA">
      <w:numFmt w:val="bullet"/>
      <w:lvlText w:val="•"/>
      <w:lvlJc w:val="left"/>
      <w:pPr>
        <w:ind w:left="1863" w:hanging="217"/>
      </w:pPr>
      <w:rPr>
        <w:rFonts w:hint="default"/>
        <w:lang w:val="en-US" w:eastAsia="en-US" w:bidi="ar-SA"/>
      </w:rPr>
    </w:lvl>
    <w:lvl w:ilvl="6" w:tplc="AF502D98">
      <w:numFmt w:val="bullet"/>
      <w:lvlText w:val="•"/>
      <w:lvlJc w:val="left"/>
      <w:pPr>
        <w:ind w:left="2345" w:hanging="217"/>
      </w:pPr>
      <w:rPr>
        <w:rFonts w:hint="default"/>
        <w:lang w:val="en-US" w:eastAsia="en-US" w:bidi="ar-SA"/>
      </w:rPr>
    </w:lvl>
    <w:lvl w:ilvl="7" w:tplc="79D085A4">
      <w:numFmt w:val="bullet"/>
      <w:lvlText w:val="•"/>
      <w:lvlJc w:val="left"/>
      <w:pPr>
        <w:ind w:left="2827" w:hanging="217"/>
      </w:pPr>
      <w:rPr>
        <w:rFonts w:hint="default"/>
        <w:lang w:val="en-US" w:eastAsia="en-US" w:bidi="ar-SA"/>
      </w:rPr>
    </w:lvl>
    <w:lvl w:ilvl="8" w:tplc="795E938E">
      <w:numFmt w:val="bullet"/>
      <w:lvlText w:val="•"/>
      <w:lvlJc w:val="left"/>
      <w:pPr>
        <w:ind w:left="3309" w:hanging="217"/>
      </w:pPr>
      <w:rPr>
        <w:rFonts w:hint="default"/>
        <w:lang w:val="en-US" w:eastAsia="en-US" w:bidi="ar-SA"/>
      </w:rPr>
    </w:lvl>
  </w:abstractNum>
  <w:abstractNum w:abstractNumId="21" w15:restartNumberingAfterBreak="0">
    <w:nsid w:val="52A00219"/>
    <w:multiLevelType w:val="hybridMultilevel"/>
    <w:tmpl w:val="CDAE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1E4B38"/>
    <w:multiLevelType w:val="hybridMultilevel"/>
    <w:tmpl w:val="67D6D9A0"/>
    <w:lvl w:ilvl="0" w:tplc="2B8E3D92">
      <w:start w:val="1"/>
      <w:numFmt w:val="lowerRoman"/>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953A00"/>
    <w:multiLevelType w:val="hybridMultilevel"/>
    <w:tmpl w:val="CDAE06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A5022D"/>
    <w:multiLevelType w:val="hybridMultilevel"/>
    <w:tmpl w:val="3A067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4C087E"/>
    <w:multiLevelType w:val="hybridMultilevel"/>
    <w:tmpl w:val="0D0274D6"/>
    <w:lvl w:ilvl="0" w:tplc="9A821A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6D6425"/>
    <w:multiLevelType w:val="hybridMultilevel"/>
    <w:tmpl w:val="36D28D34"/>
    <w:lvl w:ilvl="0" w:tplc="CBEEED5A">
      <w:start w:val="1"/>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362BDA"/>
    <w:multiLevelType w:val="hybridMultilevel"/>
    <w:tmpl w:val="84E832E2"/>
    <w:lvl w:ilvl="0" w:tplc="1C183B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326AC2"/>
    <w:multiLevelType w:val="hybridMultilevel"/>
    <w:tmpl w:val="3CA4E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202690"/>
    <w:multiLevelType w:val="hybridMultilevel"/>
    <w:tmpl w:val="1F7E9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CA71C3"/>
    <w:multiLevelType w:val="hybridMultilevel"/>
    <w:tmpl w:val="0F42DD94"/>
    <w:lvl w:ilvl="0" w:tplc="01C41C4A">
      <w:start w:val="1"/>
      <w:numFmt w:val="decimal"/>
      <w:lvlText w:val="%1."/>
      <w:lvlJc w:val="left"/>
      <w:pPr>
        <w:ind w:left="449" w:hanging="168"/>
        <w:jc w:val="right"/>
      </w:pPr>
      <w:rPr>
        <w:rFonts w:ascii="Arial" w:eastAsia="Arial" w:hAnsi="Arial" w:cs="Arial" w:hint="default"/>
        <w:b w:val="0"/>
        <w:bCs w:val="0"/>
        <w:i w:val="0"/>
        <w:iCs w:val="0"/>
        <w:spacing w:val="-2"/>
        <w:w w:val="86"/>
        <w:sz w:val="18"/>
        <w:szCs w:val="18"/>
        <w:lang w:val="en-US" w:eastAsia="en-US" w:bidi="ar-SA"/>
      </w:rPr>
    </w:lvl>
    <w:lvl w:ilvl="1" w:tplc="97E25C0E">
      <w:start w:val="1"/>
      <w:numFmt w:val="lowerLetter"/>
      <w:lvlText w:val="%2."/>
      <w:lvlJc w:val="left"/>
      <w:pPr>
        <w:ind w:left="616" w:hanging="164"/>
        <w:jc w:val="left"/>
      </w:pPr>
      <w:rPr>
        <w:rFonts w:ascii="Arial" w:eastAsia="Arial" w:hAnsi="Arial" w:cs="Arial" w:hint="default"/>
        <w:b w:val="0"/>
        <w:bCs w:val="0"/>
        <w:i w:val="0"/>
        <w:iCs w:val="0"/>
        <w:w w:val="84"/>
        <w:sz w:val="18"/>
        <w:szCs w:val="18"/>
        <w:lang w:val="en-US" w:eastAsia="en-US" w:bidi="ar-SA"/>
      </w:rPr>
    </w:lvl>
    <w:lvl w:ilvl="2" w:tplc="E3469C24">
      <w:start w:val="1"/>
      <w:numFmt w:val="decimal"/>
      <w:lvlText w:val="(%3)"/>
      <w:lvlJc w:val="left"/>
      <w:pPr>
        <w:ind w:left="909" w:hanging="217"/>
        <w:jc w:val="left"/>
      </w:pPr>
      <w:rPr>
        <w:rFonts w:ascii="Arial" w:eastAsia="Arial" w:hAnsi="Arial" w:cs="Arial" w:hint="default"/>
        <w:b w:val="0"/>
        <w:bCs w:val="0"/>
        <w:i w:val="0"/>
        <w:iCs w:val="0"/>
        <w:w w:val="81"/>
        <w:sz w:val="18"/>
        <w:szCs w:val="18"/>
        <w:lang w:val="en-US" w:eastAsia="en-US" w:bidi="ar-SA"/>
      </w:rPr>
    </w:lvl>
    <w:lvl w:ilvl="3" w:tplc="88661E8E">
      <w:numFmt w:val="bullet"/>
      <w:lvlText w:val="•"/>
      <w:lvlJc w:val="left"/>
      <w:pPr>
        <w:ind w:left="900" w:hanging="217"/>
      </w:pPr>
      <w:rPr>
        <w:rFonts w:hint="default"/>
        <w:lang w:val="en-US" w:eastAsia="en-US" w:bidi="ar-SA"/>
      </w:rPr>
    </w:lvl>
    <w:lvl w:ilvl="4" w:tplc="777433EE">
      <w:numFmt w:val="bullet"/>
      <w:lvlText w:val="•"/>
      <w:lvlJc w:val="left"/>
      <w:pPr>
        <w:ind w:left="1381" w:hanging="217"/>
      </w:pPr>
      <w:rPr>
        <w:rFonts w:hint="default"/>
        <w:lang w:val="en-US" w:eastAsia="en-US" w:bidi="ar-SA"/>
      </w:rPr>
    </w:lvl>
    <w:lvl w:ilvl="5" w:tplc="AE1CE9AA">
      <w:numFmt w:val="bullet"/>
      <w:lvlText w:val="•"/>
      <w:lvlJc w:val="left"/>
      <w:pPr>
        <w:ind w:left="1863" w:hanging="217"/>
      </w:pPr>
      <w:rPr>
        <w:rFonts w:hint="default"/>
        <w:lang w:val="en-US" w:eastAsia="en-US" w:bidi="ar-SA"/>
      </w:rPr>
    </w:lvl>
    <w:lvl w:ilvl="6" w:tplc="AF502D98">
      <w:numFmt w:val="bullet"/>
      <w:lvlText w:val="•"/>
      <w:lvlJc w:val="left"/>
      <w:pPr>
        <w:ind w:left="2345" w:hanging="217"/>
      </w:pPr>
      <w:rPr>
        <w:rFonts w:hint="default"/>
        <w:lang w:val="en-US" w:eastAsia="en-US" w:bidi="ar-SA"/>
      </w:rPr>
    </w:lvl>
    <w:lvl w:ilvl="7" w:tplc="79D085A4">
      <w:numFmt w:val="bullet"/>
      <w:lvlText w:val="•"/>
      <w:lvlJc w:val="left"/>
      <w:pPr>
        <w:ind w:left="2827" w:hanging="217"/>
      </w:pPr>
      <w:rPr>
        <w:rFonts w:hint="default"/>
        <w:lang w:val="en-US" w:eastAsia="en-US" w:bidi="ar-SA"/>
      </w:rPr>
    </w:lvl>
    <w:lvl w:ilvl="8" w:tplc="795E938E">
      <w:numFmt w:val="bullet"/>
      <w:lvlText w:val="•"/>
      <w:lvlJc w:val="left"/>
      <w:pPr>
        <w:ind w:left="3309" w:hanging="217"/>
      </w:pPr>
      <w:rPr>
        <w:rFonts w:hint="default"/>
        <w:lang w:val="en-US" w:eastAsia="en-US" w:bidi="ar-SA"/>
      </w:rPr>
    </w:lvl>
  </w:abstractNum>
  <w:num w:numId="1">
    <w:abstractNumId w:val="24"/>
  </w:num>
  <w:num w:numId="2">
    <w:abstractNumId w:val="6"/>
  </w:num>
  <w:num w:numId="3">
    <w:abstractNumId w:val="28"/>
  </w:num>
  <w:num w:numId="4">
    <w:abstractNumId w:val="30"/>
  </w:num>
  <w:num w:numId="5">
    <w:abstractNumId w:val="20"/>
  </w:num>
  <w:num w:numId="6">
    <w:abstractNumId w:val="11"/>
  </w:num>
  <w:num w:numId="7">
    <w:abstractNumId w:val="1"/>
  </w:num>
  <w:num w:numId="8">
    <w:abstractNumId w:val="29"/>
  </w:num>
  <w:num w:numId="9">
    <w:abstractNumId w:val="26"/>
  </w:num>
  <w:num w:numId="10">
    <w:abstractNumId w:val="22"/>
  </w:num>
  <w:num w:numId="11">
    <w:abstractNumId w:val="15"/>
  </w:num>
  <w:num w:numId="12">
    <w:abstractNumId w:val="10"/>
  </w:num>
  <w:num w:numId="13">
    <w:abstractNumId w:val="5"/>
  </w:num>
  <w:num w:numId="14">
    <w:abstractNumId w:val="0"/>
  </w:num>
  <w:num w:numId="15">
    <w:abstractNumId w:val="18"/>
  </w:num>
  <w:num w:numId="16">
    <w:abstractNumId w:val="7"/>
  </w:num>
  <w:num w:numId="17">
    <w:abstractNumId w:val="27"/>
  </w:num>
  <w:num w:numId="18">
    <w:abstractNumId w:val="19"/>
  </w:num>
  <w:num w:numId="19">
    <w:abstractNumId w:val="14"/>
  </w:num>
  <w:num w:numId="20">
    <w:abstractNumId w:val="16"/>
  </w:num>
  <w:num w:numId="21">
    <w:abstractNumId w:val="23"/>
  </w:num>
  <w:num w:numId="22">
    <w:abstractNumId w:val="25"/>
  </w:num>
  <w:num w:numId="23">
    <w:abstractNumId w:val="4"/>
  </w:num>
  <w:num w:numId="24">
    <w:abstractNumId w:val="3"/>
  </w:num>
  <w:num w:numId="25">
    <w:abstractNumId w:val="13"/>
  </w:num>
  <w:num w:numId="26">
    <w:abstractNumId w:val="17"/>
  </w:num>
  <w:num w:numId="27">
    <w:abstractNumId w:val="2"/>
  </w:num>
  <w:num w:numId="28">
    <w:abstractNumId w:val="21"/>
  </w:num>
  <w:num w:numId="29">
    <w:abstractNumId w:val="9"/>
  </w:num>
  <w:num w:numId="30">
    <w:abstractNumId w:val="12"/>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512"/>
    <w:rsid w:val="000208A2"/>
    <w:rsid w:val="00084937"/>
    <w:rsid w:val="000C6BF3"/>
    <w:rsid w:val="000E1152"/>
    <w:rsid w:val="00101CA7"/>
    <w:rsid w:val="00120FAB"/>
    <w:rsid w:val="00142ABD"/>
    <w:rsid w:val="00197DB9"/>
    <w:rsid w:val="001D2512"/>
    <w:rsid w:val="001D67AA"/>
    <w:rsid w:val="001E6C98"/>
    <w:rsid w:val="001F419F"/>
    <w:rsid w:val="003271C7"/>
    <w:rsid w:val="00344958"/>
    <w:rsid w:val="00367693"/>
    <w:rsid w:val="003E4EA1"/>
    <w:rsid w:val="00451FC4"/>
    <w:rsid w:val="00497FE0"/>
    <w:rsid w:val="004B3538"/>
    <w:rsid w:val="004F5D4C"/>
    <w:rsid w:val="005637DC"/>
    <w:rsid w:val="005805A3"/>
    <w:rsid w:val="00590E74"/>
    <w:rsid w:val="005C0BA8"/>
    <w:rsid w:val="005D43A1"/>
    <w:rsid w:val="00642F3B"/>
    <w:rsid w:val="006B059E"/>
    <w:rsid w:val="006F12D4"/>
    <w:rsid w:val="007073FE"/>
    <w:rsid w:val="008501F5"/>
    <w:rsid w:val="008E5C97"/>
    <w:rsid w:val="008F7E4E"/>
    <w:rsid w:val="009B7C59"/>
    <w:rsid w:val="009C44D4"/>
    <w:rsid w:val="00B157D3"/>
    <w:rsid w:val="00B43D8B"/>
    <w:rsid w:val="00B551A8"/>
    <w:rsid w:val="00C21321"/>
    <w:rsid w:val="00C452D5"/>
    <w:rsid w:val="00C70BB2"/>
    <w:rsid w:val="00CA4183"/>
    <w:rsid w:val="00CB08A6"/>
    <w:rsid w:val="00CB444A"/>
    <w:rsid w:val="00D7017D"/>
    <w:rsid w:val="00DA7845"/>
    <w:rsid w:val="00E418E3"/>
    <w:rsid w:val="00E83E2E"/>
    <w:rsid w:val="00ED4727"/>
    <w:rsid w:val="00EE184C"/>
    <w:rsid w:val="00F35265"/>
    <w:rsid w:val="00F57156"/>
    <w:rsid w:val="00FD5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78E50EB"/>
  <w15:chartTrackingRefBased/>
  <w15:docId w15:val="{50B90E76-DAAF-4B22-AB3A-6251EEFF3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D2512"/>
    <w:pPr>
      <w:widowControl w:val="0"/>
      <w:autoSpaceDE w:val="0"/>
      <w:autoSpaceDN w:val="0"/>
      <w:spacing w:after="0" w:line="240" w:lineRule="auto"/>
    </w:pPr>
    <w:rPr>
      <w:rFonts w:ascii="Arial" w:eastAsia="Arial" w:hAnsi="Arial" w:cs="Arial"/>
      <w:sz w:val="18"/>
      <w:szCs w:val="18"/>
    </w:rPr>
  </w:style>
  <w:style w:type="character" w:customStyle="1" w:styleId="BodyTextChar">
    <w:name w:val="Body Text Char"/>
    <w:basedOn w:val="DefaultParagraphFont"/>
    <w:link w:val="BodyText"/>
    <w:uiPriority w:val="1"/>
    <w:rsid w:val="001D2512"/>
    <w:rPr>
      <w:rFonts w:ascii="Arial" w:eastAsia="Arial" w:hAnsi="Arial" w:cs="Arial"/>
      <w:sz w:val="18"/>
      <w:szCs w:val="18"/>
    </w:rPr>
  </w:style>
  <w:style w:type="table" w:styleId="TableGrid">
    <w:name w:val="Table Grid"/>
    <w:basedOn w:val="TableNormal"/>
    <w:uiPriority w:val="39"/>
    <w:rsid w:val="001D25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2512"/>
    <w:pPr>
      <w:ind w:left="720"/>
      <w:contextualSpacing/>
    </w:pPr>
  </w:style>
  <w:style w:type="character" w:styleId="CommentReference">
    <w:name w:val="annotation reference"/>
    <w:basedOn w:val="DefaultParagraphFont"/>
    <w:uiPriority w:val="99"/>
    <w:semiHidden/>
    <w:unhideWhenUsed/>
    <w:rsid w:val="00DA7845"/>
    <w:rPr>
      <w:sz w:val="16"/>
      <w:szCs w:val="16"/>
    </w:rPr>
  </w:style>
  <w:style w:type="paragraph" w:styleId="CommentText">
    <w:name w:val="annotation text"/>
    <w:basedOn w:val="Normal"/>
    <w:link w:val="CommentTextChar"/>
    <w:uiPriority w:val="99"/>
    <w:unhideWhenUsed/>
    <w:rsid w:val="00DA7845"/>
    <w:pPr>
      <w:spacing w:line="240" w:lineRule="auto"/>
    </w:pPr>
    <w:rPr>
      <w:sz w:val="20"/>
      <w:szCs w:val="20"/>
    </w:rPr>
  </w:style>
  <w:style w:type="character" w:customStyle="1" w:styleId="CommentTextChar">
    <w:name w:val="Comment Text Char"/>
    <w:basedOn w:val="DefaultParagraphFont"/>
    <w:link w:val="CommentText"/>
    <w:uiPriority w:val="99"/>
    <w:rsid w:val="00DA7845"/>
    <w:rPr>
      <w:sz w:val="20"/>
      <w:szCs w:val="20"/>
    </w:rPr>
  </w:style>
  <w:style w:type="paragraph" w:styleId="CommentSubject">
    <w:name w:val="annotation subject"/>
    <w:basedOn w:val="CommentText"/>
    <w:next w:val="CommentText"/>
    <w:link w:val="CommentSubjectChar"/>
    <w:uiPriority w:val="99"/>
    <w:semiHidden/>
    <w:unhideWhenUsed/>
    <w:rsid w:val="00DA7845"/>
    <w:rPr>
      <w:b/>
      <w:bCs/>
    </w:rPr>
  </w:style>
  <w:style w:type="character" w:customStyle="1" w:styleId="CommentSubjectChar">
    <w:name w:val="Comment Subject Char"/>
    <w:basedOn w:val="CommentTextChar"/>
    <w:link w:val="CommentSubject"/>
    <w:uiPriority w:val="99"/>
    <w:semiHidden/>
    <w:rsid w:val="00DA7845"/>
    <w:rPr>
      <w:b/>
      <w:bCs/>
      <w:sz w:val="20"/>
      <w:szCs w:val="20"/>
    </w:rPr>
  </w:style>
  <w:style w:type="character" w:styleId="Hyperlink">
    <w:name w:val="Hyperlink"/>
    <w:basedOn w:val="DefaultParagraphFont"/>
    <w:uiPriority w:val="99"/>
    <w:unhideWhenUsed/>
    <w:rsid w:val="00497FE0"/>
    <w:rPr>
      <w:color w:val="0563C1" w:themeColor="hyperlink"/>
      <w:u w:val="single"/>
    </w:rPr>
  </w:style>
  <w:style w:type="table" w:customStyle="1" w:styleId="TableGrid1">
    <w:name w:val="Table Grid1"/>
    <w:basedOn w:val="TableNormal"/>
    <w:next w:val="TableGrid"/>
    <w:uiPriority w:val="39"/>
    <w:rsid w:val="00B43D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13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321"/>
  </w:style>
  <w:style w:type="paragraph" w:styleId="Footer">
    <w:name w:val="footer"/>
    <w:basedOn w:val="Normal"/>
    <w:link w:val="FooterChar"/>
    <w:uiPriority w:val="99"/>
    <w:unhideWhenUsed/>
    <w:rsid w:val="00C213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ata.org/en/publications/store/live-animals-regulation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aphis.usda.gov/aphis/ourfocus/animalwelfare/awa/ct_awa_program_informatio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cfr.gov/current/title-29/subtitle-B/chapter-XVII/part-1910/subpart-I/section-1910.134"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ecfr.gov/current/title-29/subtitle-B/chapter-XVII/part-1910/subpart-Z/section-1910.1030"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21526F684432429D7F13442587C671" ma:contentTypeVersion="11" ma:contentTypeDescription="Create a new document." ma:contentTypeScope="" ma:versionID="f8c9032729725303c55a3695bd87728d">
  <xsd:schema xmlns:xsd="http://www.w3.org/2001/XMLSchema" xmlns:xs="http://www.w3.org/2001/XMLSchema" xmlns:p="http://schemas.microsoft.com/office/2006/metadata/properties" xmlns:ns3="522d71d5-ac89-493a-a3f5-a2b5c38d2136" xmlns:ns4="a3c61709-2e96-436a-9579-621f2957aa15" targetNamespace="http://schemas.microsoft.com/office/2006/metadata/properties" ma:root="true" ma:fieldsID="80912272a818953ffb7452fa33f67d7a" ns3:_="" ns4:_="">
    <xsd:import namespace="522d71d5-ac89-493a-a3f5-a2b5c38d2136"/>
    <xsd:import namespace="a3c61709-2e96-436a-9579-621f2957aa1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d71d5-ac89-493a-a3f5-a2b5c38d21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c61709-2e96-436a-9579-621f2957aa1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66D37F-17D2-46CF-886B-E1DBE3B7D168}">
  <ds:schemaRefs>
    <ds:schemaRef ds:uri="http://schemas.microsoft.com/sharepoint/v3/contenttype/forms"/>
  </ds:schemaRefs>
</ds:datastoreItem>
</file>

<file path=customXml/itemProps2.xml><?xml version="1.0" encoding="utf-8"?>
<ds:datastoreItem xmlns:ds="http://schemas.openxmlformats.org/officeDocument/2006/customXml" ds:itemID="{4ED3E980-B3B4-4DE1-BAB6-8D9FD93AC873}">
  <ds:schemaRefs>
    <ds:schemaRef ds:uri="http://schemas.openxmlformats.org/package/2006/metadata/core-properties"/>
    <ds:schemaRef ds:uri="http://purl.org/dc/elements/1.1/"/>
    <ds:schemaRef ds:uri="http://www.w3.org/XML/1998/namespace"/>
    <ds:schemaRef ds:uri="http://schemas.microsoft.com/office/2006/documentManagement/types"/>
    <ds:schemaRef ds:uri="http://purl.org/dc/terms/"/>
    <ds:schemaRef ds:uri="http://schemas.microsoft.com/office/infopath/2007/PartnerControls"/>
    <ds:schemaRef ds:uri="a3c61709-2e96-436a-9579-621f2957aa15"/>
    <ds:schemaRef ds:uri="522d71d5-ac89-493a-a3f5-a2b5c38d2136"/>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398B14DE-F5C0-485D-8C10-5B1B65870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d71d5-ac89-493a-a3f5-a2b5c38d2136"/>
    <ds:schemaRef ds:uri="a3c61709-2e96-436a-9579-621f2957a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2245</Words>
  <Characters>12801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Laughlin, Mark E. (CDC/DDID/NCEZID/DFWED)</dc:creator>
  <cp:keywords/>
  <dc:description/>
  <cp:lastModifiedBy>Brouillette, Colleen (CDC/DDID/NCEZID/DGMQ)</cp:lastModifiedBy>
  <cp:revision>5</cp:revision>
  <dcterms:created xsi:type="dcterms:W3CDTF">2022-04-15T15:50:00Z</dcterms:created>
  <dcterms:modified xsi:type="dcterms:W3CDTF">2022-05-02T19:29:00Z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2021-12-20T21:09:16Z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34b483b3-ac1d-4d61-8a62-948bfc74f763</vt:lpwstr>
  </property>
  <property fmtid="{D5CDD505-2E9C-101B-9397-08002B2CF9AE}" pid="8" name="MSIP_Label_7b94a7b8-f06c-4dfe-bdcc-9b548fd58c31_ContentBits">
    <vt:lpwstr>0</vt:lpwstr>
  </property>
  <property fmtid="{D5CDD505-2E9C-101B-9397-08002B2CF9AE}" pid="9" name="ContentTypeId">
    <vt:lpwstr>0x010100B821526F684432429D7F13442587C671</vt:lpwstr>
  </property>
</Properties>
</file>