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B608A" w:rsidP="00F06866" w14:paraId="200A4861" w14:textId="78766532">
      <w:pPr>
        <w:pStyle w:val="Heading2"/>
        <w:tabs>
          <w:tab w:val="left" w:pos="900"/>
        </w:tabs>
        <w:ind w:right="-180"/>
        <w:rPr>
          <w:sz w:val="28"/>
        </w:rPr>
      </w:pPr>
      <w:r>
        <w:rPr>
          <w:sz w:val="28"/>
        </w:rPr>
        <w:tab/>
      </w:r>
      <w:r w:rsidR="00F06866">
        <w:rPr>
          <w:sz w:val="28"/>
        </w:rPr>
        <w:t xml:space="preserve">Request for Approval under the </w:t>
      </w:r>
      <w:r w:rsidRPr="00F06866" w:rsidR="00F06866">
        <w:rPr>
          <w:sz w:val="28"/>
        </w:rPr>
        <w:t xml:space="preserve">“Generic Clearance </w:t>
      </w:r>
      <w:r w:rsidR="003B5350">
        <w:rPr>
          <w:sz w:val="28"/>
        </w:rPr>
        <w:t>for NIH Citizen Science and Crowdsourcing Projects</w:t>
      </w:r>
      <w:r w:rsidRPr="00F06866" w:rsidR="00F06866">
        <w:rPr>
          <w:sz w:val="28"/>
        </w:rPr>
        <w:t>”</w:t>
      </w:r>
      <w:r w:rsidR="00F06866">
        <w:rPr>
          <w:sz w:val="28"/>
        </w:rPr>
        <w:t xml:space="preserve"> </w:t>
      </w:r>
    </w:p>
    <w:p w:rsidR="005E714A" w:rsidP="00F06866" w14:paraId="45876AC8" w14:textId="3E53B97E">
      <w:pPr>
        <w:pStyle w:val="Heading2"/>
        <w:tabs>
          <w:tab w:val="left" w:pos="900"/>
        </w:tabs>
        <w:ind w:right="-180"/>
      </w:pPr>
      <w:r>
        <w:rPr>
          <w:sz w:val="28"/>
        </w:rPr>
        <w:t>(</w:t>
      </w:r>
      <w:r w:rsidR="00686301">
        <w:t>OMB#</w:t>
      </w:r>
      <w:r w:rsidRPr="00686301">
        <w:t xml:space="preserve">: </w:t>
      </w:r>
      <w:r w:rsidR="002B1498">
        <w:t>0925-0766</w:t>
      </w:r>
      <w:r w:rsidR="00686301">
        <w:t xml:space="preserve"> Exp</w:t>
      </w:r>
      <w:r w:rsidR="00A50F89">
        <w:t>., d</w:t>
      </w:r>
      <w:r w:rsidR="00887320">
        <w:t>ate:</w:t>
      </w:r>
      <w:r w:rsidR="00A50F89">
        <w:t xml:space="preserve"> </w:t>
      </w:r>
      <w:r w:rsidR="002B1498">
        <w:t>04/2023</w:t>
      </w:r>
      <w:r>
        <w:rPr>
          <w:sz w:val="28"/>
        </w:rPr>
        <w:t>)</w:t>
      </w:r>
    </w:p>
    <w:p w:rsidR="00E50293" w:rsidRPr="009239AA" w:rsidP="00434E33" w14:paraId="771867AD" w14:textId="64A19628">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5B00F9">
        <w:t>Survey of IGNITE graduates</w:t>
      </w:r>
      <w:r w:rsidR="00D81BEE">
        <w:t xml:space="preserve"> (NINDS)</w:t>
      </w:r>
    </w:p>
    <w:p w:rsidR="005E714A" w14:paraId="7E4E3CB3" w14:textId="77777777"/>
    <w:p w:rsidR="005B00F9" w:rsidP="005B00F9" w14:paraId="6B2431DA" w14:textId="766C6300">
      <w:r>
        <w:rPr>
          <w:b/>
        </w:rPr>
        <w:t>PURPOSE</w:t>
      </w:r>
      <w:r w:rsidRPr="009239AA">
        <w:rPr>
          <w:b/>
        </w:rPr>
        <w:t>:</w:t>
      </w:r>
      <w:r w:rsidRPr="009239AA" w:rsidR="00C14CC4">
        <w:rPr>
          <w:b/>
        </w:rPr>
        <w:t xml:space="preserve">  </w:t>
      </w:r>
      <w:r w:rsidR="00D87AB3">
        <w:t>The National Institute of Neurological Disorders and Stroke (</w:t>
      </w:r>
      <w:r w:rsidR="0037075D">
        <w:t>NINDS</w:t>
      </w:r>
      <w:r w:rsidR="00D87AB3">
        <w:t>)</w:t>
      </w:r>
      <w:r w:rsidR="0037075D">
        <w:t xml:space="preserve"> established the </w:t>
      </w:r>
      <w:r w:rsidR="0023489B">
        <w:t>Innovation Grants to Nurture Initial Translational Efforts (</w:t>
      </w:r>
      <w:r>
        <w:t>IGNITE</w:t>
      </w:r>
      <w:r w:rsidR="0023489B">
        <w:t>) Program</w:t>
      </w:r>
      <w:r>
        <w:t xml:space="preserve"> </w:t>
      </w:r>
      <w:r w:rsidR="00D87AB3">
        <w:t>to</w:t>
      </w:r>
      <w:r>
        <w:t xml:space="preserve"> be an early-stage therapy development program to bring projects to the point where they could apply for later-stage </w:t>
      </w:r>
      <w:r w:rsidR="00D87AB3">
        <w:t xml:space="preserve">therapy development support through </w:t>
      </w:r>
      <w:r>
        <w:t xml:space="preserve">programs </w:t>
      </w:r>
      <w:r w:rsidR="00D87AB3">
        <w:t xml:space="preserve">such as the </w:t>
      </w:r>
      <w:r>
        <w:t>B</w:t>
      </w:r>
      <w:r w:rsidR="00D87AB3">
        <w:t>lueprint Neurotherapeutics Network (B</w:t>
      </w:r>
      <w:r>
        <w:t>PN</w:t>
      </w:r>
      <w:r w:rsidR="00D87AB3">
        <w:t>)</w:t>
      </w:r>
      <w:r>
        <w:t xml:space="preserve"> and BPN-Biologics. </w:t>
      </w:r>
      <w:r w:rsidR="00D87AB3">
        <w:t xml:space="preserve">This survey will collect information from researchers who have received support through IGNITE to help NINDS </w:t>
      </w:r>
      <w:r>
        <w:t>understand i)</w:t>
      </w:r>
      <w:r w:rsidR="00D87AB3">
        <w:t xml:space="preserve"> </w:t>
      </w:r>
      <w:r w:rsidR="00063E20">
        <w:t xml:space="preserve">the </w:t>
      </w:r>
      <w:r w:rsidR="00D87AB3">
        <w:t xml:space="preserve">extent to which </w:t>
      </w:r>
      <w:r w:rsidR="00063E20">
        <w:t xml:space="preserve">the </w:t>
      </w:r>
      <w:r w:rsidR="00D87AB3">
        <w:t>program</w:t>
      </w:r>
      <w:r w:rsidR="00063E20">
        <w:t>’s</w:t>
      </w:r>
      <w:r w:rsidR="00D87AB3">
        <w:t xml:space="preserve"> goals are being achieved</w:t>
      </w:r>
      <w:r w:rsidR="00063E20">
        <w:t>,</w:t>
      </w:r>
      <w:r w:rsidR="00D87AB3">
        <w:t xml:space="preserve"> and</w:t>
      </w:r>
      <w:r>
        <w:t xml:space="preserve"> ii) if there are changes </w:t>
      </w:r>
      <w:r w:rsidR="00D87AB3">
        <w:t>NINDS</w:t>
      </w:r>
      <w:r>
        <w:t xml:space="preserve"> could make to the program that would increase the success of grantees in advancing their therapeutics. </w:t>
      </w:r>
    </w:p>
    <w:p w:rsidR="00496F30" w:rsidP="005B00F9" w14:paraId="2B4E3066" w14:textId="262B47B5"/>
    <w:p w:rsidR="00CD0207" w:rsidRPr="00B47362" w:rsidP="00CD0207" w14:paraId="65E85D3F" w14:textId="3D3BD048">
      <w:r w:rsidRPr="00B47362">
        <w:t xml:space="preserve">This information will be used to better understand the effectiveness of the IGNITE program. </w:t>
      </w:r>
      <w:r>
        <w:t>Respondents will be assured that their</w:t>
      </w:r>
      <w:r w:rsidRPr="00B47362">
        <w:t xml:space="preserve"> participation in this survey is voluntary, and </w:t>
      </w:r>
      <w:r>
        <w:t xml:space="preserve">that </w:t>
      </w:r>
      <w:r w:rsidRPr="00B47362">
        <w:t xml:space="preserve">responses will have no effect on </w:t>
      </w:r>
      <w:r>
        <w:t>their</w:t>
      </w:r>
      <w:r w:rsidRPr="00B47362">
        <w:t xml:space="preserve"> current or future participation in NINDS programs or </w:t>
      </w:r>
      <w:r>
        <w:t xml:space="preserve">other </w:t>
      </w:r>
      <w:r w:rsidRPr="00B47362">
        <w:t xml:space="preserve">interactions with NINDS. The information collected will be kept private to the extent provided by law. Names and other identifiers will not be associated with individual responses in any public report, and information provided will be combined for all participants and reported as summaries. </w:t>
      </w:r>
    </w:p>
    <w:p w:rsidR="00CD0207" w:rsidP="005B00F9" w14:paraId="281FC57F" w14:textId="77777777"/>
    <w:p w:rsidR="00C8488C" w:rsidP="00434E33" w14:paraId="16F056AE" w14:textId="77777777">
      <w:pPr>
        <w:pStyle w:val="Header"/>
        <w:tabs>
          <w:tab w:val="clear" w:pos="4320"/>
          <w:tab w:val="clear" w:pos="8640"/>
        </w:tabs>
        <w:rPr>
          <w:b/>
        </w:rPr>
      </w:pPr>
    </w:p>
    <w:p w:rsidR="00434E33" w:rsidRPr="00434E33" w:rsidP="00434E33" w14:paraId="1D3A01FE" w14:textId="77777777">
      <w:pPr>
        <w:pStyle w:val="Header"/>
        <w:tabs>
          <w:tab w:val="clear" w:pos="4320"/>
          <w:tab w:val="clear" w:pos="8640"/>
        </w:tabs>
        <w:rPr>
          <w:i/>
          <w:snapToGrid/>
        </w:rPr>
      </w:pPr>
      <w:r w:rsidRPr="00434E33">
        <w:rPr>
          <w:b/>
        </w:rPr>
        <w:t>DESCRIPTION OF RESPONDENTS</w:t>
      </w:r>
      <w:r>
        <w:t xml:space="preserve">: </w:t>
      </w:r>
    </w:p>
    <w:p w:rsidR="00F15956" w14:paraId="556B2A44" w14:textId="5EBAE92C"/>
    <w:p w:rsidR="00434E33" w14:paraId="53F6A91A" w14:textId="618A3CA5">
      <w:r>
        <w:t>Contact Principal Investigators who have had an IGNITE grant that is no longer active will be surveyed</w:t>
      </w:r>
      <w:r w:rsidR="00696176">
        <w:t>.</w:t>
      </w:r>
      <w:r>
        <w:t xml:space="preserve"> </w:t>
      </w:r>
      <w:r w:rsidR="00063E20">
        <w:t>NINDS</w:t>
      </w:r>
      <w:r>
        <w:t xml:space="preserve"> anticipate</w:t>
      </w:r>
      <w:r w:rsidR="00063E20">
        <w:t>s</w:t>
      </w:r>
      <w:r>
        <w:t xml:space="preserve"> sending this survey annually</w:t>
      </w:r>
      <w:r w:rsidR="00696176">
        <w:t xml:space="preserve">. The number of respondents will not exceed 35 per year. </w:t>
      </w:r>
    </w:p>
    <w:p w:rsidR="00E26329" w14:paraId="38C22350" w14:textId="77777777">
      <w:pPr>
        <w:rPr>
          <w:b/>
        </w:rPr>
      </w:pPr>
    </w:p>
    <w:p w:rsidR="00E26329" w14:paraId="0AD177E0" w14:textId="77777777">
      <w:pPr>
        <w:rPr>
          <w:b/>
        </w:rPr>
      </w:pPr>
    </w:p>
    <w:p w:rsidR="00F06866" w:rsidRPr="00F06866" w14:paraId="20F08E9D" w14:textId="77777777">
      <w:pPr>
        <w:rPr>
          <w:b/>
        </w:rPr>
      </w:pPr>
      <w:r>
        <w:rPr>
          <w:b/>
        </w:rPr>
        <w:t>TYPE OF COLLECTION:</w:t>
      </w:r>
      <w:r w:rsidRPr="00F06866">
        <w:t xml:space="preserve"> (Check one)</w:t>
      </w:r>
    </w:p>
    <w:p w:rsidR="00441434" w:rsidRPr="00434E33" w:rsidP="0096108F" w14:paraId="479BE664" w14:textId="77777777">
      <w:pPr>
        <w:pStyle w:val="BodyTextIndent"/>
        <w:tabs>
          <w:tab w:val="left" w:pos="360"/>
        </w:tabs>
        <w:ind w:left="0"/>
        <w:rPr>
          <w:bCs/>
          <w:sz w:val="16"/>
          <w:szCs w:val="16"/>
        </w:rPr>
      </w:pPr>
    </w:p>
    <w:p w:rsidR="00F06866" w:rsidRPr="00F06866" w:rsidP="0096108F" w14:paraId="42E25D80" w14:textId="77777777">
      <w:pPr>
        <w:pStyle w:val="BodyTextIndent"/>
        <w:tabs>
          <w:tab w:val="left" w:pos="360"/>
        </w:tabs>
        <w:ind w:left="0"/>
        <w:rPr>
          <w:bCs/>
          <w:sz w:val="24"/>
        </w:rPr>
      </w:pPr>
      <w:r w:rsidRPr="00F06866">
        <w:rPr>
          <w:bCs/>
          <w:sz w:val="24"/>
        </w:rPr>
        <w:t xml:space="preserve">[ ]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14:paraId="0129C2CF" w14:textId="77777777">
      <w:pPr>
        <w:pStyle w:val="BodyTextIndent"/>
        <w:tabs>
          <w:tab w:val="left" w:pos="360"/>
        </w:tabs>
        <w:ind w:left="0"/>
        <w:rPr>
          <w:bCs/>
          <w:sz w:val="24"/>
        </w:rPr>
      </w:pPr>
      <w:r w:rsidRPr="00F06866">
        <w:rPr>
          <w:bCs/>
          <w:sz w:val="24"/>
        </w:rPr>
        <w:t xml:space="preserve">[ ] </w:t>
      </w:r>
      <w:r w:rsidR="00F06866">
        <w:rPr>
          <w:bCs/>
          <w:sz w:val="24"/>
        </w:rPr>
        <w:tab/>
      </w:r>
      <w:r w:rsidR="00DB608A">
        <w:rPr>
          <w:bCs/>
          <w:sz w:val="24"/>
        </w:rPr>
        <w:t>Recommendations of scientific reviewers</w:t>
      </w:r>
      <w:r w:rsidR="00DB608A">
        <w:rPr>
          <w:bCs/>
          <w:sz w:val="24"/>
        </w:rPr>
        <w:tab/>
        <w:t>[ ] Resources</w:t>
      </w:r>
    </w:p>
    <w:p w:rsidR="00F06866" w:rsidRPr="00F06866" w:rsidP="0023489B" w14:paraId="3A23215E" w14:textId="4289396E">
      <w:pPr>
        <w:pStyle w:val="BodyTextIndent"/>
        <w:tabs>
          <w:tab w:val="left" w:pos="360"/>
        </w:tabs>
        <w:ind w:left="5040" w:hanging="5040"/>
        <w:rPr>
          <w:bCs/>
          <w:sz w:val="24"/>
        </w:rPr>
      </w:pPr>
      <w:r>
        <w:rPr>
          <w:bCs/>
          <w:sz w:val="24"/>
        </w:rPr>
        <w:t>[</w:t>
      </w:r>
      <w:r w:rsidR="006D5F47">
        <w:rPr>
          <w:bCs/>
          <w:sz w:val="24"/>
        </w:rPr>
        <w:t xml:space="preserve"> ] </w:t>
      </w:r>
      <w:r w:rsidR="00DB608A">
        <w:rPr>
          <w:bCs/>
          <w:sz w:val="24"/>
        </w:rPr>
        <w:t>Call for Nominations</w:t>
      </w:r>
      <w:r>
        <w:rPr>
          <w:bCs/>
          <w:sz w:val="24"/>
        </w:rPr>
        <w:tab/>
      </w:r>
      <w:r w:rsidRPr="00F06866">
        <w:rPr>
          <w:bCs/>
          <w:sz w:val="24"/>
        </w:rPr>
        <w:t>[</w:t>
      </w:r>
      <w:r w:rsidR="0023489B">
        <w:rPr>
          <w:bCs/>
          <w:sz w:val="24"/>
        </w:rPr>
        <w:t>X</w:t>
      </w:r>
      <w:r w:rsidRPr="00F06866">
        <w:rPr>
          <w:bCs/>
          <w:sz w:val="24"/>
        </w:rPr>
        <w:t>]</w:t>
      </w:r>
      <w:r>
        <w:rPr>
          <w:bCs/>
          <w:sz w:val="24"/>
        </w:rPr>
        <w:t xml:space="preserve"> Other:</w:t>
      </w:r>
      <w:r w:rsidRPr="00F06866">
        <w:rPr>
          <w:bCs/>
          <w:sz w:val="24"/>
          <w:u w:val="single"/>
        </w:rPr>
        <w:t xml:space="preserve"> </w:t>
      </w:r>
      <w:r w:rsidR="00D87AB3">
        <w:rPr>
          <w:bCs/>
          <w:sz w:val="24"/>
          <w:u w:val="single"/>
        </w:rPr>
        <w:t>Outcomes survey</w:t>
      </w:r>
    </w:p>
    <w:p w:rsidR="00434E33" w14:paraId="70C3E664" w14:textId="77777777">
      <w:pPr>
        <w:pStyle w:val="Header"/>
        <w:tabs>
          <w:tab w:val="clear" w:pos="4320"/>
          <w:tab w:val="clear" w:pos="8640"/>
        </w:tabs>
      </w:pPr>
    </w:p>
    <w:p w:rsidR="00CA2650" w14:paraId="266A8E6E" w14:textId="77777777">
      <w:pPr>
        <w:rPr>
          <w:b/>
        </w:rPr>
      </w:pPr>
      <w:r>
        <w:rPr>
          <w:b/>
        </w:rPr>
        <w:t>C</w:t>
      </w:r>
      <w:r w:rsidR="009C13B9">
        <w:rPr>
          <w:b/>
        </w:rPr>
        <w:t>ERTIFICATION:</w:t>
      </w:r>
    </w:p>
    <w:p w:rsidR="00441434" w14:paraId="60E6CE6D" w14:textId="77777777">
      <w:pPr>
        <w:rPr>
          <w:sz w:val="16"/>
          <w:szCs w:val="16"/>
        </w:rPr>
      </w:pPr>
    </w:p>
    <w:p w:rsidR="008101A5" w:rsidRPr="009C13B9" w:rsidP="008101A5" w14:paraId="118A1BD8" w14:textId="77777777">
      <w:r>
        <w:t xml:space="preserve">I certify the following to be true: </w:t>
      </w:r>
    </w:p>
    <w:p w:rsidR="008101A5" w:rsidP="008101A5" w14:paraId="7A5AE4B0" w14:textId="77777777">
      <w:pPr>
        <w:pStyle w:val="ListParagraph"/>
        <w:numPr>
          <w:ilvl w:val="0"/>
          <w:numId w:val="14"/>
        </w:numPr>
      </w:pPr>
      <w:r>
        <w:t>The collection is voluntary.</w:t>
      </w:r>
      <w:r w:rsidRPr="00C14CC4">
        <w:t xml:space="preserve"> </w:t>
      </w:r>
    </w:p>
    <w:p w:rsidR="008101A5" w:rsidP="008101A5" w14:paraId="0C042F2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1790836B" w14:textId="7EA2C074">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14:paraId="27B162B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B24FE5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53F279A" w14:textId="77777777"/>
    <w:p w:rsidR="009C13B9" w:rsidP="00371287" w14:paraId="53454E83" w14:textId="7465F618">
      <w:r>
        <w:t>Name:_</w:t>
      </w:r>
      <w:r w:rsidRPr="00371287" w:rsidR="00371287">
        <w:rPr>
          <w:u w:val="single"/>
        </w:rPr>
        <w:t xml:space="preserve"> </w:t>
      </w:r>
      <w:r w:rsidR="00371287">
        <w:rPr>
          <w:u w:val="single"/>
        </w:rPr>
        <w:t>Cara Long, National Institute of Neurological Disorders and Stroke (NINDS), NIH</w:t>
      </w:r>
      <w:r w:rsidR="00371287">
        <w:t xml:space="preserve"> </w:t>
      </w:r>
    </w:p>
    <w:p w:rsidR="00371287" w:rsidP="00371287" w14:paraId="71F9170E" w14:textId="77777777"/>
    <w:p w:rsidR="009C13B9" w:rsidP="009C13B9" w14:paraId="24E1CA9D" w14:textId="77777777">
      <w:r>
        <w:t>To assist review, please provide answers to the following question:</w:t>
      </w:r>
    </w:p>
    <w:p w:rsidR="009C13B9" w:rsidP="009C13B9" w14:paraId="0526A668" w14:textId="77777777">
      <w:pPr>
        <w:pStyle w:val="ListParagraph"/>
        <w:ind w:left="360"/>
      </w:pPr>
    </w:p>
    <w:p w:rsidR="009C13B9" w:rsidRPr="00C86E91" w:rsidP="00C86E91" w14:paraId="36CA8E31" w14:textId="77777777">
      <w:pPr>
        <w:rPr>
          <w:b/>
        </w:rPr>
      </w:pPr>
      <w:r w:rsidRPr="00C86E91">
        <w:rPr>
          <w:b/>
        </w:rPr>
        <w:t>Personally Identifiable Information:</w:t>
      </w:r>
    </w:p>
    <w:p w:rsidR="00C86E91" w:rsidP="00C86E91" w14:paraId="13BDC04D" w14:textId="17D201EE">
      <w:pPr>
        <w:pStyle w:val="ListParagraph"/>
        <w:numPr>
          <w:ilvl w:val="0"/>
          <w:numId w:val="18"/>
        </w:numPr>
      </w:pPr>
      <w:r>
        <w:t>Is</w:t>
      </w:r>
      <w:r w:rsidR="00237B48">
        <w:t xml:space="preserve"> personally identifiable information (PII) collected</w:t>
      </w:r>
      <w:r>
        <w:t xml:space="preserve">?  </w:t>
      </w:r>
      <w:r w:rsidR="009239AA">
        <w:t>[</w:t>
      </w:r>
      <w:r w:rsidR="00BE1F85">
        <w:t>X</w:t>
      </w:r>
      <w:r w:rsidR="009239AA">
        <w:t xml:space="preserve">] Yes  [ ]  No </w:t>
      </w:r>
    </w:p>
    <w:p w:rsidR="00C86E91" w:rsidP="00C86E91" w14:paraId="7186FCEC" w14:textId="6D10AF79">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BE1F85">
        <w:t>X</w:t>
      </w:r>
      <w:r w:rsidR="009239AA">
        <w:t>] Yes [  ] No</w:t>
      </w:r>
      <w:r>
        <w:t xml:space="preserve">   </w:t>
      </w:r>
    </w:p>
    <w:p w:rsidR="00C86E91" w:rsidP="00C86E91" w14:paraId="62A1D75A" w14:textId="5CC1F2E4">
      <w:pPr>
        <w:pStyle w:val="ListParagraph"/>
        <w:numPr>
          <w:ilvl w:val="0"/>
          <w:numId w:val="18"/>
        </w:numPr>
      </w:pPr>
      <w:r>
        <w:t xml:space="preserve">If Applicable, has a System or Records Notice been published?  [ </w:t>
      </w:r>
      <w:r w:rsidR="00CD0207">
        <w:t>X</w:t>
      </w:r>
      <w:r>
        <w:t xml:space="preserve"> ] Yes  [</w:t>
      </w:r>
      <w:r w:rsidR="00CD0207">
        <w:t xml:space="preserve">   </w:t>
      </w:r>
      <w:r>
        <w:t>] No</w:t>
      </w:r>
    </w:p>
    <w:p w:rsidR="00633F74" w:rsidP="00633F74" w14:paraId="75CF8E01" w14:textId="77777777">
      <w:pPr>
        <w:pStyle w:val="ListParagraph"/>
        <w:ind w:left="360"/>
      </w:pPr>
    </w:p>
    <w:p w:rsidR="00C86E91" w:rsidRPr="00C86E91" w:rsidP="00C86E91" w14:paraId="3687B54C" w14:textId="77777777">
      <w:pPr>
        <w:pStyle w:val="ListParagraph"/>
        <w:ind w:left="0"/>
        <w:rPr>
          <w:b/>
        </w:rPr>
      </w:pPr>
      <w:r>
        <w:rPr>
          <w:b/>
        </w:rPr>
        <w:t>Gifts or Payments</w:t>
      </w:r>
      <w:r>
        <w:rPr>
          <w:b/>
        </w:rPr>
        <w:t>:</w:t>
      </w:r>
    </w:p>
    <w:p w:rsidR="00C86E91" w:rsidP="00C86E91" w14:paraId="0F43050C" w14:textId="78AB13E5">
      <w:r>
        <w:t>Is an incentive (e.g., money or reimbursement of expenses, token of appreciation) provided to participants?  [  ] Yes [</w:t>
      </w:r>
      <w:r w:rsidR="00BE1F85">
        <w:t>X</w:t>
      </w:r>
      <w:r>
        <w:t xml:space="preserve">] No  </w:t>
      </w:r>
    </w:p>
    <w:p w:rsidR="004D6E14" w14:paraId="19254812" w14:textId="77777777">
      <w:pPr>
        <w:rPr>
          <w:b/>
        </w:rPr>
      </w:pPr>
    </w:p>
    <w:p w:rsidR="00F24CFC" w14:paraId="464AA28C" w14:textId="77777777">
      <w:pPr>
        <w:rPr>
          <w:b/>
        </w:rPr>
      </w:pPr>
    </w:p>
    <w:p w:rsidR="005E714A" w:rsidRPr="00BC676D" w:rsidP="00C86E91" w14:paraId="384A9DB1" w14:textId="77777777">
      <w:pPr>
        <w:rPr>
          <w:b/>
          <w:i/>
        </w:rPr>
      </w:pPr>
      <w:r>
        <w:rPr>
          <w:b/>
        </w:rPr>
        <w:t xml:space="preserve">ESTIMATED </w:t>
      </w:r>
      <w:r>
        <w:rPr>
          <w:b/>
        </w:rPr>
        <w:t xml:space="preserve">BURDEN </w:t>
      </w:r>
      <w:r w:rsidRPr="00BC676D">
        <w:rPr>
          <w:b/>
        </w:rPr>
        <w:t>HOUR</w:t>
      </w:r>
      <w:r w:rsidRPr="00BC676D" w:rsidR="00441434">
        <w:rPr>
          <w:b/>
        </w:rPr>
        <w:t>S</w:t>
      </w:r>
      <w:r w:rsidRPr="00BC676D">
        <w:rPr>
          <w:b/>
        </w:rPr>
        <w:t xml:space="preserve"> </w:t>
      </w:r>
      <w:r w:rsidRPr="00BC676D" w:rsidR="00BC676D">
        <w:rPr>
          <w:b/>
        </w:rPr>
        <w:t>and COSTS</w:t>
      </w:r>
    </w:p>
    <w:p w:rsidR="006832D9" w:rsidRPr="006832D9" w:rsidP="00F3170F" w14:paraId="2190580F" w14:textId="77777777">
      <w:pPr>
        <w:keepNext/>
        <w:keepLines/>
        <w:rPr>
          <w:b/>
        </w:rPr>
      </w:pPr>
    </w:p>
    <w:tbl>
      <w:tblPr>
        <w:tblW w:w="91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4"/>
        <w:gridCol w:w="1914"/>
        <w:gridCol w:w="2144"/>
        <w:gridCol w:w="1378"/>
        <w:gridCol w:w="1316"/>
      </w:tblGrid>
      <w:tr w14:paraId="43D8EEDC" w14:textId="77777777" w:rsidTr="004C3224">
        <w:tblPrEx>
          <w:tblW w:w="91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2"/>
        </w:trPr>
        <w:tc>
          <w:tcPr>
            <w:tcW w:w="2374" w:type="dxa"/>
          </w:tcPr>
          <w:p w:rsidR="003668D6" w:rsidRPr="002D26E2" w:rsidP="00C8488C" w14:paraId="398EF93D" w14:textId="77777777">
            <w:pPr>
              <w:rPr>
                <w:b/>
              </w:rPr>
            </w:pPr>
            <w:r w:rsidRPr="002D26E2">
              <w:rPr>
                <w:b/>
              </w:rPr>
              <w:t xml:space="preserve">Category of Respondent </w:t>
            </w:r>
          </w:p>
        </w:tc>
        <w:tc>
          <w:tcPr>
            <w:tcW w:w="1914" w:type="dxa"/>
          </w:tcPr>
          <w:p w:rsidR="003668D6" w:rsidRPr="002D26E2" w:rsidP="00843796" w14:paraId="3CFC5F12" w14:textId="77777777">
            <w:pPr>
              <w:rPr>
                <w:b/>
              </w:rPr>
            </w:pPr>
            <w:r w:rsidRPr="002D26E2">
              <w:rPr>
                <w:b/>
              </w:rPr>
              <w:t>No. of Respondents</w:t>
            </w:r>
          </w:p>
        </w:tc>
        <w:tc>
          <w:tcPr>
            <w:tcW w:w="2144" w:type="dxa"/>
          </w:tcPr>
          <w:p w:rsidR="003668D6" w:rsidRPr="002D26E2" w:rsidP="00843796" w14:paraId="38D7FB13" w14:textId="77777777">
            <w:pPr>
              <w:rPr>
                <w:b/>
              </w:rPr>
            </w:pPr>
            <w:r>
              <w:rPr>
                <w:b/>
              </w:rPr>
              <w:t xml:space="preserve">No. of Responses per Respondent </w:t>
            </w:r>
          </w:p>
        </w:tc>
        <w:tc>
          <w:tcPr>
            <w:tcW w:w="1378" w:type="dxa"/>
          </w:tcPr>
          <w:p w:rsidR="003668D6" w:rsidP="00843796" w14:paraId="50C7D0F5" w14:textId="77777777">
            <w:pPr>
              <w:rPr>
                <w:b/>
              </w:rPr>
            </w:pPr>
            <w:r>
              <w:rPr>
                <w:b/>
              </w:rPr>
              <w:t xml:space="preserve">Time per </w:t>
            </w:r>
          </w:p>
          <w:p w:rsidR="003668D6" w:rsidP="00843796" w14:paraId="1CA824AB" w14:textId="77777777">
            <w:pPr>
              <w:rPr>
                <w:b/>
              </w:rPr>
            </w:pPr>
            <w:r>
              <w:rPr>
                <w:b/>
              </w:rPr>
              <w:t xml:space="preserve">Response </w:t>
            </w:r>
          </w:p>
          <w:p w:rsidR="003668D6" w:rsidRPr="002D26E2" w:rsidP="00843796" w14:paraId="7993698B" w14:textId="77777777">
            <w:pPr>
              <w:rPr>
                <w:b/>
              </w:rPr>
            </w:pPr>
            <w:r>
              <w:rPr>
                <w:b/>
              </w:rPr>
              <w:t xml:space="preserve">(in hours) </w:t>
            </w:r>
          </w:p>
        </w:tc>
        <w:tc>
          <w:tcPr>
            <w:tcW w:w="1316" w:type="dxa"/>
          </w:tcPr>
          <w:p w:rsidR="003668D6" w:rsidP="00843796" w14:paraId="2744E6E5" w14:textId="77777777">
            <w:pPr>
              <w:rPr>
                <w:b/>
              </w:rPr>
            </w:pPr>
            <w:r>
              <w:rPr>
                <w:b/>
              </w:rPr>
              <w:t xml:space="preserve">Total </w:t>
            </w:r>
            <w:r w:rsidRPr="002D26E2">
              <w:rPr>
                <w:b/>
              </w:rPr>
              <w:t>Burden</w:t>
            </w:r>
          </w:p>
          <w:p w:rsidR="003668D6" w:rsidRPr="002D26E2" w:rsidP="00843796" w14:paraId="195A9A2A" w14:textId="77777777">
            <w:pPr>
              <w:rPr>
                <w:b/>
              </w:rPr>
            </w:pPr>
            <w:r>
              <w:rPr>
                <w:b/>
              </w:rPr>
              <w:t xml:space="preserve">Hours </w:t>
            </w:r>
          </w:p>
        </w:tc>
      </w:tr>
      <w:tr w14:paraId="6C4086BE" w14:textId="77777777" w:rsidTr="004C3224">
        <w:tblPrEx>
          <w:tblW w:w="9126" w:type="dxa"/>
          <w:tblInd w:w="18" w:type="dxa"/>
          <w:tblLayout w:type="fixed"/>
          <w:tblLook w:val="01E0"/>
        </w:tblPrEx>
        <w:trPr>
          <w:trHeight w:val="249"/>
        </w:trPr>
        <w:tc>
          <w:tcPr>
            <w:tcW w:w="2374" w:type="dxa"/>
          </w:tcPr>
          <w:p w:rsidR="003668D6" w:rsidP="00843796" w14:paraId="74505133" w14:textId="18C48844">
            <w:r>
              <w:t>Private sector</w:t>
            </w:r>
          </w:p>
        </w:tc>
        <w:tc>
          <w:tcPr>
            <w:tcW w:w="1914" w:type="dxa"/>
          </w:tcPr>
          <w:p w:rsidR="003668D6" w:rsidP="00843796" w14:paraId="48480537" w14:textId="32C41E34">
            <w:r>
              <w:t>35</w:t>
            </w:r>
          </w:p>
        </w:tc>
        <w:tc>
          <w:tcPr>
            <w:tcW w:w="2144" w:type="dxa"/>
          </w:tcPr>
          <w:p w:rsidR="003668D6" w:rsidP="00843796" w14:paraId="0DFCFA35" w14:textId="74B14A25">
            <w:r>
              <w:t>1</w:t>
            </w:r>
          </w:p>
        </w:tc>
        <w:tc>
          <w:tcPr>
            <w:tcW w:w="1378" w:type="dxa"/>
          </w:tcPr>
          <w:p w:rsidR="003668D6" w:rsidP="00843796" w14:paraId="3D1773F5" w14:textId="4FC916FD">
            <w:r>
              <w:t>10</w:t>
            </w:r>
            <w:r w:rsidR="00CB4C5B">
              <w:t>/60</w:t>
            </w:r>
          </w:p>
        </w:tc>
        <w:tc>
          <w:tcPr>
            <w:tcW w:w="1316" w:type="dxa"/>
          </w:tcPr>
          <w:p w:rsidR="003668D6" w:rsidP="00843796" w14:paraId="47C85A64" w14:textId="0B47C1EF">
            <w:r>
              <w:t>6</w:t>
            </w:r>
          </w:p>
        </w:tc>
      </w:tr>
      <w:tr w14:paraId="51A1D550" w14:textId="77777777" w:rsidTr="004C3224">
        <w:tblPrEx>
          <w:tblW w:w="9126" w:type="dxa"/>
          <w:tblInd w:w="18" w:type="dxa"/>
          <w:tblLayout w:type="fixed"/>
          <w:tblLook w:val="01E0"/>
        </w:tblPrEx>
        <w:trPr>
          <w:trHeight w:val="262"/>
        </w:trPr>
        <w:tc>
          <w:tcPr>
            <w:tcW w:w="2374" w:type="dxa"/>
          </w:tcPr>
          <w:p w:rsidR="003668D6" w:rsidP="00843796" w14:paraId="027E0DC1" w14:textId="77777777"/>
        </w:tc>
        <w:tc>
          <w:tcPr>
            <w:tcW w:w="1914" w:type="dxa"/>
          </w:tcPr>
          <w:p w:rsidR="003668D6" w:rsidP="00843796" w14:paraId="38E259CA" w14:textId="77777777"/>
        </w:tc>
        <w:tc>
          <w:tcPr>
            <w:tcW w:w="2144" w:type="dxa"/>
          </w:tcPr>
          <w:p w:rsidR="003668D6" w:rsidP="00843796" w14:paraId="5E9B6875" w14:textId="77777777"/>
        </w:tc>
        <w:tc>
          <w:tcPr>
            <w:tcW w:w="1378" w:type="dxa"/>
          </w:tcPr>
          <w:p w:rsidR="003668D6" w:rsidP="00843796" w14:paraId="0B034BB1" w14:textId="77777777"/>
        </w:tc>
        <w:tc>
          <w:tcPr>
            <w:tcW w:w="1316" w:type="dxa"/>
          </w:tcPr>
          <w:p w:rsidR="003668D6" w:rsidP="00843796" w14:paraId="187B6A18" w14:textId="77777777"/>
        </w:tc>
      </w:tr>
      <w:tr w14:paraId="40D619CD" w14:textId="77777777" w:rsidTr="004C3224">
        <w:tblPrEx>
          <w:tblW w:w="9126" w:type="dxa"/>
          <w:tblInd w:w="18" w:type="dxa"/>
          <w:tblLayout w:type="fixed"/>
          <w:tblLook w:val="01E0"/>
        </w:tblPrEx>
        <w:trPr>
          <w:trHeight w:val="277"/>
        </w:trPr>
        <w:tc>
          <w:tcPr>
            <w:tcW w:w="2374" w:type="dxa"/>
          </w:tcPr>
          <w:p w:rsidR="003668D6" w:rsidRPr="002D26E2" w:rsidP="00843796" w14:paraId="4881398D" w14:textId="77777777">
            <w:pPr>
              <w:rPr>
                <w:b/>
              </w:rPr>
            </w:pPr>
            <w:r w:rsidRPr="002D26E2">
              <w:rPr>
                <w:b/>
              </w:rPr>
              <w:t>Totals</w:t>
            </w:r>
          </w:p>
        </w:tc>
        <w:tc>
          <w:tcPr>
            <w:tcW w:w="1914" w:type="dxa"/>
          </w:tcPr>
          <w:p w:rsidR="003668D6" w:rsidRPr="002D26E2" w:rsidP="00843796" w14:paraId="2089A7BF" w14:textId="26FE5DF6">
            <w:pPr>
              <w:rPr>
                <w:b/>
              </w:rPr>
            </w:pPr>
          </w:p>
        </w:tc>
        <w:tc>
          <w:tcPr>
            <w:tcW w:w="2144" w:type="dxa"/>
          </w:tcPr>
          <w:p w:rsidR="003668D6" w:rsidP="00843796" w14:paraId="5BF515D7" w14:textId="07677D83">
            <w:r>
              <w:t>35</w:t>
            </w:r>
          </w:p>
        </w:tc>
        <w:tc>
          <w:tcPr>
            <w:tcW w:w="1378" w:type="dxa"/>
          </w:tcPr>
          <w:p w:rsidR="003668D6" w:rsidP="00843796" w14:paraId="6453AF92" w14:textId="3E63736C"/>
        </w:tc>
        <w:tc>
          <w:tcPr>
            <w:tcW w:w="1316" w:type="dxa"/>
          </w:tcPr>
          <w:p w:rsidR="003668D6" w:rsidRPr="002D26E2" w:rsidP="00843796" w14:paraId="79836567" w14:textId="38F8741B">
            <w:pPr>
              <w:rPr>
                <w:b/>
              </w:rPr>
            </w:pPr>
            <w:r>
              <w:rPr>
                <w:b/>
              </w:rPr>
              <w:t>6</w:t>
            </w:r>
          </w:p>
        </w:tc>
      </w:tr>
    </w:tbl>
    <w:p w:rsidR="009A036B" w:rsidP="009A036B" w14:paraId="12A2E8AB" w14:textId="1B2015B5">
      <w:pPr>
        <w:rPr>
          <w:b/>
        </w:rPr>
      </w:pPr>
    </w:p>
    <w:p w:rsidR="00DE6B08" w:rsidP="009A036B" w14:paraId="38ED7AE6" w14:textId="793B0988">
      <w:pPr>
        <w:rPr>
          <w:b/>
        </w:rPr>
      </w:pPr>
      <w:r>
        <w:rPr>
          <w:b/>
        </w:rPr>
        <w:t>COST TO RESPONDENT</w:t>
      </w:r>
    </w:p>
    <w:p w:rsidR="00DE6B08" w:rsidRPr="009A036B" w:rsidP="009A036B" w14:paraId="0C942E78"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76277B5B"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9A036B" w:rsidP="00CA2010" w14:paraId="0EC49468" w14:textId="77777777">
            <w:pPr>
              <w:rPr>
                <w:b/>
              </w:rPr>
            </w:pPr>
            <w:r w:rsidRPr="009A036B">
              <w:rPr>
                <w:b/>
              </w:rPr>
              <w:t xml:space="preserve"> </w:t>
            </w:r>
            <w:r w:rsidRPr="00CA2010">
              <w:rPr>
                <w:b/>
              </w:rPr>
              <w:t>Category of Respondent</w:t>
            </w:r>
          </w:p>
          <w:p w:rsidR="00CA2010" w:rsidRPr="009A036B" w:rsidP="00CA2010" w14:paraId="267E1AAC" w14:textId="77777777">
            <w:pPr>
              <w:rPr>
                <w:b/>
              </w:rPr>
            </w:pPr>
          </w:p>
        </w:tc>
        <w:tc>
          <w:tcPr>
            <w:tcW w:w="2250" w:type="dxa"/>
          </w:tcPr>
          <w:p w:rsidR="00CA2010" w:rsidRPr="00CA2010" w:rsidP="00CA2010" w14:paraId="4ED1F780" w14:textId="77777777">
            <w:pPr>
              <w:rPr>
                <w:b/>
              </w:rPr>
            </w:pPr>
            <w:r w:rsidRPr="00CA2010">
              <w:rPr>
                <w:b/>
              </w:rPr>
              <w:t>Total Burden</w:t>
            </w:r>
          </w:p>
          <w:p w:rsidR="00CA2010" w:rsidRPr="009A036B" w:rsidP="00CA2010" w14:paraId="6810BA1F" w14:textId="77777777">
            <w:pPr>
              <w:rPr>
                <w:b/>
              </w:rPr>
            </w:pPr>
            <w:r w:rsidRPr="00CA2010">
              <w:rPr>
                <w:b/>
              </w:rPr>
              <w:t>Hours</w:t>
            </w:r>
          </w:p>
        </w:tc>
        <w:tc>
          <w:tcPr>
            <w:tcW w:w="2520" w:type="dxa"/>
          </w:tcPr>
          <w:p w:rsidR="00CA2010" w:rsidRPr="009A036B" w:rsidP="009A036B" w14:paraId="64C1222F" w14:textId="77777777">
            <w:pPr>
              <w:rPr>
                <w:b/>
              </w:rPr>
            </w:pPr>
            <w:r>
              <w:rPr>
                <w:b/>
              </w:rPr>
              <w:t xml:space="preserve">Hourly </w:t>
            </w:r>
            <w:r>
              <w:rPr>
                <w:b/>
              </w:rPr>
              <w:t>Wage Rate*</w:t>
            </w:r>
          </w:p>
        </w:tc>
        <w:tc>
          <w:tcPr>
            <w:tcW w:w="1620" w:type="dxa"/>
          </w:tcPr>
          <w:p w:rsidR="00CA2010" w:rsidRPr="009A036B" w:rsidP="009A036B" w14:paraId="604946A1" w14:textId="77777777">
            <w:pPr>
              <w:rPr>
                <w:b/>
              </w:rPr>
            </w:pPr>
            <w:r>
              <w:rPr>
                <w:b/>
              </w:rPr>
              <w:t>Total Burden Cost</w:t>
            </w:r>
            <w:r w:rsidRPr="009A036B">
              <w:rPr>
                <w:b/>
              </w:rPr>
              <w:t xml:space="preserve"> </w:t>
            </w:r>
          </w:p>
        </w:tc>
      </w:tr>
      <w:tr w14:paraId="43039D02" w14:textId="77777777" w:rsidTr="00CA2010">
        <w:tblPrEx>
          <w:tblW w:w="9180" w:type="dxa"/>
          <w:tblInd w:w="18" w:type="dxa"/>
          <w:tblLayout w:type="fixed"/>
          <w:tblLook w:val="01E0"/>
        </w:tblPrEx>
        <w:trPr>
          <w:trHeight w:val="260"/>
        </w:trPr>
        <w:tc>
          <w:tcPr>
            <w:tcW w:w="2790" w:type="dxa"/>
          </w:tcPr>
          <w:p w:rsidR="00CA2010" w:rsidRPr="009A036B" w:rsidP="009A036B" w14:paraId="63B44F56" w14:textId="779558A3">
            <w:r>
              <w:t>Contact PI</w:t>
            </w:r>
          </w:p>
        </w:tc>
        <w:tc>
          <w:tcPr>
            <w:tcW w:w="2250" w:type="dxa"/>
          </w:tcPr>
          <w:p w:rsidR="00CA2010" w:rsidRPr="009A036B" w:rsidP="009A036B" w14:paraId="17548B0F" w14:textId="20814590">
            <w:r>
              <w:t>6</w:t>
            </w:r>
          </w:p>
        </w:tc>
        <w:tc>
          <w:tcPr>
            <w:tcW w:w="2520" w:type="dxa"/>
          </w:tcPr>
          <w:p w:rsidR="00CA2010" w:rsidRPr="009A036B" w:rsidP="009A036B" w14:paraId="216778BF" w14:textId="31AFE5D9">
            <w:r>
              <w:t>$</w:t>
            </w:r>
            <w:r w:rsidR="00CD0207">
              <w:t>50.02</w:t>
            </w:r>
          </w:p>
        </w:tc>
        <w:tc>
          <w:tcPr>
            <w:tcW w:w="1620" w:type="dxa"/>
          </w:tcPr>
          <w:p w:rsidR="00CA2010" w:rsidRPr="009A036B" w:rsidP="009A036B" w14:paraId="198FF701" w14:textId="7F621A7D">
            <w:r>
              <w:t xml:space="preserve">$ </w:t>
            </w:r>
            <w:r w:rsidR="00B75E88">
              <w:t>300.12</w:t>
            </w:r>
          </w:p>
        </w:tc>
      </w:tr>
      <w:tr w14:paraId="7A33F4A1" w14:textId="77777777" w:rsidTr="00CA2010">
        <w:tblPrEx>
          <w:tblW w:w="9180" w:type="dxa"/>
          <w:tblInd w:w="18" w:type="dxa"/>
          <w:tblLayout w:type="fixed"/>
          <w:tblLook w:val="01E0"/>
        </w:tblPrEx>
        <w:trPr>
          <w:trHeight w:val="274"/>
        </w:trPr>
        <w:tc>
          <w:tcPr>
            <w:tcW w:w="2790" w:type="dxa"/>
          </w:tcPr>
          <w:p w:rsidR="00CA2010" w:rsidRPr="009A036B" w:rsidP="009A036B" w14:paraId="7CAB1FAD" w14:textId="77777777"/>
        </w:tc>
        <w:tc>
          <w:tcPr>
            <w:tcW w:w="2250" w:type="dxa"/>
          </w:tcPr>
          <w:p w:rsidR="00CA2010" w:rsidRPr="009A036B" w:rsidP="009A036B" w14:paraId="4BEB3AC4" w14:textId="77777777"/>
        </w:tc>
        <w:tc>
          <w:tcPr>
            <w:tcW w:w="2520" w:type="dxa"/>
          </w:tcPr>
          <w:p w:rsidR="00CA2010" w:rsidRPr="009A036B" w:rsidP="009A036B" w14:paraId="1A3A420E" w14:textId="77777777"/>
        </w:tc>
        <w:tc>
          <w:tcPr>
            <w:tcW w:w="1620" w:type="dxa"/>
          </w:tcPr>
          <w:p w:rsidR="00CA2010" w:rsidRPr="009A036B" w:rsidP="009A036B" w14:paraId="4804C630" w14:textId="77777777"/>
        </w:tc>
      </w:tr>
      <w:tr w14:paraId="1707AB8A" w14:textId="77777777" w:rsidTr="00CA2010">
        <w:tblPrEx>
          <w:tblW w:w="9180" w:type="dxa"/>
          <w:tblInd w:w="18" w:type="dxa"/>
          <w:tblLayout w:type="fixed"/>
          <w:tblLook w:val="01E0"/>
        </w:tblPrEx>
        <w:trPr>
          <w:trHeight w:val="289"/>
        </w:trPr>
        <w:tc>
          <w:tcPr>
            <w:tcW w:w="2790" w:type="dxa"/>
          </w:tcPr>
          <w:p w:rsidR="00CA2010" w:rsidRPr="009A036B" w:rsidP="009A036B" w14:paraId="363CB27C" w14:textId="77777777">
            <w:pPr>
              <w:rPr>
                <w:b/>
              </w:rPr>
            </w:pPr>
            <w:r w:rsidRPr="009A036B">
              <w:rPr>
                <w:b/>
              </w:rPr>
              <w:t>Totals</w:t>
            </w:r>
          </w:p>
        </w:tc>
        <w:tc>
          <w:tcPr>
            <w:tcW w:w="2250" w:type="dxa"/>
          </w:tcPr>
          <w:p w:rsidR="00CA2010" w:rsidRPr="009A036B" w:rsidP="009A036B" w14:paraId="51980B66" w14:textId="77777777">
            <w:pPr>
              <w:rPr>
                <w:b/>
              </w:rPr>
            </w:pPr>
          </w:p>
        </w:tc>
        <w:tc>
          <w:tcPr>
            <w:tcW w:w="2520" w:type="dxa"/>
          </w:tcPr>
          <w:p w:rsidR="00CA2010" w:rsidRPr="009A036B" w:rsidP="009A036B" w14:paraId="50FA256A" w14:textId="77777777"/>
        </w:tc>
        <w:tc>
          <w:tcPr>
            <w:tcW w:w="1620" w:type="dxa"/>
          </w:tcPr>
          <w:p w:rsidR="00CA2010" w:rsidRPr="009A036B" w:rsidP="009A036B" w14:paraId="277A39C9" w14:textId="77777777"/>
        </w:tc>
      </w:tr>
    </w:tbl>
    <w:p w:rsidR="00CD0207" w:rsidP="00CD0207" w14:paraId="6C86F308" w14:textId="7AEB03AE">
      <w:r w:rsidRPr="004C0A1F">
        <w:t>*</w:t>
      </w:r>
      <w:r w:rsidRPr="00DE6B08">
        <w:rPr>
          <w:sz w:val="18"/>
          <w:szCs w:val="18"/>
        </w:rPr>
        <w:t xml:space="preserve">Hourly wage rate for 19-1042 Medical Scientists, Except Epidemiologists, is $ 50.02 </w:t>
      </w:r>
      <w:hyperlink r:id="rId5" w:history="1">
        <w:r w:rsidRPr="00DE6B08" w:rsidR="00DE6B08">
          <w:rPr>
            <w:rStyle w:val="Hyperlink"/>
            <w:sz w:val="18"/>
            <w:szCs w:val="18"/>
          </w:rPr>
          <w:t>https://www.bls.gov/oes/current/oes191042.htm</w:t>
        </w:r>
      </w:hyperlink>
      <w:r w:rsidR="00DE6B08">
        <w:t xml:space="preserve"> </w:t>
      </w:r>
      <w:r w:rsidRPr="004C0A1F">
        <w:t xml:space="preserve">.   </w:t>
      </w:r>
    </w:p>
    <w:p w:rsidR="009A036B" w:rsidRPr="009A036B" w:rsidP="009A036B" w14:paraId="3ED4A7FF" w14:textId="280752EF"/>
    <w:p w:rsidR="009A036B" w:rsidP="00F3170F" w14:paraId="7F3DCA9C" w14:textId="77777777"/>
    <w:p w:rsidR="00441434" w:rsidP="00F3170F" w14:paraId="0092AEDF" w14:textId="77777777"/>
    <w:p w:rsidR="005E714A" w14:paraId="164B5F94" w14:textId="433818FF">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00621349">
        <w:t xml:space="preserve"> $2,264</w:t>
      </w:r>
    </w:p>
    <w:p w:rsidR="009A036B" w:rsidRPr="009A036B" w:rsidP="009A036B" w14:paraId="649E7DF1" w14:textId="77777777">
      <w:r>
        <w:rPr>
          <w:b/>
        </w:rPr>
        <w:t xml:space="preserve">                         </w:t>
      </w:r>
    </w:p>
    <w:p w:rsidR="009A036B" w:rsidRPr="009A036B" w:rsidP="009A036B" w14:paraId="2F526F57" w14:textId="77777777"/>
    <w:tbl>
      <w:tblPr>
        <w:tblW w:w="9522" w:type="dxa"/>
        <w:tblCellMar>
          <w:left w:w="0" w:type="dxa"/>
          <w:right w:w="0" w:type="dxa"/>
        </w:tblCellMar>
        <w:tblLook w:val="04A0"/>
      </w:tblPr>
      <w:tblGrid>
        <w:gridCol w:w="2733"/>
        <w:gridCol w:w="1440"/>
        <w:gridCol w:w="1260"/>
        <w:gridCol w:w="1363"/>
        <w:gridCol w:w="1363"/>
        <w:gridCol w:w="1363"/>
      </w:tblGrid>
      <w:tr w14:paraId="32DEC570" w14:textId="77777777" w:rsidTr="009A036B">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0886243E" w14:textId="77777777">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9A036B" w:rsidP="009A036B" w14:paraId="1D290484" w14:textId="77777777">
            <w:pPr>
              <w:rPr>
                <w:b/>
                <w:bCs/>
              </w:rPr>
            </w:pPr>
          </w:p>
          <w:p w:rsidR="009A036B" w:rsidRPr="009A036B" w:rsidP="009A036B" w14:paraId="499EF2F3" w14:textId="77777777">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71DB3A8D" w14:textId="77777777">
            <w:pPr>
              <w:rPr>
                <w:b/>
                <w:bCs/>
              </w:rPr>
            </w:pPr>
            <w:r w:rsidRPr="009A036B">
              <w:rPr>
                <w:b/>
                <w:bCs/>
              </w:rPr>
              <w:t>Salary</w:t>
            </w:r>
            <w:r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9A036B" w:rsidP="009A036B" w14:paraId="0262311B" w14:textId="77777777">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0C029248" w14:textId="77777777">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9A036B" w:rsidP="009A036B" w14:paraId="59B293D9" w14:textId="77777777">
            <w:pPr>
              <w:rPr>
                <w:b/>
                <w:bCs/>
              </w:rPr>
            </w:pPr>
            <w:r w:rsidRPr="009A036B">
              <w:rPr>
                <w:b/>
                <w:bCs/>
              </w:rPr>
              <w:t>Total Cost to Gov’t</w:t>
            </w:r>
          </w:p>
        </w:tc>
      </w:tr>
      <w:tr w14:paraId="5E7DB439"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27492D89" w14:textId="77777777">
            <w:pPr>
              <w:rPr>
                <w:b/>
              </w:rPr>
            </w:pPr>
            <w:r w:rsidRPr="009A036B">
              <w:rPr>
                <w:b/>
              </w:rPr>
              <w:t>Federal Oversight</w:t>
            </w:r>
          </w:p>
        </w:tc>
        <w:tc>
          <w:tcPr>
            <w:tcW w:w="1440" w:type="dxa"/>
            <w:tcBorders>
              <w:top w:val="nil"/>
              <w:left w:val="nil"/>
              <w:bottom w:val="single" w:sz="8" w:space="0" w:color="auto"/>
              <w:right w:val="single" w:sz="8" w:space="0" w:color="auto"/>
            </w:tcBorders>
            <w:shd w:val="clear" w:color="auto" w:fill="auto"/>
          </w:tcPr>
          <w:p w:rsidR="009A036B" w:rsidRPr="009A036B" w:rsidP="009A036B" w14:paraId="3D649E10"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5810959E"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0F48A505"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70EF6364"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2AC4E479" w14:textId="77777777"/>
        </w:tc>
      </w:tr>
      <w:tr w14:paraId="18D99971"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1777C660" w14:textId="472768A2">
            <w:r>
              <w:t>Program Director</w:t>
            </w:r>
          </w:p>
        </w:tc>
        <w:tc>
          <w:tcPr>
            <w:tcW w:w="1440" w:type="dxa"/>
            <w:tcBorders>
              <w:top w:val="nil"/>
              <w:left w:val="nil"/>
              <w:bottom w:val="single" w:sz="8" w:space="0" w:color="auto"/>
              <w:right w:val="single" w:sz="8" w:space="0" w:color="auto"/>
            </w:tcBorders>
            <w:shd w:val="clear" w:color="auto" w:fill="auto"/>
          </w:tcPr>
          <w:p w:rsidR="009A036B" w:rsidRPr="009A036B" w:rsidP="009A036B" w14:paraId="69021848" w14:textId="20026644">
            <w:r>
              <w:t>GS 14-7</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106A5FF8" w14:textId="27286084">
            <w:r>
              <w:t xml:space="preserve">$ </w:t>
            </w:r>
            <w:r w:rsidRPr="00350941" w:rsidR="00350941">
              <w:t>151</w:t>
            </w:r>
            <w:r w:rsidR="00350941">
              <w:t>,</w:t>
            </w:r>
            <w:r w:rsidRPr="00350941" w:rsidR="00350941">
              <w:t>479</w:t>
            </w:r>
          </w:p>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5BF07074" w14:textId="19EDE3B6">
            <w:r>
              <w:t>1</w:t>
            </w:r>
            <w:r w:rsidR="00350941">
              <w:t>%</w:t>
            </w:r>
          </w:p>
        </w:tc>
        <w:tc>
          <w:tcPr>
            <w:tcW w:w="1363" w:type="dxa"/>
            <w:tcBorders>
              <w:top w:val="nil"/>
              <w:left w:val="nil"/>
              <w:bottom w:val="single" w:sz="8" w:space="0" w:color="auto"/>
              <w:right w:val="single" w:sz="8" w:space="0" w:color="auto"/>
            </w:tcBorders>
            <w:shd w:val="clear" w:color="auto" w:fill="auto"/>
          </w:tcPr>
          <w:p w:rsidR="009A036B" w:rsidRPr="009A036B" w:rsidP="009A036B" w14:paraId="3216F74C"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3619DA54" w14:textId="35800313">
            <w:r>
              <w:t>$1,515</w:t>
            </w:r>
          </w:p>
        </w:tc>
      </w:tr>
      <w:tr w14:paraId="765CE0C2"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EE03E1E" w14:textId="15E00C3E">
            <w:r>
              <w:t>Health Program Specialist</w:t>
            </w:r>
          </w:p>
        </w:tc>
        <w:tc>
          <w:tcPr>
            <w:tcW w:w="1440" w:type="dxa"/>
            <w:tcBorders>
              <w:top w:val="nil"/>
              <w:left w:val="nil"/>
              <w:bottom w:val="single" w:sz="8" w:space="0" w:color="auto"/>
              <w:right w:val="single" w:sz="8" w:space="0" w:color="auto"/>
            </w:tcBorders>
            <w:shd w:val="clear" w:color="auto" w:fill="auto"/>
          </w:tcPr>
          <w:p w:rsidR="009A036B" w:rsidRPr="009A036B" w:rsidP="009A036B" w14:paraId="2BBBFC56" w14:textId="27BC5FAB">
            <w:r>
              <w:t>GS 11-1</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65CC3765" w14:textId="77B38621">
            <w:r>
              <w:t xml:space="preserve">$ </w:t>
            </w:r>
            <w:r w:rsidRPr="00350941" w:rsidR="00350941">
              <w:t>74</w:t>
            </w:r>
            <w:r w:rsidR="00DE50CF">
              <w:t>,</w:t>
            </w:r>
            <w:r w:rsidRPr="00350941" w:rsidR="00350941">
              <w:t>950</w:t>
            </w:r>
          </w:p>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66761AD2" w14:textId="63FF9E3B">
            <w:r>
              <w:t>1</w:t>
            </w:r>
            <w:r w:rsidR="00350941">
              <w:t>%</w:t>
            </w:r>
          </w:p>
        </w:tc>
        <w:tc>
          <w:tcPr>
            <w:tcW w:w="1363" w:type="dxa"/>
            <w:tcBorders>
              <w:top w:val="nil"/>
              <w:left w:val="nil"/>
              <w:bottom w:val="single" w:sz="8" w:space="0" w:color="auto"/>
              <w:right w:val="single" w:sz="8" w:space="0" w:color="auto"/>
            </w:tcBorders>
            <w:shd w:val="clear" w:color="auto" w:fill="auto"/>
          </w:tcPr>
          <w:p w:rsidR="009A036B" w:rsidRPr="009A036B" w:rsidP="009A036B" w14:paraId="5BEFD12A"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1A382129" w14:textId="6B18E7C3">
            <w:r>
              <w:t>$750</w:t>
            </w:r>
          </w:p>
        </w:tc>
      </w:tr>
      <w:tr w14:paraId="2C479B37"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64275B86" w14:textId="77777777"/>
        </w:tc>
        <w:tc>
          <w:tcPr>
            <w:tcW w:w="1440" w:type="dxa"/>
            <w:tcBorders>
              <w:top w:val="nil"/>
              <w:left w:val="nil"/>
              <w:bottom w:val="single" w:sz="8" w:space="0" w:color="auto"/>
              <w:right w:val="single" w:sz="8" w:space="0" w:color="auto"/>
            </w:tcBorders>
            <w:shd w:val="clear" w:color="auto" w:fill="auto"/>
          </w:tcPr>
          <w:p w:rsidR="009A036B" w:rsidRPr="009A036B" w:rsidP="009A036B" w14:paraId="54EF16FE"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7351FD04"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2B646E20"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46E19C37"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5832B49C" w14:textId="77777777"/>
        </w:tc>
      </w:tr>
      <w:tr w14:paraId="6B88E289"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21A5EF4" w14:textId="77777777">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auto"/>
          </w:tcPr>
          <w:p w:rsidR="009A036B" w:rsidRPr="009A036B" w:rsidP="009A036B" w14:paraId="58B9858A"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6044E33C"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4DCE6869"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02886867"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4619EC3E" w14:textId="77777777"/>
        </w:tc>
      </w:tr>
      <w:tr w14:paraId="2EFDB6E8"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D6794B5" w14:textId="77777777"/>
        </w:tc>
        <w:tc>
          <w:tcPr>
            <w:tcW w:w="1440" w:type="dxa"/>
            <w:tcBorders>
              <w:top w:val="nil"/>
              <w:left w:val="nil"/>
              <w:bottom w:val="single" w:sz="8" w:space="0" w:color="auto"/>
              <w:right w:val="single" w:sz="8" w:space="0" w:color="auto"/>
            </w:tcBorders>
            <w:shd w:val="clear" w:color="auto" w:fill="auto"/>
          </w:tcPr>
          <w:p w:rsidR="009A036B" w:rsidRPr="009A036B" w:rsidP="009A036B" w14:paraId="09C0D62C"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45E5178C"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00C52D3B"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2764DBF8"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63578106" w14:textId="77777777"/>
        </w:tc>
      </w:tr>
      <w:tr w14:paraId="012B44B8"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565EBDD8" w14:textId="77777777">
            <w:r w:rsidRPr="009A036B">
              <w:t>Travel</w:t>
            </w:r>
          </w:p>
        </w:tc>
        <w:tc>
          <w:tcPr>
            <w:tcW w:w="1440" w:type="dxa"/>
            <w:tcBorders>
              <w:top w:val="nil"/>
              <w:left w:val="nil"/>
              <w:bottom w:val="single" w:sz="8" w:space="0" w:color="auto"/>
              <w:right w:val="single" w:sz="8" w:space="0" w:color="auto"/>
            </w:tcBorders>
            <w:shd w:val="clear" w:color="auto" w:fill="auto"/>
          </w:tcPr>
          <w:p w:rsidR="009A036B" w:rsidRPr="009A036B" w:rsidP="009A036B" w14:paraId="0BA5DFF6"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758DA7B2"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566754DE"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552FB691"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227BC46D" w14:textId="77777777"/>
        </w:tc>
      </w:tr>
      <w:tr w14:paraId="4A765951"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9A036B" w:rsidP="009A036B" w14:paraId="73F80661" w14:textId="77777777">
            <w:r w:rsidRPr="009A036B">
              <w:t>Other Cost</w:t>
            </w:r>
          </w:p>
        </w:tc>
        <w:tc>
          <w:tcPr>
            <w:tcW w:w="1440" w:type="dxa"/>
            <w:tcBorders>
              <w:top w:val="nil"/>
              <w:left w:val="nil"/>
              <w:bottom w:val="single" w:sz="8" w:space="0" w:color="auto"/>
              <w:right w:val="single" w:sz="8" w:space="0" w:color="auto"/>
            </w:tcBorders>
            <w:shd w:val="clear" w:color="auto" w:fill="auto"/>
          </w:tcPr>
          <w:p w:rsidR="009A036B" w:rsidRPr="009A036B" w:rsidP="009A036B" w14:paraId="0D19B8A5"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2ECD4545"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13E72BCE"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2688391B"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53038E49" w14:textId="77777777"/>
        </w:tc>
      </w:tr>
      <w:tr w14:paraId="57A0FA2E"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9A036B" w:rsidP="009A036B" w14:paraId="394D4740" w14:textId="77777777">
            <w:pPr>
              <w:rPr>
                <w:bCs/>
              </w:rPr>
            </w:pPr>
          </w:p>
        </w:tc>
        <w:tc>
          <w:tcPr>
            <w:tcW w:w="1440" w:type="dxa"/>
            <w:tcBorders>
              <w:top w:val="nil"/>
              <w:left w:val="nil"/>
              <w:bottom w:val="single" w:sz="8" w:space="0" w:color="auto"/>
              <w:right w:val="single" w:sz="8" w:space="0" w:color="auto"/>
            </w:tcBorders>
            <w:shd w:val="clear" w:color="auto" w:fill="auto"/>
          </w:tcPr>
          <w:p w:rsidR="009A036B" w:rsidRPr="009A036B" w:rsidP="009A036B" w14:paraId="64B33F62"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4B938A56"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tcPr>
          <w:p w:rsidR="009A036B" w:rsidRPr="009A036B" w:rsidP="009A036B" w14:paraId="762EE91E" w14:textId="77777777">
            <w:pPr>
              <w:rPr>
                <w:b/>
              </w:rPr>
            </w:pPr>
          </w:p>
        </w:tc>
        <w:tc>
          <w:tcPr>
            <w:tcW w:w="1363" w:type="dxa"/>
            <w:tcBorders>
              <w:top w:val="nil"/>
              <w:left w:val="nil"/>
              <w:bottom w:val="single" w:sz="8" w:space="0" w:color="auto"/>
              <w:right w:val="single" w:sz="8" w:space="0" w:color="auto"/>
            </w:tcBorders>
            <w:shd w:val="clear" w:color="auto" w:fill="auto"/>
          </w:tcPr>
          <w:p w:rsidR="009A036B" w:rsidRPr="009A036B" w:rsidP="009A036B" w14:paraId="00B228FA" w14:textId="77777777">
            <w:pPr>
              <w:rPr>
                <w:b/>
              </w:rPr>
            </w:pPr>
          </w:p>
        </w:tc>
        <w:tc>
          <w:tcPr>
            <w:tcW w:w="1363" w:type="dxa"/>
            <w:tcBorders>
              <w:top w:val="nil"/>
              <w:left w:val="nil"/>
              <w:bottom w:val="single" w:sz="8" w:space="0" w:color="auto"/>
              <w:right w:val="single" w:sz="8" w:space="0" w:color="auto"/>
            </w:tcBorders>
            <w:shd w:val="clear" w:color="auto" w:fill="auto"/>
          </w:tcPr>
          <w:p w:rsidR="009A036B" w:rsidRPr="009A036B" w:rsidP="009A036B" w14:paraId="4DDAA2B6" w14:textId="77777777">
            <w:pPr>
              <w:rPr>
                <w:b/>
              </w:rPr>
            </w:pPr>
          </w:p>
        </w:tc>
      </w:tr>
      <w:tr w14:paraId="5F5D27E7" w14:textId="77777777" w:rsidTr="006810BF">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4B1EB8" w:rsidP="009A036B" w14:paraId="55AAA8C0" w14:textId="77777777">
            <w:pPr>
              <w:rPr>
                <w:b/>
              </w:rPr>
            </w:pPr>
            <w:r w:rsidRPr="004B1EB8">
              <w:rPr>
                <w:b/>
              </w:rPr>
              <w:t>Total</w:t>
            </w:r>
          </w:p>
        </w:tc>
        <w:tc>
          <w:tcPr>
            <w:tcW w:w="1440" w:type="dxa"/>
            <w:tcBorders>
              <w:top w:val="nil"/>
              <w:left w:val="nil"/>
              <w:bottom w:val="single" w:sz="8" w:space="0" w:color="auto"/>
              <w:right w:val="single" w:sz="8" w:space="0" w:color="auto"/>
            </w:tcBorders>
            <w:shd w:val="clear" w:color="auto" w:fill="auto"/>
          </w:tcPr>
          <w:p w:rsidR="009A036B" w:rsidRPr="009A036B" w:rsidP="009A036B" w14:paraId="0F18B920" w14:textId="77777777"/>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4282BF44" w14:textId="77777777"/>
        </w:tc>
        <w:tc>
          <w:tcPr>
            <w:tcW w:w="136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9A036B" w:rsidP="009A036B" w14:paraId="2CF067D9"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1DCCC900" w14:textId="77777777"/>
        </w:tc>
        <w:tc>
          <w:tcPr>
            <w:tcW w:w="1363" w:type="dxa"/>
            <w:tcBorders>
              <w:top w:val="nil"/>
              <w:left w:val="nil"/>
              <w:bottom w:val="single" w:sz="8" w:space="0" w:color="auto"/>
              <w:right w:val="single" w:sz="8" w:space="0" w:color="auto"/>
            </w:tcBorders>
            <w:shd w:val="clear" w:color="auto" w:fill="auto"/>
          </w:tcPr>
          <w:p w:rsidR="009A036B" w:rsidRPr="009A036B" w:rsidP="009A036B" w14:paraId="5447BE52" w14:textId="7A426D38">
            <w:r>
              <w:t>$2,264</w:t>
            </w:r>
          </w:p>
        </w:tc>
      </w:tr>
    </w:tbl>
    <w:p w:rsidR="009A036B" w14:paraId="498195CC" w14:textId="44791A88">
      <w:pPr>
        <w:rPr>
          <w:b/>
        </w:rPr>
      </w:pPr>
      <w:r>
        <w:t>*</w:t>
      </w:r>
      <w:r w:rsidRPr="00DE6B08">
        <w:rPr>
          <w:sz w:val="18"/>
          <w:szCs w:val="18"/>
        </w:rPr>
        <w:t>the</w:t>
      </w:r>
      <w:r w:rsidRPr="00DE6B08">
        <w:rPr>
          <w:sz w:val="18"/>
          <w:szCs w:val="18"/>
        </w:rPr>
        <w:t xml:space="preserve"> Salary in table above is cited from </w:t>
      </w:r>
      <w:hyperlink r:id="rId6" w:history="1">
        <w:r w:rsidRPr="00DE6B08" w:rsidR="00F01B98">
          <w:rPr>
            <w:rStyle w:val="Hyperlink"/>
            <w:sz w:val="18"/>
            <w:szCs w:val="18"/>
          </w:rPr>
          <w:t>https://www.opm.gov/policy-data-oversight/pay-leave/salaries-wages/2022/general-schedule/</w:t>
        </w:r>
      </w:hyperlink>
      <w:r w:rsidR="00F01B98">
        <w:t xml:space="preserve"> </w:t>
      </w:r>
    </w:p>
    <w:p w:rsidR="00ED6492" w14:paraId="0B5C9F16" w14:textId="77777777">
      <w:pPr>
        <w:rPr>
          <w:b/>
          <w:bCs/>
          <w:u w:val="single"/>
        </w:rPr>
      </w:pPr>
    </w:p>
    <w:p w:rsidR="0069403B" w:rsidP="00F06866" w14:paraId="7B4FB8A6"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3C6BB835" w14:textId="77777777">
      <w:pPr>
        <w:rPr>
          <w:b/>
        </w:rPr>
      </w:pPr>
    </w:p>
    <w:p w:rsidR="00F06866" w:rsidP="00F06866" w14:paraId="0B86A57F" w14:textId="77777777">
      <w:pPr>
        <w:rPr>
          <w:b/>
        </w:rPr>
      </w:pPr>
      <w:r>
        <w:rPr>
          <w:b/>
        </w:rPr>
        <w:t>The</w:t>
      </w:r>
      <w:r w:rsidR="0069403B">
        <w:rPr>
          <w:b/>
        </w:rPr>
        <w:t xml:space="preserve"> select</w:t>
      </w:r>
      <w:r>
        <w:rPr>
          <w:b/>
        </w:rPr>
        <w:t>ion of your targeted respondents</w:t>
      </w:r>
    </w:p>
    <w:p w:rsidR="0069403B" w:rsidP="0069403B" w14:paraId="47879D41" w14:textId="251175E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7075D">
        <w:t>X</w:t>
      </w:r>
      <w:r>
        <w:t xml:space="preserve"> ] Yes</w:t>
      </w:r>
      <w:r>
        <w:tab/>
        <w:t>[] No</w:t>
      </w:r>
    </w:p>
    <w:p w:rsidR="00636621" w:rsidP="00636621" w14:paraId="38A88F38" w14:textId="77777777">
      <w:pPr>
        <w:pStyle w:val="ListParagraph"/>
      </w:pPr>
    </w:p>
    <w:p w:rsidR="00636621" w:rsidP="001B0AAA" w14:paraId="358B318F" w14:textId="3FD2BD6E">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F0630F" w:rsidP="001B0AAA" w14:paraId="12B9F177" w14:textId="0271272B"/>
    <w:p w:rsidR="00F0630F" w:rsidP="001B0AAA" w14:paraId="49F8544B" w14:textId="1D02A9CB">
      <w:r>
        <w:t xml:space="preserve">All IGNITE graduates will be sent the survey; no sampling will be used. Contact PIs who have had an IGNITE grant that is no longer active are easily identifiable with NIH grant tracking systems. </w:t>
      </w:r>
    </w:p>
    <w:p w:rsidR="00A403BB" w:rsidP="00A403BB" w14:paraId="37F9091A" w14:textId="77777777">
      <w:pPr>
        <w:pStyle w:val="ListParagraph"/>
      </w:pPr>
    </w:p>
    <w:p w:rsidR="00A403BB" w:rsidP="00A403BB" w14:paraId="67DEEF3A" w14:textId="77777777"/>
    <w:p w:rsidR="00A403BB" w:rsidP="00A403BB" w14:paraId="6E8C7A88" w14:textId="77777777">
      <w:pPr>
        <w:rPr>
          <w:b/>
        </w:rPr>
      </w:pPr>
      <w:r>
        <w:rPr>
          <w:b/>
        </w:rPr>
        <w:t>Administration of the Instrument</w:t>
      </w:r>
    </w:p>
    <w:p w:rsidR="00A403BB" w:rsidP="00A403BB" w14:paraId="1E4593EB" w14:textId="77777777">
      <w:pPr>
        <w:pStyle w:val="ListParagraph"/>
        <w:numPr>
          <w:ilvl w:val="0"/>
          <w:numId w:val="17"/>
        </w:numPr>
      </w:pPr>
      <w:r>
        <w:t>H</w:t>
      </w:r>
      <w:r>
        <w:t>ow will you collect the information? (Check all that apply)</w:t>
      </w:r>
    </w:p>
    <w:p w:rsidR="001B0AAA" w:rsidP="001B0AAA" w14:paraId="6E48500C" w14:textId="7CAD81BC">
      <w:pPr>
        <w:ind w:left="720"/>
      </w:pPr>
      <w:r>
        <w:t>[</w:t>
      </w:r>
      <w:r w:rsidR="00F0630F">
        <w:t>X</w:t>
      </w:r>
      <w:r>
        <w:t>] Web-based</w:t>
      </w:r>
      <w:r>
        <w:t xml:space="preserve"> or other forms of Social Media </w:t>
      </w:r>
    </w:p>
    <w:p w:rsidR="001B0AAA" w:rsidP="001B0AAA" w14:paraId="6733C69B" w14:textId="3C609D6B">
      <w:pPr>
        <w:ind w:left="720"/>
      </w:pPr>
      <w:r>
        <w:t>[</w:t>
      </w:r>
      <w:r w:rsidR="00CB4C5B">
        <w:t>X</w:t>
      </w:r>
      <w:r>
        <w:t>] Telephone</w:t>
      </w:r>
      <w:r w:rsidR="00CB4C5B">
        <w:t xml:space="preserve">- </w:t>
      </w:r>
      <w:r w:rsidR="00CD0207">
        <w:t>(</w:t>
      </w:r>
      <w:r w:rsidRPr="00CB4C5B" w:rsidR="00CB4C5B">
        <w:rPr>
          <w:b/>
          <w:bCs/>
        </w:rPr>
        <w:t>Only if requested</w:t>
      </w:r>
      <w:r w:rsidR="00CB4C5B">
        <w:rPr>
          <w:b/>
          <w:bCs/>
        </w:rPr>
        <w:t xml:space="preserve"> by respondent</w:t>
      </w:r>
      <w:r w:rsidR="00CD0207">
        <w:rPr>
          <w:b/>
          <w:bCs/>
        </w:rPr>
        <w:t>)</w:t>
      </w:r>
    </w:p>
    <w:p w:rsidR="001B0AAA" w:rsidP="001B0AAA" w14:paraId="48571807" w14:textId="77777777">
      <w:pPr>
        <w:ind w:left="720"/>
      </w:pPr>
      <w:r>
        <w:t>[</w:t>
      </w:r>
      <w:r>
        <w:t xml:space="preserve"> </w:t>
      </w:r>
      <w:r>
        <w:t xml:space="preserve"> ] In-person</w:t>
      </w:r>
      <w:r>
        <w:tab/>
      </w:r>
    </w:p>
    <w:p w:rsidR="001B0AAA" w:rsidP="001B0AAA" w14:paraId="504197B6" w14:textId="2626705D">
      <w:pPr>
        <w:ind w:left="720"/>
      </w:pPr>
      <w:r>
        <w:t>[</w:t>
      </w:r>
      <w:r w:rsidR="00696176">
        <w:t xml:space="preserve"> </w:t>
      </w:r>
      <w:r>
        <w:t>] Mail</w:t>
      </w:r>
      <w:r>
        <w:t xml:space="preserve"> </w:t>
      </w:r>
    </w:p>
    <w:p w:rsidR="001B0AAA" w:rsidP="001B0AAA" w14:paraId="7F6612C8" w14:textId="77777777">
      <w:pPr>
        <w:ind w:left="720"/>
      </w:pPr>
      <w:r>
        <w:t xml:space="preserve">[ </w:t>
      </w:r>
      <w:r>
        <w:t xml:space="preserve"> </w:t>
      </w:r>
      <w:r>
        <w:t>] Other, Explain</w:t>
      </w:r>
    </w:p>
    <w:p w:rsidR="00F24CFC" w:rsidP="00F24CFC" w14:paraId="09EB718E" w14:textId="6F7748D9">
      <w:pPr>
        <w:pStyle w:val="ListParagraph"/>
        <w:numPr>
          <w:ilvl w:val="0"/>
          <w:numId w:val="17"/>
        </w:numPr>
      </w:pPr>
      <w:r>
        <w:t>Will interviewers or facilitators be used?  [  ] Yes [</w:t>
      </w:r>
      <w:r w:rsidR="00F0630F">
        <w:t>X</w:t>
      </w:r>
      <w:r>
        <w:t>] No</w:t>
      </w:r>
    </w:p>
    <w:p w:rsidR="00F24CFC" w:rsidP="00F24CFC" w14:paraId="28700178" w14:textId="77777777">
      <w:pPr>
        <w:pStyle w:val="ListParagraph"/>
        <w:ind w:left="360"/>
      </w:pPr>
      <w:r>
        <w:t xml:space="preserve"> </w:t>
      </w:r>
    </w:p>
    <w:p w:rsidR="0024521E" w:rsidP="0024521E" w14:paraId="6BF52ADD" w14:textId="77777777">
      <w:pPr>
        <w:rPr>
          <w:b/>
        </w:rPr>
      </w:pPr>
      <w:r w:rsidRPr="00F24CFC">
        <w:rPr>
          <w:b/>
        </w:rPr>
        <w:t>Please make sure that all instruments, instructions, and scripts are submitted with the request.</w:t>
      </w:r>
    </w:p>
    <w:p w:rsidR="005E714A" w:rsidP="00F24CFC" w14:paraId="5354A140" w14:textId="77777777">
      <w:pPr>
        <w:tabs>
          <w:tab w:val="left" w:pos="5670"/>
        </w:tabs>
        <w:suppressAutoHyphens/>
      </w:pP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11D0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8D6" w14:paraId="1EB1D9B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8DEB13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7812D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0549C773" w14:textId="0837A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08A" w14:paraId="38D2E8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4296"/>
    <w:rsid w:val="00047A64"/>
    <w:rsid w:val="000510DD"/>
    <w:rsid w:val="00063E20"/>
    <w:rsid w:val="00067329"/>
    <w:rsid w:val="000722CE"/>
    <w:rsid w:val="00073870"/>
    <w:rsid w:val="000913EC"/>
    <w:rsid w:val="000B2838"/>
    <w:rsid w:val="000D030E"/>
    <w:rsid w:val="000D44CA"/>
    <w:rsid w:val="000E200B"/>
    <w:rsid w:val="000F68BE"/>
    <w:rsid w:val="00113A81"/>
    <w:rsid w:val="00162F83"/>
    <w:rsid w:val="00177AEA"/>
    <w:rsid w:val="001855D1"/>
    <w:rsid w:val="001927A4"/>
    <w:rsid w:val="00194AC6"/>
    <w:rsid w:val="001A23B0"/>
    <w:rsid w:val="001A25CC"/>
    <w:rsid w:val="001B0AAA"/>
    <w:rsid w:val="001C39F7"/>
    <w:rsid w:val="001D6148"/>
    <w:rsid w:val="001E4F44"/>
    <w:rsid w:val="0023489B"/>
    <w:rsid w:val="00237B48"/>
    <w:rsid w:val="0024521E"/>
    <w:rsid w:val="00250621"/>
    <w:rsid w:val="00263C3D"/>
    <w:rsid w:val="00274D0B"/>
    <w:rsid w:val="00284110"/>
    <w:rsid w:val="002B1498"/>
    <w:rsid w:val="002B3C95"/>
    <w:rsid w:val="002B46B0"/>
    <w:rsid w:val="002D0B92"/>
    <w:rsid w:val="002D26E2"/>
    <w:rsid w:val="002D74B4"/>
    <w:rsid w:val="002E48F5"/>
    <w:rsid w:val="003423B1"/>
    <w:rsid w:val="00350941"/>
    <w:rsid w:val="003668D6"/>
    <w:rsid w:val="0037075D"/>
    <w:rsid w:val="00371287"/>
    <w:rsid w:val="003932D1"/>
    <w:rsid w:val="003960BB"/>
    <w:rsid w:val="003A7074"/>
    <w:rsid w:val="003B5350"/>
    <w:rsid w:val="003D5BBE"/>
    <w:rsid w:val="003E3C61"/>
    <w:rsid w:val="003F1C5B"/>
    <w:rsid w:val="004147CC"/>
    <w:rsid w:val="00420E91"/>
    <w:rsid w:val="00431EB1"/>
    <w:rsid w:val="00434E33"/>
    <w:rsid w:val="00441434"/>
    <w:rsid w:val="0045264C"/>
    <w:rsid w:val="0048415B"/>
    <w:rsid w:val="004876EC"/>
    <w:rsid w:val="00496F30"/>
    <w:rsid w:val="004A44F3"/>
    <w:rsid w:val="004B1EB8"/>
    <w:rsid w:val="004B48BB"/>
    <w:rsid w:val="004C0A1F"/>
    <w:rsid w:val="004C3224"/>
    <w:rsid w:val="004D6E14"/>
    <w:rsid w:val="005009B0"/>
    <w:rsid w:val="00531E1B"/>
    <w:rsid w:val="005602C1"/>
    <w:rsid w:val="005A1006"/>
    <w:rsid w:val="005A772A"/>
    <w:rsid w:val="005A7C5D"/>
    <w:rsid w:val="005B00F9"/>
    <w:rsid w:val="005E714A"/>
    <w:rsid w:val="006140A0"/>
    <w:rsid w:val="00621349"/>
    <w:rsid w:val="00633F74"/>
    <w:rsid w:val="00636329"/>
    <w:rsid w:val="00636621"/>
    <w:rsid w:val="006409B1"/>
    <w:rsid w:val="00642B49"/>
    <w:rsid w:val="006810BF"/>
    <w:rsid w:val="006832D9"/>
    <w:rsid w:val="00686301"/>
    <w:rsid w:val="0069403B"/>
    <w:rsid w:val="00696176"/>
    <w:rsid w:val="006B7B34"/>
    <w:rsid w:val="006D5F47"/>
    <w:rsid w:val="006E24B9"/>
    <w:rsid w:val="006F3DDE"/>
    <w:rsid w:val="00704678"/>
    <w:rsid w:val="007304E5"/>
    <w:rsid w:val="007425E7"/>
    <w:rsid w:val="00766D95"/>
    <w:rsid w:val="0077703F"/>
    <w:rsid w:val="007B066A"/>
    <w:rsid w:val="007F2A72"/>
    <w:rsid w:val="00802607"/>
    <w:rsid w:val="008101A5"/>
    <w:rsid w:val="00811789"/>
    <w:rsid w:val="00822664"/>
    <w:rsid w:val="00843796"/>
    <w:rsid w:val="0084722D"/>
    <w:rsid w:val="0085116A"/>
    <w:rsid w:val="00887320"/>
    <w:rsid w:val="00895229"/>
    <w:rsid w:val="008A42F8"/>
    <w:rsid w:val="008C7D34"/>
    <w:rsid w:val="008E7827"/>
    <w:rsid w:val="008F0203"/>
    <w:rsid w:val="008F50D4"/>
    <w:rsid w:val="009239AA"/>
    <w:rsid w:val="00935ADA"/>
    <w:rsid w:val="00946B6C"/>
    <w:rsid w:val="00955A71"/>
    <w:rsid w:val="0096108F"/>
    <w:rsid w:val="009A036B"/>
    <w:rsid w:val="009C13B9"/>
    <w:rsid w:val="009D01A2"/>
    <w:rsid w:val="009F5923"/>
    <w:rsid w:val="00A10EDE"/>
    <w:rsid w:val="00A229F1"/>
    <w:rsid w:val="00A403BB"/>
    <w:rsid w:val="00A50F89"/>
    <w:rsid w:val="00A674DF"/>
    <w:rsid w:val="00A83AA6"/>
    <w:rsid w:val="00AC60E8"/>
    <w:rsid w:val="00AE14B1"/>
    <w:rsid w:val="00AE1809"/>
    <w:rsid w:val="00B1396E"/>
    <w:rsid w:val="00B2002B"/>
    <w:rsid w:val="00B47362"/>
    <w:rsid w:val="00B605E0"/>
    <w:rsid w:val="00B63B5A"/>
    <w:rsid w:val="00B75E88"/>
    <w:rsid w:val="00B80D76"/>
    <w:rsid w:val="00BA2105"/>
    <w:rsid w:val="00BA7E06"/>
    <w:rsid w:val="00BB43B5"/>
    <w:rsid w:val="00BB6219"/>
    <w:rsid w:val="00BC676D"/>
    <w:rsid w:val="00BD290F"/>
    <w:rsid w:val="00BE1F85"/>
    <w:rsid w:val="00BE429F"/>
    <w:rsid w:val="00BF6223"/>
    <w:rsid w:val="00C14CC4"/>
    <w:rsid w:val="00C20280"/>
    <w:rsid w:val="00C33C52"/>
    <w:rsid w:val="00C40D8B"/>
    <w:rsid w:val="00C8407A"/>
    <w:rsid w:val="00C8488C"/>
    <w:rsid w:val="00C86E91"/>
    <w:rsid w:val="00CA19A3"/>
    <w:rsid w:val="00CA2010"/>
    <w:rsid w:val="00CA2650"/>
    <w:rsid w:val="00CB1078"/>
    <w:rsid w:val="00CB4C5B"/>
    <w:rsid w:val="00CC6FAF"/>
    <w:rsid w:val="00CD0207"/>
    <w:rsid w:val="00CD3F0A"/>
    <w:rsid w:val="00D17065"/>
    <w:rsid w:val="00D24698"/>
    <w:rsid w:val="00D56DB7"/>
    <w:rsid w:val="00D6383F"/>
    <w:rsid w:val="00D662C8"/>
    <w:rsid w:val="00D81BEE"/>
    <w:rsid w:val="00D87AB3"/>
    <w:rsid w:val="00DB4A58"/>
    <w:rsid w:val="00DB59D0"/>
    <w:rsid w:val="00DB608A"/>
    <w:rsid w:val="00DC33D3"/>
    <w:rsid w:val="00DC64D3"/>
    <w:rsid w:val="00DE50CF"/>
    <w:rsid w:val="00DE6B08"/>
    <w:rsid w:val="00E26329"/>
    <w:rsid w:val="00E40B50"/>
    <w:rsid w:val="00E50293"/>
    <w:rsid w:val="00E65FFC"/>
    <w:rsid w:val="00E670E2"/>
    <w:rsid w:val="00E80951"/>
    <w:rsid w:val="00E854FE"/>
    <w:rsid w:val="00E86CC6"/>
    <w:rsid w:val="00EB56B3"/>
    <w:rsid w:val="00ED6492"/>
    <w:rsid w:val="00EE37F5"/>
    <w:rsid w:val="00EF2095"/>
    <w:rsid w:val="00F01B98"/>
    <w:rsid w:val="00F0630F"/>
    <w:rsid w:val="00F06866"/>
    <w:rsid w:val="00F15956"/>
    <w:rsid w:val="00F24CFC"/>
    <w:rsid w:val="00F3170F"/>
    <w:rsid w:val="00F838D5"/>
    <w:rsid w:val="00F86109"/>
    <w:rsid w:val="00F94D8C"/>
    <w:rsid w:val="00F976B0"/>
    <w:rsid w:val="00FA6DE7"/>
    <w:rsid w:val="00FC0A8E"/>
    <w:rsid w:val="00FC166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styleId="UnresolvedMention">
    <w:name w:val="Unresolved Mention"/>
    <w:basedOn w:val="DefaultParagraphFont"/>
    <w:uiPriority w:val="99"/>
    <w:semiHidden/>
    <w:unhideWhenUsed/>
    <w:rsid w:val="00F0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191042.htm" TargetMode="External" /><Relationship Id="rId6" Type="http://schemas.openxmlformats.org/officeDocument/2006/relationships/hyperlink" Target="https://www.opm.gov/policy-data-oversight/pay-leave/salaries-wages/2022/general-schedul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3AAE-CA08-440D-99D5-D492E8B7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2019-09-04T14:23:00Z</cp:lastPrinted>
  <dcterms:created xsi:type="dcterms:W3CDTF">2022-09-21T17:38:00Z</dcterms:created>
  <dcterms:modified xsi:type="dcterms:W3CDTF">2022-09-21T17:39:00Z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