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DB608A" w:rsidP="00F06866" w14:paraId="200A4861" w14:textId="6B867D52">
      <w:pPr>
        <w:pStyle w:val="Heading2"/>
        <w:tabs>
          <w:tab w:val="left" w:pos="900"/>
        </w:tabs>
        <w:ind w:right="-180"/>
        <w:rPr>
          <w:sz w:val="28"/>
        </w:rPr>
      </w:pPr>
      <w:r>
        <w:rPr>
          <w:sz w:val="28"/>
        </w:rPr>
        <w:tab/>
        <w:t>`</w:t>
      </w:r>
      <w:r w:rsidR="00F06866">
        <w:rPr>
          <w:sz w:val="28"/>
        </w:rPr>
        <w:t xml:space="preserve">Request for Approval under the </w:t>
      </w:r>
      <w:r w:rsidRPr="00F06866" w:rsidR="00F06866">
        <w:rPr>
          <w:sz w:val="28"/>
        </w:rPr>
        <w:t xml:space="preserve">“Generic Clearance </w:t>
      </w:r>
      <w:r w:rsidR="003B5350">
        <w:rPr>
          <w:sz w:val="28"/>
        </w:rPr>
        <w:t>for NIH Citizen Science and Crowdsourcing Projects</w:t>
      </w:r>
      <w:r w:rsidRPr="00F06866" w:rsidR="00F06866">
        <w:rPr>
          <w:sz w:val="28"/>
        </w:rPr>
        <w:t>”</w:t>
      </w:r>
      <w:r w:rsidR="00F06866">
        <w:rPr>
          <w:sz w:val="28"/>
        </w:rPr>
        <w:t xml:space="preserve"> </w:t>
      </w:r>
    </w:p>
    <w:p w:rsidR="005E714A" w:rsidP="00F06866" w14:paraId="45876AC8" w14:textId="3E53B97E">
      <w:pPr>
        <w:pStyle w:val="Heading2"/>
        <w:tabs>
          <w:tab w:val="left" w:pos="900"/>
        </w:tabs>
        <w:ind w:right="-180"/>
      </w:pPr>
      <w:r>
        <w:rPr>
          <w:sz w:val="28"/>
        </w:rPr>
        <w:t>(</w:t>
      </w:r>
      <w:r w:rsidR="00686301">
        <w:t>OMB#</w:t>
      </w:r>
      <w:r w:rsidRPr="00686301">
        <w:t xml:space="preserve">: </w:t>
      </w:r>
      <w:r w:rsidR="002B1498">
        <w:t>0925-0766</w:t>
      </w:r>
      <w:r w:rsidR="00686301">
        <w:t xml:space="preserve"> Exp</w:t>
      </w:r>
      <w:r w:rsidR="00A50F89">
        <w:t>., d</w:t>
      </w:r>
      <w:r w:rsidR="00887320">
        <w:t>ate:</w:t>
      </w:r>
      <w:r w:rsidR="00A50F89">
        <w:t xml:space="preserve"> </w:t>
      </w:r>
      <w:r w:rsidR="002B1498">
        <w:t>04/2023</w:t>
      </w:r>
      <w:r>
        <w:rPr>
          <w:sz w:val="28"/>
        </w:rPr>
        <w:t>)</w:t>
      </w:r>
    </w:p>
    <w:p w:rsidR="00E50293" w:rsidRPr="009239AA" w:rsidP="00434E33" w14:paraId="771867AD" w14:textId="03EEB6F7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7145" r="9525" b="11430"/>
                <wp:wrapNone/>
                <wp:docPr id="2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0" to="468pt,0" o:allowincell="f" strokeweight="1.5pt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 </w:t>
      </w:r>
      <w:r w:rsidRPr="00C13023" w:rsidR="004D56AD">
        <w:rPr>
          <w:rFonts w:cstheme="minorHAnsi"/>
          <w:b/>
          <w:bCs/>
        </w:rPr>
        <w:t xml:space="preserve">Nomination to Serve on Peer Review Activities for the National </w:t>
      </w:r>
      <w:r w:rsidR="001434FD">
        <w:rPr>
          <w:rFonts w:cstheme="minorHAnsi"/>
          <w:b/>
          <w:bCs/>
        </w:rPr>
        <w:t xml:space="preserve">Institute of </w:t>
      </w:r>
      <w:r w:rsidR="00546E1B">
        <w:rPr>
          <w:rFonts w:cstheme="minorHAnsi"/>
          <w:b/>
          <w:bCs/>
        </w:rPr>
        <w:t>Mental Health</w:t>
      </w:r>
      <w:r w:rsidR="001434FD">
        <w:rPr>
          <w:rFonts w:cstheme="minorHAnsi"/>
          <w:b/>
          <w:bCs/>
        </w:rPr>
        <w:t xml:space="preserve"> (NIM</w:t>
      </w:r>
      <w:r w:rsidR="00546E1B">
        <w:rPr>
          <w:rFonts w:cstheme="minorHAnsi"/>
          <w:b/>
          <w:bCs/>
        </w:rPr>
        <w:t>H</w:t>
      </w:r>
      <w:r w:rsidR="001434FD">
        <w:rPr>
          <w:rFonts w:cstheme="minorHAnsi"/>
          <w:b/>
          <w:bCs/>
        </w:rPr>
        <w:t>)</w:t>
      </w:r>
    </w:p>
    <w:p w:rsidR="005E714A" w14:paraId="7E4E3CB3" w14:textId="77777777"/>
    <w:p w:rsidR="001B0AAA" w14:paraId="10AD0DCF" w14:textId="191BB7CE"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</w:p>
    <w:p w:rsidR="004D56AD" w:rsidRPr="001A5E6A" w:rsidP="152B75A6" w14:paraId="12846121" w14:textId="28EB9C5F">
      <w:pPr>
        <w:spacing w:after="120" w:line="300" w:lineRule="auto"/>
        <w:rPr>
          <w:rFonts w:cstheme="minorBidi"/>
        </w:rPr>
      </w:pPr>
      <w:r w:rsidRPr="001A5E6A">
        <w:rPr>
          <w:rFonts w:cstheme="minorBidi"/>
        </w:rPr>
        <w:t xml:space="preserve">NIMH </w:t>
      </w:r>
      <w:r w:rsidRPr="001A5E6A">
        <w:rPr>
          <w:rFonts w:cstheme="minorBidi"/>
        </w:rPr>
        <w:t xml:space="preserve">seeks self-nomination of individuals with appropriate expertise to participate </w:t>
      </w:r>
      <w:r w:rsidRPr="001A5E6A" w:rsidR="00B33EC6">
        <w:rPr>
          <w:rFonts w:cstheme="minorBidi"/>
        </w:rPr>
        <w:t xml:space="preserve">in </w:t>
      </w:r>
      <w:r w:rsidRPr="001A5E6A" w:rsidR="007704E5">
        <w:rPr>
          <w:rFonts w:cstheme="minorBidi"/>
        </w:rPr>
        <w:t>scientific</w:t>
      </w:r>
      <w:r w:rsidRPr="001A5E6A">
        <w:rPr>
          <w:rFonts w:cstheme="minorBidi"/>
        </w:rPr>
        <w:t xml:space="preserve"> review activities</w:t>
      </w:r>
      <w:r w:rsidRPr="001A5E6A" w:rsidR="000649E6">
        <w:rPr>
          <w:rFonts w:cstheme="minorBidi"/>
        </w:rPr>
        <w:t>.</w:t>
      </w:r>
      <w:r w:rsidRPr="001A5E6A">
        <w:rPr>
          <w:rFonts w:cstheme="minorBidi"/>
        </w:rPr>
        <w:t xml:space="preserve"> </w:t>
      </w:r>
      <w:r w:rsidRPr="001A5E6A" w:rsidR="00BC0FA4">
        <w:rPr>
          <w:rFonts w:cstheme="minorBidi"/>
        </w:rPr>
        <w:t>The NIMH is interested in expanding its pool of available reviewers with researchers who can bring diverse perspectives to the evaluation of applications</w:t>
      </w:r>
      <w:r w:rsidRPr="001A5E6A" w:rsidR="007704E5">
        <w:rPr>
          <w:rFonts w:cstheme="minorBidi"/>
        </w:rPr>
        <w:t>.</w:t>
      </w:r>
    </w:p>
    <w:p w:rsidR="00C8488C" w:rsidRPr="001A5E6A" w:rsidP="00434E33" w14:paraId="16F056AE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434E33" w:rsidRPr="001A5E6A" w:rsidP="00434E33" w14:paraId="1D3A01FE" w14:textId="77777777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1A5E6A">
        <w:rPr>
          <w:b/>
        </w:rPr>
        <w:t>DESCRIPTION OF RESPONDENTS</w:t>
      </w:r>
      <w:r w:rsidRPr="001A5E6A">
        <w:t xml:space="preserve">: </w:t>
      </w:r>
    </w:p>
    <w:p w:rsidR="00C8488C" w:rsidRPr="001A5E6A" w14:paraId="0B414700" w14:textId="77777777"/>
    <w:p w:rsidR="00434E33" w14:paraId="53F6A91A" w14:textId="012EC0F9">
      <w:r w:rsidRPr="001A5E6A">
        <w:t xml:space="preserve">The respondents may be persons from academia, industry, other governmental organizations, nongovernmental organizations, </w:t>
      </w:r>
      <w:r w:rsidRPr="001A5E6A" w:rsidR="00B33EC6">
        <w:t xml:space="preserve">and the </w:t>
      </w:r>
      <w:r w:rsidRPr="001A5E6A">
        <w:t>public</w:t>
      </w:r>
      <w:r w:rsidRPr="001A5E6A" w:rsidR="00B33EC6">
        <w:t>.</w:t>
      </w:r>
    </w:p>
    <w:p w:rsidR="00E26329" w14:paraId="0AD177E0" w14:textId="77777777">
      <w:pPr>
        <w:rPr>
          <w:b/>
        </w:rPr>
      </w:pPr>
    </w:p>
    <w:p w:rsidR="00F06866" w:rsidRPr="00F06866" w14:paraId="20F08E9D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P="0096108F" w14:paraId="479BE664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P="0096108F" w14:paraId="42E25D80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</w:t>
      </w:r>
      <w:r w:rsidRPr="00F06866">
        <w:rPr>
          <w:bCs/>
          <w:sz w:val="24"/>
        </w:rPr>
        <w:t xml:space="preserve"> </w:t>
      </w:r>
      <w:r w:rsidR="00DB608A">
        <w:rPr>
          <w:bCs/>
          <w:sz w:val="24"/>
        </w:rPr>
        <w:t>Data Catalogue</w:t>
      </w:r>
      <w:r w:rsidRPr="00F06866">
        <w:rPr>
          <w:bCs/>
          <w:sz w:val="24"/>
        </w:rPr>
        <w:tab/>
        <w:t xml:space="preserve"> </w:t>
      </w:r>
      <w:r w:rsidR="00DB608A">
        <w:rPr>
          <w:bCs/>
          <w:sz w:val="24"/>
        </w:rPr>
        <w:tab/>
      </w:r>
      <w:r w:rsidR="00DB608A">
        <w:rPr>
          <w:bCs/>
          <w:sz w:val="24"/>
        </w:rPr>
        <w:tab/>
      </w:r>
      <w:r w:rsidR="00DB608A">
        <w:rPr>
          <w:bCs/>
          <w:sz w:val="24"/>
        </w:rPr>
        <w:tab/>
      </w:r>
      <w:r w:rsidR="00DB608A">
        <w:rPr>
          <w:bCs/>
          <w:sz w:val="24"/>
        </w:rPr>
        <w:tab/>
        <w:t>[ ] Repository of Tools and Best Practices</w:t>
      </w:r>
    </w:p>
    <w:p w:rsidR="0096108F" w:rsidP="0096108F" w14:paraId="0129C2CF" w14:textId="764FF938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</w:t>
      </w:r>
      <w:r w:rsidR="00D401EE"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r w:rsidRPr="00F06866">
        <w:rPr>
          <w:bCs/>
          <w:sz w:val="24"/>
        </w:rPr>
        <w:t xml:space="preserve"> </w:t>
      </w:r>
      <w:r w:rsidR="00DB608A">
        <w:rPr>
          <w:bCs/>
          <w:sz w:val="24"/>
        </w:rPr>
        <w:t>Recommendations of scientific reviewers</w:t>
      </w:r>
      <w:r w:rsidR="00DB608A">
        <w:rPr>
          <w:bCs/>
          <w:sz w:val="24"/>
        </w:rPr>
        <w:tab/>
      </w:r>
      <w:r w:rsidR="00D401EE">
        <w:rPr>
          <w:bCs/>
          <w:sz w:val="24"/>
        </w:rPr>
        <w:tab/>
      </w:r>
      <w:r w:rsidR="00DB608A">
        <w:rPr>
          <w:bCs/>
          <w:sz w:val="24"/>
        </w:rPr>
        <w:t>[ ] Resources</w:t>
      </w:r>
    </w:p>
    <w:p w:rsidR="00F06866" w:rsidRPr="00F06866" w:rsidP="0096108F" w14:paraId="3A23215E" w14:textId="0394418D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6D5F47">
        <w:rPr>
          <w:bCs/>
          <w:sz w:val="24"/>
        </w:rPr>
        <w:t xml:space="preserve"> </w:t>
      </w:r>
      <w:r w:rsidR="00E9302A">
        <w:rPr>
          <w:bCs/>
          <w:sz w:val="24"/>
        </w:rPr>
        <w:t xml:space="preserve">X </w:t>
      </w:r>
      <w:r w:rsidR="006D5F47">
        <w:rPr>
          <w:bCs/>
          <w:sz w:val="24"/>
        </w:rPr>
        <w:t>]</w:t>
      </w:r>
      <w:r w:rsidR="006D5F47">
        <w:rPr>
          <w:bCs/>
          <w:sz w:val="24"/>
        </w:rPr>
        <w:t xml:space="preserve"> </w:t>
      </w:r>
      <w:r w:rsidR="00DB608A">
        <w:rPr>
          <w:bCs/>
          <w:sz w:val="24"/>
        </w:rPr>
        <w:t>Call for Nominations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>
        <w:rPr>
          <w:bCs/>
          <w:sz w:val="24"/>
        </w:rPr>
        <w:t>[</w:t>
      </w:r>
      <w:r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Other:</w:t>
      </w:r>
      <w:r w:rsidRPr="00F06866">
        <w:rPr>
          <w:bCs/>
          <w:sz w:val="24"/>
          <w:u w:val="single"/>
        </w:rPr>
        <w:t xml:space="preserve"> ______________________</w:t>
      </w: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</w:p>
    <w:p w:rsidR="00434E33" w14:paraId="70C3E664" w14:textId="77777777">
      <w:pPr>
        <w:pStyle w:val="Header"/>
        <w:tabs>
          <w:tab w:val="clear" w:pos="4320"/>
          <w:tab w:val="clear" w:pos="8640"/>
        </w:tabs>
      </w:pPr>
    </w:p>
    <w:p w:rsidR="00CA2650" w14:paraId="266A8E6E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14:paraId="60E6CE6D" w14:textId="77777777">
      <w:pPr>
        <w:rPr>
          <w:sz w:val="16"/>
          <w:szCs w:val="16"/>
        </w:rPr>
      </w:pPr>
    </w:p>
    <w:p w:rsidR="008101A5" w:rsidRPr="009C13B9" w:rsidP="008101A5" w14:paraId="118A1BD8" w14:textId="77777777">
      <w:r>
        <w:t xml:space="preserve">I certify the following to be true: </w:t>
      </w:r>
    </w:p>
    <w:p w:rsidR="008101A5" w:rsidP="008101A5" w14:paraId="7A5AE4B0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14:paraId="0C042F20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</w:t>
      </w:r>
      <w:r w:rsidRPr="00C14CC4">
        <w:t xml:space="preserve"> for respondents and low-cost for the Federal Government</w:t>
      </w:r>
      <w:r>
        <w:t>.</w:t>
      </w:r>
    </w:p>
    <w:p w:rsidR="008101A5" w:rsidP="008101A5" w14:paraId="1790836B" w14:textId="7EA2C074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14:paraId="27B162B8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241E7B" w:rsidRPr="00241E7B" w:rsidP="00241E7B" w14:paraId="3B755681" w14:textId="77777777">
      <w:pPr>
        <w:pStyle w:val="ListParagraph"/>
        <w:numPr>
          <w:ilvl w:val="0"/>
          <w:numId w:val="14"/>
        </w:numPr>
      </w:pPr>
      <w:r w:rsidRPr="00241E7B">
        <w:t>The collection is targeted to the solicitation of opinions from respondents who have experience with the program or may have experience with the program in the future.</w:t>
      </w:r>
    </w:p>
    <w:p w:rsidR="009C13B9" w:rsidP="009C13B9" w14:paraId="353F279A" w14:textId="77777777"/>
    <w:p w:rsidR="009C13B9" w:rsidP="009C13B9" w14:paraId="52DF1569" w14:textId="79258B38">
      <w:r>
        <w:t>Name:</w:t>
      </w:r>
      <w:r w:rsidR="006464E6">
        <w:t xml:space="preserve"> </w:t>
      </w:r>
      <w:r w:rsidR="0020788A">
        <w:rPr>
          <w:u w:val="single"/>
        </w:rPr>
        <w:t>Nick Gaiano</w:t>
      </w:r>
      <w:r w:rsidR="00383527">
        <w:rPr>
          <w:u w:val="single"/>
        </w:rPr>
        <w:t>, Ph.D.</w:t>
      </w:r>
    </w:p>
    <w:p w:rsidR="009C13B9" w:rsidP="009C13B9" w14:paraId="53454E83" w14:textId="77777777">
      <w:pPr>
        <w:pStyle w:val="ListParagraph"/>
        <w:ind w:left="360"/>
      </w:pPr>
    </w:p>
    <w:p w:rsidR="009C13B9" w:rsidP="009C13B9" w14:paraId="24E1CA9D" w14:textId="77777777">
      <w:r>
        <w:t>To assist review, please provide answers to the following question:</w:t>
      </w:r>
    </w:p>
    <w:p w:rsidR="009C13B9" w:rsidP="009C13B9" w14:paraId="0526A668" w14:textId="77777777">
      <w:pPr>
        <w:pStyle w:val="ListParagraph"/>
        <w:ind w:left="360"/>
      </w:pPr>
    </w:p>
    <w:p w:rsidR="009C13B9" w:rsidRPr="00C86E91" w:rsidP="00C86E91" w14:paraId="36CA8E31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 w14:paraId="13BDC04D" w14:textId="4E28BC60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 xml:space="preserve">[ </w:t>
      </w:r>
      <w:r w:rsidR="004D56AD">
        <w:t>X</w:t>
      </w:r>
      <w:r w:rsidR="009239AA">
        <w:t xml:space="preserve"> ]</w:t>
      </w:r>
      <w:r w:rsidR="009239AA">
        <w:t xml:space="preserve"> Yes  [ ]  No </w:t>
      </w:r>
    </w:p>
    <w:p w:rsidR="00C86E91" w:rsidP="00C86E91" w14:paraId="7186FCEC" w14:textId="0BCF98E7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</w:t>
      </w:r>
      <w:r w:rsidR="009239AA">
        <w:t>,</w:t>
      </w:r>
      <w:r>
        <w:t xml:space="preserve"> </w:t>
      </w:r>
      <w:r w:rsidR="009239AA">
        <w:t xml:space="preserve">is the information that will be collected included in records that are subject to the Privacy Act of 1974?   [ </w:t>
      </w:r>
      <w:r w:rsidR="004D56AD">
        <w:t>X</w:t>
      </w:r>
      <w:r w:rsidR="009239AA">
        <w:t xml:space="preserve"> ]</w:t>
      </w:r>
      <w:r w:rsidR="009239AA">
        <w:t xml:space="preserve"> Yes [  ] No</w:t>
      </w:r>
      <w:r>
        <w:t xml:space="preserve">   </w:t>
      </w:r>
    </w:p>
    <w:p w:rsidR="00C86E91" w:rsidP="00C86E91" w14:paraId="62A1D75A" w14:textId="36298A38">
      <w:pPr>
        <w:pStyle w:val="ListParagraph"/>
        <w:numPr>
          <w:ilvl w:val="0"/>
          <w:numId w:val="18"/>
        </w:numPr>
      </w:pPr>
      <w:r>
        <w:t xml:space="preserve">If Applicable, has a System or Records Notice been published?  [ </w:t>
      </w:r>
      <w:r w:rsidR="004D56AD">
        <w:t>X</w:t>
      </w:r>
      <w:r>
        <w:t xml:space="preserve"> ]</w:t>
      </w:r>
      <w:r>
        <w:t xml:space="preserve"> Yes  [  ] No</w:t>
      </w:r>
    </w:p>
    <w:p w:rsidR="00633F74" w:rsidP="00633F74" w14:paraId="75CF8E01" w14:textId="77777777">
      <w:pPr>
        <w:pStyle w:val="ListParagraph"/>
        <w:ind w:left="360"/>
      </w:pPr>
    </w:p>
    <w:p w:rsidR="00C86E91" w:rsidRPr="00C86E91" w:rsidP="00C86E91" w14:paraId="3687B54C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>
        <w:rPr>
          <w:b/>
        </w:rPr>
        <w:t>:</w:t>
      </w:r>
    </w:p>
    <w:p w:rsidR="00C86E91" w:rsidP="00C86E91" w14:paraId="0F43050C" w14:textId="72A857F0">
      <w:r>
        <w:t xml:space="preserve">Is an incentive (e.g., money or reimbursement of expenses, token of appreciation) provided to participants?  </w:t>
      </w:r>
      <w:r>
        <w:t>[  ]</w:t>
      </w:r>
      <w:r>
        <w:t xml:space="preserve"> Yes [ </w:t>
      </w:r>
      <w:r w:rsidR="004D56AD">
        <w:t>X</w:t>
      </w:r>
      <w:r>
        <w:t xml:space="preserve"> ] No  </w:t>
      </w:r>
    </w:p>
    <w:p w:rsidR="004D6E14" w14:paraId="19254812" w14:textId="77777777">
      <w:pPr>
        <w:rPr>
          <w:b/>
        </w:rPr>
      </w:pPr>
    </w:p>
    <w:p w:rsidR="005E714A" w:rsidRPr="00BC676D" w:rsidP="00C86E91" w14:paraId="384A9DB1" w14:textId="77777777">
      <w:pPr>
        <w:rPr>
          <w:b/>
          <w:i/>
        </w:rPr>
      </w:pPr>
      <w:r>
        <w:rPr>
          <w:b/>
        </w:rPr>
        <w:t xml:space="preserve">ESTIMATED </w:t>
      </w:r>
      <w:r>
        <w:rPr>
          <w:b/>
        </w:rPr>
        <w:t xml:space="preserve">BURDEN </w:t>
      </w:r>
      <w:r w:rsidRPr="00BC676D">
        <w:rPr>
          <w:b/>
        </w:rPr>
        <w:t>HOUR</w:t>
      </w:r>
      <w:r w:rsidRPr="00BC676D" w:rsidR="00441434">
        <w:rPr>
          <w:b/>
        </w:rPr>
        <w:t>S</w:t>
      </w:r>
      <w:r w:rsidRPr="00BC676D">
        <w:rPr>
          <w:b/>
        </w:rPr>
        <w:t xml:space="preserve"> </w:t>
      </w:r>
      <w:r w:rsidRPr="00BC676D" w:rsidR="00BC676D">
        <w:rPr>
          <w:b/>
        </w:rPr>
        <w:t>and COSTS</w:t>
      </w:r>
    </w:p>
    <w:p w:rsidR="006832D9" w:rsidRPr="006832D9" w:rsidP="00F3170F" w14:paraId="2190580F" w14:textId="77777777">
      <w:pPr>
        <w:keepNext/>
        <w:keepLines/>
        <w:rPr>
          <w:b/>
        </w:rPr>
      </w:pPr>
    </w:p>
    <w:tbl>
      <w:tblPr>
        <w:tblW w:w="9877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27"/>
        <w:gridCol w:w="1890"/>
        <w:gridCol w:w="2430"/>
        <w:gridCol w:w="1710"/>
        <w:gridCol w:w="1620"/>
      </w:tblGrid>
      <w:tr w14:paraId="43D8EEDC" w14:textId="77777777" w:rsidTr="00C15E7E">
        <w:tblPrEx>
          <w:tblW w:w="9877" w:type="dxa"/>
          <w:tblInd w:w="1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</w:trPr>
        <w:tc>
          <w:tcPr>
            <w:tcW w:w="2227" w:type="dxa"/>
          </w:tcPr>
          <w:p w:rsidR="003668D6" w:rsidRPr="002D26E2" w:rsidP="00C8488C" w14:paraId="398EF93D" w14:textId="77777777">
            <w:pPr>
              <w:rPr>
                <w:b/>
              </w:rPr>
            </w:pPr>
            <w:r w:rsidRPr="002D26E2">
              <w:rPr>
                <w:b/>
              </w:rPr>
              <w:t xml:space="preserve">Category of Respondent </w:t>
            </w:r>
          </w:p>
        </w:tc>
        <w:tc>
          <w:tcPr>
            <w:tcW w:w="1890" w:type="dxa"/>
          </w:tcPr>
          <w:p w:rsidR="003668D6" w:rsidRPr="002D26E2" w:rsidP="00843796" w14:paraId="3CFC5F12" w14:textId="77777777">
            <w:pPr>
              <w:rPr>
                <w:b/>
              </w:rPr>
            </w:pPr>
            <w:r w:rsidRPr="002D26E2">
              <w:rPr>
                <w:b/>
              </w:rPr>
              <w:t>No. of Respondents</w:t>
            </w:r>
          </w:p>
        </w:tc>
        <w:tc>
          <w:tcPr>
            <w:tcW w:w="2430" w:type="dxa"/>
          </w:tcPr>
          <w:p w:rsidR="003668D6" w:rsidRPr="002D26E2" w:rsidP="00843796" w14:paraId="38D7FB13" w14:textId="77777777">
            <w:pPr>
              <w:rPr>
                <w:b/>
              </w:rPr>
            </w:pPr>
            <w:r>
              <w:rPr>
                <w:b/>
              </w:rPr>
              <w:t xml:space="preserve">No. of Responses per Respondent </w:t>
            </w:r>
          </w:p>
        </w:tc>
        <w:tc>
          <w:tcPr>
            <w:tcW w:w="1710" w:type="dxa"/>
          </w:tcPr>
          <w:p w:rsidR="003668D6" w:rsidP="00843796" w14:paraId="50C7D0F5" w14:textId="77777777">
            <w:pPr>
              <w:rPr>
                <w:b/>
              </w:rPr>
            </w:pPr>
            <w:r>
              <w:rPr>
                <w:b/>
              </w:rPr>
              <w:t xml:space="preserve">Time per </w:t>
            </w:r>
          </w:p>
          <w:p w:rsidR="003668D6" w:rsidP="00843796" w14:paraId="1CA824AB" w14:textId="77777777">
            <w:pPr>
              <w:rPr>
                <w:b/>
              </w:rPr>
            </w:pPr>
            <w:r>
              <w:rPr>
                <w:b/>
              </w:rPr>
              <w:t xml:space="preserve">Response </w:t>
            </w:r>
          </w:p>
          <w:p w:rsidR="003668D6" w:rsidRPr="002D26E2" w:rsidP="00843796" w14:paraId="7993698B" w14:textId="77777777">
            <w:pPr>
              <w:rPr>
                <w:b/>
              </w:rPr>
            </w:pPr>
            <w:r>
              <w:rPr>
                <w:b/>
              </w:rPr>
              <w:t>(</w:t>
            </w:r>
            <w:r>
              <w:rPr>
                <w:b/>
              </w:rPr>
              <w:t>in</w:t>
            </w:r>
            <w:r>
              <w:rPr>
                <w:b/>
              </w:rPr>
              <w:t xml:space="preserve"> hours) </w:t>
            </w:r>
          </w:p>
        </w:tc>
        <w:tc>
          <w:tcPr>
            <w:tcW w:w="1620" w:type="dxa"/>
          </w:tcPr>
          <w:p w:rsidR="003668D6" w:rsidP="00843796" w14:paraId="2744E6E5" w14:textId="77777777">
            <w:pPr>
              <w:rPr>
                <w:b/>
              </w:rPr>
            </w:pPr>
            <w:r>
              <w:rPr>
                <w:b/>
              </w:rPr>
              <w:t xml:space="preserve">Total </w:t>
            </w:r>
            <w:r w:rsidRPr="002D26E2">
              <w:rPr>
                <w:b/>
              </w:rPr>
              <w:t>Burden</w:t>
            </w:r>
          </w:p>
          <w:p w:rsidR="003668D6" w:rsidRPr="002D26E2" w:rsidP="00843796" w14:paraId="195A9A2A" w14:textId="77777777">
            <w:pPr>
              <w:rPr>
                <w:b/>
              </w:rPr>
            </w:pPr>
            <w:r>
              <w:rPr>
                <w:b/>
              </w:rPr>
              <w:t xml:space="preserve">Hours </w:t>
            </w:r>
          </w:p>
        </w:tc>
      </w:tr>
      <w:tr w14:paraId="51A1D550" w14:textId="77777777" w:rsidTr="00CB70D4">
        <w:tblPrEx>
          <w:tblW w:w="9877" w:type="dxa"/>
          <w:tblInd w:w="18" w:type="dxa"/>
          <w:tblLayout w:type="fixed"/>
          <w:tblLook w:val="01E0"/>
        </w:tblPrEx>
        <w:trPr>
          <w:trHeight w:val="274"/>
        </w:trPr>
        <w:tc>
          <w:tcPr>
            <w:tcW w:w="2227" w:type="dxa"/>
            <w:vAlign w:val="center"/>
          </w:tcPr>
          <w:p w:rsidR="00FC2F70" w:rsidRPr="001227BB" w:rsidP="00FC2F70" w14:paraId="027E0DC1" w14:textId="1AB710BD">
            <w:r w:rsidRPr="001227BB">
              <w:rPr>
                <w:rFonts w:cstheme="minorHAnsi"/>
              </w:rPr>
              <w:t xml:space="preserve">Private Sector </w:t>
            </w:r>
          </w:p>
        </w:tc>
        <w:tc>
          <w:tcPr>
            <w:tcW w:w="1890" w:type="dxa"/>
            <w:vAlign w:val="center"/>
          </w:tcPr>
          <w:p w:rsidR="00FC2F70" w:rsidRPr="001227BB" w:rsidP="00FC2F70" w14:paraId="38E259CA" w14:textId="4E9B0322">
            <w:r w:rsidRPr="001227BB">
              <w:rPr>
                <w:rFonts w:cstheme="minorHAnsi"/>
              </w:rPr>
              <w:t>5</w:t>
            </w:r>
            <w:r w:rsidRPr="001227BB">
              <w:rPr>
                <w:rFonts w:cstheme="minorHAnsi"/>
              </w:rPr>
              <w:t>00</w:t>
            </w:r>
            <w:r w:rsidRPr="001227BB" w:rsidR="008757DB">
              <w:rPr>
                <w:rFonts w:cstheme="minorHAnsi"/>
              </w:rPr>
              <w:t xml:space="preserve"> </w:t>
            </w:r>
          </w:p>
        </w:tc>
        <w:tc>
          <w:tcPr>
            <w:tcW w:w="2430" w:type="dxa"/>
            <w:vAlign w:val="center"/>
          </w:tcPr>
          <w:p w:rsidR="00FC2F70" w:rsidRPr="001227BB" w:rsidP="00FC2F70" w14:paraId="5E9B6875" w14:textId="4C5CC309">
            <w:r w:rsidRPr="001227BB">
              <w:rPr>
                <w:rFonts w:cstheme="minorHAnsi"/>
              </w:rPr>
              <w:t>1</w:t>
            </w:r>
          </w:p>
        </w:tc>
        <w:tc>
          <w:tcPr>
            <w:tcW w:w="1710" w:type="dxa"/>
            <w:vAlign w:val="center"/>
          </w:tcPr>
          <w:p w:rsidR="00FC2F70" w:rsidRPr="001227BB" w:rsidP="00FC2F70" w14:paraId="0B034BB1" w14:textId="7FFB93C5">
            <w:r w:rsidRPr="001227BB">
              <w:rPr>
                <w:rFonts w:cstheme="minorHAnsi"/>
              </w:rPr>
              <w:t>1</w:t>
            </w:r>
            <w:r w:rsidRPr="001227BB" w:rsidR="001A5E6A">
              <w:rPr>
                <w:rFonts w:cstheme="minorHAnsi"/>
              </w:rPr>
              <w:t>5</w:t>
            </w:r>
            <w:r w:rsidRPr="001227BB" w:rsidR="00DE2EAB">
              <w:rPr>
                <w:rFonts w:cstheme="minorHAnsi"/>
              </w:rPr>
              <w:t>/60</w:t>
            </w:r>
            <w:r w:rsidRPr="001227BB" w:rsidR="008B2CB5">
              <w:rPr>
                <w:rFonts w:cstheme="minorHAnsi"/>
              </w:rPr>
              <w:t xml:space="preserve"> </w:t>
            </w:r>
          </w:p>
        </w:tc>
        <w:tc>
          <w:tcPr>
            <w:tcW w:w="1620" w:type="dxa"/>
            <w:vAlign w:val="center"/>
          </w:tcPr>
          <w:p w:rsidR="00FC2F70" w:rsidP="00FC2F70" w14:paraId="187B6A18" w14:textId="37ADA729">
            <w:r>
              <w:rPr>
                <w:rFonts w:cstheme="minorHAnsi"/>
              </w:rPr>
              <w:t>125</w:t>
            </w:r>
          </w:p>
        </w:tc>
      </w:tr>
      <w:tr w14:paraId="40D619CD" w14:textId="77777777" w:rsidTr="00CB70D4">
        <w:tblPrEx>
          <w:tblW w:w="9877" w:type="dxa"/>
          <w:tblInd w:w="18" w:type="dxa"/>
          <w:tblLayout w:type="fixed"/>
          <w:tblLook w:val="01E0"/>
        </w:tblPrEx>
        <w:trPr>
          <w:trHeight w:val="289"/>
        </w:trPr>
        <w:tc>
          <w:tcPr>
            <w:tcW w:w="2227" w:type="dxa"/>
            <w:vAlign w:val="center"/>
          </w:tcPr>
          <w:p w:rsidR="00FC2F70" w:rsidRPr="002D26E2" w:rsidP="00FC2F70" w14:paraId="4881398D" w14:textId="4566737E">
            <w:pPr>
              <w:rPr>
                <w:b/>
              </w:rPr>
            </w:pPr>
            <w:r w:rsidRPr="00C13023">
              <w:rPr>
                <w:rFonts w:cstheme="minorHAnsi"/>
              </w:rPr>
              <w:t>Total</w:t>
            </w:r>
          </w:p>
        </w:tc>
        <w:tc>
          <w:tcPr>
            <w:tcW w:w="1890" w:type="dxa"/>
            <w:vAlign w:val="center"/>
          </w:tcPr>
          <w:p w:rsidR="00FC2F70" w:rsidRPr="002D26E2" w:rsidP="00FC2F70" w14:paraId="2089A7BF" w14:textId="4E2B2195">
            <w:pPr>
              <w:rPr>
                <w:b/>
              </w:rPr>
            </w:pPr>
          </w:p>
        </w:tc>
        <w:tc>
          <w:tcPr>
            <w:tcW w:w="2430" w:type="dxa"/>
            <w:vAlign w:val="center"/>
          </w:tcPr>
          <w:p w:rsidR="00FC2F70" w:rsidP="00FC2F70" w14:paraId="5BF515D7" w14:textId="4DB5A5A5">
            <w:r>
              <w:rPr>
                <w:rFonts w:cstheme="minorHAnsi"/>
              </w:rPr>
              <w:t>5</w:t>
            </w:r>
            <w:r w:rsidR="00FC2E3E">
              <w:rPr>
                <w:rFonts w:cstheme="minorHAnsi"/>
              </w:rPr>
              <w:t>00</w:t>
            </w:r>
          </w:p>
        </w:tc>
        <w:tc>
          <w:tcPr>
            <w:tcW w:w="1710" w:type="dxa"/>
            <w:vAlign w:val="center"/>
          </w:tcPr>
          <w:p w:rsidR="00FC2F70" w:rsidP="00FC2F70" w14:paraId="6453AF92" w14:textId="77777777"/>
        </w:tc>
        <w:tc>
          <w:tcPr>
            <w:tcW w:w="1620" w:type="dxa"/>
            <w:vAlign w:val="center"/>
          </w:tcPr>
          <w:p w:rsidR="00FC2F70" w:rsidRPr="002D26E2" w:rsidP="00FC2F70" w14:paraId="79836567" w14:textId="29FD6DC6">
            <w:pPr>
              <w:rPr>
                <w:b/>
              </w:rPr>
            </w:pPr>
            <w:r>
              <w:rPr>
                <w:rFonts w:cstheme="minorHAnsi"/>
              </w:rPr>
              <w:t>125</w:t>
            </w:r>
          </w:p>
        </w:tc>
      </w:tr>
    </w:tbl>
    <w:p w:rsidR="00F3170F" w:rsidP="00F3170F" w14:paraId="70A8B133" w14:textId="6182A878"/>
    <w:p w:rsidR="0078286A" w:rsidP="00F3170F" w14:paraId="6C85EDEA" w14:textId="69747782">
      <w:r>
        <w:t>COST TO RESPONDENT</w:t>
      </w:r>
    </w:p>
    <w:p w:rsidR="0078286A" w:rsidRPr="009A036B" w:rsidP="009A036B" w14:paraId="50BA3346" w14:textId="21876035">
      <w:pPr>
        <w:rPr>
          <w:b/>
        </w:rPr>
      </w:pPr>
    </w:p>
    <w:tbl>
      <w:tblPr>
        <w:tblW w:w="918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790"/>
        <w:gridCol w:w="2250"/>
        <w:gridCol w:w="2520"/>
        <w:gridCol w:w="1620"/>
      </w:tblGrid>
      <w:tr w14:paraId="76277B5B" w14:textId="77777777" w:rsidTr="00CA2010">
        <w:tblPrEx>
          <w:tblW w:w="9180" w:type="dxa"/>
          <w:tblInd w:w="1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</w:trPr>
        <w:tc>
          <w:tcPr>
            <w:tcW w:w="2790" w:type="dxa"/>
          </w:tcPr>
          <w:p w:rsidR="00CA2010" w:rsidRPr="009A036B" w:rsidP="00CA2010" w14:paraId="0EC49468" w14:textId="77777777">
            <w:pPr>
              <w:rPr>
                <w:b/>
              </w:rPr>
            </w:pPr>
            <w:r w:rsidRPr="009A036B">
              <w:rPr>
                <w:b/>
              </w:rPr>
              <w:t xml:space="preserve"> </w:t>
            </w:r>
            <w:r w:rsidRPr="00CA2010">
              <w:rPr>
                <w:b/>
              </w:rPr>
              <w:t>Category of Respondent</w:t>
            </w:r>
          </w:p>
          <w:p w:rsidR="00CA2010" w:rsidRPr="009A036B" w:rsidP="00CA2010" w14:paraId="267E1AAC" w14:textId="77777777">
            <w:pPr>
              <w:rPr>
                <w:b/>
              </w:rPr>
            </w:pPr>
          </w:p>
        </w:tc>
        <w:tc>
          <w:tcPr>
            <w:tcW w:w="2250" w:type="dxa"/>
          </w:tcPr>
          <w:p w:rsidR="00CA2010" w:rsidRPr="00CA2010" w:rsidP="00CA2010" w14:paraId="4ED1F780" w14:textId="77777777">
            <w:pPr>
              <w:rPr>
                <w:b/>
              </w:rPr>
            </w:pPr>
            <w:r w:rsidRPr="00CA2010">
              <w:rPr>
                <w:b/>
              </w:rPr>
              <w:t>Total Burden</w:t>
            </w:r>
          </w:p>
          <w:p w:rsidR="00CA2010" w:rsidRPr="009A036B" w:rsidP="00CA2010" w14:paraId="6810BA1F" w14:textId="77777777">
            <w:pPr>
              <w:rPr>
                <w:b/>
              </w:rPr>
            </w:pPr>
            <w:r w:rsidRPr="00CA2010">
              <w:rPr>
                <w:b/>
              </w:rPr>
              <w:t>Hours</w:t>
            </w:r>
          </w:p>
        </w:tc>
        <w:tc>
          <w:tcPr>
            <w:tcW w:w="2520" w:type="dxa"/>
          </w:tcPr>
          <w:p w:rsidR="00CA2010" w:rsidRPr="009A036B" w:rsidP="009A036B" w14:paraId="64C1222F" w14:textId="77777777">
            <w:pPr>
              <w:rPr>
                <w:b/>
              </w:rPr>
            </w:pPr>
            <w:r>
              <w:rPr>
                <w:b/>
              </w:rPr>
              <w:t xml:space="preserve">Hourly </w:t>
            </w:r>
            <w:r>
              <w:rPr>
                <w:b/>
              </w:rPr>
              <w:t>Wage Rate*</w:t>
            </w:r>
          </w:p>
        </w:tc>
        <w:tc>
          <w:tcPr>
            <w:tcW w:w="1620" w:type="dxa"/>
          </w:tcPr>
          <w:p w:rsidR="00CA2010" w:rsidRPr="009A036B" w:rsidP="009A036B" w14:paraId="604946A1" w14:textId="77777777">
            <w:pPr>
              <w:rPr>
                <w:b/>
              </w:rPr>
            </w:pPr>
            <w:r>
              <w:rPr>
                <w:b/>
              </w:rPr>
              <w:t>Total Burden Cost</w:t>
            </w:r>
            <w:r w:rsidRPr="009A036B">
              <w:rPr>
                <w:b/>
              </w:rPr>
              <w:t xml:space="preserve"> </w:t>
            </w:r>
          </w:p>
        </w:tc>
      </w:tr>
      <w:tr w14:paraId="7A33F4A1" w14:textId="77777777" w:rsidTr="003B12F5">
        <w:tblPrEx>
          <w:tblW w:w="9180" w:type="dxa"/>
          <w:tblInd w:w="18" w:type="dxa"/>
          <w:tblLayout w:type="fixed"/>
          <w:tblLook w:val="01E0"/>
        </w:tblPrEx>
        <w:trPr>
          <w:trHeight w:val="274"/>
        </w:trPr>
        <w:tc>
          <w:tcPr>
            <w:tcW w:w="2790" w:type="dxa"/>
            <w:vAlign w:val="center"/>
          </w:tcPr>
          <w:p w:rsidR="00FC2F70" w:rsidRPr="009A036B" w:rsidP="00FC2F70" w14:paraId="7CAB1FAD" w14:textId="2E529EE5">
            <w:r>
              <w:rPr>
                <w:rFonts w:cstheme="minorHAnsi"/>
              </w:rPr>
              <w:t xml:space="preserve">Private Sector </w:t>
            </w:r>
          </w:p>
        </w:tc>
        <w:tc>
          <w:tcPr>
            <w:tcW w:w="2250" w:type="dxa"/>
            <w:vAlign w:val="center"/>
          </w:tcPr>
          <w:p w:rsidR="00FC2F70" w:rsidRPr="009A036B" w:rsidP="00FC2F70" w14:paraId="4BEB3AC4" w14:textId="1FA52B70">
            <w:r>
              <w:rPr>
                <w:rFonts w:cstheme="minorHAnsi"/>
              </w:rPr>
              <w:t>1</w:t>
            </w:r>
            <w:r w:rsidR="000765BB">
              <w:rPr>
                <w:rFonts w:cstheme="minorHAnsi"/>
              </w:rPr>
              <w:t>25</w:t>
            </w:r>
          </w:p>
        </w:tc>
        <w:tc>
          <w:tcPr>
            <w:tcW w:w="2520" w:type="dxa"/>
            <w:vAlign w:val="center"/>
          </w:tcPr>
          <w:p w:rsidR="00FC2F70" w:rsidRPr="009A036B" w:rsidP="00FC2F70" w14:paraId="1A3A420E" w14:textId="32457CFE">
            <w:r w:rsidRPr="00C13023">
              <w:rPr>
                <w:rFonts w:cstheme="minorHAnsi"/>
              </w:rPr>
              <w:t>$4</w:t>
            </w:r>
            <w:r w:rsidR="004925B7">
              <w:rPr>
                <w:rFonts w:cstheme="minorHAnsi"/>
              </w:rPr>
              <w:t>5.</w:t>
            </w:r>
            <w:r w:rsidR="00D12D3C">
              <w:rPr>
                <w:rFonts w:cstheme="minorHAnsi"/>
              </w:rPr>
              <w:t>4</w:t>
            </w:r>
            <w:r w:rsidR="00567B4A">
              <w:rPr>
                <w:rFonts w:cstheme="minorHAnsi"/>
              </w:rPr>
              <w:t>0</w:t>
            </w:r>
          </w:p>
        </w:tc>
        <w:tc>
          <w:tcPr>
            <w:tcW w:w="1620" w:type="dxa"/>
            <w:vAlign w:val="center"/>
          </w:tcPr>
          <w:p w:rsidR="00FC2F70" w:rsidRPr="009A036B" w:rsidP="00FC2F70" w14:paraId="4804C630" w14:textId="2F42E22C">
            <w:r w:rsidRPr="00C13023">
              <w:rPr>
                <w:rFonts w:cstheme="minorHAnsi"/>
              </w:rPr>
              <w:t>$</w:t>
            </w:r>
            <w:r w:rsidR="000765BB">
              <w:rPr>
                <w:rFonts w:cstheme="minorHAnsi"/>
              </w:rPr>
              <w:t>5,675</w:t>
            </w:r>
          </w:p>
        </w:tc>
      </w:tr>
      <w:tr w14:paraId="1707AB8A" w14:textId="77777777" w:rsidTr="003B12F5">
        <w:tblPrEx>
          <w:tblW w:w="9180" w:type="dxa"/>
          <w:tblInd w:w="18" w:type="dxa"/>
          <w:tblLayout w:type="fixed"/>
          <w:tblLook w:val="01E0"/>
        </w:tblPrEx>
        <w:trPr>
          <w:trHeight w:val="289"/>
        </w:trPr>
        <w:tc>
          <w:tcPr>
            <w:tcW w:w="2790" w:type="dxa"/>
          </w:tcPr>
          <w:p w:rsidR="00FC2F70" w:rsidRPr="009A036B" w:rsidP="00FC2F70" w14:paraId="363CB27C" w14:textId="339C53DA">
            <w:pPr>
              <w:rPr>
                <w:b/>
              </w:rPr>
            </w:pPr>
            <w:r w:rsidRPr="00C13023">
              <w:rPr>
                <w:rFonts w:cstheme="minorHAnsi"/>
                <w:b/>
              </w:rPr>
              <w:t>TOTAL</w:t>
            </w:r>
          </w:p>
        </w:tc>
        <w:tc>
          <w:tcPr>
            <w:tcW w:w="2250" w:type="dxa"/>
            <w:vAlign w:val="center"/>
          </w:tcPr>
          <w:p w:rsidR="00FC2F70" w:rsidRPr="009A036B" w:rsidP="00FC2F70" w14:paraId="51980B66" w14:textId="02BF3DFE">
            <w:pPr>
              <w:rPr>
                <w:b/>
              </w:rPr>
            </w:pPr>
          </w:p>
        </w:tc>
        <w:tc>
          <w:tcPr>
            <w:tcW w:w="2520" w:type="dxa"/>
            <w:vAlign w:val="center"/>
          </w:tcPr>
          <w:p w:rsidR="00FC2F70" w:rsidRPr="009A036B" w:rsidP="00FC2F70" w14:paraId="50FA256A" w14:textId="77777777"/>
        </w:tc>
        <w:tc>
          <w:tcPr>
            <w:tcW w:w="1620" w:type="dxa"/>
            <w:vAlign w:val="center"/>
          </w:tcPr>
          <w:p w:rsidR="00FC2F70" w:rsidRPr="009A036B" w:rsidP="00FC2F70" w14:paraId="277A39C9" w14:textId="38EF0684">
            <w:r w:rsidRPr="00C13023">
              <w:rPr>
                <w:rFonts w:cstheme="minorHAnsi"/>
              </w:rPr>
              <w:t>$</w:t>
            </w:r>
            <w:r w:rsidR="000765BB">
              <w:rPr>
                <w:rFonts w:cstheme="minorHAnsi"/>
              </w:rPr>
              <w:t>5,675</w:t>
            </w:r>
          </w:p>
        </w:tc>
      </w:tr>
    </w:tbl>
    <w:p w:rsidR="00B64753" w:rsidRPr="00476DE5" w:rsidP="00B64753" w14:paraId="71C11B98" w14:textId="18513308">
      <w:pPr>
        <w:rPr>
          <w:i/>
          <w:iCs/>
          <w:sz w:val="18"/>
          <w:szCs w:val="18"/>
        </w:rPr>
      </w:pPr>
      <w:r w:rsidRPr="00B07575">
        <w:rPr>
          <w:i/>
          <w:iCs/>
          <w:sz w:val="18"/>
          <w:szCs w:val="18"/>
        </w:rPr>
        <w:t xml:space="preserve">* </w:t>
      </w:r>
      <w:r w:rsidRPr="00476DE5">
        <w:rPr>
          <w:i/>
          <w:iCs/>
          <w:sz w:val="18"/>
          <w:szCs w:val="18"/>
        </w:rPr>
        <w:t>Private sector</w:t>
      </w:r>
      <w:r>
        <w:rPr>
          <w:i/>
          <w:iCs/>
          <w:sz w:val="18"/>
          <w:szCs w:val="18"/>
        </w:rPr>
        <w:t xml:space="preserve"> and government</w:t>
      </w:r>
      <w:r w:rsidRPr="00476DE5">
        <w:rPr>
          <w:i/>
          <w:iCs/>
          <w:sz w:val="18"/>
          <w:szCs w:val="18"/>
        </w:rPr>
        <w:t xml:space="preserve"> respondent wage rate data is from the </w:t>
      </w:r>
      <w:r>
        <w:rPr>
          <w:i/>
          <w:iCs/>
          <w:sz w:val="18"/>
          <w:szCs w:val="18"/>
        </w:rPr>
        <w:t>Life Scientists, All Other</w:t>
      </w:r>
      <w:r w:rsidRPr="00476DE5">
        <w:rPr>
          <w:i/>
          <w:iCs/>
          <w:sz w:val="18"/>
          <w:szCs w:val="18"/>
        </w:rPr>
        <w:t xml:space="preserve"> (1</w:t>
      </w:r>
      <w:r>
        <w:rPr>
          <w:i/>
          <w:iCs/>
          <w:sz w:val="18"/>
          <w:szCs w:val="18"/>
        </w:rPr>
        <w:t>9</w:t>
      </w:r>
      <w:r w:rsidRPr="00476DE5">
        <w:rPr>
          <w:i/>
          <w:iCs/>
          <w:sz w:val="18"/>
          <w:szCs w:val="18"/>
        </w:rPr>
        <w:t>-10</w:t>
      </w:r>
      <w:r>
        <w:rPr>
          <w:i/>
          <w:iCs/>
          <w:sz w:val="18"/>
          <w:szCs w:val="18"/>
        </w:rPr>
        <w:t>99</w:t>
      </w:r>
      <w:r w:rsidRPr="00476DE5">
        <w:rPr>
          <w:i/>
          <w:iCs/>
          <w:sz w:val="18"/>
          <w:szCs w:val="18"/>
        </w:rPr>
        <w:t xml:space="preserve">) category at </w:t>
      </w:r>
      <w:r w:rsidRPr="00BB2B1B" w:rsidR="00BB2B1B">
        <w:rPr>
          <w:rStyle w:val="Hyperlink"/>
          <w:i/>
          <w:iCs/>
          <w:sz w:val="18"/>
          <w:szCs w:val="18"/>
        </w:rPr>
        <w:t>https://www.bls.gov/oes/current/oes191099.htm</w:t>
      </w:r>
      <w:r w:rsidR="00BB2B1B">
        <w:rPr>
          <w:rStyle w:val="Hyperlink"/>
          <w:i/>
          <w:iCs/>
          <w:sz w:val="18"/>
          <w:szCs w:val="18"/>
        </w:rPr>
        <w:t>.</w:t>
      </w:r>
    </w:p>
    <w:p w:rsidR="009A036B" w:rsidP="00F3170F" w14:paraId="7F3DCA9C" w14:textId="4FDA79DC"/>
    <w:p w:rsidR="005E714A" w14:paraId="164B5F94" w14:textId="53622B53"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government </w:t>
      </w:r>
      <w:r w:rsidR="00BF6223">
        <w:t xml:space="preserve">is </w:t>
      </w:r>
      <w:r w:rsidRPr="00B71728" w:rsidR="00FC2F70">
        <w:rPr>
          <w:rFonts w:cstheme="minorHAnsi"/>
          <w:u w:val="single"/>
        </w:rPr>
        <w:t>$</w:t>
      </w:r>
      <w:r w:rsidRPr="00CD6D51" w:rsidR="00CD6D51">
        <w:rPr>
          <w:rFonts w:cstheme="minorHAnsi"/>
          <w:u w:val="single"/>
        </w:rPr>
        <w:t>6,094</w:t>
      </w:r>
    </w:p>
    <w:p w:rsidR="00B71728" w:rsidP="009A036B" w14:paraId="5420F2CA" w14:textId="77777777">
      <w:pPr>
        <w:rPr>
          <w:b/>
        </w:rPr>
      </w:pPr>
      <w:r>
        <w:rPr>
          <w:b/>
        </w:rPr>
        <w:t xml:space="preserve"> </w:t>
      </w:r>
    </w:p>
    <w:tbl>
      <w:tblPr>
        <w:tblW w:w="9946" w:type="dxa"/>
        <w:tblCellMar>
          <w:left w:w="0" w:type="dxa"/>
          <w:right w:w="0" w:type="dxa"/>
        </w:tblCellMar>
        <w:tblLook w:val="04A0"/>
      </w:tblPr>
      <w:tblGrid>
        <w:gridCol w:w="2733"/>
        <w:gridCol w:w="1194"/>
        <w:gridCol w:w="2054"/>
        <w:gridCol w:w="1363"/>
        <w:gridCol w:w="1154"/>
        <w:gridCol w:w="1448"/>
      </w:tblGrid>
      <w:tr w14:paraId="6ED2E6B2" w14:textId="77777777" w:rsidTr="003A64C4">
        <w:tblPrEx>
          <w:tblW w:w="9946" w:type="dxa"/>
          <w:tblCellMar>
            <w:left w:w="0" w:type="dxa"/>
            <w:right w:w="0" w:type="dxa"/>
          </w:tblCellMar>
          <w:tblLook w:val="04A0"/>
        </w:tblPrEx>
        <w:trPr>
          <w:trHeight w:val="900"/>
        </w:trPr>
        <w:tc>
          <w:tcPr>
            <w:tcW w:w="27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71728" w:rsidRPr="00C13023" w:rsidP="003A64C4" w14:paraId="0F0F099A" w14:textId="77777777">
            <w:pPr>
              <w:keepNext/>
              <w:keepLines/>
              <w:spacing w:after="120" w:line="300" w:lineRule="auto"/>
              <w:jc w:val="center"/>
              <w:rPr>
                <w:rFonts w:eastAsia="Calibri" w:cstheme="minorHAnsi"/>
                <w:b/>
                <w:bCs/>
              </w:rPr>
            </w:pPr>
            <w:bookmarkStart w:id="0" w:name="_Hlk69382218"/>
            <w:r w:rsidRPr="00C13023">
              <w:rPr>
                <w:rFonts w:cstheme="minorHAnsi"/>
                <w:b/>
                <w:bCs/>
              </w:rPr>
              <w:t>Staff</w:t>
            </w:r>
          </w:p>
        </w:tc>
        <w:tc>
          <w:tcPr>
            <w:tcW w:w="11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71728" w:rsidRPr="00C13023" w:rsidP="003A64C4" w14:paraId="4EF000BB" w14:textId="77777777">
            <w:pPr>
              <w:keepNext/>
              <w:keepLines/>
              <w:spacing w:after="120" w:line="300" w:lineRule="auto"/>
              <w:jc w:val="center"/>
              <w:rPr>
                <w:rFonts w:eastAsia="Calibri" w:cstheme="minorHAnsi"/>
                <w:b/>
                <w:bCs/>
              </w:rPr>
            </w:pPr>
          </w:p>
          <w:p w:rsidR="00B71728" w:rsidRPr="00C13023" w:rsidP="003A64C4" w14:paraId="6858F114" w14:textId="77777777">
            <w:pPr>
              <w:keepNext/>
              <w:keepLines/>
              <w:spacing w:after="120" w:line="300" w:lineRule="auto"/>
              <w:jc w:val="center"/>
              <w:rPr>
                <w:rFonts w:eastAsia="Calibri" w:cstheme="minorHAnsi"/>
                <w:b/>
                <w:bCs/>
              </w:rPr>
            </w:pPr>
            <w:r w:rsidRPr="00C13023">
              <w:rPr>
                <w:rFonts w:cstheme="minorHAnsi"/>
                <w:b/>
                <w:bCs/>
              </w:rPr>
              <w:t>Grade/Step</w:t>
            </w:r>
          </w:p>
        </w:tc>
        <w:tc>
          <w:tcPr>
            <w:tcW w:w="20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71728" w:rsidRPr="00C13023" w:rsidP="003A64C4" w14:paraId="372582BA" w14:textId="77777777">
            <w:pPr>
              <w:keepNext/>
              <w:keepLines/>
              <w:spacing w:after="120" w:line="300" w:lineRule="auto"/>
              <w:jc w:val="center"/>
              <w:rPr>
                <w:rFonts w:eastAsia="Calibri" w:cstheme="minorHAnsi"/>
                <w:b/>
                <w:bCs/>
              </w:rPr>
            </w:pPr>
            <w:r w:rsidRPr="00C13023">
              <w:rPr>
                <w:rFonts w:cstheme="minorHAnsi"/>
                <w:b/>
                <w:bCs/>
              </w:rPr>
              <w:t>Salary*</w:t>
            </w:r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71728" w:rsidRPr="00C13023" w:rsidP="003A64C4" w14:paraId="3514FA14" w14:textId="77777777">
            <w:pPr>
              <w:keepNext/>
              <w:keepLines/>
              <w:spacing w:after="120" w:line="300" w:lineRule="auto"/>
              <w:jc w:val="center"/>
              <w:rPr>
                <w:rFonts w:eastAsia="Calibri" w:cstheme="minorHAnsi"/>
                <w:b/>
                <w:bCs/>
              </w:rPr>
            </w:pPr>
            <w:r w:rsidRPr="00C13023">
              <w:rPr>
                <w:rFonts w:cstheme="minorHAnsi"/>
                <w:b/>
                <w:bCs/>
              </w:rPr>
              <w:t xml:space="preserve">% </w:t>
            </w:r>
            <w:r w:rsidRPr="00C13023">
              <w:rPr>
                <w:rFonts w:cstheme="minorHAnsi"/>
                <w:b/>
                <w:bCs/>
              </w:rPr>
              <w:t>of</w:t>
            </w:r>
            <w:r w:rsidRPr="00C13023">
              <w:rPr>
                <w:rFonts w:cstheme="minorHAnsi"/>
                <w:b/>
                <w:bCs/>
              </w:rPr>
              <w:t xml:space="preserve"> Effort</w:t>
            </w:r>
          </w:p>
        </w:tc>
        <w:tc>
          <w:tcPr>
            <w:tcW w:w="11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71728" w:rsidRPr="00C13023" w:rsidP="003A64C4" w14:paraId="00CAA950" w14:textId="77777777">
            <w:pPr>
              <w:keepNext/>
              <w:keepLines/>
              <w:spacing w:after="120" w:line="300" w:lineRule="auto"/>
              <w:jc w:val="center"/>
              <w:rPr>
                <w:rFonts w:cstheme="minorHAnsi"/>
                <w:b/>
                <w:bCs/>
              </w:rPr>
            </w:pPr>
            <w:r w:rsidRPr="00C13023">
              <w:rPr>
                <w:rFonts w:cstheme="minorHAnsi"/>
                <w:b/>
                <w:bCs/>
              </w:rPr>
              <w:t>Fringe (if applicable)</w:t>
            </w:r>
          </w:p>
        </w:tc>
        <w:tc>
          <w:tcPr>
            <w:tcW w:w="14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71728" w:rsidRPr="00C13023" w:rsidP="003A64C4" w14:paraId="79CDFF95" w14:textId="77777777">
            <w:pPr>
              <w:keepNext/>
              <w:keepLines/>
              <w:spacing w:after="120" w:line="300" w:lineRule="auto"/>
              <w:jc w:val="center"/>
              <w:rPr>
                <w:rFonts w:cstheme="minorHAnsi"/>
                <w:b/>
                <w:bCs/>
              </w:rPr>
            </w:pPr>
            <w:r w:rsidRPr="00C13023">
              <w:rPr>
                <w:rFonts w:cstheme="minorHAnsi"/>
                <w:b/>
                <w:bCs/>
              </w:rPr>
              <w:t>Total Cost to Gov’t</w:t>
            </w:r>
          </w:p>
        </w:tc>
      </w:tr>
      <w:tr w14:paraId="0970584D" w14:textId="77777777" w:rsidTr="004B7C16">
        <w:tblPrEx>
          <w:tblW w:w="9946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1728" w:rsidRPr="00034BB4" w:rsidP="004B7C16" w14:paraId="2BE931E0" w14:textId="77777777">
            <w:pPr>
              <w:spacing w:after="120"/>
              <w:jc w:val="center"/>
              <w:rPr>
                <w:rFonts w:eastAsia="Calibri"/>
                <w:b/>
              </w:rPr>
            </w:pPr>
            <w:r w:rsidRPr="00034BB4">
              <w:rPr>
                <w:rFonts w:eastAsia="Calibri"/>
                <w:b/>
              </w:rPr>
              <w:t>Federal Oversight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71728" w:rsidRPr="00034BB4" w:rsidP="004B7C16" w14:paraId="2C2B37EA" w14:textId="77777777">
            <w:pPr>
              <w:spacing w:after="120"/>
              <w:jc w:val="center"/>
              <w:rPr>
                <w:rFonts w:eastAsia="Calibri"/>
              </w:rPr>
            </w:pPr>
          </w:p>
        </w:tc>
        <w:tc>
          <w:tcPr>
            <w:tcW w:w="2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1728" w:rsidRPr="00034BB4" w:rsidP="004B7C16" w14:paraId="110CE82C" w14:textId="77777777">
            <w:pPr>
              <w:spacing w:after="120"/>
              <w:jc w:val="center"/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1728" w:rsidRPr="00CA2C08" w:rsidP="004B7C16" w14:paraId="3733A37F" w14:textId="77777777">
            <w:pPr>
              <w:spacing w:after="120"/>
              <w:jc w:val="center"/>
            </w:pP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B71728" w:rsidRPr="00CA2C08" w:rsidP="004B7C16" w14:paraId="53140BDD" w14:textId="77777777">
            <w:pPr>
              <w:spacing w:after="120"/>
              <w:jc w:val="center"/>
            </w:pP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71728" w:rsidRPr="00CA2C08" w:rsidP="004B7C16" w14:paraId="4317F720" w14:textId="77777777">
            <w:pPr>
              <w:spacing w:after="120"/>
              <w:jc w:val="center"/>
            </w:pPr>
          </w:p>
        </w:tc>
      </w:tr>
      <w:tr w14:paraId="13AD0193" w14:textId="77777777" w:rsidTr="004B7C16">
        <w:tblPrEx>
          <w:tblW w:w="9946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4B46" w:rsidRPr="00034BB4" w:rsidP="001B5AA9" w14:paraId="5E059C2E" w14:textId="217161B6">
            <w:pPr>
              <w:spacing w:after="120"/>
              <w:rPr>
                <w:rFonts w:eastAsia="Calibri"/>
              </w:rPr>
            </w:pPr>
            <w:r w:rsidRPr="00034BB4">
              <w:t>Scientific Review Officer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04B46" w:rsidRPr="00034BB4" w:rsidP="001B5AA9" w14:paraId="18458A9F" w14:textId="00150087">
            <w:pPr>
              <w:spacing w:after="120"/>
              <w:rPr>
                <w:rFonts w:eastAsia="Calibri"/>
              </w:rPr>
            </w:pPr>
            <w:r w:rsidRPr="00034BB4">
              <w:t>GS-1</w:t>
            </w:r>
            <w:r w:rsidRPr="00034BB4" w:rsidR="00B459A5">
              <w:t>5</w:t>
            </w:r>
            <w:r w:rsidRPr="00034BB4">
              <w:t>/S</w:t>
            </w:r>
            <w:r w:rsidR="003706C5">
              <w:t>6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4B46" w:rsidRPr="00034BB4" w:rsidP="001B5AA9" w14:paraId="3EE3BD8B" w14:textId="634E86E0">
            <w:pPr>
              <w:spacing w:after="120"/>
              <w:rPr>
                <w:rFonts w:eastAsia="Calibri"/>
              </w:rPr>
            </w:pPr>
            <w:r w:rsidRPr="00034BB4">
              <w:t>$</w:t>
            </w:r>
            <w:r w:rsidRPr="00C86E3B" w:rsidR="00C86E3B">
              <w:t>173,232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4B46" w:rsidRPr="00B459A5" w:rsidP="001B5AA9" w14:paraId="41EB57C9" w14:textId="1FB473CB">
            <w:pPr>
              <w:spacing w:after="120"/>
            </w:pPr>
            <w:r>
              <w:t>2.5</w:t>
            </w:r>
            <w:r w:rsidRPr="004B7C16" w:rsidR="004B7C16">
              <w:t>%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704B46" w:rsidRPr="00CA2C08" w:rsidP="001B5AA9" w14:paraId="7C938F22" w14:textId="77777777">
            <w:pPr>
              <w:spacing w:after="120"/>
              <w:rPr>
                <w:highlight w:val="yellow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4B46" w:rsidRPr="00CA2C08" w:rsidP="001B5AA9" w14:paraId="43E718BE" w14:textId="2D9E9936">
            <w:pPr>
              <w:spacing w:after="120"/>
            </w:pPr>
            <w:r w:rsidRPr="00CA2C08">
              <w:t>$</w:t>
            </w:r>
            <w:r w:rsidR="003B27F9">
              <w:t>4,331</w:t>
            </w:r>
          </w:p>
        </w:tc>
      </w:tr>
      <w:tr w14:paraId="7F4D0354" w14:textId="77777777" w:rsidTr="004B7C16">
        <w:tblPrEx>
          <w:tblW w:w="9946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1728" w:rsidRPr="00034BB4" w:rsidP="001B5AA9" w14:paraId="35F83500" w14:textId="4333DDD8">
            <w:pPr>
              <w:spacing w:after="120"/>
              <w:rPr>
                <w:rFonts w:eastAsia="Calibri"/>
              </w:rPr>
            </w:pPr>
            <w:r w:rsidRPr="000602BA">
              <w:t>Chief</w:t>
            </w:r>
            <w:r>
              <w:t xml:space="preserve"> of </w:t>
            </w:r>
            <w:r w:rsidRPr="000602BA">
              <w:t>Extramural Review Branch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71728" w:rsidRPr="00034BB4" w:rsidP="001B5AA9" w14:paraId="0E160F3A" w14:textId="44C54D9B">
            <w:pPr>
              <w:spacing w:after="120"/>
              <w:rPr>
                <w:rFonts w:eastAsia="Calibri"/>
              </w:rPr>
            </w:pPr>
            <w:r w:rsidRPr="00034BB4">
              <w:rPr>
                <w:rFonts w:eastAsia="Calibri"/>
              </w:rPr>
              <w:t>GS-</w:t>
            </w:r>
            <w:r w:rsidRPr="00034BB4" w:rsidR="005E1037">
              <w:rPr>
                <w:rFonts w:eastAsia="Calibri"/>
              </w:rPr>
              <w:t>15</w:t>
            </w:r>
            <w:r w:rsidRPr="00034BB4">
              <w:rPr>
                <w:rFonts w:eastAsia="Calibri"/>
              </w:rPr>
              <w:t>/</w:t>
            </w:r>
            <w:r w:rsidRPr="00034BB4">
              <w:rPr>
                <w:rFonts w:eastAsia="Calibri"/>
              </w:rPr>
              <w:t>S</w:t>
            </w:r>
            <w:r w:rsidR="000602BA">
              <w:rPr>
                <w:rFonts w:eastAsia="Calibri"/>
              </w:rPr>
              <w:t>9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1728" w:rsidRPr="00034BB4" w:rsidP="001B5AA9" w14:paraId="7F52EFD2" w14:textId="0D8E5F0B">
            <w:pPr>
              <w:spacing w:after="120"/>
              <w:rPr>
                <w:rFonts w:eastAsia="Calibri"/>
              </w:rPr>
            </w:pPr>
            <w:r w:rsidRPr="00034BB4">
              <w:rPr>
                <w:rFonts w:eastAsia="Calibri"/>
              </w:rPr>
              <w:t>$</w:t>
            </w:r>
            <w:r w:rsidRPr="000602BA" w:rsidR="000602BA">
              <w:rPr>
                <w:rFonts w:eastAsia="Calibri"/>
              </w:rPr>
              <w:t>176,300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C16" w:rsidRPr="00B459A5" w:rsidP="001B5AA9" w14:paraId="2BC73DA2" w14:textId="3C1170EE">
            <w:pPr>
              <w:spacing w:after="120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  <w:r w:rsidRPr="004B7C16" w:rsidR="00B71728">
              <w:rPr>
                <w:rFonts w:eastAsia="Calibri"/>
              </w:rPr>
              <w:t>%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B71728" w:rsidRPr="00CA2C08" w:rsidP="001B5AA9" w14:paraId="15942A86" w14:textId="77777777">
            <w:pPr>
              <w:spacing w:after="120"/>
              <w:rPr>
                <w:highlight w:val="yellow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1728" w:rsidRPr="00CA2C08" w:rsidP="001B5AA9" w14:paraId="703012C5" w14:textId="6CC25C2F">
            <w:pPr>
              <w:spacing w:after="120"/>
              <w:rPr>
                <w:highlight w:val="yellow"/>
              </w:rPr>
            </w:pPr>
            <w:r w:rsidRPr="001B5AA9">
              <w:t>$</w:t>
            </w:r>
            <w:r w:rsidR="00755C84">
              <w:t>1,</w:t>
            </w:r>
            <w:r w:rsidR="000602BA">
              <w:t>763</w:t>
            </w:r>
          </w:p>
        </w:tc>
      </w:tr>
      <w:tr w14:paraId="39D19FDF" w14:textId="77777777" w:rsidTr="004B7C16">
        <w:tblPrEx>
          <w:tblW w:w="9946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18B1" w:rsidRPr="00034BB4" w:rsidP="001B5AA9" w14:paraId="7B71FB66" w14:textId="77777777">
            <w:pPr>
              <w:spacing w:after="120"/>
              <w:rPr>
                <w:rFonts w:eastAsia="Calibri"/>
                <w:b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18B1" w:rsidRPr="00034BB4" w:rsidP="001B5AA9" w14:paraId="5EC667EC" w14:textId="77777777">
            <w:pPr>
              <w:spacing w:after="120"/>
              <w:rPr>
                <w:rFonts w:eastAsia="Calibri"/>
              </w:rPr>
            </w:pPr>
          </w:p>
        </w:tc>
        <w:tc>
          <w:tcPr>
            <w:tcW w:w="2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18B1" w:rsidRPr="00034BB4" w:rsidP="001B5AA9" w14:paraId="7C8DA9EA" w14:textId="77777777">
            <w:pPr>
              <w:spacing w:after="120"/>
              <w:rPr>
                <w:rFonts w:eastAsia="Calibri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18B1" w:rsidRPr="00CA2C08" w:rsidP="001B5AA9" w14:paraId="61BC6666" w14:textId="77777777">
            <w:pPr>
              <w:spacing w:after="120"/>
              <w:rPr>
                <w:rFonts w:eastAsia="Calibri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618B1" w:rsidRPr="00CA2C08" w:rsidP="001B5AA9" w14:paraId="13B14294" w14:textId="77777777">
            <w:pPr>
              <w:spacing w:after="120"/>
            </w:pP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618B1" w:rsidRPr="00CA2C08" w:rsidP="001B5AA9" w14:paraId="1253F458" w14:textId="77777777">
            <w:pPr>
              <w:spacing w:after="120"/>
            </w:pPr>
          </w:p>
        </w:tc>
      </w:tr>
      <w:tr w14:paraId="19F12565" w14:textId="77777777" w:rsidTr="004B7C16">
        <w:tblPrEx>
          <w:tblW w:w="9946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1728" w:rsidRPr="00CA2C08" w:rsidP="001B5AA9" w14:paraId="48859FC8" w14:textId="77777777">
            <w:pPr>
              <w:spacing w:after="120"/>
              <w:rPr>
                <w:rFonts w:eastAsia="Calibri"/>
                <w:b/>
              </w:rPr>
            </w:pPr>
            <w:r w:rsidRPr="00CA2C08">
              <w:rPr>
                <w:rFonts w:eastAsia="Calibri"/>
                <w:b/>
              </w:rPr>
              <w:t>Contractor Cost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B71728" w:rsidRPr="00CA2C08" w:rsidP="001B5AA9" w14:paraId="494F95A5" w14:textId="77777777">
            <w:pPr>
              <w:spacing w:after="120"/>
              <w:rPr>
                <w:rFonts w:eastAsia="Calibri"/>
              </w:rPr>
            </w:pPr>
          </w:p>
        </w:tc>
        <w:tc>
          <w:tcPr>
            <w:tcW w:w="2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1728" w:rsidRPr="00CA2C08" w:rsidP="001B5AA9" w14:paraId="0D2CBA8E" w14:textId="77777777">
            <w:pPr>
              <w:spacing w:after="120"/>
              <w:rPr>
                <w:rFonts w:eastAsia="Calibri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1728" w:rsidRPr="00CA2C08" w:rsidP="001B5AA9" w14:paraId="07FD8460" w14:textId="77777777">
            <w:pPr>
              <w:spacing w:after="120"/>
              <w:rPr>
                <w:rFonts w:eastAsia="Calibri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71728" w:rsidRPr="00CA2C08" w:rsidP="001B5AA9" w14:paraId="23CBFF7D" w14:textId="77777777">
            <w:pPr>
              <w:spacing w:after="120"/>
            </w:pP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71728" w:rsidRPr="00CA2C08" w:rsidP="001B5AA9" w14:paraId="6415231E" w14:textId="6EA5FE9A">
            <w:pPr>
              <w:spacing w:after="120"/>
            </w:pPr>
          </w:p>
        </w:tc>
      </w:tr>
      <w:tr w14:paraId="5D9C7B74" w14:textId="77777777" w:rsidTr="00510C07">
        <w:tblPrEx>
          <w:tblW w:w="9946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10C07" w:rsidRPr="00CA2C08" w:rsidP="001B5AA9" w14:paraId="215D093E" w14:textId="77777777">
            <w:pPr>
              <w:spacing w:after="120" w:line="300" w:lineRule="auto"/>
              <w:rPr>
                <w:rFonts w:eastAsia="Calibri"/>
                <w:b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0C07" w:rsidRPr="00CA2C08" w:rsidP="001B5AA9" w14:paraId="09384B3F" w14:textId="77777777">
            <w:pPr>
              <w:spacing w:after="120" w:line="300" w:lineRule="auto"/>
              <w:rPr>
                <w:rFonts w:eastAsia="Calibri"/>
              </w:rPr>
            </w:pPr>
          </w:p>
        </w:tc>
        <w:tc>
          <w:tcPr>
            <w:tcW w:w="2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10C07" w:rsidRPr="00CA2C08" w:rsidP="001B5AA9" w14:paraId="4FAB5A72" w14:textId="77777777">
            <w:pPr>
              <w:spacing w:after="120" w:line="300" w:lineRule="auto"/>
              <w:rPr>
                <w:rFonts w:eastAsia="Calibri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10C07" w:rsidRPr="00CA2C08" w:rsidP="001B5AA9" w14:paraId="7BB9A7D8" w14:textId="77777777">
            <w:pPr>
              <w:spacing w:after="120" w:line="300" w:lineRule="auto"/>
              <w:rPr>
                <w:rFonts w:eastAsia="Calibri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0C07" w:rsidRPr="00CA2C08" w:rsidP="001B5AA9" w14:paraId="1C6900E8" w14:textId="77777777">
            <w:pPr>
              <w:spacing w:after="120" w:line="300" w:lineRule="auto"/>
            </w:pP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10C07" w:rsidRPr="00CA2C08" w:rsidP="001B5AA9" w14:paraId="03548C71" w14:textId="77777777">
            <w:pPr>
              <w:spacing w:after="120" w:line="300" w:lineRule="auto"/>
            </w:pPr>
          </w:p>
        </w:tc>
      </w:tr>
      <w:bookmarkEnd w:id="0"/>
      <w:tr w14:paraId="1DAF8FB9" w14:textId="77777777" w:rsidTr="003A64C4">
        <w:tblPrEx>
          <w:tblW w:w="9946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71728" w:rsidRPr="00CA2C08" w:rsidP="001B5AA9" w14:paraId="246F4687" w14:textId="77777777">
            <w:pPr>
              <w:spacing w:after="120" w:line="300" w:lineRule="auto"/>
              <w:rPr>
                <w:rFonts w:eastAsia="Calibri"/>
                <w:b/>
              </w:rPr>
            </w:pPr>
            <w:r w:rsidRPr="00CA2C08">
              <w:rPr>
                <w:rFonts w:eastAsia="Calibri"/>
                <w:b/>
              </w:rPr>
              <w:t>Travel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:rsidR="00B71728" w:rsidRPr="00CA2C08" w:rsidP="001B5AA9" w14:paraId="5BF18102" w14:textId="77777777">
            <w:pPr>
              <w:spacing w:after="120" w:line="300" w:lineRule="auto"/>
              <w:rPr>
                <w:rFonts w:eastAsia="Calibri"/>
              </w:rPr>
            </w:pPr>
          </w:p>
        </w:tc>
        <w:tc>
          <w:tcPr>
            <w:tcW w:w="2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71728" w:rsidRPr="00CA2C08" w:rsidP="001B5AA9" w14:paraId="5AEF0D01" w14:textId="77777777">
            <w:pPr>
              <w:spacing w:after="120" w:line="300" w:lineRule="auto"/>
              <w:rPr>
                <w:rFonts w:eastAsia="Calibri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71728" w:rsidRPr="00CA2C08" w:rsidP="001B5AA9" w14:paraId="1FD2D30E" w14:textId="77777777">
            <w:pPr>
              <w:spacing w:after="120" w:line="300" w:lineRule="auto"/>
              <w:rPr>
                <w:rFonts w:eastAsia="Calibri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:rsidR="00B71728" w:rsidRPr="00CA2C08" w:rsidP="001B5AA9" w14:paraId="75F784F1" w14:textId="77777777">
            <w:pPr>
              <w:spacing w:after="120" w:line="300" w:lineRule="auto"/>
            </w:pP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71728" w:rsidRPr="00CA2C08" w:rsidP="001B5AA9" w14:paraId="33B40EFB" w14:textId="77777777">
            <w:pPr>
              <w:spacing w:after="120" w:line="300" w:lineRule="auto"/>
            </w:pPr>
          </w:p>
        </w:tc>
      </w:tr>
      <w:tr w14:paraId="03B0C181" w14:textId="77777777" w:rsidTr="003A64C4">
        <w:tblPrEx>
          <w:tblW w:w="9946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71728" w:rsidRPr="00CA2C08" w:rsidP="001B5AA9" w14:paraId="73296C31" w14:textId="77777777">
            <w:pPr>
              <w:spacing w:after="120" w:line="300" w:lineRule="auto"/>
              <w:rPr>
                <w:rFonts w:eastAsia="Calibri"/>
                <w:b/>
                <w:highlight w:val="yellow"/>
              </w:rPr>
            </w:pPr>
            <w:r w:rsidRPr="00CA2C08">
              <w:rPr>
                <w:rFonts w:eastAsia="Calibri"/>
                <w:b/>
              </w:rPr>
              <w:t>Other Cost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:rsidR="00B71728" w:rsidRPr="00CA2C08" w:rsidP="001B5AA9" w14:paraId="172898A7" w14:textId="77777777">
            <w:pPr>
              <w:spacing w:after="120" w:line="300" w:lineRule="auto"/>
              <w:rPr>
                <w:rFonts w:eastAsia="Calibri"/>
              </w:rPr>
            </w:pPr>
          </w:p>
        </w:tc>
        <w:tc>
          <w:tcPr>
            <w:tcW w:w="2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71728" w:rsidRPr="00CA2C08" w:rsidP="001B5AA9" w14:paraId="0B74F418" w14:textId="77777777">
            <w:pPr>
              <w:spacing w:after="120" w:line="300" w:lineRule="auto"/>
              <w:rPr>
                <w:rFonts w:eastAsia="Calibri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71728" w:rsidRPr="00CA2C08" w:rsidP="001B5AA9" w14:paraId="20C503C1" w14:textId="77777777">
            <w:pPr>
              <w:spacing w:after="120" w:line="300" w:lineRule="auto"/>
              <w:rPr>
                <w:rFonts w:eastAsia="Calibri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:rsidR="00B71728" w:rsidRPr="00CA2C08" w:rsidP="001B5AA9" w14:paraId="412DBE15" w14:textId="77777777">
            <w:pPr>
              <w:spacing w:after="120" w:line="300" w:lineRule="auto"/>
              <w:rPr>
                <w:rFonts w:eastAsia="Calibri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71728" w:rsidRPr="00CA2C08" w:rsidP="001B5AA9" w14:paraId="12E20399" w14:textId="77777777">
            <w:pPr>
              <w:spacing w:after="120" w:line="300" w:lineRule="auto"/>
              <w:rPr>
                <w:rFonts w:eastAsia="Calibri"/>
              </w:rPr>
            </w:pPr>
          </w:p>
        </w:tc>
      </w:tr>
      <w:tr w14:paraId="129AEB1F" w14:textId="77777777" w:rsidTr="003A64C4">
        <w:tblPrEx>
          <w:tblW w:w="9946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71728" w:rsidRPr="00CA2C08" w:rsidP="001B5AA9" w14:paraId="2EFC18D4" w14:textId="77777777">
            <w:pPr>
              <w:spacing w:after="120" w:line="300" w:lineRule="auto"/>
              <w:rPr>
                <w:rFonts w:eastAsia="Calibri"/>
                <w:bCs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:rsidR="00B71728" w:rsidRPr="00CA2C08" w:rsidP="001B5AA9" w14:paraId="185141E1" w14:textId="77777777">
            <w:pPr>
              <w:spacing w:after="120" w:line="300" w:lineRule="auto"/>
              <w:rPr>
                <w:rFonts w:eastAsia="Calibri"/>
              </w:rPr>
            </w:pPr>
          </w:p>
        </w:tc>
        <w:tc>
          <w:tcPr>
            <w:tcW w:w="2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71728" w:rsidRPr="00CA2C08" w:rsidP="001B5AA9" w14:paraId="00590572" w14:textId="77777777">
            <w:pPr>
              <w:spacing w:after="120" w:line="300" w:lineRule="auto"/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71728" w:rsidRPr="00CA2C08" w:rsidP="001B5AA9" w14:paraId="72329C6F" w14:textId="77777777">
            <w:pPr>
              <w:spacing w:after="120" w:line="300" w:lineRule="auto"/>
              <w:rPr>
                <w:rFonts w:eastAsia="Calibri"/>
                <w:b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:rsidR="00B71728" w:rsidRPr="00CA2C08" w:rsidP="001B5AA9" w14:paraId="1AA84D1B" w14:textId="77777777">
            <w:pPr>
              <w:spacing w:after="120" w:line="300" w:lineRule="auto"/>
              <w:rPr>
                <w:b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71728" w:rsidRPr="00CA2C08" w:rsidP="001B5AA9" w14:paraId="45A2D38F" w14:textId="77777777">
            <w:pPr>
              <w:spacing w:after="120" w:line="300" w:lineRule="auto"/>
              <w:rPr>
                <w:b/>
              </w:rPr>
            </w:pPr>
          </w:p>
        </w:tc>
      </w:tr>
      <w:tr w14:paraId="115600BF" w14:textId="77777777" w:rsidTr="003A64C4">
        <w:tblPrEx>
          <w:tblW w:w="9946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71728" w:rsidRPr="00CA2C08" w:rsidP="001B5AA9" w14:paraId="5C3AB364" w14:textId="77777777">
            <w:pPr>
              <w:spacing w:after="120" w:line="300" w:lineRule="auto"/>
            </w:pPr>
            <w:r w:rsidRPr="00CA2C08">
              <w:rPr>
                <w:b/>
              </w:rPr>
              <w:t>Total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71728" w:rsidRPr="00CA2C08" w:rsidP="001B5AA9" w14:paraId="5300E6D5" w14:textId="77777777">
            <w:pPr>
              <w:spacing w:after="120" w:line="300" w:lineRule="auto"/>
              <w:rPr>
                <w:rFonts w:eastAsia="Calibri"/>
              </w:rPr>
            </w:pPr>
          </w:p>
        </w:tc>
        <w:tc>
          <w:tcPr>
            <w:tcW w:w="2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71728" w:rsidRPr="00CA2C08" w:rsidP="001B5AA9" w14:paraId="64A45B9C" w14:textId="77777777">
            <w:pPr>
              <w:spacing w:after="120" w:line="300" w:lineRule="auto"/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71728" w:rsidRPr="00CA2C08" w:rsidP="001B5AA9" w14:paraId="105B4E89" w14:textId="77777777">
            <w:pPr>
              <w:spacing w:after="120" w:line="300" w:lineRule="auto"/>
            </w:pP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71728" w:rsidRPr="00CA2C08" w:rsidP="001B5AA9" w14:paraId="19E08F99" w14:textId="77777777">
            <w:pPr>
              <w:spacing w:after="120" w:line="300" w:lineRule="auto"/>
            </w:pP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71728" w:rsidRPr="00CA2C08" w:rsidP="001B5AA9" w14:paraId="56F1B267" w14:textId="648659BE">
            <w:pPr>
              <w:spacing w:after="120" w:line="300" w:lineRule="auto"/>
            </w:pPr>
            <w:r w:rsidRPr="00CA2C08">
              <w:t>$</w:t>
            </w:r>
            <w:r w:rsidR="00CD6D51">
              <w:t>6,094</w:t>
            </w:r>
          </w:p>
        </w:tc>
      </w:tr>
    </w:tbl>
    <w:p w:rsidR="00A83916" w:rsidRPr="003E362C" w:rsidP="00A83916" w14:paraId="1C60028A" w14:textId="75A1066B">
      <w:bookmarkStart w:id="1" w:name="_Hlk31117769"/>
      <w:r w:rsidRPr="003E362C">
        <w:t>*</w:t>
      </w:r>
      <w:r>
        <w:rPr>
          <w:sz w:val="18"/>
          <w:szCs w:val="18"/>
        </w:rPr>
        <w:t>T</w:t>
      </w:r>
      <w:r w:rsidRPr="003E362C">
        <w:rPr>
          <w:sz w:val="18"/>
          <w:szCs w:val="18"/>
        </w:rPr>
        <w:t>he</w:t>
      </w:r>
      <w:r w:rsidRPr="003E362C">
        <w:t xml:space="preserve"> </w:t>
      </w:r>
      <w:r w:rsidRPr="003E362C">
        <w:rPr>
          <w:sz w:val="18"/>
          <w:szCs w:val="18"/>
        </w:rPr>
        <w:t>Salary in table above is cited from</w:t>
      </w:r>
      <w:r w:rsidRPr="003E362C">
        <w:t xml:space="preserve"> </w:t>
      </w:r>
      <w:hyperlink r:id="rId5" w:history="1">
        <w:r w:rsidRPr="000C0017" w:rsidR="00BB2B1B">
          <w:rPr>
            <w:rStyle w:val="Hyperlink"/>
            <w:sz w:val="18"/>
            <w:szCs w:val="18"/>
          </w:rPr>
          <w:t>https://www.opm.gov/policy-data-oversight/pay-leave/salaries-wages/salary-tables/pdf/2022/DCB.pdf</w:t>
        </w:r>
      </w:hyperlink>
      <w:r w:rsidRPr="003E362C">
        <w:rPr>
          <w:rStyle w:val="Hyperlink"/>
          <w:sz w:val="18"/>
          <w:szCs w:val="18"/>
        </w:rPr>
        <w:t xml:space="preserve"> </w:t>
      </w:r>
    </w:p>
    <w:bookmarkEnd w:id="1"/>
    <w:p w:rsidR="00ED6492" w14:paraId="0B5C9F16" w14:textId="77777777">
      <w:pPr>
        <w:rPr>
          <w:b/>
          <w:bCs/>
          <w:u w:val="single"/>
        </w:rPr>
      </w:pPr>
    </w:p>
    <w:p w:rsidR="0069403B" w:rsidP="00F06866" w14:paraId="7B4FB8A6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r>
        <w:rPr>
          <w:b/>
          <w:bCs/>
          <w:u w:val="single"/>
        </w:rPr>
        <w:t xml:space="preserve">please </w:t>
      </w:r>
      <w:r>
        <w:rPr>
          <w:b/>
          <w:bCs/>
          <w:u w:val="single"/>
        </w:rPr>
        <w:t xml:space="preserve"> provide</w:t>
      </w:r>
      <w:r>
        <w:rPr>
          <w:b/>
          <w:bCs/>
          <w:u w:val="single"/>
        </w:rPr>
        <w:t xml:space="preserve"> answers to the following questions:</w:t>
      </w:r>
    </w:p>
    <w:p w:rsidR="0069403B" w:rsidP="00F06866" w14:paraId="3C6BB835" w14:textId="77777777">
      <w:pPr>
        <w:rPr>
          <w:b/>
        </w:rPr>
      </w:pPr>
    </w:p>
    <w:p w:rsidR="00F06866" w:rsidP="00F06866" w14:paraId="0B86A57F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RPr="00CD6D51" w:rsidP="0069403B" w14:paraId="47879D41" w14:textId="445E7AB0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 w:rsidRPr="00CD6D51">
        <w:t>[ ]</w:t>
      </w:r>
      <w:r w:rsidRPr="00CD6D51">
        <w:t xml:space="preserve"> Yes</w:t>
      </w:r>
      <w:r w:rsidRPr="00CD6D51">
        <w:tab/>
        <w:t>[</w:t>
      </w:r>
      <w:r w:rsidRPr="00CD6D51" w:rsidR="00A8331A">
        <w:t>X</w:t>
      </w:r>
      <w:r w:rsidRPr="00CD6D51">
        <w:t>] No</w:t>
      </w:r>
    </w:p>
    <w:p w:rsidR="00636621" w:rsidRPr="00CD6D51" w:rsidP="00636621" w14:paraId="38A88F38" w14:textId="77777777">
      <w:pPr>
        <w:pStyle w:val="ListParagraph"/>
      </w:pPr>
    </w:p>
    <w:p w:rsidR="00636621" w:rsidRPr="00CD6D51" w:rsidP="00A8331A" w14:paraId="358B318F" w14:textId="77777777">
      <w:pPr>
        <w:spacing w:after="240"/>
      </w:pPr>
      <w:r w:rsidRPr="00CD6D51">
        <w:t xml:space="preserve">If the answer is yes, please </w:t>
      </w:r>
      <w:r w:rsidRPr="00CD6D51">
        <w:t>provide</w:t>
      </w:r>
      <w:r w:rsidRPr="00CD6D51">
        <w:t xml:space="preserve"> a description of both below</w:t>
      </w:r>
      <w:r w:rsidRPr="00CD6D51" w:rsidR="00A403BB">
        <w:t xml:space="preserve"> (or attach the sampling plan)</w:t>
      </w:r>
      <w:r w:rsidRPr="00CD6D51">
        <w:t>?   If the answer is no, please provide a description of how you plan to identify your potential group of respondents</w:t>
      </w:r>
      <w:r w:rsidRPr="00CD6D51" w:rsidR="001B0AAA">
        <w:t xml:space="preserve"> and how you will select them</w:t>
      </w:r>
      <w:r w:rsidRPr="00CD6D51">
        <w:t>?</w:t>
      </w:r>
    </w:p>
    <w:p w:rsidR="00A403BB" w:rsidRPr="00CD6D51" w:rsidP="00A403BB" w14:paraId="67DEEF3A" w14:textId="1191380C">
      <w:r w:rsidRPr="00CD6D51">
        <w:t>We will send an email announcement about the</w:t>
      </w:r>
      <w:r w:rsidRPr="00CD6D51" w:rsidR="006F579F">
        <w:t xml:space="preserve"> registration</w:t>
      </w:r>
      <w:r w:rsidRPr="00CD6D51">
        <w:t xml:space="preserve"> </w:t>
      </w:r>
      <w:r w:rsidRPr="00CD6D51" w:rsidR="00C26714">
        <w:t>survey</w:t>
      </w:r>
      <w:r w:rsidRPr="00CD6D51">
        <w:t xml:space="preserve"> to public partner</w:t>
      </w:r>
      <w:r w:rsidRPr="00CD6D51" w:rsidR="007E0F4A">
        <w:t xml:space="preserve"> organizations</w:t>
      </w:r>
      <w:r w:rsidRPr="00CD6D51">
        <w:t xml:space="preserve"> and encourage them to forward as well.</w:t>
      </w:r>
      <w:r w:rsidRPr="00CD6D51" w:rsidR="00942CCB">
        <w:t xml:space="preserve"> </w:t>
      </w:r>
      <w:bookmarkStart w:id="2" w:name="_Hlk71471607"/>
      <w:r w:rsidRPr="00CD6D51" w:rsidR="00942CCB">
        <w:t xml:space="preserve">We will use NIMH digital channels (e.g., Twitter, GovDelivery) to inform researchers about this </w:t>
      </w:r>
      <w:r w:rsidRPr="00CD6D51" w:rsidR="006F579F">
        <w:t>registration</w:t>
      </w:r>
      <w:r w:rsidRPr="00CD6D51" w:rsidR="00942CCB">
        <w:t>.</w:t>
      </w:r>
      <w:bookmarkEnd w:id="2"/>
    </w:p>
    <w:p w:rsidR="00661E41" w:rsidRPr="00CD6D51" w:rsidP="00A403BB" w14:paraId="24AE0269" w14:textId="77777777"/>
    <w:p w:rsidR="00A403BB" w:rsidRPr="00CD6D51" w:rsidP="00A403BB" w14:paraId="6E8C7A88" w14:textId="77777777">
      <w:pPr>
        <w:rPr>
          <w:b/>
        </w:rPr>
      </w:pPr>
      <w:r w:rsidRPr="00CD6D51">
        <w:rPr>
          <w:b/>
        </w:rPr>
        <w:t>Administration of the Instrument</w:t>
      </w:r>
    </w:p>
    <w:p w:rsidR="00A403BB" w:rsidRPr="00CD6D51" w:rsidP="00A403BB" w14:paraId="1E4593EB" w14:textId="77777777">
      <w:pPr>
        <w:pStyle w:val="ListParagraph"/>
        <w:numPr>
          <w:ilvl w:val="0"/>
          <w:numId w:val="17"/>
        </w:numPr>
      </w:pPr>
      <w:r w:rsidRPr="00CD6D51">
        <w:t>H</w:t>
      </w:r>
      <w:r w:rsidRPr="00CD6D51">
        <w:t>ow will you collect the information? (Check all that apply)</w:t>
      </w:r>
    </w:p>
    <w:p w:rsidR="001B0AAA" w:rsidRPr="00CD6D51" w:rsidP="001B0AAA" w14:paraId="6E48500C" w14:textId="2E73E337">
      <w:pPr>
        <w:ind w:left="720"/>
      </w:pPr>
      <w:r w:rsidRPr="00CD6D51">
        <w:t xml:space="preserve">[ </w:t>
      </w:r>
      <w:r w:rsidRPr="00CD6D51" w:rsidR="00FC2F70">
        <w:t>X</w:t>
      </w:r>
      <w:r w:rsidRPr="00CD6D51">
        <w:t xml:space="preserve"> </w:t>
      </w:r>
      <w:r w:rsidRPr="00CD6D51">
        <w:t>]</w:t>
      </w:r>
      <w:r w:rsidRPr="00CD6D51">
        <w:t xml:space="preserve"> Web-based</w:t>
      </w:r>
      <w:r w:rsidRPr="00CD6D51">
        <w:t xml:space="preserve"> or other forms of Social Media </w:t>
      </w:r>
    </w:p>
    <w:p w:rsidR="001B0AAA" w:rsidRPr="00CD6D51" w:rsidP="001B0AAA" w14:paraId="6733C69B" w14:textId="77777777">
      <w:pPr>
        <w:ind w:left="720"/>
      </w:pPr>
      <w:r w:rsidRPr="00CD6D51">
        <w:t xml:space="preserve">[ </w:t>
      </w:r>
      <w:r w:rsidRPr="00CD6D51">
        <w:t xml:space="preserve"> </w:t>
      </w:r>
      <w:r w:rsidRPr="00CD6D51">
        <w:t>]</w:t>
      </w:r>
      <w:r w:rsidRPr="00CD6D51">
        <w:t xml:space="preserve"> Telephone</w:t>
      </w:r>
      <w:r w:rsidRPr="00CD6D51">
        <w:tab/>
      </w:r>
    </w:p>
    <w:p w:rsidR="001B0AAA" w:rsidRPr="00CD6D51" w:rsidP="001B0AAA" w14:paraId="48571807" w14:textId="77777777">
      <w:pPr>
        <w:ind w:left="720"/>
      </w:pPr>
      <w:r w:rsidRPr="00CD6D51">
        <w:t>[</w:t>
      </w:r>
      <w:r w:rsidRPr="00CD6D51">
        <w:t xml:space="preserve"> </w:t>
      </w:r>
      <w:r w:rsidRPr="00CD6D51">
        <w:t xml:space="preserve"> ]</w:t>
      </w:r>
      <w:r w:rsidRPr="00CD6D51">
        <w:t xml:space="preserve"> In-person</w:t>
      </w:r>
      <w:r w:rsidRPr="00CD6D51">
        <w:tab/>
      </w:r>
    </w:p>
    <w:p w:rsidR="001B0AAA" w:rsidRPr="00CD6D51" w:rsidP="001B0AAA" w14:paraId="504197B6" w14:textId="77777777">
      <w:pPr>
        <w:ind w:left="720"/>
      </w:pPr>
      <w:r w:rsidRPr="00CD6D51">
        <w:t xml:space="preserve">[ </w:t>
      </w:r>
      <w:r w:rsidRPr="00CD6D51">
        <w:t xml:space="preserve"> </w:t>
      </w:r>
      <w:r w:rsidRPr="00CD6D51">
        <w:t>]</w:t>
      </w:r>
      <w:r w:rsidRPr="00CD6D51">
        <w:t xml:space="preserve"> Mail</w:t>
      </w:r>
      <w:r w:rsidRPr="00CD6D51">
        <w:t xml:space="preserve"> </w:t>
      </w:r>
    </w:p>
    <w:p w:rsidR="001B0AAA" w:rsidRPr="00CD6D51" w:rsidP="001B0AAA" w14:paraId="7F6612C8" w14:textId="77777777">
      <w:pPr>
        <w:ind w:left="720"/>
      </w:pPr>
      <w:r w:rsidRPr="00CD6D51">
        <w:t xml:space="preserve">[ </w:t>
      </w:r>
      <w:r w:rsidRPr="00CD6D51">
        <w:t xml:space="preserve"> </w:t>
      </w:r>
      <w:r w:rsidRPr="00CD6D51">
        <w:t>]</w:t>
      </w:r>
      <w:r w:rsidRPr="00CD6D51">
        <w:t xml:space="preserve"> Other, Explain</w:t>
      </w:r>
    </w:p>
    <w:p w:rsidR="00F24CFC" w:rsidRPr="00CD6D51" w:rsidP="00F24CFC" w14:paraId="09EB718E" w14:textId="2EE06DED">
      <w:pPr>
        <w:pStyle w:val="ListParagraph"/>
        <w:numPr>
          <w:ilvl w:val="0"/>
          <w:numId w:val="17"/>
        </w:numPr>
      </w:pPr>
      <w:r w:rsidRPr="00CD6D51">
        <w:t xml:space="preserve">Will interviewers or facilitators be used?  </w:t>
      </w:r>
      <w:r w:rsidRPr="00CD6D51">
        <w:t>[  ]</w:t>
      </w:r>
      <w:r w:rsidRPr="00CD6D51">
        <w:t xml:space="preserve"> Yes [ </w:t>
      </w:r>
      <w:r w:rsidRPr="00CD6D51" w:rsidR="00FC2F70">
        <w:t>X</w:t>
      </w:r>
      <w:r w:rsidRPr="00CD6D51">
        <w:t xml:space="preserve"> ] No</w:t>
      </w:r>
    </w:p>
    <w:p w:rsidR="00F24CFC" w:rsidP="00F24CFC" w14:paraId="28700178" w14:textId="77777777">
      <w:pPr>
        <w:pStyle w:val="ListParagraph"/>
        <w:ind w:left="360"/>
      </w:pPr>
      <w:r>
        <w:t xml:space="preserve"> </w:t>
      </w:r>
    </w:p>
    <w:p w:rsidR="005E714A" w:rsidP="00F24CFC" w14:paraId="5354A140" w14:textId="77777777">
      <w:pPr>
        <w:tabs>
          <w:tab w:val="left" w:pos="5670"/>
        </w:tabs>
        <w:suppressAutoHyphens/>
      </w:pPr>
    </w:p>
    <w:sectPr w:rsidSect="00194AC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B608A" w14:paraId="011D00B3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668D6" w14:paraId="1EB1D9B6" w14:textId="77777777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6B7B34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B608A" w14:paraId="08DEB13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B608A" w14:paraId="37812DFC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B608A" w14:paraId="0549C773" w14:textId="488B4DC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B608A" w14:paraId="38D2E839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0690717"/>
    <w:multiLevelType w:val="hybridMultilevel"/>
    <w:tmpl w:val="51689CF8"/>
    <w:lvl w:ilvl="0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897D23"/>
    <w:multiLevelType w:val="hybridMultilevel"/>
    <w:tmpl w:val="1ADCD4FC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1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D4A66F5"/>
    <w:multiLevelType w:val="hybridMultilevel"/>
    <w:tmpl w:val="48D2017A"/>
    <w:lvl w:ilvl="0">
      <w:start w:val="64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E264BF7"/>
    <w:multiLevelType w:val="hybridMultilevel"/>
    <w:tmpl w:val="169223C8"/>
    <w:lvl w:ilvl="0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6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8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2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21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0"/>
  </w:num>
  <w:num w:numId="3">
    <w:abstractNumId w:val="19"/>
  </w:num>
  <w:num w:numId="4">
    <w:abstractNumId w:val="21"/>
  </w:num>
  <w:num w:numId="5">
    <w:abstractNumId w:val="3"/>
  </w:num>
  <w:num w:numId="6">
    <w:abstractNumId w:val="1"/>
  </w:num>
  <w:num w:numId="7">
    <w:abstractNumId w:val="10"/>
  </w:num>
  <w:num w:numId="8">
    <w:abstractNumId w:val="17"/>
  </w:num>
  <w:num w:numId="9">
    <w:abstractNumId w:val="11"/>
  </w:num>
  <w:num w:numId="10">
    <w:abstractNumId w:val="2"/>
  </w:num>
  <w:num w:numId="11">
    <w:abstractNumId w:val="6"/>
  </w:num>
  <w:num w:numId="12">
    <w:abstractNumId w:val="8"/>
  </w:num>
  <w:num w:numId="13">
    <w:abstractNumId w:val="0"/>
  </w:num>
  <w:num w:numId="14">
    <w:abstractNumId w:val="18"/>
  </w:num>
  <w:num w:numId="15">
    <w:abstractNumId w:val="16"/>
  </w:num>
  <w:num w:numId="16">
    <w:abstractNumId w:val="14"/>
  </w:num>
  <w:num w:numId="17">
    <w:abstractNumId w:val="4"/>
  </w:num>
  <w:num w:numId="18">
    <w:abstractNumId w:val="5"/>
  </w:num>
  <w:num w:numId="19">
    <w:abstractNumId w:val="9"/>
  </w:num>
  <w:num w:numId="20">
    <w:abstractNumId w:val="15"/>
  </w:num>
  <w:num w:numId="21">
    <w:abstractNumId w:val="7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83F"/>
    <w:rsid w:val="00012EA6"/>
    <w:rsid w:val="00023A57"/>
    <w:rsid w:val="00024296"/>
    <w:rsid w:val="00034BB4"/>
    <w:rsid w:val="00047A64"/>
    <w:rsid w:val="000602BA"/>
    <w:rsid w:val="000649E6"/>
    <w:rsid w:val="00067329"/>
    <w:rsid w:val="000722CE"/>
    <w:rsid w:val="000765BB"/>
    <w:rsid w:val="000913EC"/>
    <w:rsid w:val="0009482C"/>
    <w:rsid w:val="0009633B"/>
    <w:rsid w:val="000B21C8"/>
    <w:rsid w:val="000B2838"/>
    <w:rsid w:val="000C0017"/>
    <w:rsid w:val="000C5F03"/>
    <w:rsid w:val="000D34DD"/>
    <w:rsid w:val="000D3AF0"/>
    <w:rsid w:val="000D44CA"/>
    <w:rsid w:val="000E200B"/>
    <w:rsid w:val="000F68BE"/>
    <w:rsid w:val="00113A81"/>
    <w:rsid w:val="0012182E"/>
    <w:rsid w:val="001227BB"/>
    <w:rsid w:val="0012642F"/>
    <w:rsid w:val="001434FD"/>
    <w:rsid w:val="001618B1"/>
    <w:rsid w:val="00162F83"/>
    <w:rsid w:val="00177AEA"/>
    <w:rsid w:val="00185220"/>
    <w:rsid w:val="001855D1"/>
    <w:rsid w:val="001927A4"/>
    <w:rsid w:val="00194AC6"/>
    <w:rsid w:val="001A23B0"/>
    <w:rsid w:val="001A25CC"/>
    <w:rsid w:val="001A5E6A"/>
    <w:rsid w:val="001B0AAA"/>
    <w:rsid w:val="001B5AA9"/>
    <w:rsid w:val="001C35A1"/>
    <w:rsid w:val="001C39F7"/>
    <w:rsid w:val="001D50B4"/>
    <w:rsid w:val="001D73BB"/>
    <w:rsid w:val="001E31FF"/>
    <w:rsid w:val="001E4F44"/>
    <w:rsid w:val="001E569D"/>
    <w:rsid w:val="0020788A"/>
    <w:rsid w:val="00237B48"/>
    <w:rsid w:val="00241E7B"/>
    <w:rsid w:val="0024521E"/>
    <w:rsid w:val="00263C3D"/>
    <w:rsid w:val="00271F72"/>
    <w:rsid w:val="00274C45"/>
    <w:rsid w:val="00274D0B"/>
    <w:rsid w:val="00284110"/>
    <w:rsid w:val="002A0A52"/>
    <w:rsid w:val="002B1498"/>
    <w:rsid w:val="002B2C1A"/>
    <w:rsid w:val="002B3C95"/>
    <w:rsid w:val="002B46B0"/>
    <w:rsid w:val="002D0B92"/>
    <w:rsid w:val="002D26E2"/>
    <w:rsid w:val="002D74B4"/>
    <w:rsid w:val="002D7F37"/>
    <w:rsid w:val="002E0A9E"/>
    <w:rsid w:val="002E48F5"/>
    <w:rsid w:val="002E75B3"/>
    <w:rsid w:val="00300795"/>
    <w:rsid w:val="00304714"/>
    <w:rsid w:val="003276DA"/>
    <w:rsid w:val="00330A07"/>
    <w:rsid w:val="00351977"/>
    <w:rsid w:val="0036124E"/>
    <w:rsid w:val="003668D6"/>
    <w:rsid w:val="003706C5"/>
    <w:rsid w:val="003756C2"/>
    <w:rsid w:val="00383527"/>
    <w:rsid w:val="003932D1"/>
    <w:rsid w:val="003960BB"/>
    <w:rsid w:val="003A4843"/>
    <w:rsid w:val="003A64C4"/>
    <w:rsid w:val="003A7074"/>
    <w:rsid w:val="003B27F9"/>
    <w:rsid w:val="003B5350"/>
    <w:rsid w:val="003D5BBE"/>
    <w:rsid w:val="003E362C"/>
    <w:rsid w:val="003E3C61"/>
    <w:rsid w:val="003F1C5B"/>
    <w:rsid w:val="00400FB2"/>
    <w:rsid w:val="004147CC"/>
    <w:rsid w:val="00420E91"/>
    <w:rsid w:val="00431EB1"/>
    <w:rsid w:val="00434E33"/>
    <w:rsid w:val="00441434"/>
    <w:rsid w:val="00445898"/>
    <w:rsid w:val="0045264C"/>
    <w:rsid w:val="00475E6C"/>
    <w:rsid w:val="00476DE5"/>
    <w:rsid w:val="00477FDB"/>
    <w:rsid w:val="0048415B"/>
    <w:rsid w:val="004876EC"/>
    <w:rsid w:val="004925B7"/>
    <w:rsid w:val="004A44F3"/>
    <w:rsid w:val="004A499E"/>
    <w:rsid w:val="004B1EB8"/>
    <w:rsid w:val="004B7C16"/>
    <w:rsid w:val="004D56AD"/>
    <w:rsid w:val="004D5EE4"/>
    <w:rsid w:val="004D6E14"/>
    <w:rsid w:val="005009B0"/>
    <w:rsid w:val="00510C07"/>
    <w:rsid w:val="005439E4"/>
    <w:rsid w:val="00546E1B"/>
    <w:rsid w:val="0055082D"/>
    <w:rsid w:val="005602C1"/>
    <w:rsid w:val="0056452E"/>
    <w:rsid w:val="00567B4A"/>
    <w:rsid w:val="00581EEB"/>
    <w:rsid w:val="00584567"/>
    <w:rsid w:val="005A1006"/>
    <w:rsid w:val="005A772A"/>
    <w:rsid w:val="005A7749"/>
    <w:rsid w:val="005A7C5D"/>
    <w:rsid w:val="005E0CE6"/>
    <w:rsid w:val="005E1037"/>
    <w:rsid w:val="005E5B53"/>
    <w:rsid w:val="005E714A"/>
    <w:rsid w:val="006021EE"/>
    <w:rsid w:val="006140A0"/>
    <w:rsid w:val="00622F4E"/>
    <w:rsid w:val="00633F74"/>
    <w:rsid w:val="00636329"/>
    <w:rsid w:val="00636621"/>
    <w:rsid w:val="006409B1"/>
    <w:rsid w:val="00642B49"/>
    <w:rsid w:val="006464E6"/>
    <w:rsid w:val="00647395"/>
    <w:rsid w:val="00661E41"/>
    <w:rsid w:val="00665C30"/>
    <w:rsid w:val="00676551"/>
    <w:rsid w:val="006832D9"/>
    <w:rsid w:val="00686301"/>
    <w:rsid w:val="0069403B"/>
    <w:rsid w:val="006A74F7"/>
    <w:rsid w:val="006B7B34"/>
    <w:rsid w:val="006C2ADF"/>
    <w:rsid w:val="006D5F47"/>
    <w:rsid w:val="006F277E"/>
    <w:rsid w:val="006F3DDE"/>
    <w:rsid w:val="006F579F"/>
    <w:rsid w:val="00704678"/>
    <w:rsid w:val="00704B46"/>
    <w:rsid w:val="00711EFC"/>
    <w:rsid w:val="007304E5"/>
    <w:rsid w:val="007425E7"/>
    <w:rsid w:val="00755C84"/>
    <w:rsid w:val="00760AD4"/>
    <w:rsid w:val="00766D95"/>
    <w:rsid w:val="007704E5"/>
    <w:rsid w:val="0077381E"/>
    <w:rsid w:val="0077703F"/>
    <w:rsid w:val="0078286A"/>
    <w:rsid w:val="007840A3"/>
    <w:rsid w:val="007B2431"/>
    <w:rsid w:val="007D24D2"/>
    <w:rsid w:val="007D6FF6"/>
    <w:rsid w:val="007E0F4A"/>
    <w:rsid w:val="007F2A72"/>
    <w:rsid w:val="00802607"/>
    <w:rsid w:val="008101A5"/>
    <w:rsid w:val="00811789"/>
    <w:rsid w:val="00821356"/>
    <w:rsid w:val="00822664"/>
    <w:rsid w:val="00843796"/>
    <w:rsid w:val="0085116A"/>
    <w:rsid w:val="008757DB"/>
    <w:rsid w:val="00887320"/>
    <w:rsid w:val="00895229"/>
    <w:rsid w:val="008B2CB5"/>
    <w:rsid w:val="008D1C0B"/>
    <w:rsid w:val="008D28B9"/>
    <w:rsid w:val="008D4084"/>
    <w:rsid w:val="008E7827"/>
    <w:rsid w:val="008F0203"/>
    <w:rsid w:val="008F50D4"/>
    <w:rsid w:val="00916CE9"/>
    <w:rsid w:val="009225E4"/>
    <w:rsid w:val="009239AA"/>
    <w:rsid w:val="00927162"/>
    <w:rsid w:val="00935ADA"/>
    <w:rsid w:val="00942CCB"/>
    <w:rsid w:val="00946B6C"/>
    <w:rsid w:val="00955A71"/>
    <w:rsid w:val="0096108F"/>
    <w:rsid w:val="0096422B"/>
    <w:rsid w:val="009A036B"/>
    <w:rsid w:val="009C13B9"/>
    <w:rsid w:val="009C540E"/>
    <w:rsid w:val="009D01A2"/>
    <w:rsid w:val="009F03B0"/>
    <w:rsid w:val="009F5923"/>
    <w:rsid w:val="00A10A73"/>
    <w:rsid w:val="00A229F1"/>
    <w:rsid w:val="00A22FAA"/>
    <w:rsid w:val="00A35F30"/>
    <w:rsid w:val="00A403BB"/>
    <w:rsid w:val="00A427B6"/>
    <w:rsid w:val="00A50F89"/>
    <w:rsid w:val="00A674DF"/>
    <w:rsid w:val="00A8331A"/>
    <w:rsid w:val="00A83916"/>
    <w:rsid w:val="00A83AA6"/>
    <w:rsid w:val="00AC60E8"/>
    <w:rsid w:val="00AE14B1"/>
    <w:rsid w:val="00AE1809"/>
    <w:rsid w:val="00AF0E40"/>
    <w:rsid w:val="00AF139B"/>
    <w:rsid w:val="00AF4F38"/>
    <w:rsid w:val="00B0131E"/>
    <w:rsid w:val="00B07575"/>
    <w:rsid w:val="00B1396E"/>
    <w:rsid w:val="00B1519B"/>
    <w:rsid w:val="00B2002B"/>
    <w:rsid w:val="00B21A9E"/>
    <w:rsid w:val="00B33EC6"/>
    <w:rsid w:val="00B459A5"/>
    <w:rsid w:val="00B50B05"/>
    <w:rsid w:val="00B52170"/>
    <w:rsid w:val="00B605E0"/>
    <w:rsid w:val="00B63B5A"/>
    <w:rsid w:val="00B64753"/>
    <w:rsid w:val="00B71728"/>
    <w:rsid w:val="00B80D76"/>
    <w:rsid w:val="00B910A1"/>
    <w:rsid w:val="00BA2105"/>
    <w:rsid w:val="00BA7E06"/>
    <w:rsid w:val="00BB2B1B"/>
    <w:rsid w:val="00BB43B5"/>
    <w:rsid w:val="00BB6219"/>
    <w:rsid w:val="00BC0FA4"/>
    <w:rsid w:val="00BC676D"/>
    <w:rsid w:val="00BD290F"/>
    <w:rsid w:val="00BF6223"/>
    <w:rsid w:val="00BF7CDF"/>
    <w:rsid w:val="00C13023"/>
    <w:rsid w:val="00C14CC4"/>
    <w:rsid w:val="00C15E7E"/>
    <w:rsid w:val="00C21E86"/>
    <w:rsid w:val="00C23A6F"/>
    <w:rsid w:val="00C26714"/>
    <w:rsid w:val="00C33C52"/>
    <w:rsid w:val="00C40D8B"/>
    <w:rsid w:val="00C473F0"/>
    <w:rsid w:val="00C772FB"/>
    <w:rsid w:val="00C8407A"/>
    <w:rsid w:val="00C8488C"/>
    <w:rsid w:val="00C86E3B"/>
    <w:rsid w:val="00C86E91"/>
    <w:rsid w:val="00C9797C"/>
    <w:rsid w:val="00CA19A3"/>
    <w:rsid w:val="00CA1B4E"/>
    <w:rsid w:val="00CA2010"/>
    <w:rsid w:val="00CA2650"/>
    <w:rsid w:val="00CA2C08"/>
    <w:rsid w:val="00CA3E6F"/>
    <w:rsid w:val="00CB1078"/>
    <w:rsid w:val="00CC6FAF"/>
    <w:rsid w:val="00CD3F0A"/>
    <w:rsid w:val="00CD6D51"/>
    <w:rsid w:val="00CE38EB"/>
    <w:rsid w:val="00CF6B66"/>
    <w:rsid w:val="00D12D3C"/>
    <w:rsid w:val="00D16CFB"/>
    <w:rsid w:val="00D21C20"/>
    <w:rsid w:val="00D24698"/>
    <w:rsid w:val="00D401EE"/>
    <w:rsid w:val="00D409F0"/>
    <w:rsid w:val="00D47F96"/>
    <w:rsid w:val="00D61B59"/>
    <w:rsid w:val="00D6383F"/>
    <w:rsid w:val="00D662C8"/>
    <w:rsid w:val="00DB4A58"/>
    <w:rsid w:val="00DB542F"/>
    <w:rsid w:val="00DB59D0"/>
    <w:rsid w:val="00DB608A"/>
    <w:rsid w:val="00DC33D3"/>
    <w:rsid w:val="00DC5E97"/>
    <w:rsid w:val="00DC64D3"/>
    <w:rsid w:val="00DE2EAB"/>
    <w:rsid w:val="00DE43C0"/>
    <w:rsid w:val="00DF1D96"/>
    <w:rsid w:val="00E16049"/>
    <w:rsid w:val="00E26329"/>
    <w:rsid w:val="00E40877"/>
    <w:rsid w:val="00E40B50"/>
    <w:rsid w:val="00E431EE"/>
    <w:rsid w:val="00E50293"/>
    <w:rsid w:val="00E65FFC"/>
    <w:rsid w:val="00E670E2"/>
    <w:rsid w:val="00E766B1"/>
    <w:rsid w:val="00E77536"/>
    <w:rsid w:val="00E80951"/>
    <w:rsid w:val="00E81EFC"/>
    <w:rsid w:val="00E854FE"/>
    <w:rsid w:val="00E86CC6"/>
    <w:rsid w:val="00E87D63"/>
    <w:rsid w:val="00E9302A"/>
    <w:rsid w:val="00EB0DD5"/>
    <w:rsid w:val="00EB3CE1"/>
    <w:rsid w:val="00EB56B3"/>
    <w:rsid w:val="00EC2667"/>
    <w:rsid w:val="00ED2B83"/>
    <w:rsid w:val="00ED6492"/>
    <w:rsid w:val="00EE37F5"/>
    <w:rsid w:val="00EF055C"/>
    <w:rsid w:val="00EF2095"/>
    <w:rsid w:val="00F03CE8"/>
    <w:rsid w:val="00F06866"/>
    <w:rsid w:val="00F104AA"/>
    <w:rsid w:val="00F15956"/>
    <w:rsid w:val="00F24CFC"/>
    <w:rsid w:val="00F3170F"/>
    <w:rsid w:val="00F51B85"/>
    <w:rsid w:val="00F55AE3"/>
    <w:rsid w:val="00F6422B"/>
    <w:rsid w:val="00F86109"/>
    <w:rsid w:val="00F90F13"/>
    <w:rsid w:val="00F914F6"/>
    <w:rsid w:val="00F94D8C"/>
    <w:rsid w:val="00F976B0"/>
    <w:rsid w:val="00FA6DE7"/>
    <w:rsid w:val="00FC0A8E"/>
    <w:rsid w:val="00FC2E3E"/>
    <w:rsid w:val="00FC2F70"/>
    <w:rsid w:val="00FE2FA6"/>
    <w:rsid w:val="00FE3DF2"/>
    <w:rsid w:val="152B75A6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07CE5793"/>
  <w15:chartTrackingRefBased/>
  <w15:docId w15:val="{4BB3590A-3BF1-409C-B515-D54C6926F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endnote text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rsid w:val="002D74B4"/>
    <w:rPr>
      <w:color w:val="0000FF"/>
      <w:u w:val="single"/>
    </w:rPr>
  </w:style>
  <w:style w:type="character" w:styleId="FollowedHyperlink">
    <w:name w:val="FollowedHyperlink"/>
    <w:basedOn w:val="DefaultParagraphFont"/>
    <w:rsid w:val="005A7C5D"/>
    <w:rPr>
      <w:color w:val="954F72" w:themeColor="followedHyperlink"/>
      <w:u w:val="single"/>
    </w:rPr>
  </w:style>
  <w:style w:type="paragraph" w:customStyle="1" w:styleId="Default">
    <w:name w:val="Default"/>
    <w:rsid w:val="004D56AD"/>
    <w:pPr>
      <w:autoSpaceDE w:val="0"/>
      <w:autoSpaceDN w:val="0"/>
      <w:adjustRightInd w:val="0"/>
    </w:pPr>
    <w:rPr>
      <w:rFonts w:ascii="Calibri" w:hAnsi="Calibri" w:eastAsiaTheme="minorEastAsia" w:cs="Calibri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unhideWhenUsed/>
    <w:rsid w:val="00FC2F70"/>
    <w:rPr>
      <w:rFonts w:eastAsia="SimSun" w:asciiTheme="minorHAnsi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C2F70"/>
    <w:rPr>
      <w:rFonts w:eastAsia="SimSun" w:asciiTheme="minorHAnsi" w:hAnsiTheme="minorHAnsi" w:cstheme="minorBidi"/>
    </w:rPr>
  </w:style>
  <w:style w:type="character" w:styleId="FootnoteReference">
    <w:name w:val="footnote reference"/>
    <w:basedOn w:val="DefaultParagraphFont"/>
    <w:uiPriority w:val="99"/>
    <w:unhideWhenUsed/>
    <w:rsid w:val="00FC2F70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unhideWhenUsed/>
    <w:rsid w:val="00FC2F70"/>
    <w:rPr>
      <w:rFonts w:eastAsia="SimSun" w:asciiTheme="minorHAnsi" w:hAnsiTheme="minorHAnsi" w:cstheme="minorBidi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FC2F70"/>
    <w:rPr>
      <w:rFonts w:eastAsia="SimSun" w:asciiTheme="minorHAnsi" w:hAnsiTheme="minorHAnsi" w:cstheme="minorBidi"/>
    </w:rPr>
  </w:style>
  <w:style w:type="paragraph" w:styleId="Revision">
    <w:name w:val="Revision"/>
    <w:hidden/>
    <w:uiPriority w:val="99"/>
    <w:semiHidden/>
    <w:rsid w:val="005A7749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0D3A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3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opm.gov/policy-data-oversight/pay-leave/salaries-wages/salary-tables/pdf/2022/DCB.pdf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C25F63-48D3-40C8-BB6A-DF4EBA646D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658</Words>
  <Characters>3752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Generic Clearance Submission Template</vt:lpstr>
    </vt:vector>
  </TitlesOfParts>
  <Company>ssa</Company>
  <LinksUpToDate>false</LinksUpToDate>
  <CharactersWithSpaces>4402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Generic Clearance Submission Template</dc:title>
  <dc:subject>Generic Clearance Submission Template</dc:subject>
  <dc:creator>OD/USER</dc:creator>
  <cp:keywords>Generic Clearance Submission Template</cp:keywords>
  <cp:lastModifiedBy>Abdelmouti, Tawanda (NIH/OD) [E]</cp:lastModifiedBy>
  <cp:revision>2</cp:revision>
  <cp:lastPrinted>2019-09-04T14:23:00Z</cp:lastPrinted>
  <dcterms:created xsi:type="dcterms:W3CDTF">2022-12-16T17:41:00Z</dcterms:created>
  <dcterms:modified xsi:type="dcterms:W3CDTF">2022-12-16T17:41:00Z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