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C36BE" w:rsidR="005E714A" w:rsidP="00A15379" w:rsidRDefault="00F06866" w14:paraId="45876AC8" w14:textId="1F9DD00C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</w:t>
      </w:r>
      <w:r w:rsidR="003B5350">
        <w:rPr>
          <w:sz w:val="28"/>
        </w:rPr>
        <w:t>for NIH Citizen</w:t>
      </w:r>
      <w:r w:rsidR="009C36BE">
        <w:rPr>
          <w:sz w:val="28"/>
        </w:rPr>
        <w:t xml:space="preserve"> </w:t>
      </w:r>
      <w:r w:rsidR="003B5350">
        <w:rPr>
          <w:sz w:val="28"/>
        </w:rPr>
        <w:t>Science and Crowdsourcing Projects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  <w:r w:rsidRPr="009C36BE">
        <w:rPr>
          <w:sz w:val="28"/>
          <w:szCs w:val="28"/>
        </w:rPr>
        <w:t>(</w:t>
      </w:r>
      <w:r w:rsidRPr="009C36BE" w:rsidR="00686301">
        <w:rPr>
          <w:sz w:val="28"/>
          <w:szCs w:val="28"/>
        </w:rPr>
        <w:t>OMB#</w:t>
      </w:r>
      <w:r w:rsidRPr="009C36BE">
        <w:rPr>
          <w:sz w:val="28"/>
          <w:szCs w:val="28"/>
        </w:rPr>
        <w:t xml:space="preserve">: </w:t>
      </w:r>
      <w:r w:rsidRPr="009C36BE" w:rsidR="002B1498">
        <w:rPr>
          <w:sz w:val="28"/>
          <w:szCs w:val="28"/>
        </w:rPr>
        <w:t>0925-0766</w:t>
      </w:r>
      <w:r w:rsidRPr="009C36BE" w:rsidR="00686301">
        <w:rPr>
          <w:sz w:val="28"/>
          <w:szCs w:val="28"/>
        </w:rPr>
        <w:t xml:space="preserve"> Exp</w:t>
      </w:r>
      <w:r w:rsidRPr="009C36BE" w:rsidR="00A50F89">
        <w:rPr>
          <w:sz w:val="28"/>
          <w:szCs w:val="28"/>
        </w:rPr>
        <w:t>., d</w:t>
      </w:r>
      <w:r w:rsidRPr="009C36BE" w:rsidR="00887320">
        <w:rPr>
          <w:sz w:val="28"/>
          <w:szCs w:val="28"/>
        </w:rPr>
        <w:t>ate:</w:t>
      </w:r>
      <w:r w:rsidRPr="009C36BE" w:rsidR="00A50F89">
        <w:rPr>
          <w:sz w:val="28"/>
          <w:szCs w:val="28"/>
        </w:rPr>
        <w:t xml:space="preserve"> </w:t>
      </w:r>
      <w:r w:rsidRPr="009C36BE" w:rsidR="002B1498">
        <w:rPr>
          <w:sz w:val="28"/>
          <w:szCs w:val="28"/>
        </w:rPr>
        <w:t>04/2023</w:t>
      </w:r>
      <w:r w:rsidRPr="009C36BE">
        <w:rPr>
          <w:sz w:val="28"/>
          <w:szCs w:val="28"/>
        </w:rPr>
        <w:t>)</w:t>
      </w:r>
    </w:p>
    <w:p w:rsidR="009C36BE" w:rsidP="00434E33" w:rsidRDefault="009C36BE" w14:paraId="6692B477" w14:textId="725C53A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53952C6" wp14:anchorId="70BAE59F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5151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4.85pt" to="513pt,4.85pt" w14:anchorId="0BA3DE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"/>
            </w:pict>
          </mc:Fallback>
        </mc:AlternateContent>
      </w:r>
    </w:p>
    <w:p w:rsidRPr="009239AA" w:rsidR="00E50293" w:rsidP="00434E33" w:rsidRDefault="005E714A" w14:paraId="771867AD" w14:textId="60E58A5B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9C36BE">
        <w:t>Cancer Moonshot Junior Investigators Nomination (NCI)</w:t>
      </w:r>
    </w:p>
    <w:p w:rsidR="005E714A" w:rsidRDefault="005E714A" w14:paraId="7E4E3CB3" w14:textId="77777777"/>
    <w:p w:rsidR="00C8488C" w:rsidRDefault="00F15956" w14:paraId="59F7757F" w14:textId="693C4C18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BF00BB">
        <w:t xml:space="preserve">The organizers of the Cancer Moonshot Seminar Series are interested in having Junior Investigators take part and present </w:t>
      </w:r>
      <w:r w:rsidR="00090FCD">
        <w:t xml:space="preserve">at </w:t>
      </w:r>
      <w:r w:rsidR="00BF00BB">
        <w:t xml:space="preserve">2 of the 10 </w:t>
      </w:r>
      <w:r w:rsidR="00090FCD">
        <w:t xml:space="preserve">events planned for the </w:t>
      </w:r>
      <w:r w:rsidR="00BF00BB">
        <w:t xml:space="preserve">upcoming </w:t>
      </w:r>
      <w:r w:rsidR="00090FCD">
        <w:t xml:space="preserve">2021-2022 </w:t>
      </w:r>
      <w:r w:rsidR="00BF00BB">
        <w:t xml:space="preserve">seminars. To determine the best presenters for this, they are asking Principal Investigators </w:t>
      </w:r>
      <w:r w:rsidR="00090FCD">
        <w:t xml:space="preserve">of Cancer Moonshot programs </w:t>
      </w:r>
      <w:r w:rsidR="00BF00BB">
        <w:t xml:space="preserve">to submit nominations for Junior Investigators in their labs to serve as speakers. </w:t>
      </w:r>
    </w:p>
    <w:p w:rsidR="00C8488C" w:rsidRDefault="00C8488C" w14:paraId="056364EE" w14:textId="77777777"/>
    <w:p w:rsidR="00C8488C" w:rsidP="00434E33" w:rsidRDefault="00C8488C" w14:paraId="715CFA0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A15379" w:rsidR="00F15956" w:rsidP="00A15379" w:rsidRDefault="00434E33" w14:paraId="556B2A44" w14:textId="0264D866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434E33">
        <w:rPr>
          <w:b/>
        </w:rPr>
        <w:t>DESCRIPTION OF RESPONDENTS</w:t>
      </w:r>
      <w:r>
        <w:t xml:space="preserve">: </w:t>
      </w:r>
      <w:r w:rsidR="00BF00BB">
        <w:t>The targeted group completing the information will be Principal Investigators funded through Cancer Moonshot. The information collected will pertain to Junior Investigators in their labs/research facilities</w:t>
      </w:r>
      <w:r w:rsidR="00090FCD">
        <w:t xml:space="preserve"> and/or involved in their Cancer Moonshot research</w:t>
      </w:r>
      <w:r w:rsidR="00BF00BB">
        <w:t xml:space="preserve">. </w:t>
      </w:r>
    </w:p>
    <w:p w:rsidR="00F15956" w:rsidRDefault="00F15956" w14:paraId="624D8BBC" w14:textId="77777777"/>
    <w:p w:rsidR="00E26329" w:rsidRDefault="00E26329" w14:paraId="38C22350" w14:textId="77777777">
      <w:pPr>
        <w:rPr>
          <w:b/>
        </w:rPr>
      </w:pPr>
    </w:p>
    <w:p w:rsidR="00E26329" w:rsidRDefault="00E26329" w14:paraId="0AD177E0" w14:textId="77777777">
      <w:pPr>
        <w:rPr>
          <w:b/>
        </w:rPr>
      </w:pPr>
    </w:p>
    <w:p w:rsidRPr="00F06866" w:rsidR="00F06866" w:rsidRDefault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:rsidRDefault="0096108F" w14:paraId="0129C2CF" w14:textId="6D10BDA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457A83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</w:r>
      <w:r w:rsidR="00457A83">
        <w:rPr>
          <w:bCs/>
          <w:sz w:val="24"/>
        </w:rPr>
        <w:tab/>
      </w:r>
      <w:r w:rsidR="00DB608A">
        <w:rPr>
          <w:bCs/>
          <w:sz w:val="24"/>
        </w:rPr>
        <w:t>[ ] Resources</w:t>
      </w:r>
    </w:p>
    <w:p w:rsidRPr="00F06866" w:rsidR="00F06866" w:rsidP="0096108F" w:rsidRDefault="00935ADA" w14:paraId="3A23215E" w14:textId="6F62632E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02EBA">
        <w:rPr>
          <w:bCs/>
          <w:sz w:val="24"/>
        </w:rPr>
        <w:t>X</w:t>
      </w:r>
      <w:r w:rsidR="006D5F47">
        <w:rPr>
          <w:bCs/>
          <w:sz w:val="24"/>
        </w:rPr>
        <w:t xml:space="preserve">]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0E6CE6D" w14:textId="77777777">
      <w:pPr>
        <w:rPr>
          <w:sz w:val="16"/>
          <w:szCs w:val="16"/>
        </w:rPr>
      </w:pPr>
    </w:p>
    <w:p w:rsidRPr="009C13B9" w:rsidR="008101A5" w:rsidP="008101A5" w:rsidRDefault="008101A5" w14:paraId="118A1BD8" w14:textId="77777777">
      <w:r>
        <w:t xml:space="preserve">I certify the following to be true: </w:t>
      </w:r>
    </w:p>
    <w:p w:rsidR="008101A5" w:rsidP="008101A5" w:rsidRDefault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C042F20" w14:textId="34F2E4DD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D9764F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53F279A" w14:textId="77777777"/>
    <w:p w:rsidR="00D9764F" w:rsidP="009C13B9" w:rsidRDefault="00D9764F" w14:paraId="6CABD3BA" w14:textId="77777777"/>
    <w:p w:rsidR="00D9764F" w:rsidP="009C13B9" w:rsidRDefault="00D9764F" w14:paraId="1FF3638C" w14:textId="77777777"/>
    <w:p w:rsidR="00D9764F" w:rsidP="009C13B9" w:rsidRDefault="00D9764F" w14:paraId="1CA99FC4" w14:textId="77777777"/>
    <w:p w:rsidR="009C13B9" w:rsidP="009C13B9" w:rsidRDefault="009C13B9" w14:paraId="52DF1569" w14:textId="530368A8">
      <w:r>
        <w:t>Name:</w:t>
      </w:r>
      <w:r w:rsidR="00C02EBA">
        <w:t xml:space="preserve"> </w:t>
      </w:r>
      <w:r>
        <w:t>_</w:t>
      </w:r>
      <w:r w:rsidRPr="00C02EBA" w:rsidR="00C02EBA">
        <w:rPr>
          <w:u w:val="single"/>
        </w:rPr>
        <w:t>Kimberly Seyferth</w:t>
      </w:r>
    </w:p>
    <w:p w:rsidR="009C13B9" w:rsidP="009C13B9" w:rsidRDefault="009C13B9" w14:paraId="53454E83" w14:textId="77777777">
      <w:pPr>
        <w:pStyle w:val="ListParagraph"/>
        <w:ind w:left="360"/>
      </w:pPr>
    </w:p>
    <w:p w:rsidR="00D9764F" w:rsidRDefault="00D9764F" w14:paraId="4C985093" w14:textId="3649BCCA">
      <w:r>
        <w:br w:type="page"/>
      </w:r>
    </w:p>
    <w:p w:rsidR="009C13B9" w:rsidP="009C13B9" w:rsidRDefault="009C13B9" w14:paraId="24E1CA9D" w14:textId="6542BEA3">
      <w:r>
        <w:lastRenderedPageBreak/>
        <w:t>To assist review, please provide answers to the following question:</w:t>
      </w:r>
    </w:p>
    <w:p w:rsidR="009C13B9" w:rsidP="009C13B9" w:rsidRDefault="009C13B9" w14:paraId="0526A668" w14:textId="77777777">
      <w:pPr>
        <w:pStyle w:val="ListParagraph"/>
        <w:ind w:left="360"/>
      </w:pPr>
    </w:p>
    <w:p w:rsidRPr="00C86E91" w:rsidR="009C13B9" w:rsidP="00C86E91" w:rsidRDefault="00C86E91" w14:paraId="36CA8E31" w14:textId="77777777">
      <w:pPr>
        <w:rPr>
          <w:b/>
        </w:rPr>
      </w:pPr>
      <w:r w:rsidRPr="00457A83">
        <w:rPr>
          <w:b/>
        </w:rPr>
        <w:t>Personally Identifiable Information:</w:t>
      </w:r>
    </w:p>
    <w:p w:rsidR="00C86E91" w:rsidP="00C86E91" w:rsidRDefault="009C13B9" w14:paraId="13BDC04D" w14:textId="2A39B8A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865DFD">
        <w:t>X</w:t>
      </w:r>
      <w:r w:rsidR="009239AA">
        <w:t xml:space="preserve"> ] Yes  [ ]  No </w:t>
      </w:r>
    </w:p>
    <w:p w:rsidR="00C86E91" w:rsidP="00C86E91" w:rsidRDefault="009C13B9" w14:paraId="7186FCEC" w14:textId="2C83C42A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C02EBA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62A1D75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75CF8E01" w14:textId="77777777">
      <w:pPr>
        <w:pStyle w:val="ListParagraph"/>
        <w:ind w:left="360"/>
      </w:pPr>
    </w:p>
    <w:p w:rsidRPr="00C86E91" w:rsidR="00C86E91" w:rsidP="00C86E91" w:rsidRDefault="00CB1078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F43050C" w14:textId="3842FB7A">
      <w:r>
        <w:t xml:space="preserve">Is an incentive (e.g., money or reimbursement of expenses, token of appreciation) provided to participants?  [  ] Yes [ </w:t>
      </w:r>
      <w:r w:rsidR="00BF00BB">
        <w:t>X</w:t>
      </w:r>
      <w:r>
        <w:t xml:space="preserve"> ] No  </w:t>
      </w:r>
    </w:p>
    <w:p w:rsidR="004D6E14" w:rsidRDefault="004D6E14" w14:paraId="19254812" w14:textId="77777777">
      <w:pPr>
        <w:rPr>
          <w:b/>
        </w:rPr>
      </w:pPr>
    </w:p>
    <w:p w:rsidR="00F24CFC" w:rsidRDefault="00F24CFC" w14:paraId="464AA28C" w14:textId="77777777">
      <w:pPr>
        <w:rPr>
          <w:b/>
        </w:rPr>
      </w:pPr>
    </w:p>
    <w:p w:rsidRPr="00BC676D" w:rsidR="005E714A" w:rsidP="00C86E91" w:rsidRDefault="003668D6" w14:paraId="384A9DB1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190580F" w14:textId="77777777">
      <w:pPr>
        <w:keepNext/>
        <w:keepLines/>
        <w:rPr>
          <w:b/>
        </w:rPr>
      </w:pPr>
    </w:p>
    <w:tbl>
      <w:tblPr>
        <w:tblW w:w="915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1620"/>
        <w:gridCol w:w="1980"/>
        <w:gridCol w:w="1530"/>
        <w:gridCol w:w="1260"/>
      </w:tblGrid>
      <w:tr w:rsidR="003668D6" w:rsidTr="00D9764F" w14:paraId="43D8EEDC" w14:textId="77777777">
        <w:trPr>
          <w:trHeight w:val="274"/>
        </w:trPr>
        <w:tc>
          <w:tcPr>
            <w:tcW w:w="2767" w:type="dxa"/>
            <w:vAlign w:val="center"/>
          </w:tcPr>
          <w:p w:rsidRPr="002D26E2" w:rsidR="003668D6" w:rsidP="00D9764F" w:rsidRDefault="003668D6" w14:paraId="398EF93D" w14:textId="3262E125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2D26E2" w:rsidR="003668D6" w:rsidP="00D9764F" w:rsidRDefault="003668D6" w14:paraId="3CFC5F12" w14:textId="77777777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980" w:type="dxa"/>
            <w:vAlign w:val="center"/>
          </w:tcPr>
          <w:p w:rsidRPr="002D26E2" w:rsidR="003668D6" w:rsidP="00D9764F" w:rsidRDefault="003668D6" w14:paraId="38D7FB13" w14:textId="16641219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530" w:type="dxa"/>
            <w:vAlign w:val="center"/>
          </w:tcPr>
          <w:p w:rsidR="003668D6" w:rsidP="00D9764F" w:rsidRDefault="003668D6" w14:paraId="50C7D0F5" w14:textId="181711C4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:rsidR="003668D6" w:rsidP="00D9764F" w:rsidRDefault="003668D6" w14:paraId="1CA824AB" w14:textId="48114706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:rsidRPr="002D26E2" w:rsidR="003668D6" w:rsidP="00D9764F" w:rsidRDefault="003668D6" w14:paraId="7993698B" w14:textId="59DE7B35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260" w:type="dxa"/>
            <w:vAlign w:val="center"/>
          </w:tcPr>
          <w:p w:rsidR="003668D6" w:rsidP="00D9764F" w:rsidRDefault="003668D6" w14:paraId="2744E6E5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D9764F" w:rsidRDefault="003668D6" w14:paraId="195A9A2A" w14:textId="47298BC7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3668D6" w:rsidTr="00D9764F" w14:paraId="6C4086BE" w14:textId="77777777">
        <w:trPr>
          <w:trHeight w:val="260"/>
        </w:trPr>
        <w:tc>
          <w:tcPr>
            <w:tcW w:w="2767" w:type="dxa"/>
          </w:tcPr>
          <w:p w:rsidR="003668D6" w:rsidP="00843796" w:rsidRDefault="009C36BE" w14:paraId="74505133" w14:textId="25410294">
            <w:r>
              <w:t>Individuals</w:t>
            </w:r>
          </w:p>
        </w:tc>
        <w:tc>
          <w:tcPr>
            <w:tcW w:w="1620" w:type="dxa"/>
          </w:tcPr>
          <w:p w:rsidRPr="00C02EBA" w:rsidR="003668D6" w:rsidP="009C36BE" w:rsidRDefault="00865DFD" w14:paraId="48480537" w14:textId="75454138">
            <w:pPr>
              <w:jc w:val="center"/>
              <w:rPr>
                <w:color w:val="FF0000"/>
              </w:rPr>
            </w:pPr>
            <w:r w:rsidRPr="00C02EBA">
              <w:t>100</w:t>
            </w:r>
          </w:p>
        </w:tc>
        <w:tc>
          <w:tcPr>
            <w:tcW w:w="1980" w:type="dxa"/>
          </w:tcPr>
          <w:p w:rsidR="003668D6" w:rsidP="009C36BE" w:rsidRDefault="00865DFD" w14:paraId="0DFCFA35" w14:textId="7CE3FE19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3668D6" w:rsidP="009C36BE" w:rsidRDefault="00865DFD" w14:paraId="3D1773F5" w14:textId="56093AD3">
            <w:pPr>
              <w:jc w:val="center"/>
            </w:pPr>
            <w:r w:rsidRPr="00C02EBA">
              <w:t>1</w:t>
            </w:r>
            <w:r w:rsidRPr="00C02EBA" w:rsidR="00FA3B79">
              <w:t>0</w:t>
            </w:r>
            <w:r w:rsidR="009C36BE">
              <w:t>/60</w:t>
            </w:r>
          </w:p>
        </w:tc>
        <w:tc>
          <w:tcPr>
            <w:tcW w:w="1260" w:type="dxa"/>
          </w:tcPr>
          <w:p w:rsidR="003668D6" w:rsidP="009C36BE" w:rsidRDefault="00457A83" w14:paraId="47C85A64" w14:textId="096CC03B">
            <w:pPr>
              <w:jc w:val="center"/>
            </w:pPr>
            <w:r>
              <w:t>17</w:t>
            </w:r>
          </w:p>
        </w:tc>
      </w:tr>
      <w:tr w:rsidR="003668D6" w:rsidTr="00D9764F" w14:paraId="40D619CD" w14:textId="77777777">
        <w:trPr>
          <w:trHeight w:val="289"/>
        </w:trPr>
        <w:tc>
          <w:tcPr>
            <w:tcW w:w="2767" w:type="dxa"/>
          </w:tcPr>
          <w:p w:rsidRPr="002D26E2" w:rsidR="003668D6" w:rsidP="00843796" w:rsidRDefault="003668D6" w14:paraId="4881398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2D26E2" w:rsidR="003668D6" w:rsidP="009C36BE" w:rsidRDefault="003668D6" w14:paraId="2089A7BF" w14:textId="2C174511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Pr="00A15379" w:rsidR="003668D6" w:rsidP="009C36BE" w:rsidRDefault="00457A83" w14:paraId="5BF515D7" w14:textId="13C16868">
            <w:pPr>
              <w:jc w:val="center"/>
              <w:rPr>
                <w:b/>
                <w:bCs/>
              </w:rPr>
            </w:pPr>
            <w:r w:rsidRPr="00A15379">
              <w:rPr>
                <w:b/>
                <w:bCs/>
              </w:rPr>
              <w:t>100</w:t>
            </w:r>
          </w:p>
        </w:tc>
        <w:tc>
          <w:tcPr>
            <w:tcW w:w="1530" w:type="dxa"/>
          </w:tcPr>
          <w:p w:rsidR="003668D6" w:rsidP="009C36BE" w:rsidRDefault="003668D6" w14:paraId="6453AF92" w14:textId="7DCF1F57">
            <w:pPr>
              <w:jc w:val="center"/>
            </w:pPr>
          </w:p>
        </w:tc>
        <w:tc>
          <w:tcPr>
            <w:tcW w:w="1260" w:type="dxa"/>
          </w:tcPr>
          <w:p w:rsidRPr="002D26E2" w:rsidR="003668D6" w:rsidP="009C36BE" w:rsidRDefault="00457A83" w14:paraId="79836567" w14:textId="0DF24A5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F3170F" w:rsidP="00F3170F" w:rsidRDefault="00F3170F" w14:paraId="70A8B133" w14:textId="77777777"/>
    <w:p w:rsidRPr="009A036B" w:rsidR="009A036B" w:rsidP="009A036B" w:rsidRDefault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D9764F" w14:paraId="76277B5B" w14:textId="77777777">
        <w:trPr>
          <w:trHeight w:val="274"/>
        </w:trPr>
        <w:tc>
          <w:tcPr>
            <w:tcW w:w="2790" w:type="dxa"/>
            <w:vAlign w:val="center"/>
          </w:tcPr>
          <w:p w:rsidRPr="009A036B" w:rsidR="00CA2010" w:rsidP="00D9764F" w:rsidRDefault="00CA2010" w14:paraId="267E1AAC" w14:textId="35AF2890">
            <w:pPr>
              <w:jc w:val="center"/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</w:tc>
        <w:tc>
          <w:tcPr>
            <w:tcW w:w="2250" w:type="dxa"/>
            <w:vAlign w:val="center"/>
          </w:tcPr>
          <w:p w:rsidRPr="00CA2010" w:rsidR="00CA2010" w:rsidP="00D9764F" w:rsidRDefault="00CA2010" w14:paraId="4ED1F780" w14:textId="77777777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D9764F" w:rsidRDefault="00CA2010" w14:paraId="6810BA1F" w14:textId="77777777">
            <w:pPr>
              <w:jc w:val="center"/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  <w:vAlign w:val="center"/>
          </w:tcPr>
          <w:p w:rsidRPr="009A036B" w:rsidR="00CA2010" w:rsidP="00D9764F" w:rsidRDefault="00F94D8C" w14:paraId="64C1222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  <w:vAlign w:val="center"/>
          </w:tcPr>
          <w:p w:rsidRPr="009A036B" w:rsidR="00CA2010" w:rsidP="00D9764F" w:rsidRDefault="00CA2010" w14:paraId="604946A1" w14:textId="0D5ABFEB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:rsidRPr="009A036B" w:rsidR="00CA2010" w:rsidTr="00CA2010" w14:paraId="43039D02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9C36BE" w14:paraId="63B44F56" w14:textId="53BE5A7D">
            <w:r>
              <w:t>Individuals</w:t>
            </w:r>
            <w:r w:rsidR="00C02EBA">
              <w:t xml:space="preserve"> </w:t>
            </w:r>
          </w:p>
        </w:tc>
        <w:tc>
          <w:tcPr>
            <w:tcW w:w="2250" w:type="dxa"/>
          </w:tcPr>
          <w:p w:rsidRPr="009A036B" w:rsidR="00CA2010" w:rsidP="0073230F" w:rsidRDefault="00457A83" w14:paraId="17548B0F" w14:textId="231A974A">
            <w:pPr>
              <w:jc w:val="center"/>
            </w:pPr>
            <w:r>
              <w:t>17</w:t>
            </w:r>
          </w:p>
        </w:tc>
        <w:tc>
          <w:tcPr>
            <w:tcW w:w="2520" w:type="dxa"/>
          </w:tcPr>
          <w:p w:rsidRPr="009A036B" w:rsidR="00CA2010" w:rsidP="0073230F" w:rsidRDefault="00FA3B79" w14:paraId="216778BF" w14:textId="23F88A79">
            <w:pPr>
              <w:jc w:val="center"/>
            </w:pPr>
            <w:r w:rsidRPr="00FA3B79">
              <w:t>$46.95</w:t>
            </w:r>
          </w:p>
        </w:tc>
        <w:tc>
          <w:tcPr>
            <w:tcW w:w="1620" w:type="dxa"/>
          </w:tcPr>
          <w:p w:rsidRPr="009A036B" w:rsidR="00CA2010" w:rsidP="0073230F" w:rsidRDefault="00FA3B79" w14:paraId="198FF701" w14:textId="4E2AC7C0">
            <w:pPr>
              <w:jc w:val="center"/>
            </w:pPr>
            <w:r>
              <w:t>$</w:t>
            </w:r>
            <w:r w:rsidR="00457A83">
              <w:t>798.15</w:t>
            </w:r>
          </w:p>
        </w:tc>
      </w:tr>
      <w:tr w:rsidRPr="009A036B" w:rsidR="00FA3B79" w:rsidTr="00CA2010" w14:paraId="1707AB8A" w14:textId="77777777">
        <w:trPr>
          <w:trHeight w:val="289"/>
        </w:trPr>
        <w:tc>
          <w:tcPr>
            <w:tcW w:w="2790" w:type="dxa"/>
          </w:tcPr>
          <w:p w:rsidRPr="009A036B" w:rsidR="00FA3B79" w:rsidP="00FA3B79" w:rsidRDefault="00FA3B79" w14:paraId="363CB27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FA3B79" w:rsidP="0073230F" w:rsidRDefault="00FA3B79" w14:paraId="51980B66" w14:textId="5A3DF0BB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Pr="009A036B" w:rsidR="00FA3B79" w:rsidP="0073230F" w:rsidRDefault="00FA3B79" w14:paraId="50FA256A" w14:textId="154929ED">
            <w:pPr>
              <w:jc w:val="center"/>
            </w:pPr>
          </w:p>
        </w:tc>
        <w:tc>
          <w:tcPr>
            <w:tcW w:w="1620" w:type="dxa"/>
          </w:tcPr>
          <w:p w:rsidRPr="00A15379" w:rsidR="00FA3B79" w:rsidP="0073230F" w:rsidRDefault="00FA3B79" w14:paraId="277A39C9" w14:textId="32DA2378">
            <w:pPr>
              <w:jc w:val="center"/>
              <w:rPr>
                <w:b/>
                <w:bCs/>
              </w:rPr>
            </w:pPr>
            <w:r w:rsidRPr="00A15379">
              <w:rPr>
                <w:b/>
                <w:bCs/>
              </w:rPr>
              <w:t>$</w:t>
            </w:r>
            <w:r w:rsidRPr="00A15379" w:rsidR="00457A83">
              <w:rPr>
                <w:b/>
                <w:bCs/>
              </w:rPr>
              <w:t>798.15</w:t>
            </w:r>
          </w:p>
        </w:tc>
      </w:tr>
    </w:tbl>
    <w:p w:rsidR="00A15379" w:rsidP="009C36BE" w:rsidRDefault="009C36BE" w14:paraId="1870560C" w14:textId="77777777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*Source of the mean Hourly Wage Rate is provided by the Bureau of Labor Statistics, Occupation title</w:t>
      </w:r>
    </w:p>
    <w:p w:rsidRPr="00B72817" w:rsidR="009C36BE" w:rsidP="009C36BE" w:rsidRDefault="009C36BE" w14:paraId="38DBFDCC" w14:textId="71CE7521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 “Medical Scientists” 19-1040, </w:t>
      </w:r>
      <w:hyperlink w:history="1" w:anchor="00-0000" r:id="rId8">
        <w:r w:rsidRPr="00B72817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Pr="00A7496D" w:rsidR="009A036B" w:rsidP="00F3170F" w:rsidRDefault="00452BCB" w14:paraId="7F3DCA9C" w14:textId="67A37A4F">
      <w:pPr>
        <w:rPr>
          <w:sz w:val="20"/>
          <w:szCs w:val="20"/>
        </w:rPr>
      </w:pPr>
      <w:hyperlink w:history="1" w:anchor="00-0000" r:id="rId9">
        <w:r w:rsidRPr="00A7496D" w:rsidR="00A7496D">
          <w:rPr>
            <w:rStyle w:val="Hyperlink"/>
            <w:bCs/>
            <w:sz w:val="20"/>
            <w:szCs w:val="20"/>
          </w:rPr>
          <w:t>https://www.bls.gov/oes/2019/May/oes_nat.htm#00-0000</w:t>
        </w:r>
      </w:hyperlink>
    </w:p>
    <w:p w:rsidR="00441434" w:rsidP="00F3170F" w:rsidRDefault="00441434" w14:paraId="0092AEDF" w14:textId="77777777"/>
    <w:p w:rsidRPr="009A036B" w:rsidR="009A036B" w:rsidP="009A036B" w:rsidRDefault="001C39F7" w14:paraId="649E7DF1" w14:textId="7425B562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C02EBA">
        <w:t>$1860.26</w:t>
      </w:r>
      <w:r w:rsidR="009A036B">
        <w:rPr>
          <w:b/>
        </w:rPr>
        <w:t xml:space="preserve">     </w:t>
      </w:r>
    </w:p>
    <w:p w:rsidRPr="009A036B" w:rsidR="009A036B" w:rsidP="009A036B" w:rsidRDefault="009A036B" w14:paraId="2F526F57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D9764F" w14:paraId="32DEC570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9A036B" w:rsidP="00D9764F" w:rsidRDefault="009A036B" w14:paraId="0886243E" w14:textId="6D814DEB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9A036B" w:rsidR="009A036B" w:rsidP="00D9764F" w:rsidRDefault="009A036B" w14:paraId="499EF2F3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9A036B" w:rsidP="00D9764F" w:rsidRDefault="009A036B" w14:paraId="71DB3A8D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9A036B" w:rsidP="00D9764F" w:rsidRDefault="009A036B" w14:paraId="0262311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9A036B" w:rsidR="009A036B" w:rsidP="00D9764F" w:rsidRDefault="009A036B" w14:paraId="0C029248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9A036B" w:rsidR="009A036B" w:rsidP="00D9764F" w:rsidRDefault="009A036B" w14:paraId="59B293D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5E7DB43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492D8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3230F" w:rsidRDefault="009A036B" w14:paraId="3D649E10" w14:textId="758F792C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73230F" w:rsidRDefault="009A036B" w14:paraId="5810959E" w14:textId="5B587533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73230F" w:rsidRDefault="009A036B" w14:paraId="0F48A505" w14:textId="6B950D8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73230F" w:rsidRDefault="009A036B" w14:paraId="70EF6364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3230F" w:rsidRDefault="00C02EBA" w14:paraId="2AC4E479" w14:textId="5034D261">
            <w:pPr>
              <w:jc w:val="center"/>
            </w:pPr>
            <w:r>
              <w:t>$</w:t>
            </w:r>
          </w:p>
        </w:tc>
      </w:tr>
      <w:tr w:rsidRPr="009A036B" w:rsidR="009A036B" w:rsidTr="00A15379" w14:paraId="18D9997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57A83" w:rsidR="009A036B" w:rsidP="009A036B" w:rsidRDefault="0067708C" w14:paraId="1777C660" w14:textId="39C56CD8">
            <w:pPr>
              <w:rPr>
                <w:highlight w:val="yellow"/>
              </w:rPr>
            </w:pPr>
            <w:r w:rsidRPr="0067708C">
              <w:t>Health Science Policy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9A036B" w:rsidR="009A036B" w:rsidP="00A15379" w:rsidRDefault="00457A83" w14:paraId="69021848" w14:textId="4062DB2C">
            <w:pPr>
              <w:jc w:val="center"/>
            </w:pPr>
            <w:r>
              <w:t>12/3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A036B" w:rsidR="009A036B" w:rsidP="00A15379" w:rsidRDefault="00457A83" w14:paraId="106A5FF8" w14:textId="491F80F6">
            <w:pPr>
              <w:jc w:val="center"/>
            </w:pPr>
            <w:r>
              <w:t>$93,013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A036B" w:rsidR="009A036B" w:rsidP="00A15379" w:rsidRDefault="00457A83" w14:paraId="5BF07074" w14:textId="0789E971">
            <w:pPr>
              <w:jc w:val="center"/>
            </w:pPr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9A036B" w:rsidR="009A036B" w:rsidP="00A15379" w:rsidRDefault="009A036B" w14:paraId="3216F74C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9A036B" w:rsidR="009A036B" w:rsidP="00A15379" w:rsidRDefault="00457A83" w14:paraId="3619DA54" w14:textId="74F8B074">
            <w:pPr>
              <w:jc w:val="center"/>
            </w:pPr>
            <w:r>
              <w:t>$1,860.26</w:t>
            </w:r>
          </w:p>
        </w:tc>
      </w:tr>
      <w:tr w:rsidRPr="009A036B" w:rsidR="009A036B" w:rsidTr="009A036B" w14:paraId="6B88E28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1A5EF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73230F" w:rsidRDefault="009A036B" w14:paraId="58B9858A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73230F" w:rsidRDefault="009A036B" w14:paraId="6044E33C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73230F" w:rsidRDefault="009A036B" w14:paraId="4DCE6869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3230F" w:rsidRDefault="009A036B" w14:paraId="02886867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3230F" w:rsidRDefault="00457A83" w14:paraId="4619EC3E" w14:textId="362FEAC1">
            <w:pPr>
              <w:jc w:val="center"/>
            </w:pPr>
            <w:r>
              <w:t>$0</w:t>
            </w:r>
          </w:p>
        </w:tc>
      </w:tr>
      <w:tr w:rsidRPr="009A036B" w:rsidR="009A036B" w:rsidTr="009A036B" w14:paraId="012B44B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5EBDD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73230F" w:rsidRDefault="009A036B" w14:paraId="0BA5DFF6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73230F" w:rsidRDefault="009A036B" w14:paraId="758DA7B2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73230F" w:rsidRDefault="009A036B" w14:paraId="566754DE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73230F" w:rsidRDefault="009A036B" w14:paraId="552FB691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3230F" w:rsidRDefault="00457A83" w14:paraId="227BC46D" w14:textId="2DB4D08C">
            <w:pPr>
              <w:jc w:val="center"/>
            </w:pPr>
            <w:r>
              <w:t>$0</w:t>
            </w:r>
          </w:p>
        </w:tc>
      </w:tr>
      <w:tr w:rsidRPr="009A036B" w:rsidR="009A036B" w:rsidTr="009A036B" w14:paraId="4A76595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F8066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73230F" w:rsidRDefault="009A036B" w14:paraId="0D19B8A5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73230F" w:rsidRDefault="009A036B" w14:paraId="2ECD4545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73230F" w:rsidRDefault="009A036B" w14:paraId="13E72BCE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73230F" w:rsidRDefault="009A036B" w14:paraId="2688391B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73230F" w:rsidRDefault="00457A83" w14:paraId="53038E49" w14:textId="0A90EE4D">
            <w:pPr>
              <w:jc w:val="center"/>
            </w:pPr>
            <w:r>
              <w:t>$0</w:t>
            </w:r>
          </w:p>
        </w:tc>
      </w:tr>
      <w:tr w:rsidRPr="009A036B" w:rsidR="009A036B" w:rsidTr="002E48F5" w14:paraId="5F5D27E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5AAA8C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73230F" w:rsidRDefault="009A036B" w14:paraId="0F18B920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73230F" w:rsidRDefault="009A036B" w14:paraId="4282BF44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73230F" w:rsidRDefault="009A036B" w14:paraId="2CF067D9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73230F" w:rsidRDefault="009A036B" w14:paraId="1DCCC900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15379" w:rsidR="009A036B" w:rsidP="0073230F" w:rsidRDefault="00457A83" w14:paraId="5447BE52" w14:textId="1BD93163">
            <w:pPr>
              <w:jc w:val="center"/>
              <w:rPr>
                <w:b/>
                <w:bCs/>
              </w:rPr>
            </w:pPr>
            <w:r w:rsidRPr="00A15379">
              <w:rPr>
                <w:b/>
                <w:bCs/>
              </w:rPr>
              <w:t>$1,860.26</w:t>
            </w:r>
          </w:p>
        </w:tc>
      </w:tr>
    </w:tbl>
    <w:p w:rsidRPr="00A15379" w:rsidR="009A036B" w:rsidRDefault="002D74B4" w14:paraId="498195CC" w14:textId="72B06B33">
      <w:pPr>
        <w:rPr>
          <w:sz w:val="22"/>
          <w:szCs w:val="22"/>
        </w:rPr>
      </w:pPr>
      <w:r w:rsidRPr="00A15379">
        <w:rPr>
          <w:sz w:val="22"/>
          <w:szCs w:val="22"/>
        </w:rPr>
        <w:t>*</w:t>
      </w:r>
      <w:r w:rsidR="00A15379">
        <w:rPr>
          <w:sz w:val="22"/>
          <w:szCs w:val="22"/>
        </w:rPr>
        <w:t>T</w:t>
      </w:r>
      <w:r w:rsidRPr="00A15379">
        <w:rPr>
          <w:sz w:val="22"/>
          <w:szCs w:val="22"/>
        </w:rPr>
        <w:t xml:space="preserve">he Salary in table above is cited from </w:t>
      </w:r>
      <w:hyperlink w:history="1" r:id="rId10">
        <w:r w:rsidRPr="00A15379" w:rsidR="009C36BE">
          <w:rPr>
            <w:rStyle w:val="Hyperlink"/>
            <w:sz w:val="22"/>
            <w:szCs w:val="22"/>
          </w:rPr>
          <w:t>https://www.opm.gov/policy-data-oversight/pay-leave/salaries-wages/2021/general-schedule/</w:t>
        </w:r>
      </w:hyperlink>
      <w:r w:rsidRPr="00A15379">
        <w:rPr>
          <w:sz w:val="22"/>
          <w:szCs w:val="22"/>
        </w:rPr>
        <w:t xml:space="preserve"> </w:t>
      </w:r>
    </w:p>
    <w:p w:rsidR="00ED6492" w:rsidRDefault="00ED6492" w14:paraId="0B5C9F16" w14:textId="77777777">
      <w:pPr>
        <w:rPr>
          <w:b/>
          <w:bCs/>
          <w:u w:val="single"/>
        </w:rPr>
      </w:pPr>
    </w:p>
    <w:p w:rsidR="00457A83" w:rsidP="00F06866" w:rsidRDefault="00457A83" w14:paraId="50DE1693" w14:textId="77777777">
      <w:pPr>
        <w:rPr>
          <w:b/>
          <w:bCs/>
          <w:u w:val="single"/>
        </w:rPr>
      </w:pPr>
    </w:p>
    <w:p w:rsidR="0073230F" w:rsidP="00F06866" w:rsidRDefault="0073230F" w14:paraId="0D6FB84F" w14:textId="77777777">
      <w:pPr>
        <w:rPr>
          <w:b/>
          <w:bCs/>
          <w:u w:val="single"/>
        </w:rPr>
      </w:pPr>
    </w:p>
    <w:p w:rsidR="0069403B" w:rsidP="00F06866" w:rsidRDefault="00ED6492" w14:paraId="7B4FB8A6" w14:textId="0FB42803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C6BB835" w14:textId="77777777">
      <w:pPr>
        <w:rPr>
          <w:b/>
        </w:rPr>
      </w:pPr>
    </w:p>
    <w:p w:rsidR="00F06866" w:rsidP="00F06866" w:rsidRDefault="00636621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879D4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 w14:paraId="38A88F38" w14:textId="77777777">
      <w:pPr>
        <w:pStyle w:val="ListParagraph"/>
      </w:pPr>
    </w:p>
    <w:p w:rsidR="00636621" w:rsidP="001B0AAA" w:rsidRDefault="00636621" w14:paraId="358B318F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7F9091A" w14:textId="77777777">
      <w:pPr>
        <w:pStyle w:val="ListParagraph"/>
      </w:pPr>
    </w:p>
    <w:p w:rsidR="00A403BB" w:rsidP="00A403BB" w:rsidRDefault="00A403BB" w14:paraId="67DEEF3A" w14:textId="77777777"/>
    <w:p w:rsidR="00A403BB" w:rsidP="00A403BB" w:rsidRDefault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E4593E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E48500C" w14:textId="0B38C678">
      <w:pPr>
        <w:ind w:left="720"/>
      </w:pPr>
      <w:r>
        <w:t xml:space="preserve">[ </w:t>
      </w:r>
      <w:r w:rsidR="00452BCB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733C69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857180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504197B6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F6612C8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09EB718E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 w14:paraId="28700178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BF52A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377A4B0F" w14:textId="77777777">
      <w:pPr>
        <w:rPr>
          <w:b/>
        </w:rPr>
      </w:pPr>
    </w:p>
    <w:p w:rsidRPr="00F24CFC" w:rsidR="003932D1" w:rsidP="0024521E" w:rsidRDefault="003932D1" w14:paraId="699E5224" w14:textId="77777777">
      <w:pPr>
        <w:rPr>
          <w:b/>
        </w:rPr>
      </w:pPr>
    </w:p>
    <w:p w:rsidRPr="00C02EBA" w:rsidR="005E714A" w:rsidP="00476577" w:rsidRDefault="005E714A" w14:paraId="5354A140" w14:textId="3632115F">
      <w:pPr>
        <w:rPr>
          <w:b/>
          <w:highlight w:val="yellow"/>
        </w:rPr>
      </w:pPr>
    </w:p>
    <w:sectPr w:rsidRPr="00C02EBA" w:rsidR="005E714A" w:rsidSect="004765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BA30E" w14:textId="77777777" w:rsidR="00A417EF" w:rsidRDefault="00A417EF">
      <w:r>
        <w:separator/>
      </w:r>
    </w:p>
  </w:endnote>
  <w:endnote w:type="continuationSeparator" w:id="0">
    <w:p w14:paraId="6A258AD8" w14:textId="77777777" w:rsidR="00A417EF" w:rsidRDefault="00A4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D00B3" w14:textId="77777777" w:rsidR="00DB608A" w:rsidRDefault="00DB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1D9B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EB133" w14:textId="77777777" w:rsidR="00DB608A" w:rsidRDefault="00DB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F167C" w14:textId="77777777" w:rsidR="00A417EF" w:rsidRDefault="00A417EF">
      <w:r>
        <w:separator/>
      </w:r>
    </w:p>
  </w:footnote>
  <w:footnote w:type="continuationSeparator" w:id="0">
    <w:p w14:paraId="463BDE5A" w14:textId="77777777" w:rsidR="00A417EF" w:rsidRDefault="00A4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12DFC" w14:textId="77777777" w:rsidR="00DB608A" w:rsidRDefault="00DB6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9C773" w14:textId="3902FA81" w:rsidR="00DB608A" w:rsidRDefault="00DB6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2E839" w14:textId="77777777" w:rsidR="00DB608A" w:rsidRDefault="00DB6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4296"/>
    <w:rsid w:val="00047A64"/>
    <w:rsid w:val="00067329"/>
    <w:rsid w:val="000722CE"/>
    <w:rsid w:val="00090FCD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4F44"/>
    <w:rsid w:val="00206D06"/>
    <w:rsid w:val="00237B48"/>
    <w:rsid w:val="0024521E"/>
    <w:rsid w:val="00263C3D"/>
    <w:rsid w:val="00274D0B"/>
    <w:rsid w:val="00284110"/>
    <w:rsid w:val="002B1498"/>
    <w:rsid w:val="002B3C95"/>
    <w:rsid w:val="002B46B0"/>
    <w:rsid w:val="002D0B92"/>
    <w:rsid w:val="002D26E2"/>
    <w:rsid w:val="002D74B4"/>
    <w:rsid w:val="002E48F5"/>
    <w:rsid w:val="003668D6"/>
    <w:rsid w:val="003932D1"/>
    <w:rsid w:val="003960BB"/>
    <w:rsid w:val="003A7074"/>
    <w:rsid w:val="003B5350"/>
    <w:rsid w:val="003D5BBE"/>
    <w:rsid w:val="003E3C61"/>
    <w:rsid w:val="003F1C5B"/>
    <w:rsid w:val="004147CC"/>
    <w:rsid w:val="00420E91"/>
    <w:rsid w:val="00431EB1"/>
    <w:rsid w:val="00434E33"/>
    <w:rsid w:val="00441434"/>
    <w:rsid w:val="004421A1"/>
    <w:rsid w:val="0045264C"/>
    <w:rsid w:val="00452BCB"/>
    <w:rsid w:val="00457A83"/>
    <w:rsid w:val="00476577"/>
    <w:rsid w:val="0048415B"/>
    <w:rsid w:val="004876EC"/>
    <w:rsid w:val="004A44F3"/>
    <w:rsid w:val="004B1EB8"/>
    <w:rsid w:val="004D6E14"/>
    <w:rsid w:val="005009B0"/>
    <w:rsid w:val="005602C1"/>
    <w:rsid w:val="005A1006"/>
    <w:rsid w:val="005A772A"/>
    <w:rsid w:val="005A7C5D"/>
    <w:rsid w:val="005E714A"/>
    <w:rsid w:val="006140A0"/>
    <w:rsid w:val="00633F74"/>
    <w:rsid w:val="00636329"/>
    <w:rsid w:val="00636621"/>
    <w:rsid w:val="006409B1"/>
    <w:rsid w:val="00642B49"/>
    <w:rsid w:val="0067708C"/>
    <w:rsid w:val="006832D9"/>
    <w:rsid w:val="00686301"/>
    <w:rsid w:val="0069403B"/>
    <w:rsid w:val="006B7B34"/>
    <w:rsid w:val="006D5F47"/>
    <w:rsid w:val="006F3DDE"/>
    <w:rsid w:val="00704678"/>
    <w:rsid w:val="007304E5"/>
    <w:rsid w:val="0073230F"/>
    <w:rsid w:val="007425E7"/>
    <w:rsid w:val="00766D95"/>
    <w:rsid w:val="0077703F"/>
    <w:rsid w:val="007F2A72"/>
    <w:rsid w:val="00802607"/>
    <w:rsid w:val="008101A5"/>
    <w:rsid w:val="00811789"/>
    <w:rsid w:val="00822664"/>
    <w:rsid w:val="00843796"/>
    <w:rsid w:val="0085116A"/>
    <w:rsid w:val="00865DFD"/>
    <w:rsid w:val="00887320"/>
    <w:rsid w:val="00895229"/>
    <w:rsid w:val="008E7827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C36BE"/>
    <w:rsid w:val="009D01A2"/>
    <w:rsid w:val="009F5923"/>
    <w:rsid w:val="00A15379"/>
    <w:rsid w:val="00A229F1"/>
    <w:rsid w:val="00A403BB"/>
    <w:rsid w:val="00A417EF"/>
    <w:rsid w:val="00A50F89"/>
    <w:rsid w:val="00A674DF"/>
    <w:rsid w:val="00A7496D"/>
    <w:rsid w:val="00A83AA6"/>
    <w:rsid w:val="00AC60E8"/>
    <w:rsid w:val="00AE14B1"/>
    <w:rsid w:val="00AE1809"/>
    <w:rsid w:val="00B1396E"/>
    <w:rsid w:val="00B2002B"/>
    <w:rsid w:val="00B248D9"/>
    <w:rsid w:val="00B42E06"/>
    <w:rsid w:val="00B605E0"/>
    <w:rsid w:val="00B63B5A"/>
    <w:rsid w:val="00B80D76"/>
    <w:rsid w:val="00BA2105"/>
    <w:rsid w:val="00BA7E06"/>
    <w:rsid w:val="00BB43B5"/>
    <w:rsid w:val="00BB6219"/>
    <w:rsid w:val="00BC676D"/>
    <w:rsid w:val="00BD290F"/>
    <w:rsid w:val="00BF00BB"/>
    <w:rsid w:val="00BF6223"/>
    <w:rsid w:val="00C02EBA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6383F"/>
    <w:rsid w:val="00D662C8"/>
    <w:rsid w:val="00D9764F"/>
    <w:rsid w:val="00DB4A58"/>
    <w:rsid w:val="00DB59D0"/>
    <w:rsid w:val="00DB608A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E37F5"/>
    <w:rsid w:val="00EF2095"/>
    <w:rsid w:val="00F06866"/>
    <w:rsid w:val="00F15956"/>
    <w:rsid w:val="00F24CFC"/>
    <w:rsid w:val="00F3170F"/>
    <w:rsid w:val="00F86109"/>
    <w:rsid w:val="00F94D8C"/>
    <w:rsid w:val="00F976B0"/>
    <w:rsid w:val="00FA3B79"/>
    <w:rsid w:val="00FA6DE7"/>
    <w:rsid w:val="00FC0A8E"/>
    <w:rsid w:val="00FC1B84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96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9C36BE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pm.gov/policy-data-oversight/pay-leave/salaries-wages/2021/general-schedu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2019/May/oes_nat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6E3B2-B0E9-4342-9D22-FC88217E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4545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2019-09-04T14:23:00Z</cp:lastPrinted>
  <dcterms:created xsi:type="dcterms:W3CDTF">2021-03-29T20:09:00Z</dcterms:created>
  <dcterms:modified xsi:type="dcterms:W3CDTF">2021-03-29T20:09:00Z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