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6D4" w:rsidRDefault="007166D4" w14:paraId="21983F43" w14:textId="77777777"/>
    <w:p w:rsidR="007166D4" w:rsidP="007166D4" w:rsidRDefault="003F72DE" w14:paraId="68BFB9EA" w14:textId="7777777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 wp14:anchorId="47452BD2" wp14:editId="43AEF540">
            <wp:extent cx="72618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P="007166D4" w:rsidRDefault="00403FD8" w14:paraId="1E4C3847" w14:textId="77777777"/>
    <w:p w:rsidRPr="00A21C7D" w:rsidR="007166D4" w:rsidP="007166D4" w:rsidRDefault="007166D4" w14:paraId="6D17AF57" w14:textId="27F9273D">
      <w:r w:rsidRPr="00A21C7D">
        <w:t>DATE:</w:t>
      </w:r>
      <w:r w:rsidRPr="00A21C7D">
        <w:tab/>
      </w:r>
      <w:r w:rsidRPr="00A21C7D">
        <w:tab/>
      </w:r>
      <w:r w:rsidR="00303C79">
        <w:t>September</w:t>
      </w:r>
      <w:r w:rsidR="00836465">
        <w:t xml:space="preserve"> </w:t>
      </w:r>
      <w:r w:rsidR="00303C79">
        <w:t>23</w:t>
      </w:r>
      <w:r w:rsidR="00836465">
        <w:t>, 202</w:t>
      </w:r>
      <w:r w:rsidR="00303C79">
        <w:t>1</w:t>
      </w:r>
    </w:p>
    <w:p w:rsidRPr="00A21C7D" w:rsidR="00D4642D" w:rsidP="007166D4" w:rsidRDefault="00D4642D" w14:paraId="40AE9B9C" w14:textId="77777777"/>
    <w:p w:rsidR="007166D4" w:rsidP="00303C79" w:rsidRDefault="00273DFF" w14:paraId="30366A4A" w14:textId="256751CE">
      <w:r w:rsidRPr="00273DFF">
        <w:t>TO:</w:t>
      </w:r>
      <w:r w:rsidRPr="00273DFF">
        <w:tab/>
      </w:r>
      <w:r w:rsidRPr="00273DFF">
        <w:tab/>
      </w:r>
      <w:r w:rsidRPr="00303C79" w:rsidR="00303C79">
        <w:t>Office of Management and Budget (OMB)</w:t>
      </w:r>
    </w:p>
    <w:p w:rsidRPr="00273DFF" w:rsidR="00303C79" w:rsidP="00303C79" w:rsidRDefault="00303C79" w14:paraId="07BA05FC" w14:textId="3FBA6479">
      <w:r>
        <w:t xml:space="preserve">                        Matt Eliseo, Desk Officer</w:t>
      </w:r>
    </w:p>
    <w:p w:rsidRPr="00273DFF" w:rsidR="007166D4" w:rsidP="007166D4" w:rsidRDefault="007166D4" w14:paraId="329876FE" w14:textId="77777777"/>
    <w:p w:rsidRPr="00273DFF" w:rsidR="007166D4" w:rsidP="007166D4" w:rsidRDefault="00273DFF" w14:paraId="1E19CD82" w14:textId="77777777">
      <w:r>
        <w:t>FROM:</w:t>
      </w:r>
      <w:r>
        <w:tab/>
        <w:t>Mikia P. Currie</w:t>
      </w:r>
      <w:r w:rsidRPr="00273DFF" w:rsidR="007166D4">
        <w:tab/>
      </w:r>
    </w:p>
    <w:p w:rsidRPr="00A21C7D" w:rsidR="007166D4" w:rsidP="007166D4" w:rsidRDefault="007166D4" w14:paraId="5EEDC8E5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Pr="00A21C7D" w:rsidR="007166D4" w:rsidP="007166D4" w:rsidRDefault="007166D4" w14:paraId="6340DCC5" w14:textId="77777777"/>
    <w:p w:rsidR="00846B2D" w:rsidP="00846B2D" w:rsidRDefault="007166D4" w14:paraId="4A86461D" w14:textId="740FB330">
      <w:pPr>
        <w:ind w:left="1440" w:hanging="1440"/>
      </w:pPr>
      <w:r w:rsidRPr="00A21C7D">
        <w:t>SUBJECT:</w:t>
      </w:r>
      <w:r w:rsidR="00846B2D">
        <w:t xml:space="preserve">      </w:t>
      </w:r>
      <w:r w:rsidR="00846B2D">
        <w:t>Non-material/Non-substantive change request for:</w:t>
      </w:r>
    </w:p>
    <w:p w:rsidR="00846B2D" w:rsidP="00846B2D" w:rsidRDefault="00846B2D" w14:paraId="1C3CA7A5" w14:textId="77777777">
      <w:pPr>
        <w:ind w:left="1440" w:hanging="1440"/>
      </w:pPr>
      <w:r>
        <w:t>Generic Clearance for NIH Citizen Science and Crowdsourcing Projects (NIH)</w:t>
      </w:r>
    </w:p>
    <w:p w:rsidR="007166D4" w:rsidP="00846B2D" w:rsidRDefault="00846B2D" w14:paraId="3A40EBF1" w14:textId="195A1DAB">
      <w:pPr>
        <w:ind w:left="1440" w:hanging="1440"/>
      </w:pPr>
      <w:r>
        <w:t>(OMB #0925-0766, Expiration Date 4/30/2023)</w:t>
      </w:r>
    </w:p>
    <w:p w:rsidR="00846B2D" w:rsidP="00846B2D" w:rsidRDefault="00846B2D" w14:paraId="3130EBE2" w14:textId="3CD610DF">
      <w:pPr>
        <w:ind w:left="1440" w:hanging="1440"/>
      </w:pPr>
    </w:p>
    <w:p w:rsidR="00846B2D" w:rsidP="00846B2D" w:rsidRDefault="00846B2D" w14:paraId="7B5217B2" w14:textId="3C735B45">
      <w:pPr>
        <w:ind w:left="1440" w:hanging="1440"/>
      </w:pPr>
    </w:p>
    <w:p w:rsidR="00846B2D" w:rsidP="00846B2D" w:rsidRDefault="00846B2D" w14:paraId="30812B3A" w14:textId="66641CA5">
      <w:pPr>
        <w:ind w:left="1440" w:hanging="1440"/>
      </w:pPr>
    </w:p>
    <w:p w:rsidRPr="00846B2D" w:rsidR="00846B2D" w:rsidP="00846B2D" w:rsidRDefault="00846B2D" w14:paraId="213DF271" w14:textId="77777777">
      <w:pPr>
        <w:widowControl w:val="0"/>
        <w:tabs>
          <w:tab w:val="left" w:pos="1080"/>
          <w:tab w:val="left" w:pos="1170"/>
          <w:tab w:val="left" w:pos="1440"/>
        </w:tabs>
      </w:pPr>
      <w:r w:rsidRPr="00846B2D">
        <w:t xml:space="preserve">This is a request for OMB to approve a non-material/non-substantive change to the, “Generic Clearance for NIH Citizen Science and Crowdsourcing Projects (NIH)” to clarify the types of information collections that may be submitted under the Generic IC (sub-studies). </w:t>
      </w:r>
    </w:p>
    <w:p w:rsidRPr="00846B2D" w:rsidR="00846B2D" w:rsidP="00846B2D" w:rsidRDefault="00846B2D" w14:paraId="608A9EF5" w14:textId="77777777">
      <w:pPr>
        <w:widowControl w:val="0"/>
        <w:tabs>
          <w:tab w:val="left" w:pos="1080"/>
          <w:tab w:val="left" w:pos="1170"/>
          <w:tab w:val="left" w:pos="1440"/>
        </w:tabs>
      </w:pPr>
    </w:p>
    <w:p w:rsidRPr="00846B2D" w:rsidR="00846B2D" w:rsidP="00846B2D" w:rsidRDefault="00846B2D" w14:paraId="410108E7" w14:textId="4BAD7548">
      <w:pPr>
        <w:widowControl w:val="0"/>
        <w:tabs>
          <w:tab w:val="left" w:pos="1080"/>
          <w:tab w:val="left" w:pos="1170"/>
          <w:tab w:val="left" w:pos="1440"/>
        </w:tabs>
      </w:pPr>
      <w:r w:rsidRPr="00846B2D">
        <w:t>NIH would like to clarify the definition of existing resources</w:t>
      </w:r>
      <w:r w:rsidR="00745ED6">
        <w:t xml:space="preserve"> </w:t>
      </w:r>
      <w:r w:rsidRPr="00846B2D">
        <w:t xml:space="preserve">and identify the mode to collect such information. The SSA states, “Projects may include requests to identify and/or describe extramural research, research tools, or existing resources and further defines citizen science as, “… a form of open collaboration where the public can participate actively in the scientific process through methods that include asking research questions, </w:t>
      </w:r>
      <w:r w:rsidRPr="00846B2D" w:rsidR="00445A59">
        <w:t>collecting,</w:t>
      </w:r>
      <w:r w:rsidRPr="00846B2D">
        <w:t xml:space="preserve"> and analyzing data, interpreting results, or engaging in problem solving.” Generic ICs under this clearance might include applications and registrations needed to access/request data however, it would</w:t>
      </w:r>
      <w:r w:rsidR="00745ED6">
        <w:t xml:space="preserve"> not</w:t>
      </w:r>
      <w:r w:rsidRPr="00846B2D">
        <w:t xml:space="preserve"> allow for programs to submit data</w:t>
      </w:r>
      <w:r w:rsidR="00745ED6">
        <w:t>.</w:t>
      </w:r>
    </w:p>
    <w:p w:rsidRPr="00846B2D" w:rsidR="00846B2D" w:rsidP="00846B2D" w:rsidRDefault="00846B2D" w14:paraId="5FBF4EF9" w14:textId="77777777">
      <w:pPr>
        <w:widowControl w:val="0"/>
        <w:tabs>
          <w:tab w:val="left" w:pos="1080"/>
          <w:tab w:val="left" w:pos="1170"/>
          <w:tab w:val="left" w:pos="1440"/>
        </w:tabs>
      </w:pPr>
    </w:p>
    <w:p w:rsidRPr="00846B2D" w:rsidR="00846B2D" w:rsidP="00846B2D" w:rsidRDefault="00846B2D" w14:paraId="4945841E" w14:textId="77777777">
      <w:pPr>
        <w:widowControl w:val="0"/>
        <w:tabs>
          <w:tab w:val="left" w:pos="1080"/>
          <w:tab w:val="left" w:pos="1170"/>
          <w:tab w:val="left" w:pos="1440"/>
        </w:tabs>
      </w:pPr>
      <w:r w:rsidRPr="00846B2D">
        <w:t>The applications or registrations may ask the requestor’s credentials and a description of the proposed use of the data.</w:t>
      </w:r>
    </w:p>
    <w:p w:rsidRPr="00846B2D" w:rsidR="00846B2D" w:rsidP="00846B2D" w:rsidRDefault="00846B2D" w14:paraId="0AEA4EB0" w14:textId="77777777">
      <w:pPr>
        <w:widowControl w:val="0"/>
        <w:tabs>
          <w:tab w:val="left" w:pos="1080"/>
          <w:tab w:val="left" w:pos="1440"/>
        </w:tabs>
      </w:pPr>
    </w:p>
    <w:p w:rsidR="00846B2D" w:rsidP="00846B2D" w:rsidRDefault="00846B2D" w14:paraId="59D97CF8" w14:textId="0340E76C">
      <w:pPr>
        <w:widowControl w:val="0"/>
        <w:tabs>
          <w:tab w:val="left" w:pos="1080"/>
          <w:tab w:val="left" w:pos="1440"/>
        </w:tabs>
      </w:pPr>
      <w:r w:rsidRPr="00846B2D">
        <w:t>This non-substantive request does not change the purpose or objectives of this generic, nor change the overall burden to the public.</w:t>
      </w:r>
    </w:p>
    <w:p w:rsidRPr="00846B2D" w:rsidR="004C1BC1" w:rsidP="00846B2D" w:rsidRDefault="004C1BC1" w14:paraId="6BFABD60" w14:textId="77777777">
      <w:pPr>
        <w:widowControl w:val="0"/>
        <w:tabs>
          <w:tab w:val="left" w:pos="1080"/>
          <w:tab w:val="left" w:pos="1440"/>
        </w:tabs>
        <w:rPr>
          <w:highlight w:val="yellow"/>
        </w:rPr>
      </w:pPr>
    </w:p>
    <w:p w:rsidRPr="00846B2D" w:rsidR="00846B2D" w:rsidP="00846B2D" w:rsidRDefault="00846B2D" w14:paraId="079C176E" w14:textId="77777777">
      <w:pPr>
        <w:widowControl w:val="0"/>
      </w:pPr>
    </w:p>
    <w:p w:rsidRPr="00846B2D" w:rsidR="00846B2D" w:rsidP="00846B2D" w:rsidRDefault="00846B2D" w14:paraId="0A3B8891" w14:textId="77777777">
      <w:pPr>
        <w:widowControl w:val="0"/>
      </w:pPr>
      <w:r w:rsidRPr="00846B2D">
        <w:t>Your full consideration is appreciated.</w:t>
      </w:r>
    </w:p>
    <w:p w:rsidRPr="00846B2D" w:rsidR="00846B2D" w:rsidP="00846B2D" w:rsidRDefault="00846B2D" w14:paraId="28F2DF98" w14:textId="77777777">
      <w:pPr>
        <w:widowControl w:val="0"/>
      </w:pPr>
    </w:p>
    <w:p w:rsidRPr="00846B2D" w:rsidR="00846B2D" w:rsidP="00846B2D" w:rsidRDefault="00846B2D" w14:paraId="29ABD835" w14:textId="77777777">
      <w:pPr>
        <w:ind w:left="1440" w:hanging="1440"/>
      </w:pPr>
    </w:p>
    <w:p w:rsidRPr="00846B2D" w:rsidR="007166D4" w:rsidRDefault="007166D4" w14:paraId="67A8551D" w14:textId="77777777"/>
    <w:sectPr w:rsidRPr="00846B2D" w:rsidR="007166D4" w:rsidSect="00A015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3B7E"/>
    <w:multiLevelType w:val="hybridMultilevel"/>
    <w:tmpl w:val="4678F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604F7"/>
    <w:multiLevelType w:val="hybridMultilevel"/>
    <w:tmpl w:val="4872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83F"/>
    <w:multiLevelType w:val="hybridMultilevel"/>
    <w:tmpl w:val="5134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F6AE4"/>
    <w:multiLevelType w:val="hybridMultilevel"/>
    <w:tmpl w:val="EA1A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13D6F"/>
    <w:rsid w:val="00022871"/>
    <w:rsid w:val="00037D1C"/>
    <w:rsid w:val="00041194"/>
    <w:rsid w:val="000737A6"/>
    <w:rsid w:val="00083344"/>
    <w:rsid w:val="000B1F7C"/>
    <w:rsid w:val="000C1FF2"/>
    <w:rsid w:val="000C5EBA"/>
    <w:rsid w:val="000D7224"/>
    <w:rsid w:val="000E1386"/>
    <w:rsid w:val="000E5EF8"/>
    <w:rsid w:val="000F1831"/>
    <w:rsid w:val="000F482A"/>
    <w:rsid w:val="001324D2"/>
    <w:rsid w:val="00134C5A"/>
    <w:rsid w:val="001A5276"/>
    <w:rsid w:val="001C1FD5"/>
    <w:rsid w:val="001D5037"/>
    <w:rsid w:val="001F26DC"/>
    <w:rsid w:val="001F78B6"/>
    <w:rsid w:val="00221478"/>
    <w:rsid w:val="00260D02"/>
    <w:rsid w:val="00273DFF"/>
    <w:rsid w:val="002835F8"/>
    <w:rsid w:val="00284CED"/>
    <w:rsid w:val="002919B0"/>
    <w:rsid w:val="002A72E7"/>
    <w:rsid w:val="002B0B1F"/>
    <w:rsid w:val="002B4520"/>
    <w:rsid w:val="002B6138"/>
    <w:rsid w:val="002C231B"/>
    <w:rsid w:val="002C483B"/>
    <w:rsid w:val="002E5ACC"/>
    <w:rsid w:val="002F4FD4"/>
    <w:rsid w:val="002F7317"/>
    <w:rsid w:val="00303C79"/>
    <w:rsid w:val="00340F34"/>
    <w:rsid w:val="00352AE8"/>
    <w:rsid w:val="003560CC"/>
    <w:rsid w:val="003575B3"/>
    <w:rsid w:val="00361D4D"/>
    <w:rsid w:val="003A0492"/>
    <w:rsid w:val="003A5F09"/>
    <w:rsid w:val="003D0FAC"/>
    <w:rsid w:val="003E0B90"/>
    <w:rsid w:val="003E2F43"/>
    <w:rsid w:val="003F72DE"/>
    <w:rsid w:val="00400A5A"/>
    <w:rsid w:val="00403FD8"/>
    <w:rsid w:val="00443230"/>
    <w:rsid w:val="00445A59"/>
    <w:rsid w:val="00453385"/>
    <w:rsid w:val="00467F87"/>
    <w:rsid w:val="004A240A"/>
    <w:rsid w:val="004A58EC"/>
    <w:rsid w:val="004C1BC1"/>
    <w:rsid w:val="004D14A9"/>
    <w:rsid w:val="004D3D52"/>
    <w:rsid w:val="004D5998"/>
    <w:rsid w:val="004E108F"/>
    <w:rsid w:val="004E58D0"/>
    <w:rsid w:val="004F4639"/>
    <w:rsid w:val="0050018C"/>
    <w:rsid w:val="00504BE5"/>
    <w:rsid w:val="00534FBA"/>
    <w:rsid w:val="005555FC"/>
    <w:rsid w:val="005853EB"/>
    <w:rsid w:val="005F1765"/>
    <w:rsid w:val="005F32DE"/>
    <w:rsid w:val="0061182F"/>
    <w:rsid w:val="00620789"/>
    <w:rsid w:val="006468D9"/>
    <w:rsid w:val="00653B6D"/>
    <w:rsid w:val="006713D9"/>
    <w:rsid w:val="0068180D"/>
    <w:rsid w:val="00695A6C"/>
    <w:rsid w:val="006B0997"/>
    <w:rsid w:val="006B37DE"/>
    <w:rsid w:val="006C1BCF"/>
    <w:rsid w:val="006D74BF"/>
    <w:rsid w:val="00703C1D"/>
    <w:rsid w:val="007166D4"/>
    <w:rsid w:val="0072009B"/>
    <w:rsid w:val="007248B4"/>
    <w:rsid w:val="00743027"/>
    <w:rsid w:val="00745ED6"/>
    <w:rsid w:val="007563BA"/>
    <w:rsid w:val="007653B1"/>
    <w:rsid w:val="007663E7"/>
    <w:rsid w:val="007757CD"/>
    <w:rsid w:val="0077645D"/>
    <w:rsid w:val="00783864"/>
    <w:rsid w:val="007A648A"/>
    <w:rsid w:val="007B5282"/>
    <w:rsid w:val="007C0A4E"/>
    <w:rsid w:val="007E62D9"/>
    <w:rsid w:val="0080373F"/>
    <w:rsid w:val="00807A14"/>
    <w:rsid w:val="00836465"/>
    <w:rsid w:val="00846B2D"/>
    <w:rsid w:val="0086571F"/>
    <w:rsid w:val="00891C65"/>
    <w:rsid w:val="00893E26"/>
    <w:rsid w:val="00897B9C"/>
    <w:rsid w:val="008C7D71"/>
    <w:rsid w:val="008F0277"/>
    <w:rsid w:val="00902FA8"/>
    <w:rsid w:val="009122FF"/>
    <w:rsid w:val="0092210A"/>
    <w:rsid w:val="00934735"/>
    <w:rsid w:val="009531E4"/>
    <w:rsid w:val="0095378B"/>
    <w:rsid w:val="00957CB8"/>
    <w:rsid w:val="00971E72"/>
    <w:rsid w:val="009B7432"/>
    <w:rsid w:val="009E128A"/>
    <w:rsid w:val="009F3CD5"/>
    <w:rsid w:val="00A015D5"/>
    <w:rsid w:val="00A1382B"/>
    <w:rsid w:val="00A20BDE"/>
    <w:rsid w:val="00A21C7D"/>
    <w:rsid w:val="00A42006"/>
    <w:rsid w:val="00A63626"/>
    <w:rsid w:val="00A72A09"/>
    <w:rsid w:val="00A74EBA"/>
    <w:rsid w:val="00A95AC0"/>
    <w:rsid w:val="00A97523"/>
    <w:rsid w:val="00AB6B22"/>
    <w:rsid w:val="00AC620A"/>
    <w:rsid w:val="00AF085C"/>
    <w:rsid w:val="00B72A1D"/>
    <w:rsid w:val="00B90023"/>
    <w:rsid w:val="00BA7483"/>
    <w:rsid w:val="00BB2696"/>
    <w:rsid w:val="00BD0E56"/>
    <w:rsid w:val="00BE295F"/>
    <w:rsid w:val="00C04EEB"/>
    <w:rsid w:val="00C15EE6"/>
    <w:rsid w:val="00C26EAF"/>
    <w:rsid w:val="00C4724F"/>
    <w:rsid w:val="00C51C6A"/>
    <w:rsid w:val="00C6551F"/>
    <w:rsid w:val="00C65C06"/>
    <w:rsid w:val="00C735F3"/>
    <w:rsid w:val="00C8749F"/>
    <w:rsid w:val="00C9376D"/>
    <w:rsid w:val="00CB4BD2"/>
    <w:rsid w:val="00CC1BB8"/>
    <w:rsid w:val="00CC3C94"/>
    <w:rsid w:val="00CD5010"/>
    <w:rsid w:val="00CE536C"/>
    <w:rsid w:val="00D069CF"/>
    <w:rsid w:val="00D075B9"/>
    <w:rsid w:val="00D262C7"/>
    <w:rsid w:val="00D41B04"/>
    <w:rsid w:val="00D445AF"/>
    <w:rsid w:val="00D4642D"/>
    <w:rsid w:val="00D53624"/>
    <w:rsid w:val="00D53ED7"/>
    <w:rsid w:val="00D6799D"/>
    <w:rsid w:val="00D82089"/>
    <w:rsid w:val="00D82EFD"/>
    <w:rsid w:val="00D904A4"/>
    <w:rsid w:val="00D944C1"/>
    <w:rsid w:val="00D96B3F"/>
    <w:rsid w:val="00D97A9D"/>
    <w:rsid w:val="00DA5A9D"/>
    <w:rsid w:val="00DA6CBE"/>
    <w:rsid w:val="00DB66F0"/>
    <w:rsid w:val="00E077D6"/>
    <w:rsid w:val="00E15D39"/>
    <w:rsid w:val="00E15EFD"/>
    <w:rsid w:val="00E41C43"/>
    <w:rsid w:val="00E4700D"/>
    <w:rsid w:val="00E60D33"/>
    <w:rsid w:val="00EB3B10"/>
    <w:rsid w:val="00EC00FB"/>
    <w:rsid w:val="00EE567A"/>
    <w:rsid w:val="00F47B23"/>
    <w:rsid w:val="00F635DC"/>
    <w:rsid w:val="00F73C41"/>
    <w:rsid w:val="00F97A19"/>
    <w:rsid w:val="00FA100B"/>
    <w:rsid w:val="00FB345E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4FCC5"/>
  <w15:chartTrackingRefBased/>
  <w15:docId w15:val="{926BE15C-439B-4E03-B2BB-68D2B72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904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7A01-280F-4DA1-8D72-563766E7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Currie, Mikia (NIH/OD) [E]</cp:lastModifiedBy>
  <cp:revision>5</cp:revision>
  <cp:lastPrinted>2013-05-24T18:32:00Z</cp:lastPrinted>
  <dcterms:created xsi:type="dcterms:W3CDTF">2021-09-23T15:43:00Z</dcterms:created>
  <dcterms:modified xsi:type="dcterms:W3CDTF">2021-09-23T15:51:00Z</dcterms:modified>
</cp:coreProperties>
</file>