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D1E" w:rsidP="00B9090D" w:rsidRDefault="00595D1E" w14:paraId="6C962741" w14:textId="77777777">
      <w:pPr>
        <w:spacing w:after="0"/>
        <w:jc w:val="center"/>
        <w:rPr>
          <w:b/>
        </w:rPr>
      </w:pPr>
    </w:p>
    <w:p w:rsidR="00595D1E" w:rsidP="00B9090D" w:rsidRDefault="00595D1E" w14:paraId="576CD57C" w14:textId="77777777">
      <w:pPr>
        <w:spacing w:after="0"/>
        <w:jc w:val="center"/>
        <w:rPr>
          <w:b/>
        </w:rPr>
      </w:pPr>
    </w:p>
    <w:p w:rsidR="00595D1E" w:rsidP="00B9090D" w:rsidRDefault="00595D1E" w14:paraId="0546CD0B" w14:textId="77777777">
      <w:pPr>
        <w:spacing w:after="0"/>
        <w:jc w:val="center"/>
        <w:rPr>
          <w:b/>
        </w:rPr>
      </w:pPr>
    </w:p>
    <w:p w:rsidR="00595D1E" w:rsidP="00B9090D" w:rsidRDefault="00595D1E" w14:paraId="0834CE0E" w14:textId="77777777">
      <w:pPr>
        <w:spacing w:after="0"/>
        <w:jc w:val="center"/>
        <w:rPr>
          <w:b/>
        </w:rPr>
      </w:pPr>
    </w:p>
    <w:p w:rsidRPr="002B193F" w:rsidR="00595D1E" w:rsidP="00B9090D" w:rsidRDefault="00C0501F" w14:paraId="26C86427" w14:textId="5B1D0789">
      <w:pPr>
        <w:spacing w:after="0"/>
        <w:jc w:val="center"/>
        <w:rPr>
          <w:sz w:val="36"/>
          <w:szCs w:val="36"/>
        </w:rPr>
      </w:pPr>
      <w:r w:rsidRPr="002B193F">
        <w:rPr>
          <w:sz w:val="36"/>
          <w:szCs w:val="36"/>
        </w:rPr>
        <w:t xml:space="preserve">Mini </w:t>
      </w:r>
      <w:r w:rsidRPr="002B193F" w:rsidR="00595D1E">
        <w:rPr>
          <w:sz w:val="36"/>
          <w:szCs w:val="36"/>
        </w:rPr>
        <w:t>Supporting Statement A</w:t>
      </w:r>
    </w:p>
    <w:p w:rsidR="00FF1D87" w:rsidP="00B9090D" w:rsidRDefault="00EA2B21" w14:paraId="35B9FD64" w14:textId="45C1B5ED">
      <w:pPr>
        <w:spacing w:after="0"/>
        <w:jc w:val="center"/>
        <w:rPr>
          <w:sz w:val="28"/>
        </w:rPr>
      </w:pPr>
      <w:r>
        <w:rPr>
          <w:sz w:val="28"/>
        </w:rPr>
        <w:t xml:space="preserve">Request for Approval under the </w:t>
      </w:r>
      <w:r w:rsidRPr="00F06866">
        <w:rPr>
          <w:sz w:val="28"/>
        </w:rPr>
        <w:t xml:space="preserve">“Generic Clearance </w:t>
      </w:r>
      <w:r>
        <w:rPr>
          <w:sz w:val="28"/>
        </w:rPr>
        <w:t>for NIH Citizen Science and Crowdsourcing Projects</w:t>
      </w:r>
      <w:r w:rsidRPr="00F06866">
        <w:rPr>
          <w:sz w:val="28"/>
        </w:rPr>
        <w:t>”</w:t>
      </w:r>
    </w:p>
    <w:p w:rsidRPr="002B193F" w:rsidR="00D44EAD" w:rsidP="00B9090D" w:rsidRDefault="00D44EAD" w14:paraId="336D138C" w14:textId="77777777">
      <w:pPr>
        <w:spacing w:after="0"/>
        <w:jc w:val="center"/>
      </w:pPr>
    </w:p>
    <w:p w:rsidR="00D44EAD" w:rsidP="00B9090D" w:rsidRDefault="00D44EAD" w14:paraId="7CF32F5D" w14:textId="04C8894F">
      <w:pPr>
        <w:spacing w:after="0"/>
        <w:jc w:val="center"/>
        <w:rPr>
          <w:sz w:val="28"/>
          <w:szCs w:val="28"/>
        </w:rPr>
      </w:pPr>
      <w:r w:rsidRPr="009252DE">
        <w:rPr>
          <w:sz w:val="28"/>
          <w:szCs w:val="28"/>
        </w:rPr>
        <w:t xml:space="preserve">NIMH </w:t>
      </w:r>
      <w:r w:rsidRPr="009252DE" w:rsidR="00EB394D">
        <w:rPr>
          <w:sz w:val="28"/>
          <w:szCs w:val="28"/>
        </w:rPr>
        <w:t xml:space="preserve">Intramural Research Program Office of Fellowship Training (OFT) </w:t>
      </w:r>
    </w:p>
    <w:p w:rsidR="00EB394D" w:rsidP="00B9090D" w:rsidRDefault="00EB394D" w14:paraId="5C95B103" w14:textId="1BC1F227">
      <w:pPr>
        <w:spacing w:after="0"/>
        <w:jc w:val="center"/>
        <w:rPr>
          <w:sz w:val="28"/>
          <w:szCs w:val="28"/>
        </w:rPr>
      </w:pPr>
      <w:r w:rsidRPr="009252DE">
        <w:rPr>
          <w:sz w:val="28"/>
          <w:szCs w:val="28"/>
        </w:rPr>
        <w:t>Annual Trainee Survey</w:t>
      </w:r>
    </w:p>
    <w:p w:rsidRPr="009252DE" w:rsidR="00D44EAD" w:rsidP="00B9090D" w:rsidRDefault="00D44EAD" w14:paraId="2A6026EA" w14:textId="77777777">
      <w:pPr>
        <w:spacing w:after="0"/>
        <w:jc w:val="center"/>
        <w:rPr>
          <w:sz w:val="28"/>
          <w:szCs w:val="28"/>
        </w:rPr>
      </w:pPr>
    </w:p>
    <w:p w:rsidRPr="009252DE" w:rsidR="00CB4C39" w:rsidP="00B9090D" w:rsidRDefault="00003BE1" w14:paraId="51AB3D6E" w14:textId="5E00B7BD">
      <w:pPr>
        <w:spacing w:after="0"/>
        <w:jc w:val="center"/>
        <w:rPr>
          <w:sz w:val="28"/>
          <w:szCs w:val="28"/>
        </w:rPr>
      </w:pPr>
      <w:r w:rsidRPr="009252DE">
        <w:rPr>
          <w:sz w:val="28"/>
          <w:szCs w:val="28"/>
        </w:rPr>
        <w:t>OMB#</w:t>
      </w:r>
      <w:r w:rsidRPr="009252DE" w:rsidR="00A2740D">
        <w:rPr>
          <w:sz w:val="28"/>
          <w:szCs w:val="28"/>
        </w:rPr>
        <w:t xml:space="preserve"> 0925-0766, exp., 04/2023</w:t>
      </w:r>
    </w:p>
    <w:p w:rsidRPr="009252DE" w:rsidR="00595D1E" w:rsidP="00B9090D" w:rsidRDefault="00C6694B" w14:paraId="5D943427" w14:textId="76ECB950">
      <w:pPr>
        <w:spacing w:after="0"/>
        <w:jc w:val="center"/>
        <w:rPr>
          <w:sz w:val="28"/>
          <w:szCs w:val="28"/>
        </w:rPr>
      </w:pPr>
      <w:r w:rsidRPr="009252DE">
        <w:rPr>
          <w:sz w:val="28"/>
          <w:szCs w:val="28"/>
        </w:rPr>
        <w:t>6/</w:t>
      </w:r>
      <w:r w:rsidRPr="009252DE" w:rsidR="002659C7">
        <w:rPr>
          <w:sz w:val="28"/>
          <w:szCs w:val="28"/>
        </w:rPr>
        <w:t>22</w:t>
      </w:r>
      <w:r w:rsidRPr="009252DE">
        <w:rPr>
          <w:sz w:val="28"/>
          <w:szCs w:val="28"/>
        </w:rPr>
        <w:t>/22</w:t>
      </w:r>
    </w:p>
    <w:p w:rsidRPr="002B193F" w:rsidR="00595D1E" w:rsidP="00B9090D" w:rsidRDefault="00595D1E" w14:paraId="19A1A239" w14:textId="77777777">
      <w:pPr>
        <w:spacing w:after="0"/>
        <w:jc w:val="center"/>
      </w:pPr>
    </w:p>
    <w:p w:rsidRPr="002B193F" w:rsidR="00595D1E" w:rsidP="00B9090D" w:rsidRDefault="00595D1E" w14:paraId="68D92751" w14:textId="77777777">
      <w:pPr>
        <w:spacing w:after="0"/>
        <w:jc w:val="center"/>
      </w:pPr>
    </w:p>
    <w:p w:rsidRPr="002B193F" w:rsidR="00FF1D87" w:rsidP="00B9090D" w:rsidRDefault="00FF1D87" w14:paraId="39D3F73C" w14:textId="77777777">
      <w:pPr>
        <w:spacing w:after="0"/>
        <w:jc w:val="center"/>
      </w:pPr>
    </w:p>
    <w:p w:rsidRPr="005F71E7" w:rsidR="00FF1D87" w:rsidP="00B9090D" w:rsidRDefault="008529CC" w14:paraId="09FB6999" w14:textId="77777777">
      <w:pPr>
        <w:spacing w:after="0"/>
        <w:rPr>
          <w:b/>
        </w:rPr>
      </w:pPr>
      <w:r w:rsidRPr="005F71E7">
        <w:rPr>
          <w:sz w:val="32"/>
          <w:szCs w:val="32"/>
        </w:rPr>
        <w:t>Contact Information</w:t>
      </w:r>
      <w:r w:rsidRPr="005F71E7">
        <w:rPr>
          <w:b/>
        </w:rPr>
        <w:t xml:space="preserve">    </w:t>
      </w:r>
    </w:p>
    <w:p w:rsidRPr="001952C8" w:rsidR="007D3181" w:rsidP="00B9090D" w:rsidRDefault="00C6694B" w14:paraId="163A73A3" w14:textId="2D323364">
      <w:pPr>
        <w:spacing w:after="0"/>
        <w:rPr>
          <w:b/>
        </w:rPr>
      </w:pPr>
      <w:r w:rsidRPr="001952C8">
        <w:rPr>
          <w:b/>
        </w:rPr>
        <w:t>Christine Piggee, Ph.D.; NIMH</w:t>
      </w:r>
    </w:p>
    <w:p w:rsidRPr="005F71E7" w:rsidR="007D3181" w:rsidP="00B9090D" w:rsidRDefault="007D3181" w14:paraId="6659B2FE" w14:textId="25C9C907">
      <w:pPr>
        <w:spacing w:after="0"/>
        <w:rPr>
          <w:b/>
        </w:rPr>
      </w:pPr>
    </w:p>
    <w:p w:rsidRPr="005F71E7" w:rsidR="007D3181" w:rsidP="00B9090D" w:rsidRDefault="007D3181" w14:paraId="4931D80D" w14:textId="183A41A4">
      <w:pPr>
        <w:spacing w:after="0"/>
        <w:rPr>
          <w:b/>
        </w:rPr>
      </w:pPr>
    </w:p>
    <w:p w:rsidRPr="005F71E7" w:rsidR="007D3181" w:rsidP="00B9090D" w:rsidRDefault="007D3181" w14:paraId="0DF4FF08" w14:textId="77777777">
      <w:pPr>
        <w:spacing w:after="0"/>
        <w:rPr>
          <w:b/>
        </w:rPr>
      </w:pPr>
    </w:p>
    <w:p w:rsidRPr="005F71E7" w:rsidR="007D3181" w:rsidP="00B9090D" w:rsidRDefault="007D3181" w14:paraId="6EE94548" w14:textId="77777777">
      <w:pPr>
        <w:spacing w:after="0"/>
        <w:rPr>
          <w:rFonts w:ascii="Times New Roman" w:hAnsi="Times New Roman" w:cs="Times New Roman"/>
          <w:b/>
          <w:sz w:val="24"/>
          <w:szCs w:val="24"/>
        </w:rPr>
      </w:pPr>
      <w:r w:rsidRPr="005F71E7">
        <w:rPr>
          <w:rFonts w:ascii="Times New Roman" w:hAnsi="Times New Roman" w:cs="Times New Roman"/>
          <w:b/>
          <w:sz w:val="24"/>
          <w:szCs w:val="24"/>
        </w:rPr>
        <w:t>TYPE OF COLLECTION:</w:t>
      </w:r>
      <w:r w:rsidRPr="005F71E7">
        <w:rPr>
          <w:rFonts w:ascii="Times New Roman" w:hAnsi="Times New Roman" w:cs="Times New Roman"/>
          <w:sz w:val="24"/>
          <w:szCs w:val="24"/>
        </w:rPr>
        <w:t xml:space="preserve"> (Check one)</w:t>
      </w:r>
    </w:p>
    <w:p w:rsidRPr="005F71E7" w:rsidR="007D3181" w:rsidP="00B9090D" w:rsidRDefault="007D3181" w14:paraId="0613CB1A" w14:textId="77777777">
      <w:pPr>
        <w:pStyle w:val="BodyTextIndent"/>
        <w:tabs>
          <w:tab w:val="left" w:pos="360"/>
        </w:tabs>
        <w:ind w:left="0"/>
        <w:rPr>
          <w:bCs/>
          <w:sz w:val="24"/>
          <w:szCs w:val="24"/>
        </w:rPr>
      </w:pPr>
    </w:p>
    <w:p w:rsidRPr="005F71E7" w:rsidR="007D3181" w:rsidP="00B9090D" w:rsidRDefault="007D3181" w14:paraId="4063664F" w14:textId="77777777">
      <w:pPr>
        <w:pStyle w:val="BodyTextIndent"/>
        <w:tabs>
          <w:tab w:val="left" w:pos="360"/>
        </w:tabs>
        <w:ind w:left="0"/>
        <w:rPr>
          <w:bCs/>
          <w:sz w:val="24"/>
          <w:szCs w:val="24"/>
        </w:rPr>
      </w:pPr>
      <w:r w:rsidRPr="005F71E7">
        <w:rPr>
          <w:bCs/>
          <w:sz w:val="24"/>
          <w:szCs w:val="24"/>
        </w:rPr>
        <w:t>[ ] Data Catalogue</w:t>
      </w:r>
      <w:r w:rsidRPr="005F71E7">
        <w:rPr>
          <w:bCs/>
          <w:sz w:val="24"/>
          <w:szCs w:val="24"/>
        </w:rPr>
        <w:tab/>
        <w:t xml:space="preserve"> </w:t>
      </w:r>
      <w:r w:rsidRPr="005F71E7">
        <w:rPr>
          <w:bCs/>
          <w:sz w:val="24"/>
          <w:szCs w:val="24"/>
        </w:rPr>
        <w:tab/>
      </w:r>
      <w:r w:rsidRPr="005F71E7">
        <w:rPr>
          <w:bCs/>
          <w:sz w:val="24"/>
          <w:szCs w:val="24"/>
        </w:rPr>
        <w:tab/>
      </w:r>
      <w:r w:rsidRPr="005F71E7">
        <w:rPr>
          <w:bCs/>
          <w:sz w:val="24"/>
          <w:szCs w:val="24"/>
        </w:rPr>
        <w:tab/>
      </w:r>
      <w:r w:rsidRPr="005F71E7">
        <w:rPr>
          <w:bCs/>
          <w:sz w:val="24"/>
          <w:szCs w:val="24"/>
        </w:rPr>
        <w:tab/>
        <w:t>[ ] Repository of Tools and Best Practices</w:t>
      </w:r>
    </w:p>
    <w:p w:rsidRPr="005F71E7" w:rsidR="007D3181" w:rsidP="00B9090D" w:rsidRDefault="007D3181" w14:paraId="4058B193" w14:textId="0DA4CE0C">
      <w:pPr>
        <w:pStyle w:val="BodyTextIndent"/>
        <w:tabs>
          <w:tab w:val="left" w:pos="360"/>
        </w:tabs>
        <w:ind w:left="0"/>
        <w:rPr>
          <w:bCs/>
          <w:sz w:val="24"/>
          <w:szCs w:val="24"/>
        </w:rPr>
      </w:pPr>
      <w:r w:rsidRPr="005F71E7">
        <w:rPr>
          <w:bCs/>
          <w:sz w:val="24"/>
          <w:szCs w:val="24"/>
        </w:rPr>
        <w:t>[ ] Recommendations of scientific reviewers</w:t>
      </w:r>
      <w:r w:rsidRPr="005F71E7">
        <w:rPr>
          <w:bCs/>
          <w:sz w:val="24"/>
          <w:szCs w:val="24"/>
        </w:rPr>
        <w:tab/>
      </w:r>
      <w:r w:rsidRPr="005F71E7" w:rsidR="00751793">
        <w:rPr>
          <w:bCs/>
          <w:sz w:val="24"/>
          <w:szCs w:val="24"/>
        </w:rPr>
        <w:t xml:space="preserve">            </w:t>
      </w:r>
      <w:r w:rsidRPr="005F71E7">
        <w:rPr>
          <w:bCs/>
          <w:sz w:val="24"/>
          <w:szCs w:val="24"/>
        </w:rPr>
        <w:t>[ ] Resources</w:t>
      </w:r>
    </w:p>
    <w:p w:rsidRPr="006F7AFA" w:rsidR="007D3181" w:rsidP="00B9090D" w:rsidRDefault="007D3181" w14:paraId="25A13C2E" w14:textId="16DFF382">
      <w:pPr>
        <w:pStyle w:val="BodyTextIndent"/>
        <w:tabs>
          <w:tab w:val="left" w:pos="360"/>
        </w:tabs>
        <w:ind w:left="0"/>
        <w:rPr>
          <w:bCs/>
          <w:sz w:val="24"/>
          <w:szCs w:val="24"/>
        </w:rPr>
      </w:pPr>
      <w:r w:rsidRPr="005F71E7">
        <w:rPr>
          <w:bCs/>
          <w:sz w:val="24"/>
          <w:szCs w:val="24"/>
        </w:rPr>
        <w:t>[ ] Call for Nominations</w:t>
      </w:r>
      <w:r w:rsidRPr="005F71E7">
        <w:rPr>
          <w:bCs/>
          <w:sz w:val="24"/>
          <w:szCs w:val="24"/>
        </w:rPr>
        <w:tab/>
      </w:r>
      <w:r w:rsidRPr="005F71E7">
        <w:rPr>
          <w:bCs/>
          <w:sz w:val="24"/>
          <w:szCs w:val="24"/>
        </w:rPr>
        <w:tab/>
      </w:r>
      <w:r w:rsidRPr="005F71E7">
        <w:rPr>
          <w:bCs/>
          <w:sz w:val="24"/>
          <w:szCs w:val="24"/>
        </w:rPr>
        <w:tab/>
      </w:r>
      <w:r w:rsidRPr="005F71E7">
        <w:rPr>
          <w:bCs/>
          <w:sz w:val="24"/>
          <w:szCs w:val="24"/>
        </w:rPr>
        <w:tab/>
        <w:t>[</w:t>
      </w:r>
      <w:r w:rsidRPr="005F71E7" w:rsidR="00751793">
        <w:rPr>
          <w:bCs/>
          <w:sz w:val="24"/>
          <w:szCs w:val="24"/>
        </w:rPr>
        <w:t>X</w:t>
      </w:r>
      <w:r w:rsidRPr="005F71E7">
        <w:rPr>
          <w:bCs/>
          <w:sz w:val="24"/>
          <w:szCs w:val="24"/>
        </w:rPr>
        <w:t>] Other:</w:t>
      </w:r>
      <w:r w:rsidRPr="005F71E7">
        <w:rPr>
          <w:bCs/>
          <w:sz w:val="24"/>
          <w:szCs w:val="24"/>
          <w:u w:val="single"/>
        </w:rPr>
        <w:t xml:space="preserve"> </w:t>
      </w:r>
      <w:r w:rsidRPr="005F71E7" w:rsidR="00751793">
        <w:rPr>
          <w:bCs/>
          <w:sz w:val="24"/>
          <w:szCs w:val="24"/>
          <w:u w:val="single"/>
        </w:rPr>
        <w:t>Program Evaluation</w:t>
      </w:r>
      <w:r w:rsidRPr="005F71E7">
        <w:rPr>
          <w:bCs/>
          <w:sz w:val="24"/>
          <w:szCs w:val="24"/>
          <w:u w:val="single"/>
        </w:rPr>
        <w:t>_</w:t>
      </w:r>
    </w:p>
    <w:p w:rsidR="007D3181" w:rsidP="00B9090D" w:rsidRDefault="007D3181" w14:paraId="358E7A24" w14:textId="77777777">
      <w:pPr>
        <w:pStyle w:val="Header"/>
      </w:pPr>
    </w:p>
    <w:p w:rsidRPr="00113647" w:rsidR="00595D1E" w:rsidP="00B9090D" w:rsidRDefault="00595D1E" w14:paraId="0C65252C" w14:textId="5B73037D">
      <w:pPr>
        <w:spacing w:after="0"/>
        <w:rPr>
          <w:b/>
        </w:rPr>
      </w:pPr>
      <w:r w:rsidRPr="00113647">
        <w:rPr>
          <w:b/>
        </w:rPr>
        <w:br w:type="page"/>
      </w:r>
    </w:p>
    <w:p w:rsidRPr="00113647" w:rsidR="00DB27F3" w:rsidP="00C541CF" w:rsidRDefault="00AF01AD" w14:paraId="1F4FBF3C" w14:textId="1C97BFCC">
      <w:pPr>
        <w:spacing w:after="0" w:line="480" w:lineRule="auto"/>
        <w:jc w:val="center"/>
        <w:rPr>
          <w:b/>
        </w:rPr>
      </w:pPr>
      <w:r>
        <w:rPr>
          <w:b/>
        </w:rPr>
        <w:lastRenderedPageBreak/>
        <w:t xml:space="preserve">Mini </w:t>
      </w:r>
      <w:r w:rsidRPr="00113647" w:rsidR="008716F6">
        <w:rPr>
          <w:b/>
        </w:rPr>
        <w:t>Supporting Statement</w:t>
      </w:r>
      <w:r w:rsidR="008529CC">
        <w:rPr>
          <w:b/>
        </w:rPr>
        <w:t xml:space="preserve"> A</w:t>
      </w:r>
    </w:p>
    <w:p w:rsidR="008716F6" w:rsidP="00C541CF" w:rsidRDefault="008716F6" w14:paraId="1541B169" w14:textId="77777777">
      <w:pPr>
        <w:spacing w:after="0" w:line="480" w:lineRule="auto"/>
      </w:pPr>
    </w:p>
    <w:p w:rsidRPr="00113647" w:rsidR="00003BE1" w:rsidP="00C541CF" w:rsidRDefault="008716F6" w14:paraId="1650FFC8" w14:textId="227B477A">
      <w:pPr>
        <w:spacing w:after="0" w:line="480" w:lineRule="auto"/>
        <w:rPr>
          <w:b/>
        </w:rPr>
      </w:pPr>
      <w:r w:rsidRPr="00113647">
        <w:rPr>
          <w:b/>
        </w:rPr>
        <w:t>A.1 Circumstances Making the Collection of Information Necessary</w:t>
      </w:r>
    </w:p>
    <w:p w:rsidR="00147128" w:rsidP="00147128" w:rsidRDefault="00FC5FDF" w14:paraId="7AFEE82B" w14:textId="78BD6619">
      <w:pPr>
        <w:spacing w:after="0" w:line="480" w:lineRule="auto"/>
        <w:ind w:firstLine="720"/>
      </w:pPr>
      <w:r>
        <w:t xml:space="preserve">The National Institute of Mental Health’s (NIMH) Office of Fellowship Training (OFT) </w:t>
      </w:r>
      <w:r w:rsidR="00CA038C">
        <w:t>within the Intramural Research Program (IRP)</w:t>
      </w:r>
      <w:r>
        <w:t xml:space="preserve"> </w:t>
      </w:r>
      <w:r w:rsidR="00A65883">
        <w:t xml:space="preserve">aims </w:t>
      </w:r>
      <w:r w:rsidR="00206ED6">
        <w:t xml:space="preserve">to support and promote a productive and fulfilling research training experience in the NIMH </w:t>
      </w:r>
      <w:r w:rsidR="00A65883">
        <w:t>IRP. The OFT works t</w:t>
      </w:r>
      <w:r w:rsidR="00206ED6">
        <w:t>o encourage career planning and guide career management through trainee use of Individual Development Plans</w:t>
      </w:r>
      <w:r w:rsidR="00A65883">
        <w:t xml:space="preserve">, </w:t>
      </w:r>
      <w:r w:rsidR="00206ED6">
        <w:t>provide programs and services to assist trainees in discovering and clarifying career choices</w:t>
      </w:r>
      <w:r w:rsidR="00A65883">
        <w:t xml:space="preserve">, and </w:t>
      </w:r>
      <w:r w:rsidR="00206ED6">
        <w:t>provide opportunities and to encourage trainees to build a professional skill set which enables them to become world leaders in academic and non-academic careers</w:t>
      </w:r>
      <w:r w:rsidR="00A65883">
        <w:t>.</w:t>
      </w:r>
      <w:r w:rsidR="00147128">
        <w:t xml:space="preserve"> </w:t>
      </w:r>
      <w:r w:rsidR="00A93930">
        <w:t xml:space="preserve">The 6/25/21 </w:t>
      </w:r>
      <w:r w:rsidRPr="00877B4D" w:rsidR="00877B4D">
        <w:t xml:space="preserve">Executive Order on Diversity, Equity, Inclusion, and Accessibility </w:t>
      </w:r>
      <w:r w:rsidR="000535E5">
        <w:t xml:space="preserve">(DEIA) </w:t>
      </w:r>
      <w:r w:rsidRPr="00877B4D" w:rsidR="00877B4D">
        <w:t xml:space="preserve">in the Federal Workforce </w:t>
      </w:r>
      <w:r w:rsidR="00CE0A31">
        <w:t>c</w:t>
      </w:r>
      <w:r w:rsidRPr="0039797C" w:rsidR="0039797C">
        <w:t>harges all agencies with assessing the current state of diversity, equity, inclusion and accessibility within their workforces, and developing strategic plans to eliminate any barriers to success faced by underserved employees.</w:t>
      </w:r>
      <w:r w:rsidR="002605C4">
        <w:t xml:space="preserve"> In addition, Committee U of the NIH UNITE Initiative</w:t>
      </w:r>
      <w:r w:rsidR="004B26F2">
        <w:t xml:space="preserve"> (which has the purpose of understanding stakeholder experiences through listening and learning)</w:t>
      </w:r>
      <w:r w:rsidR="00A53B52">
        <w:t xml:space="preserve"> has tasked NIH with performing </w:t>
      </w:r>
      <w:r w:rsidRPr="00D165C3" w:rsidR="00A53B52">
        <w:t xml:space="preserve">a broad, systematic self-evaluation to delineate elements that perpetuate structural racism and lead to a lack of diversity, equity, and inclusion within the NIH and the external scientific community. </w:t>
      </w:r>
      <w:r w:rsidRPr="005200F8" w:rsidR="00A53B52">
        <w:t xml:space="preserve">UNITE is working on several evaluation techniques as well as </w:t>
      </w:r>
      <w:r w:rsidRPr="00127316" w:rsidR="00A53B52">
        <w:rPr>
          <w:i/>
          <w:iCs/>
        </w:rPr>
        <w:t>analyzing workforce demographics</w:t>
      </w:r>
      <w:r w:rsidRPr="005200F8" w:rsidR="00A53B52">
        <w:t xml:space="preserve"> to inform the NIH’s efforts in addressing structural racism across the biomedical research enterprise</w:t>
      </w:r>
      <w:r w:rsidR="009033F0">
        <w:t xml:space="preserve">. Moreover, </w:t>
      </w:r>
      <w:r w:rsidR="00224347">
        <w:t xml:space="preserve">there is now a </w:t>
      </w:r>
      <w:r w:rsidRPr="00206879" w:rsidR="00224347">
        <w:t>performance plan element for Institute and Center Directors to be held accountable for diversity, equity, inclusion, and accessibility.</w:t>
      </w:r>
      <w:r w:rsidR="001F1780">
        <w:t xml:space="preserve"> Accordingly, </w:t>
      </w:r>
      <w:r w:rsidR="00723D33">
        <w:t xml:space="preserve">we need to understand </w:t>
      </w:r>
      <w:r w:rsidR="00BE67B6">
        <w:t xml:space="preserve">the </w:t>
      </w:r>
      <w:r w:rsidR="00723D33">
        <w:t xml:space="preserve">demographics of our current </w:t>
      </w:r>
      <w:r w:rsidR="00BE67B6">
        <w:t>trainee population</w:t>
      </w:r>
      <w:r w:rsidR="00372B52">
        <w:t xml:space="preserve"> not only to have a baseline to be able to hold ourselves accountable for </w:t>
      </w:r>
      <w:r w:rsidR="00822442">
        <w:t>ensur</w:t>
      </w:r>
      <w:r w:rsidR="00372B52">
        <w:t xml:space="preserve">ing </w:t>
      </w:r>
      <w:r w:rsidR="00822442">
        <w:t xml:space="preserve">a </w:t>
      </w:r>
      <w:r w:rsidR="00ED3881">
        <w:t xml:space="preserve">more </w:t>
      </w:r>
      <w:r w:rsidR="00372B52">
        <w:t>divers</w:t>
      </w:r>
      <w:r w:rsidR="00822442">
        <w:t>e trainee population</w:t>
      </w:r>
      <w:r w:rsidR="00932A3E">
        <w:t>,</w:t>
      </w:r>
      <w:r w:rsidR="00372B52">
        <w:t xml:space="preserve"> </w:t>
      </w:r>
      <w:r w:rsidR="002C0A13">
        <w:t xml:space="preserve">but also to </w:t>
      </w:r>
      <w:r w:rsidR="004D3407">
        <w:t>measure</w:t>
      </w:r>
      <w:r w:rsidR="002C0A13">
        <w:t xml:space="preserve"> </w:t>
      </w:r>
      <w:r w:rsidR="00817166">
        <w:t>the current DEIA climate for</w:t>
      </w:r>
      <w:r w:rsidR="00ED3881">
        <w:t xml:space="preserve"> trainees</w:t>
      </w:r>
      <w:r w:rsidR="000C3D67">
        <w:t xml:space="preserve"> and whether </w:t>
      </w:r>
      <w:r w:rsidR="00C75272">
        <w:t>there are significant differences for different demographic groups</w:t>
      </w:r>
      <w:r w:rsidR="00470949">
        <w:t xml:space="preserve">. </w:t>
      </w:r>
      <w:r w:rsidR="00817166">
        <w:t xml:space="preserve"> </w:t>
      </w:r>
      <w:r w:rsidR="0041659D">
        <w:t xml:space="preserve"> </w:t>
      </w:r>
    </w:p>
    <w:p w:rsidR="00003BE1" w:rsidP="00C541CF" w:rsidRDefault="00003BE1" w14:paraId="3C715BB9" w14:textId="77777777">
      <w:pPr>
        <w:spacing w:after="0" w:line="480" w:lineRule="auto"/>
      </w:pPr>
    </w:p>
    <w:p w:rsidRPr="00113647" w:rsidR="00003BE1" w:rsidP="00C541CF" w:rsidRDefault="008716F6" w14:paraId="2DC941B1" w14:textId="46A7F946">
      <w:pPr>
        <w:spacing w:after="0" w:line="480" w:lineRule="auto"/>
        <w:rPr>
          <w:b/>
        </w:rPr>
      </w:pPr>
      <w:r w:rsidRPr="00113647">
        <w:rPr>
          <w:b/>
        </w:rPr>
        <w:t>A.2 Purpose and Use of the Information Collection</w:t>
      </w:r>
    </w:p>
    <w:p w:rsidR="00F64FA7" w:rsidP="00C541CF" w:rsidRDefault="00F64FA7" w14:paraId="7D693ABF" w14:textId="1ACE9BD3">
      <w:pPr>
        <w:spacing w:after="0" w:line="480" w:lineRule="auto"/>
        <w:ind w:firstLine="720"/>
      </w:pPr>
      <w:r>
        <w:lastRenderedPageBreak/>
        <w:t xml:space="preserve">The purpose of this </w:t>
      </w:r>
      <w:r w:rsidR="00582456">
        <w:t>information collection is t</w:t>
      </w:r>
      <w:r w:rsidRPr="00362FB7">
        <w:t>o assess the effectiveness of the intramural training program at NIMH and to identify areas of potential improvement</w:t>
      </w:r>
      <w:r w:rsidR="00A65883">
        <w:t xml:space="preserve"> and </w:t>
      </w:r>
      <w:r w:rsidRPr="00362FB7">
        <w:t>growth</w:t>
      </w:r>
      <w:r>
        <w:t>.</w:t>
      </w:r>
      <w:r w:rsidR="00582456">
        <w:t xml:space="preserve"> </w:t>
      </w:r>
    </w:p>
    <w:p w:rsidRPr="00113647" w:rsidR="00003BE1" w:rsidP="00C541CF" w:rsidRDefault="00003BE1" w14:paraId="2488079D" w14:textId="77777777">
      <w:pPr>
        <w:spacing w:after="0" w:line="480" w:lineRule="auto"/>
      </w:pPr>
    </w:p>
    <w:p w:rsidR="00564758" w:rsidP="00C541CF" w:rsidRDefault="008716F6" w14:paraId="1FC4CC08" w14:textId="63B534F9">
      <w:pPr>
        <w:spacing w:after="0" w:line="480" w:lineRule="auto"/>
        <w:rPr>
          <w:b/>
        </w:rPr>
      </w:pPr>
      <w:r w:rsidRPr="00113647">
        <w:rPr>
          <w:b/>
        </w:rPr>
        <w:t>A.3 Use of Information Technology to Reduce Burden</w:t>
      </w:r>
    </w:p>
    <w:p w:rsidRPr="00564758" w:rsidR="00003BE1" w:rsidP="00F43D8F" w:rsidRDefault="00564758" w14:paraId="04FB8AD2" w14:textId="25BF683E">
      <w:pPr>
        <w:spacing w:after="0" w:line="480" w:lineRule="auto"/>
        <w:ind w:firstLine="720"/>
        <w:rPr>
          <w:b/>
          <w:sz w:val="20"/>
          <w:szCs w:val="20"/>
        </w:rPr>
      </w:pPr>
      <w:r w:rsidRPr="00564758">
        <w:rPr>
          <w:rFonts w:cstheme="minorHAnsi"/>
          <w:color w:val="000000"/>
        </w:rPr>
        <w:t>All data will be collected via electronic submission</w:t>
      </w:r>
      <w:r w:rsidR="00A67125">
        <w:rPr>
          <w:rFonts w:cstheme="minorHAnsi"/>
          <w:color w:val="000000"/>
        </w:rPr>
        <w:t xml:space="preserve"> using SurveyMonkey</w:t>
      </w:r>
      <w:r w:rsidRPr="00564758">
        <w:rPr>
          <w:rFonts w:cstheme="minorHAnsi"/>
          <w:color w:val="000000"/>
        </w:rPr>
        <w:t>, thereby reducing both hours of effort and financial costs.</w:t>
      </w:r>
      <w:r w:rsidR="00F43D8F">
        <w:rPr>
          <w:rFonts w:cstheme="minorHAnsi"/>
          <w:color w:val="000000"/>
        </w:rPr>
        <w:t xml:space="preserve"> </w:t>
      </w:r>
      <w:r w:rsidR="00DC22CE">
        <w:rPr>
          <w:rFonts w:cstheme="minorHAnsi"/>
          <w:color w:val="000000"/>
        </w:rPr>
        <w:t xml:space="preserve">The NIH Office of the Director has previously completed a </w:t>
      </w:r>
      <w:r w:rsidR="006C4C95">
        <w:rPr>
          <w:rFonts w:cstheme="minorHAnsi"/>
          <w:color w:val="000000"/>
        </w:rPr>
        <w:t>Privacy Impact Assessment on SurveyMonkey.</w:t>
      </w:r>
    </w:p>
    <w:p w:rsidRPr="00113647" w:rsidR="00003BE1" w:rsidP="00C541CF" w:rsidRDefault="00003BE1" w14:paraId="08E95EDA" w14:textId="77777777">
      <w:pPr>
        <w:spacing w:after="0" w:line="480" w:lineRule="auto"/>
      </w:pPr>
    </w:p>
    <w:p w:rsidR="008716F6" w:rsidP="00C541CF" w:rsidRDefault="008716F6" w14:paraId="16F7BD87" w14:textId="77777777">
      <w:pPr>
        <w:spacing w:after="0" w:line="480" w:lineRule="auto"/>
        <w:rPr>
          <w:b/>
        </w:rPr>
      </w:pPr>
      <w:r w:rsidRPr="00113647">
        <w:rPr>
          <w:b/>
        </w:rPr>
        <w:t>A.4 Efforts to Identify Duplication</w:t>
      </w:r>
    </w:p>
    <w:p w:rsidRPr="008C3522" w:rsidR="00003BE1" w:rsidP="00C605AC" w:rsidRDefault="005A0D46" w14:paraId="50116A33" w14:textId="16BE021E">
      <w:pPr>
        <w:spacing w:line="480" w:lineRule="auto"/>
        <w:ind w:firstLine="720"/>
        <w:rPr>
          <w:rFonts w:cstheme="minorHAnsi"/>
        </w:rPr>
      </w:pPr>
      <w:r w:rsidRPr="005A0D46">
        <w:rPr>
          <w:rFonts w:cstheme="minorHAnsi"/>
        </w:rPr>
        <w:t>This data collection is unique in that no other agencies, organizations</w:t>
      </w:r>
      <w:r w:rsidR="008C3522">
        <w:rPr>
          <w:rFonts w:cstheme="minorHAnsi"/>
        </w:rPr>
        <w:t>,</w:t>
      </w:r>
      <w:r w:rsidRPr="005A0D46">
        <w:rPr>
          <w:rFonts w:cstheme="minorHAnsi"/>
        </w:rPr>
        <w:t xml:space="preserve"> or entities seek stakeholder feedback for the</w:t>
      </w:r>
      <w:r w:rsidR="008C3522">
        <w:rPr>
          <w:rFonts w:cstheme="minorHAnsi"/>
        </w:rPr>
        <w:t xml:space="preserve"> </w:t>
      </w:r>
      <w:r w:rsidRPr="00362FB7" w:rsidR="008C3522">
        <w:t>effectiveness of the intramural training program at NIMH</w:t>
      </w:r>
      <w:r w:rsidRPr="005A0D46">
        <w:rPr>
          <w:rFonts w:cstheme="minorHAnsi"/>
        </w:rPr>
        <w:t>. Hence, there will not be any duplication of efforts.</w:t>
      </w:r>
    </w:p>
    <w:p w:rsidRPr="00113647" w:rsidR="008716F6" w:rsidP="00C541CF" w:rsidRDefault="008716F6" w14:paraId="2CEE54B9" w14:textId="77777777">
      <w:pPr>
        <w:spacing w:after="0" w:line="480" w:lineRule="auto"/>
        <w:rPr>
          <w:b/>
        </w:rPr>
      </w:pPr>
      <w:r w:rsidRPr="00113647">
        <w:rPr>
          <w:b/>
        </w:rPr>
        <w:t>A.5 Impact on Small Businesses or Other Small Entities</w:t>
      </w:r>
    </w:p>
    <w:p w:rsidRPr="00113647" w:rsidR="008716F6" w:rsidP="00CD598E" w:rsidRDefault="008716F6" w14:paraId="4E350690" w14:textId="77777777">
      <w:pPr>
        <w:spacing w:after="0" w:line="480" w:lineRule="auto"/>
        <w:ind w:firstLine="720"/>
      </w:pPr>
      <w:r w:rsidRPr="00113647">
        <w:t>N/A</w:t>
      </w:r>
    </w:p>
    <w:p w:rsidR="008716F6" w:rsidP="00C541CF" w:rsidRDefault="008716F6" w14:paraId="6349957B" w14:textId="77777777">
      <w:pPr>
        <w:spacing w:after="0" w:line="480" w:lineRule="auto"/>
      </w:pPr>
    </w:p>
    <w:p w:rsidR="008716F6" w:rsidP="00C541CF" w:rsidRDefault="008716F6" w14:paraId="18F8815A" w14:textId="77777777">
      <w:pPr>
        <w:spacing w:after="0" w:line="480" w:lineRule="auto"/>
        <w:rPr>
          <w:b/>
        </w:rPr>
      </w:pPr>
      <w:r w:rsidRPr="00113647">
        <w:rPr>
          <w:b/>
        </w:rPr>
        <w:t>A.6 Consequences of Collecting the Information Less Frequently</w:t>
      </w:r>
    </w:p>
    <w:p w:rsidRPr="00E2551B" w:rsidR="004B3C21" w:rsidP="00E2551B" w:rsidRDefault="00C605AC" w14:paraId="60F5E8D6" w14:textId="7E3B87D8">
      <w:pPr>
        <w:spacing w:after="0" w:line="480" w:lineRule="auto"/>
        <w:ind w:firstLine="720"/>
        <w:rPr>
          <w:b/>
          <w:sz w:val="20"/>
          <w:szCs w:val="20"/>
        </w:rPr>
      </w:pPr>
      <w:r>
        <w:rPr>
          <w:rFonts w:cstheme="minorHAnsi"/>
        </w:rPr>
        <w:t xml:space="preserve">The </w:t>
      </w:r>
      <w:r w:rsidRPr="00E2551B" w:rsidR="00E2551B">
        <w:rPr>
          <w:rFonts w:cstheme="minorHAnsi"/>
        </w:rPr>
        <w:t xml:space="preserve">NIMH </w:t>
      </w:r>
      <w:r>
        <w:rPr>
          <w:rFonts w:cstheme="minorHAnsi"/>
        </w:rPr>
        <w:t xml:space="preserve">OFT </w:t>
      </w:r>
      <w:r w:rsidRPr="00E2551B" w:rsidR="00E2551B">
        <w:rPr>
          <w:rFonts w:cstheme="minorHAnsi"/>
        </w:rPr>
        <w:t xml:space="preserve">must have timely information to ensure it is </w:t>
      </w:r>
      <w:r w:rsidR="00E2551B">
        <w:t>supporting and promoting a productive and fulfilling research training experience in the NIMH IRP.</w:t>
      </w:r>
      <w:r w:rsidR="00A67125">
        <w:t xml:space="preserve"> If </w:t>
      </w:r>
      <w:r w:rsidR="005D1FD5">
        <w:t xml:space="preserve">this information is not collected or is collected less frequently, the NIMH IRP will not be able </w:t>
      </w:r>
      <w:r w:rsidR="00FA4D97">
        <w:t xml:space="preserve">to </w:t>
      </w:r>
      <w:r w:rsidR="003A767A">
        <w:t>know what barriers to success the trainee population is facing and, therefore, not be able to comply with the Executive Order</w:t>
      </w:r>
      <w:r w:rsidR="008C5A1E">
        <w:t>.</w:t>
      </w:r>
    </w:p>
    <w:p w:rsidRPr="00113647" w:rsidR="004B3C21" w:rsidP="00C541CF" w:rsidRDefault="004B3C21" w14:paraId="4BF9546C" w14:textId="77777777">
      <w:pPr>
        <w:spacing w:after="0" w:line="480" w:lineRule="auto"/>
      </w:pPr>
    </w:p>
    <w:p w:rsidRPr="000D1BBB" w:rsidR="004B3C21" w:rsidP="00C541CF" w:rsidRDefault="008716F6" w14:paraId="54F24C88" w14:textId="3AF51194">
      <w:pPr>
        <w:spacing w:after="0" w:line="480" w:lineRule="auto"/>
        <w:rPr>
          <w:b/>
        </w:rPr>
      </w:pPr>
      <w:r w:rsidRPr="00113647">
        <w:rPr>
          <w:b/>
        </w:rPr>
        <w:t>A.7 Special Circumstances Relating to the Guidelines of 5 CFR 1320.5</w:t>
      </w:r>
    </w:p>
    <w:p w:rsidRPr="00113647" w:rsidR="008716F6" w:rsidP="0074542F" w:rsidRDefault="008716F6" w14:paraId="3522E670" w14:textId="19F8CCFA">
      <w:pPr>
        <w:spacing w:after="0" w:line="480" w:lineRule="auto"/>
        <w:ind w:firstLine="720"/>
      </w:pPr>
      <w:r w:rsidRPr="00113647">
        <w:t>This survey will be implemented in a manner that fully complies with 5 C.F.R. 1320.5.</w:t>
      </w:r>
    </w:p>
    <w:p w:rsidRPr="00113647" w:rsidR="008716F6" w:rsidP="00C541CF" w:rsidRDefault="008716F6" w14:paraId="16EF2A4F" w14:textId="77777777">
      <w:pPr>
        <w:spacing w:after="0" w:line="480" w:lineRule="auto"/>
      </w:pPr>
    </w:p>
    <w:p w:rsidRPr="00113647" w:rsidR="008716F6" w:rsidP="00C541CF" w:rsidRDefault="008716F6" w14:paraId="7036E772" w14:textId="77777777">
      <w:pPr>
        <w:spacing w:after="0" w:line="480" w:lineRule="auto"/>
        <w:rPr>
          <w:b/>
        </w:rPr>
      </w:pPr>
      <w:r w:rsidRPr="00113647">
        <w:rPr>
          <w:b/>
        </w:rPr>
        <w:t>A.8 Comments in Response to the Federal Register Notice and Efforts to Consult Outside Agency</w:t>
      </w:r>
    </w:p>
    <w:p w:rsidRPr="00113647" w:rsidR="008716F6" w:rsidP="00CD598E" w:rsidRDefault="008716F6" w14:paraId="0559FCF3" w14:textId="77777777">
      <w:pPr>
        <w:spacing w:after="0" w:line="480" w:lineRule="auto"/>
        <w:ind w:firstLine="720"/>
      </w:pPr>
      <w:r w:rsidRPr="00113647">
        <w:lastRenderedPageBreak/>
        <w:t>N/A</w:t>
      </w:r>
    </w:p>
    <w:p w:rsidRPr="00113647" w:rsidR="008716F6" w:rsidP="00C541CF" w:rsidRDefault="008716F6" w14:paraId="6849A58E" w14:textId="77777777">
      <w:pPr>
        <w:spacing w:after="0" w:line="480" w:lineRule="auto"/>
      </w:pPr>
    </w:p>
    <w:p w:rsidRPr="00113647" w:rsidR="004B3C21" w:rsidP="00C541CF" w:rsidRDefault="008716F6" w14:paraId="682EA02B" w14:textId="362903C3">
      <w:pPr>
        <w:spacing w:after="0" w:line="480" w:lineRule="auto"/>
        <w:rPr>
          <w:b/>
        </w:rPr>
      </w:pPr>
      <w:r w:rsidRPr="00113647">
        <w:rPr>
          <w:b/>
        </w:rPr>
        <w:t xml:space="preserve">A.9 </w:t>
      </w:r>
      <w:r w:rsidRPr="00113647" w:rsidR="00477A8E">
        <w:rPr>
          <w:b/>
        </w:rPr>
        <w:t>Explanation of Any Payment of Gift to Respondents</w:t>
      </w:r>
    </w:p>
    <w:p w:rsidRPr="00113647" w:rsidR="004B3C21" w:rsidP="00CD598E" w:rsidRDefault="00860DBE" w14:paraId="4873BA4C" w14:textId="7CCF6DCA">
      <w:pPr>
        <w:spacing w:after="0" w:line="480" w:lineRule="auto"/>
        <w:ind w:firstLine="720"/>
      </w:pPr>
      <w:r w:rsidRPr="00860DBE">
        <w:t>No payment or gift will be given to respondents.</w:t>
      </w:r>
    </w:p>
    <w:p w:rsidR="00860DBE" w:rsidP="00C541CF" w:rsidRDefault="00860DBE" w14:paraId="795B747E" w14:textId="77777777">
      <w:pPr>
        <w:spacing w:after="0" w:line="480" w:lineRule="auto"/>
        <w:rPr>
          <w:b/>
        </w:rPr>
      </w:pPr>
    </w:p>
    <w:p w:rsidR="00CD598E" w:rsidP="00CD598E" w:rsidRDefault="00477A8E" w14:paraId="77A215D1" w14:textId="77777777">
      <w:pPr>
        <w:spacing w:after="0" w:line="480" w:lineRule="auto"/>
        <w:rPr>
          <w:b/>
        </w:rPr>
      </w:pPr>
      <w:r w:rsidRPr="00113647">
        <w:rPr>
          <w:b/>
        </w:rPr>
        <w:t>A.10 Assurance of Confidentiality Provided to Respondents</w:t>
      </w:r>
    </w:p>
    <w:p w:rsidR="004B3C21" w:rsidP="00CD598E" w:rsidRDefault="00E360F1" w14:paraId="760329D5" w14:textId="16982164">
      <w:pPr>
        <w:spacing w:after="0" w:line="480" w:lineRule="auto"/>
        <w:ind w:firstLine="720"/>
        <w:rPr>
          <w:rFonts w:cstheme="minorHAnsi"/>
        </w:rPr>
      </w:pPr>
      <w:r w:rsidRPr="00CD598E">
        <w:rPr>
          <w:rFonts w:cstheme="minorHAnsi"/>
        </w:rPr>
        <w:t>Respondents</w:t>
      </w:r>
      <w:r w:rsidR="00893AAD">
        <w:rPr>
          <w:rFonts w:cstheme="minorHAnsi"/>
        </w:rPr>
        <w:t>’</w:t>
      </w:r>
      <w:r w:rsidRPr="00CD598E">
        <w:rPr>
          <w:rFonts w:cstheme="minorHAnsi"/>
        </w:rPr>
        <w:t xml:space="preserve"> participation is voluntary, and they retain the right to skip any question(s) they would prefer not to answer, and to quit the survey at any time. No personally identifiable information will be collected. We anticipate collecting demographic information from stakeholders that may help us </w:t>
      </w:r>
      <w:r w:rsidR="00C50672">
        <w:rPr>
          <w:rFonts w:cstheme="minorHAnsi"/>
        </w:rPr>
        <w:t xml:space="preserve">further </w:t>
      </w:r>
      <w:r w:rsidRPr="00362FB7" w:rsidR="00781198">
        <w:t>assess the effectiveness of the intramural training program at NIMH and to identify areas of potential improvement</w:t>
      </w:r>
      <w:r w:rsidR="00781198">
        <w:t xml:space="preserve"> and </w:t>
      </w:r>
      <w:r w:rsidRPr="00362FB7" w:rsidR="00781198">
        <w:t>growth</w:t>
      </w:r>
      <w:r w:rsidRPr="00CD598E">
        <w:rPr>
          <w:rFonts w:cstheme="minorHAnsi"/>
        </w:rPr>
        <w:t xml:space="preserve">. Information collected will be private to the extent permitted by </w:t>
      </w:r>
      <w:r w:rsidRPr="00CD598E" w:rsidR="001F4D29">
        <w:rPr>
          <w:rFonts w:cstheme="minorHAnsi"/>
        </w:rPr>
        <w:t>law,</w:t>
      </w:r>
      <w:r w:rsidR="001F4D29">
        <w:rPr>
          <w:rFonts w:cstheme="minorHAnsi"/>
        </w:rPr>
        <w:t xml:space="preserve"> </w:t>
      </w:r>
      <w:r w:rsidRPr="00CD598E" w:rsidR="001F4D29">
        <w:rPr>
          <w:rFonts w:cstheme="minorHAnsi"/>
        </w:rPr>
        <w:t>and</w:t>
      </w:r>
      <w:r w:rsidRPr="00CD598E">
        <w:rPr>
          <w:rFonts w:cstheme="minorHAnsi"/>
        </w:rPr>
        <w:t xml:space="preserve"> will follow the Privacy Act guidelines as set out by the NIH Office of Management Assessment</w:t>
      </w:r>
      <w:hyperlink w:history="1"/>
      <w:r w:rsidRPr="00CD598E">
        <w:rPr>
          <w:rFonts w:cstheme="minorHAnsi"/>
        </w:rPr>
        <w:t>. As appropriate, the Privacy Act applies to these information collections per the NIH Privacy Act System of Records Notice (SORN) #09-25-0156, “Records of Participants in Programs and Respondents in Surveys Used to Evaluate Programs of the Public Health Service</w:t>
      </w:r>
      <w:r w:rsidR="0032015D">
        <w:rPr>
          <w:rFonts w:cstheme="minorHAnsi"/>
        </w:rPr>
        <w:t xml:space="preserve"> (PHS)</w:t>
      </w:r>
      <w:r w:rsidRPr="00CD598E">
        <w:rPr>
          <w:rFonts w:cstheme="minorHAnsi"/>
        </w:rPr>
        <w:t>, HHS/PHS/NIH/OD,”</w:t>
      </w:r>
      <w:hyperlink w:history="1"/>
      <w:r w:rsidRPr="00CD598E">
        <w:rPr>
          <w:rFonts w:cstheme="minorHAnsi"/>
        </w:rPr>
        <w:t xml:space="preserve"> which covers </w:t>
      </w:r>
      <w:r w:rsidRPr="00CD598E">
        <w:rPr>
          <w:rFonts w:cstheme="minorHAnsi"/>
          <w:color w:val="000000"/>
        </w:rPr>
        <w:t>evaluation of the policies, programs, organization, methods, materials, activities or services used by PHS in fulfilling its legislated mandate for (1) conduct and support of biomedical research into the causes, prevention and cure of diseases; (2) support for training of research investigators; and (3) communication of biomedical information</w:t>
      </w:r>
      <w:r w:rsidRPr="00CD598E">
        <w:rPr>
          <w:rFonts w:cstheme="minorHAnsi"/>
        </w:rPr>
        <w:t>.</w:t>
      </w:r>
      <w:r w:rsidR="00124BD6">
        <w:rPr>
          <w:rFonts w:cstheme="minorHAnsi"/>
        </w:rPr>
        <w:t xml:space="preserve"> </w:t>
      </w:r>
      <w:r w:rsidR="008A3432">
        <w:rPr>
          <w:rFonts w:cstheme="minorHAnsi"/>
        </w:rPr>
        <w:t xml:space="preserve">In the event that </w:t>
      </w:r>
      <w:r w:rsidR="006C7CDC">
        <w:rPr>
          <w:rFonts w:cstheme="minorHAnsi"/>
        </w:rPr>
        <w:t xml:space="preserve">the number of respondents is so low that a respondent might be identified based on the information provided in </w:t>
      </w:r>
      <w:r w:rsidR="005F211D">
        <w:rPr>
          <w:rFonts w:cstheme="minorHAnsi"/>
        </w:rPr>
        <w:t xml:space="preserve">Questions 1-5, the </w:t>
      </w:r>
      <w:r w:rsidR="00373E0F">
        <w:rPr>
          <w:rFonts w:cstheme="minorHAnsi"/>
        </w:rPr>
        <w:t xml:space="preserve">NIMH IRP </w:t>
      </w:r>
      <w:r w:rsidR="005F211D">
        <w:rPr>
          <w:rFonts w:cstheme="minorHAnsi"/>
        </w:rPr>
        <w:t xml:space="preserve">Scientific Diversity Advisor will </w:t>
      </w:r>
      <w:r w:rsidR="00894D8A">
        <w:rPr>
          <w:rFonts w:cstheme="minorHAnsi"/>
        </w:rPr>
        <w:t xml:space="preserve">only provide the </w:t>
      </w:r>
      <w:r w:rsidR="00373E0F">
        <w:rPr>
          <w:rFonts w:cstheme="minorHAnsi"/>
        </w:rPr>
        <w:t xml:space="preserve">NIMH </w:t>
      </w:r>
      <w:r w:rsidR="00894D8A">
        <w:rPr>
          <w:rFonts w:cstheme="minorHAnsi"/>
        </w:rPr>
        <w:t>Office of Fellowship Training with aggregated data to preserve the confidentiality of the respondents.</w:t>
      </w:r>
    </w:p>
    <w:p w:rsidRPr="00CD598E" w:rsidR="006122EF" w:rsidP="00CD598E" w:rsidRDefault="006122EF" w14:paraId="2107F85B" w14:textId="77777777">
      <w:pPr>
        <w:spacing w:after="0" w:line="480" w:lineRule="auto"/>
        <w:ind w:firstLine="720"/>
        <w:rPr>
          <w:b/>
        </w:rPr>
      </w:pPr>
    </w:p>
    <w:p w:rsidRPr="00113647" w:rsidR="001D2741" w:rsidP="00C541CF" w:rsidRDefault="001D2741" w14:paraId="0810AD11" w14:textId="77777777">
      <w:pPr>
        <w:spacing w:after="0" w:line="480" w:lineRule="auto"/>
        <w:rPr>
          <w:b/>
        </w:rPr>
      </w:pPr>
      <w:r w:rsidRPr="00113647">
        <w:rPr>
          <w:b/>
        </w:rPr>
        <w:t>A.11 Justification for Sensitive Questions</w:t>
      </w:r>
    </w:p>
    <w:p w:rsidR="004B3C21" w:rsidP="00C541CF" w:rsidRDefault="00F143CF" w14:paraId="55E84668" w14:textId="2FE109EE">
      <w:pPr>
        <w:spacing w:after="0" w:line="480" w:lineRule="auto"/>
      </w:pPr>
      <w:r>
        <w:tab/>
        <w:t xml:space="preserve">Information is to be collected for </w:t>
      </w:r>
      <w:r w:rsidR="000E09A6">
        <w:t xml:space="preserve">gender, racial category, ethnicity, </w:t>
      </w:r>
      <w:r w:rsidR="00C16E41">
        <w:t xml:space="preserve">disabilities, and status as a U.S. citizen or permanent resident. </w:t>
      </w:r>
      <w:r w:rsidR="00720840">
        <w:t>In order to comply with the Executive Order</w:t>
      </w:r>
      <w:r w:rsidR="009120A0">
        <w:t xml:space="preserve"> and the </w:t>
      </w:r>
      <w:r w:rsidR="00820C79">
        <w:t xml:space="preserve">NIH UNITE </w:t>
      </w:r>
      <w:r w:rsidR="00737FCE">
        <w:t>charge</w:t>
      </w:r>
      <w:r w:rsidR="00932A3E">
        <w:t xml:space="preserve">, as </w:t>
      </w:r>
      <w:r w:rsidR="00932A3E">
        <w:lastRenderedPageBreak/>
        <w:t>detailed above</w:t>
      </w:r>
      <w:r w:rsidR="00DA0EB5">
        <w:t xml:space="preserve"> in</w:t>
      </w:r>
      <w:r w:rsidR="00E749D9">
        <w:t xml:space="preserve"> A.1</w:t>
      </w:r>
      <w:r w:rsidR="00720840">
        <w:t>, we need to understand the demographics of our current trainee population</w:t>
      </w:r>
      <w:r w:rsidR="00932A3E">
        <w:t>—</w:t>
      </w:r>
      <w:r w:rsidR="00720840">
        <w:t>not only to have a baseline to be able to hold ourselves accountable for ensuring a more diverse trainee population</w:t>
      </w:r>
      <w:r w:rsidR="00932A3E">
        <w:t>,</w:t>
      </w:r>
      <w:r w:rsidR="00720840">
        <w:t xml:space="preserve"> but also to measure the current DEIA climate for trainees and whether there are significant differences for different demographic groups.</w:t>
      </w:r>
    </w:p>
    <w:p w:rsidR="00063927" w:rsidP="00C541CF" w:rsidRDefault="00063927" w14:paraId="389E8650" w14:textId="77777777">
      <w:pPr>
        <w:spacing w:after="0" w:line="480" w:lineRule="auto"/>
      </w:pPr>
    </w:p>
    <w:p w:rsidR="00907E64" w:rsidP="00C541CF" w:rsidRDefault="00907E64" w14:paraId="4F307C57" w14:textId="77777777">
      <w:pPr>
        <w:spacing w:after="0" w:line="480" w:lineRule="auto"/>
        <w:rPr>
          <w:b/>
        </w:rPr>
      </w:pPr>
      <w:r w:rsidRPr="00907E64">
        <w:rPr>
          <w:b/>
        </w:rPr>
        <w:t>A.12.1</w:t>
      </w:r>
      <w:r w:rsidRPr="00907E64">
        <w:rPr>
          <w:b/>
        </w:rPr>
        <w:tab/>
        <w:t>Estimated Annualized Burden Hours</w:t>
      </w:r>
    </w:p>
    <w:p w:rsidRPr="00A52D36" w:rsidR="002F3354" w:rsidP="0074542F" w:rsidRDefault="00A52D36" w14:paraId="6ECF8F3F" w14:textId="4F71AFEB">
      <w:pPr>
        <w:spacing w:line="480" w:lineRule="auto"/>
        <w:ind w:firstLine="720"/>
        <w:rPr>
          <w:rFonts w:cstheme="minorHAnsi"/>
        </w:rPr>
      </w:pPr>
      <w:r w:rsidRPr="00A52D36">
        <w:rPr>
          <w:rFonts w:cstheme="minorHAnsi"/>
        </w:rPr>
        <w:t xml:space="preserve">The estimated annual burden hours are </w:t>
      </w:r>
      <w:r>
        <w:rPr>
          <w:rFonts w:cstheme="minorHAnsi"/>
        </w:rPr>
        <w:t>25</w:t>
      </w:r>
      <w:r w:rsidRPr="00A52D36">
        <w:rPr>
          <w:rFonts w:cstheme="minorHAnsi"/>
        </w:rPr>
        <w:t xml:space="preserve"> total hours. </w:t>
      </w:r>
    </w:p>
    <w:p w:rsidRPr="001051BA" w:rsidR="00CB2332" w:rsidP="00C541CF" w:rsidRDefault="00CB2332" w14:paraId="4768A963" w14:textId="77777777">
      <w:pPr>
        <w:spacing w:after="0" w:line="480" w:lineRule="auto"/>
        <w:jc w:val="center"/>
        <w:rPr>
          <w:rFonts w:cstheme="minorHAnsi"/>
        </w:rPr>
      </w:pPr>
      <w:r w:rsidRPr="001051BA">
        <w:rPr>
          <w:rFonts w:cstheme="minorHAnsi"/>
        </w:rPr>
        <w:t>Table 12-1 Estimated Annualized Burden Hours</w:t>
      </w:r>
    </w:p>
    <w:tbl>
      <w:tblPr>
        <w:tblW w:w="9057" w:type="dxa"/>
        <w:tblInd w:w="-9" w:type="dxa"/>
        <w:tblLayout w:type="fixed"/>
        <w:tblCellMar>
          <w:left w:w="102" w:type="dxa"/>
          <w:right w:w="102" w:type="dxa"/>
        </w:tblCellMar>
        <w:tblLook w:val="0000" w:firstRow="0" w:lastRow="0" w:firstColumn="0" w:lastColumn="0" w:noHBand="0" w:noVBand="0"/>
      </w:tblPr>
      <w:tblGrid>
        <w:gridCol w:w="2191"/>
        <w:gridCol w:w="1955"/>
        <w:gridCol w:w="1541"/>
        <w:gridCol w:w="1289"/>
        <w:gridCol w:w="2081"/>
      </w:tblGrid>
      <w:tr w:rsidRPr="001051BA" w:rsidR="00CB2332" w:rsidTr="007A4541" w14:paraId="78281B44" w14:textId="77777777">
        <w:trPr>
          <w:trHeight w:val="1172"/>
        </w:trPr>
        <w:tc>
          <w:tcPr>
            <w:tcW w:w="2191" w:type="dxa"/>
            <w:tcBorders>
              <w:top w:val="single" w:color="000000" w:sz="7" w:space="0"/>
              <w:left w:val="single" w:color="000000" w:sz="7" w:space="0"/>
              <w:bottom w:val="single" w:color="FFFFFF" w:sz="6" w:space="0"/>
              <w:right w:val="single" w:color="FFFFFF" w:sz="6" w:space="0"/>
            </w:tcBorders>
          </w:tcPr>
          <w:p w:rsidRPr="001051BA" w:rsidR="00CB2332" w:rsidP="00C541CF" w:rsidRDefault="00CB2332" w14:paraId="15371568" w14:textId="77777777">
            <w:pPr>
              <w:spacing w:after="0" w:line="240" w:lineRule="auto"/>
              <w:rPr>
                <w:rFonts w:cstheme="minorHAnsi"/>
              </w:rPr>
            </w:pPr>
          </w:p>
          <w:p w:rsidRPr="001051BA" w:rsidR="00CB2332" w:rsidP="00C541CF" w:rsidRDefault="00CB2332" w14:paraId="7D3CF378" w14:textId="77777777">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Type of Collection</w:t>
            </w:r>
          </w:p>
        </w:tc>
        <w:tc>
          <w:tcPr>
            <w:tcW w:w="1955" w:type="dxa"/>
            <w:tcBorders>
              <w:top w:val="single" w:color="000000" w:sz="7" w:space="0"/>
              <w:left w:val="single" w:color="000000" w:sz="7" w:space="0"/>
              <w:bottom w:val="single" w:color="FFFFFF" w:sz="6" w:space="0"/>
              <w:right w:val="single" w:color="FFFFFF" w:sz="6" w:space="0"/>
            </w:tcBorders>
          </w:tcPr>
          <w:p w:rsidRPr="001051BA" w:rsidR="00CB2332" w:rsidP="00C541CF" w:rsidRDefault="00CB2332" w14:paraId="265547BE" w14:textId="77777777">
            <w:pPr>
              <w:tabs>
                <w:tab w:val="left" w:pos="-1080"/>
                <w:tab w:val="left" w:pos="-720"/>
                <w:tab w:val="left" w:pos="0"/>
                <w:tab w:val="left" w:pos="450"/>
                <w:tab w:val="left" w:pos="720"/>
                <w:tab w:val="left" w:pos="2160"/>
              </w:tabs>
              <w:spacing w:after="0" w:line="240" w:lineRule="auto"/>
              <w:jc w:val="center"/>
              <w:rPr>
                <w:rFonts w:cstheme="minorHAnsi"/>
              </w:rPr>
            </w:pPr>
          </w:p>
          <w:p w:rsidRPr="001051BA" w:rsidR="00CB2332" w:rsidP="00C541CF" w:rsidRDefault="00CB2332" w14:paraId="30AE1552" w14:textId="77777777">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No. of Respondents</w:t>
            </w:r>
          </w:p>
        </w:tc>
        <w:tc>
          <w:tcPr>
            <w:tcW w:w="1541" w:type="dxa"/>
            <w:tcBorders>
              <w:top w:val="single" w:color="000000" w:sz="7" w:space="0"/>
              <w:left w:val="single" w:color="000000" w:sz="7" w:space="0"/>
              <w:bottom w:val="single" w:color="FFFFFF" w:sz="6" w:space="0"/>
              <w:right w:val="single" w:color="FFFFFF" w:sz="6" w:space="0"/>
            </w:tcBorders>
          </w:tcPr>
          <w:p w:rsidRPr="001051BA" w:rsidR="00CB2332" w:rsidP="00C541CF" w:rsidRDefault="00CB2332" w14:paraId="2174C7B4" w14:textId="77777777">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No. of Responses per Respondent</w:t>
            </w:r>
          </w:p>
        </w:tc>
        <w:tc>
          <w:tcPr>
            <w:tcW w:w="1289" w:type="dxa"/>
            <w:tcBorders>
              <w:top w:val="single" w:color="000000" w:sz="7" w:space="0"/>
              <w:left w:val="single" w:color="000000" w:sz="7" w:space="0"/>
              <w:bottom w:val="single" w:color="FFFFFF" w:sz="6" w:space="0"/>
              <w:right w:val="single" w:color="FFFFFF" w:sz="6" w:space="0"/>
            </w:tcBorders>
          </w:tcPr>
          <w:p w:rsidRPr="001051BA" w:rsidR="00CB2332" w:rsidP="00C541CF" w:rsidRDefault="00CB2332" w14:paraId="181E00DC" w14:textId="77777777">
            <w:pPr>
              <w:tabs>
                <w:tab w:val="left" w:pos="-1080"/>
                <w:tab w:val="left" w:pos="-720"/>
                <w:tab w:val="left" w:pos="0"/>
                <w:tab w:val="left" w:pos="450"/>
                <w:tab w:val="left" w:pos="720"/>
                <w:tab w:val="left" w:pos="2160"/>
              </w:tabs>
              <w:spacing w:after="0" w:line="240" w:lineRule="auto"/>
              <w:rPr>
                <w:rFonts w:cstheme="minorHAnsi"/>
              </w:rPr>
            </w:pPr>
            <w:r w:rsidRPr="001051BA">
              <w:rPr>
                <w:rFonts w:cstheme="minorHAnsi"/>
              </w:rPr>
              <w:t>Time per Response (in hours)</w:t>
            </w:r>
          </w:p>
        </w:tc>
        <w:tc>
          <w:tcPr>
            <w:tcW w:w="2081" w:type="dxa"/>
            <w:tcBorders>
              <w:top w:val="single" w:color="000000" w:sz="7" w:space="0"/>
              <w:left w:val="single" w:color="000000" w:sz="7" w:space="0"/>
              <w:bottom w:val="single" w:color="FFFFFF" w:sz="6" w:space="0"/>
              <w:right w:val="single" w:color="000000" w:sz="7" w:space="0"/>
            </w:tcBorders>
          </w:tcPr>
          <w:p w:rsidRPr="001051BA" w:rsidR="00CB2332" w:rsidP="00C541CF" w:rsidRDefault="00CB2332" w14:paraId="5213C1CD" w14:textId="77777777">
            <w:pPr>
              <w:spacing w:after="0" w:line="240" w:lineRule="auto"/>
              <w:rPr>
                <w:rFonts w:cstheme="minorHAnsi"/>
              </w:rPr>
            </w:pPr>
          </w:p>
          <w:p w:rsidRPr="001051BA" w:rsidR="00CB2332" w:rsidP="00C541CF" w:rsidRDefault="00CB2332" w14:paraId="5AFEB30F" w14:textId="77777777">
            <w:pPr>
              <w:tabs>
                <w:tab w:val="left" w:pos="-1080"/>
                <w:tab w:val="left" w:pos="-720"/>
                <w:tab w:val="left" w:pos="0"/>
                <w:tab w:val="left" w:pos="450"/>
                <w:tab w:val="left" w:pos="720"/>
                <w:tab w:val="left" w:pos="2160"/>
              </w:tabs>
              <w:spacing w:after="0" w:line="240" w:lineRule="auto"/>
              <w:rPr>
                <w:rFonts w:cstheme="minorHAnsi"/>
              </w:rPr>
            </w:pPr>
            <w:r w:rsidRPr="001051BA">
              <w:rPr>
                <w:rFonts w:cstheme="minorHAnsi"/>
              </w:rPr>
              <w:t xml:space="preserve">    Total Hours</w:t>
            </w:r>
          </w:p>
        </w:tc>
      </w:tr>
      <w:tr w:rsidRPr="001051BA" w:rsidR="001051BA" w:rsidTr="007A4541" w14:paraId="40164AF1" w14:textId="77777777">
        <w:trPr>
          <w:trHeight w:val="920"/>
        </w:trPr>
        <w:tc>
          <w:tcPr>
            <w:tcW w:w="2191" w:type="dxa"/>
            <w:tcBorders>
              <w:top w:val="single" w:color="000000" w:sz="7" w:space="0"/>
              <w:left w:val="single" w:color="000000" w:sz="7" w:space="0"/>
              <w:bottom w:val="single" w:color="000000" w:sz="7" w:space="0"/>
              <w:right w:val="single" w:color="FFFFFF" w:sz="6" w:space="0"/>
            </w:tcBorders>
          </w:tcPr>
          <w:p w:rsidRPr="001051BA" w:rsidR="001051BA" w:rsidP="00C541CF" w:rsidRDefault="00907E27" w14:paraId="35AAF138" w14:textId="79EFC220">
            <w:pPr>
              <w:tabs>
                <w:tab w:val="left" w:pos="-1080"/>
                <w:tab w:val="left" w:pos="-720"/>
                <w:tab w:val="left" w:pos="0"/>
                <w:tab w:val="left" w:pos="450"/>
                <w:tab w:val="left" w:pos="720"/>
                <w:tab w:val="left" w:pos="2160"/>
              </w:tabs>
              <w:spacing w:after="0" w:line="240" w:lineRule="auto"/>
              <w:rPr>
                <w:rFonts w:cstheme="minorHAnsi"/>
              </w:rPr>
            </w:pPr>
            <w:r>
              <w:rPr>
                <w:rFonts w:cstheme="minorHAnsi"/>
              </w:rPr>
              <w:t>Individual</w:t>
            </w:r>
            <w:r w:rsidRPr="001051BA" w:rsidR="001051BA">
              <w:rPr>
                <w:rFonts w:cstheme="minorHAnsi"/>
              </w:rPr>
              <w:t xml:space="preserve"> – Non-FTE Trainees</w:t>
            </w:r>
          </w:p>
        </w:tc>
        <w:tc>
          <w:tcPr>
            <w:tcW w:w="1955"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79F4D25F" w14:textId="10F83004">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 xml:space="preserve">150 </w:t>
            </w:r>
          </w:p>
        </w:tc>
        <w:tc>
          <w:tcPr>
            <w:tcW w:w="1541"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40378F55" w14:textId="45B7B259">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1</w:t>
            </w:r>
          </w:p>
        </w:tc>
        <w:tc>
          <w:tcPr>
            <w:tcW w:w="1289"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5F12BEB9" w14:textId="3341EC61">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 xml:space="preserve">10/60 </w:t>
            </w:r>
          </w:p>
        </w:tc>
        <w:tc>
          <w:tcPr>
            <w:tcW w:w="2081" w:type="dxa"/>
            <w:tcBorders>
              <w:top w:val="single" w:color="000000" w:sz="7" w:space="0"/>
              <w:left w:val="single" w:color="000000" w:sz="7" w:space="0"/>
              <w:bottom w:val="single" w:color="000000" w:sz="7" w:space="0"/>
              <w:right w:val="single" w:color="000000" w:sz="7" w:space="0"/>
            </w:tcBorders>
          </w:tcPr>
          <w:p w:rsidRPr="001051BA" w:rsidR="001051BA" w:rsidP="00C541CF" w:rsidRDefault="001051BA" w14:paraId="6D2BB045" w14:textId="0245D8DB">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25</w:t>
            </w:r>
          </w:p>
        </w:tc>
      </w:tr>
      <w:tr w:rsidRPr="001051BA" w:rsidR="001051BA" w:rsidTr="007A4541" w14:paraId="594C0C67" w14:textId="77777777">
        <w:trPr>
          <w:trHeight w:val="568"/>
        </w:trPr>
        <w:tc>
          <w:tcPr>
            <w:tcW w:w="2191"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53F4CAE9" w14:textId="11DE24C1">
            <w:pPr>
              <w:spacing w:after="0" w:line="240" w:lineRule="auto"/>
              <w:rPr>
                <w:rFonts w:cstheme="minorHAnsi"/>
              </w:rPr>
            </w:pPr>
            <w:r w:rsidRPr="001051BA">
              <w:rPr>
                <w:rFonts w:cstheme="minorHAnsi"/>
              </w:rPr>
              <w:t>Totals</w:t>
            </w:r>
          </w:p>
        </w:tc>
        <w:tc>
          <w:tcPr>
            <w:tcW w:w="1955"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71193CA9" w14:textId="1234C367">
            <w:pPr>
              <w:spacing w:after="0" w:line="240" w:lineRule="auto"/>
              <w:jc w:val="center"/>
              <w:rPr>
                <w:rFonts w:cstheme="minorHAnsi"/>
              </w:rPr>
            </w:pPr>
          </w:p>
        </w:tc>
        <w:tc>
          <w:tcPr>
            <w:tcW w:w="1541"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70390E70" w14:textId="5E7E505C">
            <w:pPr>
              <w:spacing w:after="0" w:line="240" w:lineRule="auto"/>
              <w:jc w:val="center"/>
              <w:rPr>
                <w:rFonts w:cstheme="minorHAnsi"/>
              </w:rPr>
            </w:pPr>
            <w:r w:rsidRPr="001051BA">
              <w:rPr>
                <w:rFonts w:cstheme="minorHAnsi"/>
              </w:rPr>
              <w:t>150</w:t>
            </w:r>
          </w:p>
        </w:tc>
        <w:tc>
          <w:tcPr>
            <w:tcW w:w="1289" w:type="dxa"/>
            <w:tcBorders>
              <w:top w:val="single" w:color="000000" w:sz="7" w:space="0"/>
              <w:left w:val="single" w:color="000000" w:sz="7" w:space="0"/>
              <w:bottom w:val="single" w:color="000000" w:sz="7" w:space="0"/>
              <w:right w:val="single" w:color="FFFFFF" w:sz="6" w:space="0"/>
            </w:tcBorders>
          </w:tcPr>
          <w:p w:rsidRPr="001051BA" w:rsidR="001051BA" w:rsidP="00C541CF" w:rsidRDefault="001051BA" w14:paraId="0A3257DC" w14:textId="77777777">
            <w:pPr>
              <w:spacing w:after="0" w:line="240" w:lineRule="auto"/>
              <w:jc w:val="center"/>
              <w:rPr>
                <w:rFonts w:cstheme="minorHAnsi"/>
              </w:rPr>
            </w:pPr>
          </w:p>
        </w:tc>
        <w:tc>
          <w:tcPr>
            <w:tcW w:w="2081" w:type="dxa"/>
            <w:tcBorders>
              <w:top w:val="single" w:color="000000" w:sz="7" w:space="0"/>
              <w:left w:val="single" w:color="000000" w:sz="7" w:space="0"/>
              <w:bottom w:val="single" w:color="000000" w:sz="7" w:space="0"/>
              <w:right w:val="single" w:color="000000" w:sz="7" w:space="0"/>
            </w:tcBorders>
          </w:tcPr>
          <w:p w:rsidRPr="001051BA" w:rsidR="001051BA" w:rsidP="00C541CF" w:rsidRDefault="001051BA" w14:paraId="486156CF" w14:textId="0E8E30D6">
            <w:pPr>
              <w:tabs>
                <w:tab w:val="left" w:pos="-1080"/>
                <w:tab w:val="left" w:pos="-720"/>
                <w:tab w:val="left" w:pos="0"/>
                <w:tab w:val="left" w:pos="450"/>
                <w:tab w:val="left" w:pos="720"/>
                <w:tab w:val="left" w:pos="2160"/>
              </w:tabs>
              <w:spacing w:after="0" w:line="240" w:lineRule="auto"/>
              <w:jc w:val="center"/>
              <w:rPr>
                <w:rFonts w:cstheme="minorHAnsi"/>
              </w:rPr>
            </w:pPr>
            <w:r w:rsidRPr="001051BA">
              <w:rPr>
                <w:rFonts w:cstheme="minorHAnsi"/>
              </w:rPr>
              <w:t>25</w:t>
            </w:r>
          </w:p>
        </w:tc>
      </w:tr>
    </w:tbl>
    <w:p w:rsidR="00907E64" w:rsidP="00C541CF" w:rsidRDefault="00907E64" w14:paraId="1D304D70" w14:textId="77777777">
      <w:pPr>
        <w:spacing w:after="0" w:line="480" w:lineRule="auto"/>
        <w:rPr>
          <w:b/>
        </w:rPr>
      </w:pPr>
    </w:p>
    <w:p w:rsidRPr="00907E64" w:rsidR="00907E64" w:rsidP="00C541CF" w:rsidRDefault="00907E64" w14:paraId="51E868DE" w14:textId="484101A3">
      <w:pPr>
        <w:spacing w:after="0" w:line="480" w:lineRule="auto"/>
        <w:rPr>
          <w:b/>
        </w:rPr>
      </w:pPr>
      <w:r w:rsidRPr="00907E64">
        <w:rPr>
          <w:b/>
        </w:rPr>
        <w:t>A.12-2</w:t>
      </w:r>
      <w:r w:rsidRPr="00907E64">
        <w:rPr>
          <w:b/>
        </w:rPr>
        <w:tab/>
      </w:r>
      <w:r w:rsidRPr="00907E64" w:rsidR="0038440E">
        <w:rPr>
          <w:b/>
        </w:rPr>
        <w:t>Annualized Cost to Respondents</w:t>
      </w:r>
    </w:p>
    <w:p w:rsidRPr="00372808" w:rsidR="001D2741" w:rsidP="00372808" w:rsidRDefault="00372808" w14:paraId="0F00F2FD" w14:textId="54F24658">
      <w:pPr>
        <w:pStyle w:val="P1-StandPara"/>
        <w:rPr>
          <w:rFonts w:asciiTheme="minorHAnsi" w:hAnsiTheme="minorHAnsi" w:cstheme="minorHAnsi"/>
          <w:sz w:val="20"/>
          <w:szCs w:val="18"/>
        </w:rPr>
      </w:pPr>
      <w:r w:rsidRPr="00D40A8B">
        <w:rPr>
          <w:rFonts w:asciiTheme="minorHAnsi" w:hAnsiTheme="minorHAnsi" w:cstheme="minorHAnsi"/>
          <w:szCs w:val="22"/>
        </w:rPr>
        <w:t>No costs are anticipated except for the respondents’ time to participate in these activities. Estimates are based on projections of collections to be conducted on an annual basis.</w:t>
      </w:r>
    </w:p>
    <w:p w:rsidRPr="00F65756" w:rsidR="002F3354" w:rsidP="00C541CF" w:rsidRDefault="002F3354" w14:paraId="693EA7B4" w14:textId="4331D228">
      <w:pPr>
        <w:spacing w:after="0" w:line="480" w:lineRule="auto"/>
        <w:rPr>
          <w:u w:val="single"/>
        </w:rPr>
      </w:pPr>
      <w:r>
        <w:t xml:space="preserve">                                                </w:t>
      </w:r>
      <w:r w:rsidRPr="00F65756" w:rsidR="00F65756">
        <w:rPr>
          <w:u w:val="single"/>
        </w:rPr>
        <w:t xml:space="preserve">Table </w:t>
      </w:r>
      <w:r w:rsidRPr="00F65756" w:rsidR="00AF01AD">
        <w:rPr>
          <w:u w:val="single"/>
        </w:rPr>
        <w:t>A.12-2</w:t>
      </w:r>
      <w:r w:rsidRPr="00F65756">
        <w:rPr>
          <w:u w:val="single"/>
        </w:rPr>
        <w:t xml:space="preserve"> Annualized Cost to the Respondents</w:t>
      </w: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1995"/>
        <w:gridCol w:w="2342"/>
        <w:gridCol w:w="2121"/>
      </w:tblGrid>
      <w:tr w:rsidRPr="003E5E88" w:rsidR="00CB2332" w:rsidTr="00CB2332" w14:paraId="0A150753"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823644" w:rsidR="00CB2332" w:rsidP="00C541CF" w:rsidRDefault="00CB2332"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Type of Respondents</w:t>
            </w:r>
          </w:p>
        </w:tc>
        <w:tc>
          <w:tcPr>
            <w:tcW w:w="1995" w:type="dxa"/>
            <w:tcBorders>
              <w:top w:val="single" w:color="auto" w:sz="4" w:space="0"/>
              <w:left w:val="single" w:color="auto" w:sz="4" w:space="0"/>
              <w:bottom w:val="single" w:color="auto" w:sz="4" w:space="0"/>
              <w:right w:val="single" w:color="auto" w:sz="4" w:space="0"/>
            </w:tcBorders>
            <w:hideMark/>
          </w:tcPr>
          <w:p w:rsidRPr="00823644" w:rsidR="00CB2332" w:rsidP="00C541CF" w:rsidRDefault="00CB2332"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Total Annual Burden Hours</w:t>
            </w:r>
          </w:p>
        </w:tc>
        <w:tc>
          <w:tcPr>
            <w:tcW w:w="2342" w:type="dxa"/>
            <w:tcBorders>
              <w:top w:val="single" w:color="auto" w:sz="4" w:space="0"/>
              <w:left w:val="single" w:color="auto" w:sz="4" w:space="0"/>
              <w:bottom w:val="single" w:color="auto" w:sz="4" w:space="0"/>
              <w:right w:val="single" w:color="auto" w:sz="4" w:space="0"/>
            </w:tcBorders>
            <w:hideMark/>
          </w:tcPr>
          <w:p w:rsidRPr="00823644" w:rsidR="00CB2332" w:rsidP="00C541CF" w:rsidRDefault="00CB2332"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823644" w:rsidR="00CB2332" w:rsidP="00C541CF" w:rsidRDefault="00CB2332"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Respondent Cost</w:t>
            </w:r>
          </w:p>
        </w:tc>
      </w:tr>
      <w:tr w:rsidRPr="003E5E88" w:rsidR="00276ABA" w:rsidTr="002C45A8" w14:paraId="704C824E"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823644" w:rsidR="00276ABA" w:rsidP="00C541CF" w:rsidRDefault="00276ABA" w14:paraId="572C1369" w14:textId="3C995F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cstheme="minorHAnsi"/>
              </w:rPr>
              <w:t>Federal Government – Non-FTE Trainees</w:t>
            </w:r>
          </w:p>
        </w:tc>
        <w:tc>
          <w:tcPr>
            <w:tcW w:w="1995" w:type="dxa"/>
            <w:tcBorders>
              <w:top w:val="single" w:color="auto" w:sz="4" w:space="0"/>
              <w:left w:val="single" w:color="auto" w:sz="4" w:space="0"/>
              <w:bottom w:val="single" w:color="auto" w:sz="4" w:space="0"/>
              <w:right w:val="single" w:color="auto" w:sz="4" w:space="0"/>
            </w:tcBorders>
            <w:hideMark/>
          </w:tcPr>
          <w:p w:rsidRPr="00823644" w:rsidR="00276ABA" w:rsidP="00C541CF" w:rsidRDefault="00276ABA" w14:paraId="50F189CC" w14:textId="71A7A5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cstheme="minorHAnsi"/>
              </w:rPr>
              <w:t>25</w:t>
            </w:r>
          </w:p>
        </w:tc>
        <w:tc>
          <w:tcPr>
            <w:tcW w:w="2342" w:type="dxa"/>
            <w:tcBorders>
              <w:top w:val="single" w:color="auto" w:sz="4" w:space="0"/>
              <w:left w:val="single" w:color="auto" w:sz="4" w:space="0"/>
              <w:bottom w:val="single" w:color="auto" w:sz="4" w:space="0"/>
              <w:right w:val="single" w:color="auto" w:sz="4" w:space="0"/>
            </w:tcBorders>
            <w:hideMark/>
          </w:tcPr>
          <w:p w:rsidRPr="00823644" w:rsidR="00276ABA" w:rsidP="00C541CF" w:rsidRDefault="00276ABA" w14:paraId="5D402B1A" w14:textId="1289C4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cstheme="minorHAnsi"/>
              </w:rPr>
              <w:t>$23.87</w:t>
            </w:r>
          </w:p>
        </w:tc>
        <w:tc>
          <w:tcPr>
            <w:tcW w:w="2121" w:type="dxa"/>
            <w:tcBorders>
              <w:top w:val="single" w:color="auto" w:sz="4" w:space="0"/>
              <w:left w:val="single" w:color="auto" w:sz="4" w:space="0"/>
              <w:bottom w:val="single" w:color="auto" w:sz="4" w:space="0"/>
              <w:right w:val="single" w:color="auto" w:sz="4" w:space="0"/>
            </w:tcBorders>
            <w:hideMark/>
          </w:tcPr>
          <w:p w:rsidRPr="00823644" w:rsidR="00276ABA" w:rsidP="00C541CF" w:rsidRDefault="00276ABA" w14:paraId="09B49889" w14:textId="4A3425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cstheme="minorHAnsi"/>
              </w:rPr>
              <w:t>$597</w:t>
            </w:r>
          </w:p>
        </w:tc>
      </w:tr>
      <w:tr w:rsidRPr="003E5E88" w:rsidR="00CB2332" w:rsidTr="00CB2332" w14:paraId="3AC8F4DC"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823644" w:rsidR="00CB2332" w:rsidP="00C541CF" w:rsidRDefault="00CB2332"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b/>
              </w:rPr>
              <w:t>TOTAL</w:t>
            </w:r>
          </w:p>
        </w:tc>
        <w:tc>
          <w:tcPr>
            <w:tcW w:w="1995" w:type="dxa"/>
            <w:tcBorders>
              <w:top w:val="single" w:color="auto" w:sz="4" w:space="0"/>
              <w:left w:val="single" w:color="auto" w:sz="4" w:space="0"/>
              <w:bottom w:val="single" w:color="auto" w:sz="4" w:space="0"/>
              <w:right w:val="single" w:color="auto" w:sz="4" w:space="0"/>
            </w:tcBorders>
            <w:vAlign w:val="center"/>
          </w:tcPr>
          <w:p w:rsidRPr="00823644" w:rsidR="00CB2332" w:rsidP="00C541CF" w:rsidRDefault="00823644" w14:paraId="63FC3725" w14:textId="49BBDF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25</w:t>
            </w:r>
          </w:p>
        </w:tc>
        <w:tc>
          <w:tcPr>
            <w:tcW w:w="2342" w:type="dxa"/>
            <w:tcBorders>
              <w:top w:val="single" w:color="auto" w:sz="4" w:space="0"/>
              <w:left w:val="single" w:color="auto" w:sz="4" w:space="0"/>
              <w:bottom w:val="single" w:color="auto" w:sz="4" w:space="0"/>
              <w:right w:val="single" w:color="auto" w:sz="4" w:space="0"/>
            </w:tcBorders>
            <w:shd w:val="pct25" w:color="auto" w:fill="auto"/>
            <w:vAlign w:val="center"/>
          </w:tcPr>
          <w:p w:rsidRPr="00823644" w:rsidR="00CB2332" w:rsidP="00C541CF" w:rsidRDefault="00CB2332"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823644" w:rsidR="00CB2332" w:rsidP="00C541CF" w:rsidRDefault="00CB2332" w14:paraId="6F62C268" w14:textId="68836F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823644">
              <w:rPr>
                <w:rFonts w:eastAsia="Times New Roman" w:cstheme="minorHAnsi"/>
              </w:rPr>
              <w:t>$</w:t>
            </w:r>
            <w:r w:rsidR="00665E78">
              <w:rPr>
                <w:rFonts w:eastAsia="Times New Roman" w:cstheme="minorHAnsi"/>
              </w:rPr>
              <w:t>597</w:t>
            </w:r>
          </w:p>
        </w:tc>
      </w:tr>
    </w:tbl>
    <w:p w:rsidRPr="003E362C" w:rsidR="003C623D" w:rsidP="00372808" w:rsidRDefault="003C623D" w14:paraId="0E4BA07A" w14:textId="77777777">
      <w:pPr>
        <w:spacing w:after="0" w:line="240" w:lineRule="auto"/>
        <w:rPr>
          <w:i/>
          <w:iCs/>
          <w:sz w:val="18"/>
          <w:szCs w:val="18"/>
        </w:rPr>
      </w:pPr>
      <w:r w:rsidRPr="003E362C">
        <w:rPr>
          <w:i/>
          <w:iCs/>
          <w:sz w:val="18"/>
          <w:szCs w:val="18"/>
        </w:rPr>
        <w:t xml:space="preserve">* </w:t>
      </w:r>
      <w:r w:rsidRPr="004754DC">
        <w:rPr>
          <w:i/>
          <w:iCs/>
          <w:sz w:val="18"/>
          <w:szCs w:val="18"/>
        </w:rPr>
        <w:t xml:space="preserve">Federal Government – Non-FTE Trainees </w:t>
      </w:r>
      <w:r w:rsidRPr="003E362C">
        <w:rPr>
          <w:i/>
          <w:iCs/>
          <w:sz w:val="18"/>
          <w:szCs w:val="18"/>
        </w:rPr>
        <w:t xml:space="preserve">respondent wage rate data is from the </w:t>
      </w:r>
      <w:r w:rsidRPr="004754DC">
        <w:rPr>
          <w:i/>
          <w:iCs/>
          <w:sz w:val="18"/>
          <w:szCs w:val="18"/>
        </w:rPr>
        <w:t>Education, Training and Library Workers, All Other</w:t>
      </w:r>
      <w:r>
        <w:rPr>
          <w:i/>
          <w:iCs/>
          <w:sz w:val="18"/>
          <w:szCs w:val="18"/>
        </w:rPr>
        <w:t xml:space="preserve"> (</w:t>
      </w:r>
      <w:r w:rsidRPr="004754DC">
        <w:rPr>
          <w:i/>
          <w:iCs/>
          <w:sz w:val="18"/>
          <w:szCs w:val="18"/>
        </w:rPr>
        <w:t>25-9099</w:t>
      </w:r>
      <w:r>
        <w:rPr>
          <w:i/>
          <w:iCs/>
          <w:sz w:val="18"/>
          <w:szCs w:val="18"/>
        </w:rPr>
        <w:t>)</w:t>
      </w:r>
      <w:r w:rsidRPr="004754DC">
        <w:rPr>
          <w:i/>
          <w:iCs/>
          <w:sz w:val="18"/>
          <w:szCs w:val="18"/>
        </w:rPr>
        <w:t xml:space="preserve"> </w:t>
      </w:r>
      <w:r w:rsidRPr="003E362C">
        <w:rPr>
          <w:i/>
          <w:iCs/>
          <w:sz w:val="18"/>
          <w:szCs w:val="18"/>
        </w:rPr>
        <w:t xml:space="preserve">category at </w:t>
      </w:r>
      <w:hyperlink w:history="1" r:id="rId8">
        <w:r w:rsidRPr="00893FDB">
          <w:rPr>
            <w:rStyle w:val="Hyperlink"/>
            <w:i/>
            <w:iCs/>
            <w:sz w:val="18"/>
            <w:szCs w:val="18"/>
          </w:rPr>
          <w:t>https://www.bls.gov/oes/current/oes259099.htm</w:t>
        </w:r>
      </w:hyperlink>
      <w:r>
        <w:rPr>
          <w:i/>
          <w:iCs/>
          <w:sz w:val="18"/>
          <w:szCs w:val="18"/>
        </w:rPr>
        <w:t xml:space="preserve">. </w:t>
      </w:r>
    </w:p>
    <w:p w:rsidR="00B9090D" w:rsidP="00C541CF" w:rsidRDefault="00B9090D" w14:paraId="1AD8D09F" w14:textId="77777777">
      <w:pPr>
        <w:spacing w:after="0" w:line="480" w:lineRule="auto"/>
        <w:rPr>
          <w:b/>
        </w:rPr>
      </w:pPr>
    </w:p>
    <w:p w:rsidRPr="00113647" w:rsidR="008716F6" w:rsidP="00C541CF" w:rsidRDefault="00713CF8" w14:paraId="4BE9B609" w14:textId="66711252">
      <w:pPr>
        <w:spacing w:after="0" w:line="480" w:lineRule="auto"/>
        <w:rPr>
          <w:b/>
        </w:rPr>
      </w:pPr>
      <w:r w:rsidRPr="00113647">
        <w:rPr>
          <w:b/>
        </w:rPr>
        <w:t>A.13 Estimate of Other Total Annual Cost Burden to Respondents or Record Keepers</w:t>
      </w:r>
      <w:r w:rsidRPr="00113647">
        <w:rPr>
          <w:b/>
        </w:rPr>
        <w:tab/>
      </w:r>
    </w:p>
    <w:p w:rsidRPr="00742FB3" w:rsidR="00713CF8" w:rsidP="0074542F" w:rsidRDefault="00742FB3" w14:paraId="7BE8827C" w14:textId="4C5960F5">
      <w:pPr>
        <w:spacing w:line="480" w:lineRule="auto"/>
        <w:ind w:firstLine="720"/>
        <w:rPr>
          <w:rFonts w:cstheme="minorHAnsi"/>
        </w:rPr>
      </w:pPr>
      <w:r w:rsidRPr="00742FB3">
        <w:rPr>
          <w:rFonts w:cstheme="minorHAnsi"/>
        </w:rPr>
        <w:lastRenderedPageBreak/>
        <w:t>There are no additional costs other than the respondents’ burden given in section A12. We do not anticipate any other costs for record keepers in terms of equipment or specialized analysis software, as existing NIH and NIMH headquarters equipment and software will be utilized to examine the information collected.</w:t>
      </w:r>
    </w:p>
    <w:p w:rsidRPr="00113647" w:rsidR="00713CF8" w:rsidP="00C541CF" w:rsidRDefault="00713CF8" w14:paraId="21E2D1B9" w14:textId="77777777">
      <w:pPr>
        <w:spacing w:after="0" w:line="480" w:lineRule="auto"/>
        <w:rPr>
          <w:b/>
        </w:rPr>
      </w:pPr>
      <w:r w:rsidRPr="00113647">
        <w:rPr>
          <w:b/>
        </w:rPr>
        <w:t>A.14 Annualized Cost to the Federal Government</w:t>
      </w:r>
    </w:p>
    <w:p w:rsidRPr="003E362C" w:rsidR="00BF7C68" w:rsidP="0074542F" w:rsidRDefault="00BF7C68" w14:paraId="73A664DC" w14:textId="3177E721">
      <w:pPr>
        <w:spacing w:after="0" w:line="480" w:lineRule="auto"/>
        <w:ind w:firstLine="720"/>
      </w:pPr>
      <w:r w:rsidRPr="003E362C">
        <w:t xml:space="preserve">The estimated annual cost to the Federal government is </w:t>
      </w:r>
      <w:r w:rsidRPr="003E362C">
        <w:rPr>
          <w:b/>
          <w:bCs/>
          <w:u w:val="single"/>
        </w:rPr>
        <w:t>$</w:t>
      </w:r>
      <w:r w:rsidRPr="00DA23B8">
        <w:rPr>
          <w:b/>
          <w:bCs/>
          <w:u w:val="single"/>
        </w:rPr>
        <w:t>2,939</w:t>
      </w:r>
      <w:r w:rsidRPr="00A3465B">
        <w:t>.</w:t>
      </w:r>
    </w:p>
    <w:tbl>
      <w:tblPr>
        <w:tblW w:w="5000" w:type="pct"/>
        <w:tblCellMar>
          <w:left w:w="0" w:type="dxa"/>
          <w:right w:w="0" w:type="dxa"/>
        </w:tblCellMar>
        <w:tblLook w:val="04A0" w:firstRow="1" w:lastRow="0" w:firstColumn="1" w:lastColumn="0" w:noHBand="0" w:noVBand="1"/>
      </w:tblPr>
      <w:tblGrid>
        <w:gridCol w:w="4309"/>
        <w:gridCol w:w="1163"/>
        <w:gridCol w:w="1105"/>
        <w:gridCol w:w="839"/>
        <w:gridCol w:w="1187"/>
        <w:gridCol w:w="1457"/>
      </w:tblGrid>
      <w:tr w:rsidRPr="003E362C" w:rsidR="00BF7C68" w:rsidTr="0086123D" w14:paraId="215F3DB5" w14:textId="77777777">
        <w:trPr>
          <w:trHeight w:val="367"/>
        </w:trPr>
        <w:tc>
          <w:tcPr>
            <w:tcW w:w="2141"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3E362C" w:rsidR="00BF7C68" w:rsidP="00C541CF" w:rsidRDefault="00BF7C68" w14:paraId="51784F32" w14:textId="77777777">
            <w:pPr>
              <w:spacing w:after="0" w:line="480" w:lineRule="auto"/>
              <w:jc w:val="center"/>
              <w:rPr>
                <w:b/>
                <w:bCs/>
              </w:rPr>
            </w:pPr>
            <w:r w:rsidRPr="003E362C">
              <w:rPr>
                <w:b/>
                <w:bCs/>
              </w:rPr>
              <w:t>Staff</w:t>
            </w:r>
          </w:p>
        </w:tc>
        <w:tc>
          <w:tcPr>
            <w:tcW w:w="578" w:type="pct"/>
            <w:tcBorders>
              <w:top w:val="single" w:color="auto" w:sz="8" w:space="0"/>
              <w:left w:val="nil"/>
              <w:bottom w:val="single" w:color="auto" w:sz="8" w:space="0"/>
              <w:right w:val="single" w:color="auto" w:sz="8" w:space="0"/>
            </w:tcBorders>
            <w:vAlign w:val="center"/>
            <w:hideMark/>
          </w:tcPr>
          <w:p w:rsidRPr="003E362C" w:rsidR="00BF7C68" w:rsidP="00C541CF" w:rsidRDefault="00BF7C68" w14:paraId="0F8313FF" w14:textId="77777777">
            <w:pPr>
              <w:spacing w:after="0" w:line="480" w:lineRule="auto"/>
              <w:jc w:val="center"/>
              <w:rPr>
                <w:b/>
                <w:bCs/>
              </w:rPr>
            </w:pPr>
            <w:r w:rsidRPr="003E362C">
              <w:rPr>
                <w:b/>
                <w:bCs/>
              </w:rPr>
              <w:t>Grade/Step</w:t>
            </w:r>
          </w:p>
        </w:tc>
        <w:tc>
          <w:tcPr>
            <w:tcW w:w="54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E362C" w:rsidR="00BF7C68" w:rsidP="00C541CF" w:rsidRDefault="00BF7C68" w14:paraId="32A2E784" w14:textId="77777777">
            <w:pPr>
              <w:spacing w:after="0" w:line="480" w:lineRule="auto"/>
              <w:jc w:val="center"/>
              <w:rPr>
                <w:b/>
                <w:bCs/>
              </w:rPr>
            </w:pPr>
            <w:r w:rsidRPr="003E362C">
              <w:rPr>
                <w:b/>
                <w:bCs/>
              </w:rPr>
              <w:t>Salary*</w:t>
            </w:r>
          </w:p>
        </w:tc>
        <w:tc>
          <w:tcPr>
            <w:tcW w:w="41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E362C" w:rsidR="00BF7C68" w:rsidP="00C541CF" w:rsidRDefault="00BF7C68" w14:paraId="2E98908A" w14:textId="77777777">
            <w:pPr>
              <w:spacing w:after="0" w:line="480" w:lineRule="auto"/>
              <w:jc w:val="center"/>
              <w:rPr>
                <w:b/>
                <w:bCs/>
              </w:rPr>
            </w:pPr>
            <w:r w:rsidRPr="003E362C">
              <w:rPr>
                <w:b/>
                <w:bCs/>
              </w:rPr>
              <w:t>% of Effort</w:t>
            </w:r>
          </w:p>
        </w:tc>
        <w:tc>
          <w:tcPr>
            <w:tcW w:w="590" w:type="pct"/>
            <w:tcBorders>
              <w:top w:val="single" w:color="auto" w:sz="8" w:space="0"/>
              <w:left w:val="nil"/>
              <w:bottom w:val="single" w:color="auto" w:sz="8" w:space="0"/>
              <w:right w:val="single" w:color="auto" w:sz="8" w:space="0"/>
            </w:tcBorders>
            <w:vAlign w:val="center"/>
            <w:hideMark/>
          </w:tcPr>
          <w:p w:rsidRPr="003E362C" w:rsidR="00BF7C68" w:rsidP="00C541CF" w:rsidRDefault="00BF7C68" w14:paraId="2DEDD2F4" w14:textId="77777777">
            <w:pPr>
              <w:spacing w:after="0" w:line="480" w:lineRule="auto"/>
              <w:jc w:val="center"/>
              <w:rPr>
                <w:b/>
                <w:bCs/>
              </w:rPr>
            </w:pPr>
            <w:r w:rsidRPr="003E362C">
              <w:rPr>
                <w:b/>
                <w:bCs/>
              </w:rPr>
              <w:t>Fringe (if applicable)</w:t>
            </w:r>
          </w:p>
        </w:tc>
        <w:tc>
          <w:tcPr>
            <w:tcW w:w="724" w:type="pct"/>
            <w:tcBorders>
              <w:top w:val="single" w:color="auto" w:sz="8" w:space="0"/>
              <w:left w:val="nil"/>
              <w:bottom w:val="single" w:color="auto" w:sz="8" w:space="0"/>
              <w:right w:val="single" w:color="auto" w:sz="8" w:space="0"/>
            </w:tcBorders>
            <w:vAlign w:val="center"/>
            <w:hideMark/>
          </w:tcPr>
          <w:p w:rsidRPr="003E362C" w:rsidR="00BF7C68" w:rsidP="00C541CF" w:rsidRDefault="00BF7C68" w14:paraId="17C2A5CC" w14:textId="77777777">
            <w:pPr>
              <w:spacing w:after="0" w:line="480" w:lineRule="auto"/>
              <w:jc w:val="center"/>
              <w:rPr>
                <w:b/>
                <w:bCs/>
              </w:rPr>
            </w:pPr>
            <w:r w:rsidRPr="003E362C">
              <w:rPr>
                <w:b/>
                <w:bCs/>
              </w:rPr>
              <w:t>Total Cost to Gov’t</w:t>
            </w:r>
          </w:p>
        </w:tc>
      </w:tr>
      <w:tr w:rsidRPr="003E362C" w:rsidR="00BF7C68" w:rsidTr="0086123D" w14:paraId="24691D68"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362C" w:rsidR="00BF7C68" w:rsidP="00C541CF" w:rsidRDefault="00BF7C68" w14:paraId="5DCEFDE0" w14:textId="77777777">
            <w:pPr>
              <w:spacing w:after="0" w:line="480" w:lineRule="auto"/>
              <w:rPr>
                <w:b/>
              </w:rPr>
            </w:pPr>
            <w:r w:rsidRPr="003E362C">
              <w:rPr>
                <w:b/>
              </w:rPr>
              <w:t>Federal Oversight</w:t>
            </w:r>
          </w:p>
        </w:tc>
        <w:tc>
          <w:tcPr>
            <w:tcW w:w="578" w:type="pct"/>
            <w:tcBorders>
              <w:top w:val="nil"/>
              <w:left w:val="nil"/>
              <w:bottom w:val="single" w:color="auto" w:sz="8" w:space="0"/>
              <w:right w:val="single" w:color="auto" w:sz="8" w:space="0"/>
            </w:tcBorders>
          </w:tcPr>
          <w:p w:rsidRPr="003E362C" w:rsidR="00BF7C68" w:rsidP="00C541CF" w:rsidRDefault="00BF7C68" w14:paraId="68EE7242" w14:textId="77777777">
            <w:pPr>
              <w:spacing w:after="0" w:line="480" w:lineRule="auto"/>
            </w:pP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1EA23FCC" w14:textId="77777777">
            <w:pPr>
              <w:spacing w:after="0" w:line="480" w:lineRule="auto"/>
            </w:pP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51762536" w14:textId="77777777">
            <w:pPr>
              <w:spacing w:after="0" w:line="480" w:lineRule="auto"/>
            </w:pPr>
          </w:p>
        </w:tc>
        <w:tc>
          <w:tcPr>
            <w:tcW w:w="590" w:type="pct"/>
            <w:tcBorders>
              <w:top w:val="nil"/>
              <w:left w:val="nil"/>
              <w:bottom w:val="single" w:color="auto" w:sz="8" w:space="0"/>
              <w:right w:val="single" w:color="auto" w:sz="8" w:space="0"/>
            </w:tcBorders>
            <w:shd w:val="clear" w:color="auto" w:fill="BFBFBF"/>
          </w:tcPr>
          <w:p w:rsidRPr="003E362C" w:rsidR="00BF7C68" w:rsidP="00C541CF" w:rsidRDefault="00BF7C68" w14:paraId="3C7E79FC" w14:textId="77777777">
            <w:pPr>
              <w:spacing w:after="0" w:line="480" w:lineRule="auto"/>
            </w:pPr>
          </w:p>
        </w:tc>
        <w:tc>
          <w:tcPr>
            <w:tcW w:w="724" w:type="pct"/>
            <w:tcBorders>
              <w:top w:val="nil"/>
              <w:left w:val="nil"/>
              <w:bottom w:val="single" w:color="auto" w:sz="8" w:space="0"/>
              <w:right w:val="single" w:color="auto" w:sz="8" w:space="0"/>
            </w:tcBorders>
          </w:tcPr>
          <w:p w:rsidRPr="003E362C" w:rsidR="00BF7C68" w:rsidP="00C541CF" w:rsidRDefault="00BF7C68" w14:paraId="5B1A8B91" w14:textId="77777777">
            <w:pPr>
              <w:spacing w:after="0" w:line="480" w:lineRule="auto"/>
            </w:pPr>
          </w:p>
        </w:tc>
      </w:tr>
      <w:tr w:rsidRPr="004754DC" w:rsidR="00BF7C68" w:rsidTr="0086123D" w14:paraId="6796D4A7"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4754DC" w:rsidR="00BF7C68" w:rsidP="00C541CF" w:rsidRDefault="00BF7C68" w14:paraId="6F99EF8D" w14:textId="77777777">
            <w:pPr>
              <w:spacing w:after="0" w:line="480" w:lineRule="auto"/>
            </w:pPr>
            <w:r w:rsidRPr="004754DC">
              <w:t>Director for Fellowship Training</w:t>
            </w:r>
          </w:p>
        </w:tc>
        <w:tc>
          <w:tcPr>
            <w:tcW w:w="578" w:type="pct"/>
            <w:tcBorders>
              <w:top w:val="nil"/>
              <w:left w:val="nil"/>
              <w:bottom w:val="single" w:color="auto" w:sz="8" w:space="0"/>
              <w:right w:val="single" w:color="auto" w:sz="8" w:space="0"/>
            </w:tcBorders>
            <w:vAlign w:val="center"/>
            <w:hideMark/>
          </w:tcPr>
          <w:p w:rsidRPr="004754DC" w:rsidR="00BF7C68" w:rsidP="00C541CF" w:rsidRDefault="00BF7C68" w14:paraId="7F87ED14" w14:textId="77777777">
            <w:pPr>
              <w:spacing w:after="0" w:line="480" w:lineRule="auto"/>
              <w:jc w:val="center"/>
            </w:pPr>
            <w:r w:rsidRPr="004754DC">
              <w:t>GS-15/S 9</w:t>
            </w: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4754DC" w:rsidR="00BF7C68" w:rsidP="00C541CF" w:rsidRDefault="00BF7C68" w14:paraId="1C9F1805" w14:textId="77777777">
            <w:pPr>
              <w:spacing w:after="0" w:line="480" w:lineRule="auto"/>
              <w:jc w:val="center"/>
            </w:pPr>
            <w:r w:rsidRPr="004754DC">
              <w:t>$176,300</w:t>
            </w: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4754DC" w:rsidR="00BF7C68" w:rsidP="00C541CF" w:rsidRDefault="00BF7C68" w14:paraId="1E69461E" w14:textId="77777777">
            <w:pPr>
              <w:spacing w:after="0" w:line="480" w:lineRule="auto"/>
              <w:jc w:val="center"/>
            </w:pPr>
            <w:r w:rsidRPr="004754DC">
              <w:t>0.5%</w:t>
            </w:r>
          </w:p>
        </w:tc>
        <w:tc>
          <w:tcPr>
            <w:tcW w:w="590" w:type="pct"/>
            <w:tcBorders>
              <w:top w:val="nil"/>
              <w:left w:val="nil"/>
              <w:bottom w:val="single" w:color="auto" w:sz="8" w:space="0"/>
              <w:right w:val="single" w:color="auto" w:sz="8" w:space="0"/>
            </w:tcBorders>
            <w:shd w:val="clear" w:color="auto" w:fill="BFBFBF"/>
            <w:vAlign w:val="center"/>
          </w:tcPr>
          <w:p w:rsidRPr="004754DC" w:rsidR="00BF7C68" w:rsidP="00C541CF" w:rsidRDefault="00BF7C68" w14:paraId="47B3BF9E" w14:textId="77777777">
            <w:pPr>
              <w:spacing w:after="0" w:line="480" w:lineRule="auto"/>
              <w:jc w:val="center"/>
            </w:pPr>
          </w:p>
        </w:tc>
        <w:tc>
          <w:tcPr>
            <w:tcW w:w="724" w:type="pct"/>
            <w:tcBorders>
              <w:top w:val="nil"/>
              <w:left w:val="nil"/>
              <w:bottom w:val="single" w:color="auto" w:sz="8" w:space="0"/>
              <w:right w:val="single" w:color="auto" w:sz="8" w:space="0"/>
            </w:tcBorders>
            <w:vAlign w:val="center"/>
            <w:hideMark/>
          </w:tcPr>
          <w:p w:rsidRPr="004754DC" w:rsidR="00BF7C68" w:rsidP="00C541CF" w:rsidRDefault="00BF7C68" w14:paraId="55CAFE9E" w14:textId="77777777">
            <w:pPr>
              <w:spacing w:after="0" w:line="480" w:lineRule="auto"/>
              <w:jc w:val="center"/>
            </w:pPr>
            <w:r w:rsidRPr="004754DC">
              <w:t>$882</w:t>
            </w:r>
          </w:p>
        </w:tc>
      </w:tr>
      <w:tr w:rsidRPr="004754DC" w:rsidR="00BF7C68" w:rsidTr="0086123D" w14:paraId="3ECA4FD6"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20690208" w14:textId="156994D7">
            <w:pPr>
              <w:spacing w:after="0" w:line="480" w:lineRule="auto"/>
            </w:pPr>
            <w:r w:rsidRPr="004754DC">
              <w:t xml:space="preserve">Scientific </w:t>
            </w:r>
            <w:r w:rsidR="00805A41">
              <w:t xml:space="preserve">Diversity </w:t>
            </w:r>
            <w:r w:rsidRPr="004754DC">
              <w:t xml:space="preserve">Advisor </w:t>
            </w:r>
          </w:p>
        </w:tc>
        <w:tc>
          <w:tcPr>
            <w:tcW w:w="578" w:type="pct"/>
            <w:tcBorders>
              <w:top w:val="nil"/>
              <w:left w:val="nil"/>
              <w:bottom w:val="single" w:color="auto" w:sz="8" w:space="0"/>
              <w:right w:val="single" w:color="auto" w:sz="8" w:space="0"/>
            </w:tcBorders>
            <w:vAlign w:val="center"/>
          </w:tcPr>
          <w:p w:rsidRPr="004754DC" w:rsidR="00BF7C68" w:rsidP="00C541CF" w:rsidRDefault="00BF7C68" w14:paraId="777FADF1" w14:textId="77777777">
            <w:pPr>
              <w:spacing w:after="0" w:line="480" w:lineRule="auto"/>
              <w:jc w:val="center"/>
            </w:pPr>
            <w:r w:rsidRPr="004754DC">
              <w:t>GS-14/S 8</w:t>
            </w: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7840E9DD" w14:textId="77777777">
            <w:pPr>
              <w:spacing w:after="0" w:line="480" w:lineRule="auto"/>
              <w:jc w:val="center"/>
            </w:pPr>
            <w:r w:rsidRPr="004754DC">
              <w:t>$155,687</w:t>
            </w: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6D58B21A" w14:textId="77777777">
            <w:pPr>
              <w:spacing w:after="0" w:line="480" w:lineRule="auto"/>
              <w:jc w:val="center"/>
            </w:pPr>
            <w:r w:rsidRPr="004754DC">
              <w:t>1.0%</w:t>
            </w:r>
          </w:p>
        </w:tc>
        <w:tc>
          <w:tcPr>
            <w:tcW w:w="590" w:type="pct"/>
            <w:tcBorders>
              <w:top w:val="nil"/>
              <w:left w:val="nil"/>
              <w:bottom w:val="single" w:color="auto" w:sz="8" w:space="0"/>
              <w:right w:val="single" w:color="auto" w:sz="8" w:space="0"/>
            </w:tcBorders>
            <w:shd w:val="clear" w:color="auto" w:fill="BFBFBF"/>
            <w:vAlign w:val="center"/>
          </w:tcPr>
          <w:p w:rsidRPr="004754DC" w:rsidR="00BF7C68" w:rsidP="00C541CF" w:rsidRDefault="00BF7C68" w14:paraId="7EB58228" w14:textId="77777777">
            <w:pPr>
              <w:spacing w:after="0" w:line="480" w:lineRule="auto"/>
              <w:jc w:val="center"/>
            </w:pPr>
          </w:p>
        </w:tc>
        <w:tc>
          <w:tcPr>
            <w:tcW w:w="724" w:type="pct"/>
            <w:tcBorders>
              <w:top w:val="nil"/>
              <w:left w:val="nil"/>
              <w:bottom w:val="single" w:color="auto" w:sz="8" w:space="0"/>
              <w:right w:val="single" w:color="auto" w:sz="8" w:space="0"/>
            </w:tcBorders>
            <w:vAlign w:val="center"/>
          </w:tcPr>
          <w:p w:rsidRPr="004754DC" w:rsidR="00BF7C68" w:rsidP="00C541CF" w:rsidRDefault="00BF7C68" w14:paraId="144F3C55" w14:textId="77777777">
            <w:pPr>
              <w:spacing w:after="0" w:line="480" w:lineRule="auto"/>
              <w:jc w:val="center"/>
            </w:pPr>
            <w:r w:rsidRPr="004754DC">
              <w:t>$1,557</w:t>
            </w:r>
          </w:p>
        </w:tc>
      </w:tr>
      <w:tr w:rsidRPr="003E362C" w:rsidR="00BF7C68" w:rsidTr="0086123D" w14:paraId="6C33AD3F"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72659F1A" w14:textId="77777777">
            <w:pPr>
              <w:spacing w:after="0" w:line="480" w:lineRule="auto"/>
              <w:rPr>
                <w:b/>
              </w:rPr>
            </w:pPr>
          </w:p>
        </w:tc>
        <w:tc>
          <w:tcPr>
            <w:tcW w:w="578" w:type="pct"/>
            <w:tcBorders>
              <w:top w:val="nil"/>
              <w:left w:val="nil"/>
              <w:bottom w:val="single" w:color="auto" w:sz="8" w:space="0"/>
              <w:right w:val="single" w:color="auto" w:sz="8" w:space="0"/>
            </w:tcBorders>
            <w:shd w:val="clear" w:color="auto" w:fill="A6A6A6"/>
            <w:vAlign w:val="center"/>
          </w:tcPr>
          <w:p w:rsidRPr="004754DC" w:rsidR="00BF7C68" w:rsidP="00C541CF" w:rsidRDefault="00BF7C68" w14:paraId="3F95AAE5" w14:textId="77777777">
            <w:pPr>
              <w:spacing w:after="0" w:line="480" w:lineRule="auto"/>
              <w:jc w:val="center"/>
            </w:pP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6BC9F62B" w14:textId="77777777">
            <w:pPr>
              <w:spacing w:after="0" w:line="480" w:lineRule="auto"/>
              <w:jc w:val="center"/>
            </w:pP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54DC" w:rsidR="00BF7C68" w:rsidP="00C541CF" w:rsidRDefault="00BF7C68" w14:paraId="3DF5CDCD" w14:textId="77777777">
            <w:pPr>
              <w:spacing w:after="0" w:line="480" w:lineRule="auto"/>
              <w:jc w:val="center"/>
            </w:pPr>
          </w:p>
        </w:tc>
        <w:tc>
          <w:tcPr>
            <w:tcW w:w="590" w:type="pct"/>
            <w:tcBorders>
              <w:top w:val="nil"/>
              <w:left w:val="nil"/>
              <w:bottom w:val="single" w:color="auto" w:sz="8" w:space="0"/>
              <w:right w:val="single" w:color="auto" w:sz="8" w:space="0"/>
            </w:tcBorders>
            <w:vAlign w:val="center"/>
          </w:tcPr>
          <w:p w:rsidRPr="004754DC" w:rsidR="00BF7C68" w:rsidP="00C541CF" w:rsidRDefault="00BF7C68" w14:paraId="19E506D2" w14:textId="77777777">
            <w:pPr>
              <w:spacing w:after="0" w:line="480" w:lineRule="auto"/>
              <w:jc w:val="center"/>
            </w:pPr>
          </w:p>
        </w:tc>
        <w:tc>
          <w:tcPr>
            <w:tcW w:w="724" w:type="pct"/>
            <w:tcBorders>
              <w:top w:val="nil"/>
              <w:left w:val="nil"/>
              <w:bottom w:val="single" w:color="auto" w:sz="8" w:space="0"/>
              <w:right w:val="single" w:color="auto" w:sz="8" w:space="0"/>
            </w:tcBorders>
            <w:vAlign w:val="center"/>
          </w:tcPr>
          <w:p w:rsidRPr="004754DC" w:rsidR="00BF7C68" w:rsidP="00C541CF" w:rsidRDefault="00BF7C68" w14:paraId="0243557F" w14:textId="77777777">
            <w:pPr>
              <w:spacing w:after="0" w:line="480" w:lineRule="auto"/>
              <w:jc w:val="center"/>
            </w:pPr>
          </w:p>
        </w:tc>
      </w:tr>
      <w:tr w:rsidRPr="003E362C" w:rsidR="00BF7C68" w:rsidTr="0086123D" w14:paraId="54398DCE"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362C" w:rsidR="00BF7C68" w:rsidP="00C541CF" w:rsidRDefault="00BF7C68" w14:paraId="158A2800" w14:textId="77777777">
            <w:pPr>
              <w:spacing w:after="0" w:line="480" w:lineRule="auto"/>
              <w:rPr>
                <w:b/>
              </w:rPr>
            </w:pPr>
            <w:r w:rsidRPr="003E362C">
              <w:rPr>
                <w:b/>
              </w:rPr>
              <w:t>Contractor Cost</w:t>
            </w:r>
          </w:p>
        </w:tc>
        <w:tc>
          <w:tcPr>
            <w:tcW w:w="578" w:type="pct"/>
            <w:tcBorders>
              <w:top w:val="nil"/>
              <w:left w:val="nil"/>
              <w:bottom w:val="single" w:color="auto" w:sz="8" w:space="0"/>
              <w:right w:val="single" w:color="auto" w:sz="8" w:space="0"/>
            </w:tcBorders>
            <w:shd w:val="clear" w:color="auto" w:fill="A6A6A6"/>
          </w:tcPr>
          <w:p w:rsidRPr="003E362C" w:rsidR="00BF7C68" w:rsidP="00C541CF" w:rsidRDefault="00BF7C68" w14:paraId="702D57F2" w14:textId="77777777">
            <w:pPr>
              <w:spacing w:after="0" w:line="480" w:lineRule="auto"/>
            </w:pP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1693D7DA" w14:textId="77777777">
            <w:pPr>
              <w:spacing w:after="0" w:line="480" w:lineRule="auto"/>
              <w:jc w:val="center"/>
            </w:pPr>
            <w:r w:rsidRPr="004754DC">
              <w:t>$100,000</w:t>
            </w: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40CC8044" w14:textId="77777777">
            <w:pPr>
              <w:spacing w:after="0" w:line="480" w:lineRule="auto"/>
            </w:pPr>
            <w:r w:rsidRPr="004754DC">
              <w:t>0.5%</w:t>
            </w:r>
          </w:p>
        </w:tc>
        <w:tc>
          <w:tcPr>
            <w:tcW w:w="590" w:type="pct"/>
            <w:tcBorders>
              <w:top w:val="nil"/>
              <w:left w:val="nil"/>
              <w:bottom w:val="single" w:color="auto" w:sz="8" w:space="0"/>
              <w:right w:val="single" w:color="auto" w:sz="8" w:space="0"/>
            </w:tcBorders>
          </w:tcPr>
          <w:p w:rsidRPr="003E362C" w:rsidR="00BF7C68" w:rsidP="00C541CF" w:rsidRDefault="00BF7C68" w14:paraId="006181C8" w14:textId="77777777">
            <w:pPr>
              <w:spacing w:after="0" w:line="480" w:lineRule="auto"/>
            </w:pPr>
          </w:p>
        </w:tc>
        <w:tc>
          <w:tcPr>
            <w:tcW w:w="724" w:type="pct"/>
            <w:tcBorders>
              <w:top w:val="nil"/>
              <w:left w:val="nil"/>
              <w:bottom w:val="single" w:color="auto" w:sz="8" w:space="0"/>
              <w:right w:val="single" w:color="auto" w:sz="8" w:space="0"/>
            </w:tcBorders>
            <w:hideMark/>
          </w:tcPr>
          <w:p w:rsidRPr="003E362C" w:rsidR="00BF7C68" w:rsidP="00C541CF" w:rsidRDefault="00BF7C68" w14:paraId="37BC774D" w14:textId="77777777">
            <w:pPr>
              <w:spacing w:after="0" w:line="480" w:lineRule="auto"/>
              <w:jc w:val="center"/>
            </w:pPr>
            <w:r w:rsidRPr="004754DC">
              <w:t>$500</w:t>
            </w:r>
          </w:p>
        </w:tc>
      </w:tr>
      <w:tr w:rsidRPr="003E362C" w:rsidR="00BF7C68" w:rsidTr="0086123D" w14:paraId="03590C74"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3F01EEFA" w14:textId="77777777">
            <w:pPr>
              <w:spacing w:after="0" w:line="480" w:lineRule="auto"/>
            </w:pPr>
          </w:p>
        </w:tc>
        <w:tc>
          <w:tcPr>
            <w:tcW w:w="578" w:type="pct"/>
            <w:tcBorders>
              <w:top w:val="nil"/>
              <w:left w:val="nil"/>
              <w:bottom w:val="single" w:color="auto" w:sz="8" w:space="0"/>
              <w:right w:val="single" w:color="auto" w:sz="8" w:space="0"/>
            </w:tcBorders>
          </w:tcPr>
          <w:p w:rsidRPr="003E362C" w:rsidR="00BF7C68" w:rsidP="00C541CF" w:rsidRDefault="00BF7C68" w14:paraId="4839D02D" w14:textId="77777777">
            <w:pPr>
              <w:spacing w:after="0" w:line="480" w:lineRule="auto"/>
            </w:pPr>
          </w:p>
        </w:tc>
        <w:tc>
          <w:tcPr>
            <w:tcW w:w="54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6CF422A4" w14:textId="77777777">
            <w:pPr>
              <w:spacing w:after="0" w:line="480" w:lineRule="auto"/>
            </w:pPr>
          </w:p>
        </w:tc>
        <w:tc>
          <w:tcPr>
            <w:tcW w:w="41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E362C" w:rsidR="00BF7C68" w:rsidP="00C541CF" w:rsidRDefault="00BF7C68" w14:paraId="6CE1D4AD" w14:textId="77777777">
            <w:pPr>
              <w:spacing w:after="0" w:line="480" w:lineRule="auto"/>
            </w:pPr>
          </w:p>
        </w:tc>
        <w:tc>
          <w:tcPr>
            <w:tcW w:w="590" w:type="pct"/>
            <w:tcBorders>
              <w:top w:val="nil"/>
              <w:left w:val="nil"/>
              <w:bottom w:val="single" w:color="auto" w:sz="8" w:space="0"/>
              <w:right w:val="single" w:color="auto" w:sz="8" w:space="0"/>
            </w:tcBorders>
          </w:tcPr>
          <w:p w:rsidRPr="003E362C" w:rsidR="00BF7C68" w:rsidP="00C541CF" w:rsidRDefault="00BF7C68" w14:paraId="2EA8EEA7" w14:textId="77777777">
            <w:pPr>
              <w:spacing w:after="0" w:line="480" w:lineRule="auto"/>
            </w:pPr>
          </w:p>
        </w:tc>
        <w:tc>
          <w:tcPr>
            <w:tcW w:w="724" w:type="pct"/>
            <w:tcBorders>
              <w:top w:val="nil"/>
              <w:left w:val="nil"/>
              <w:bottom w:val="single" w:color="auto" w:sz="8" w:space="0"/>
              <w:right w:val="single" w:color="auto" w:sz="8" w:space="0"/>
            </w:tcBorders>
          </w:tcPr>
          <w:p w:rsidRPr="003E362C" w:rsidR="00BF7C68" w:rsidP="00C541CF" w:rsidRDefault="00BF7C68" w14:paraId="21D8559C" w14:textId="77777777">
            <w:pPr>
              <w:spacing w:after="0" w:line="480" w:lineRule="auto"/>
            </w:pPr>
          </w:p>
        </w:tc>
      </w:tr>
      <w:tr w:rsidRPr="003E362C" w:rsidR="00BF7C68" w:rsidTr="0086123D" w14:paraId="6CF0F67A"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362C" w:rsidR="00BF7C68" w:rsidP="00C541CF" w:rsidRDefault="00BF7C68" w14:paraId="0A3F7C43" w14:textId="77777777">
            <w:pPr>
              <w:spacing w:after="0" w:line="480" w:lineRule="auto"/>
            </w:pPr>
            <w:r w:rsidRPr="003E362C">
              <w:t>Travel</w:t>
            </w:r>
          </w:p>
        </w:tc>
        <w:tc>
          <w:tcPr>
            <w:tcW w:w="578" w:type="pct"/>
            <w:tcBorders>
              <w:top w:val="nil"/>
              <w:left w:val="nil"/>
              <w:bottom w:val="single" w:color="auto" w:sz="8" w:space="0"/>
              <w:right w:val="single" w:color="auto" w:sz="8" w:space="0"/>
            </w:tcBorders>
            <w:shd w:val="clear" w:color="auto" w:fill="BFBFBF"/>
          </w:tcPr>
          <w:p w:rsidRPr="003E362C" w:rsidR="00BF7C68" w:rsidP="00C541CF" w:rsidRDefault="00BF7C68" w14:paraId="408EB9B5" w14:textId="77777777">
            <w:pPr>
              <w:spacing w:after="0" w:line="480" w:lineRule="auto"/>
            </w:pPr>
          </w:p>
        </w:tc>
        <w:tc>
          <w:tcPr>
            <w:tcW w:w="54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3E772467" w14:textId="77777777">
            <w:pPr>
              <w:spacing w:after="0" w:line="480" w:lineRule="auto"/>
            </w:pPr>
          </w:p>
        </w:tc>
        <w:tc>
          <w:tcPr>
            <w:tcW w:w="41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7BBC607A" w14:textId="77777777">
            <w:pPr>
              <w:spacing w:after="0" w:line="480" w:lineRule="auto"/>
            </w:pPr>
          </w:p>
        </w:tc>
        <w:tc>
          <w:tcPr>
            <w:tcW w:w="590" w:type="pct"/>
            <w:tcBorders>
              <w:top w:val="nil"/>
              <w:left w:val="nil"/>
              <w:bottom w:val="single" w:color="auto" w:sz="8" w:space="0"/>
              <w:right w:val="single" w:color="auto" w:sz="8" w:space="0"/>
            </w:tcBorders>
            <w:shd w:val="clear" w:color="auto" w:fill="BFBFBF"/>
          </w:tcPr>
          <w:p w:rsidRPr="003E362C" w:rsidR="00BF7C68" w:rsidP="00C541CF" w:rsidRDefault="00BF7C68" w14:paraId="04CE1917" w14:textId="77777777">
            <w:pPr>
              <w:spacing w:after="0" w:line="480" w:lineRule="auto"/>
            </w:pPr>
          </w:p>
        </w:tc>
        <w:tc>
          <w:tcPr>
            <w:tcW w:w="724" w:type="pct"/>
            <w:tcBorders>
              <w:top w:val="nil"/>
              <w:left w:val="nil"/>
              <w:bottom w:val="single" w:color="auto" w:sz="8" w:space="0"/>
              <w:right w:val="single" w:color="auto" w:sz="8" w:space="0"/>
            </w:tcBorders>
          </w:tcPr>
          <w:p w:rsidRPr="003E362C" w:rsidR="00BF7C68" w:rsidP="00C541CF" w:rsidRDefault="00BF7C68" w14:paraId="71A54911" w14:textId="77777777">
            <w:pPr>
              <w:spacing w:after="0" w:line="480" w:lineRule="auto"/>
            </w:pPr>
          </w:p>
        </w:tc>
      </w:tr>
      <w:tr w:rsidRPr="003E362C" w:rsidR="00BF7C68" w:rsidTr="0086123D" w14:paraId="739F243E"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362C" w:rsidR="00BF7C68" w:rsidP="00C541CF" w:rsidRDefault="00BF7C68" w14:paraId="732C9656" w14:textId="77777777">
            <w:pPr>
              <w:spacing w:after="0" w:line="480" w:lineRule="auto"/>
            </w:pPr>
            <w:r w:rsidRPr="003E362C">
              <w:t>Other Cost</w:t>
            </w:r>
          </w:p>
        </w:tc>
        <w:tc>
          <w:tcPr>
            <w:tcW w:w="578" w:type="pct"/>
            <w:tcBorders>
              <w:top w:val="nil"/>
              <w:left w:val="nil"/>
              <w:bottom w:val="single" w:color="auto" w:sz="8" w:space="0"/>
              <w:right w:val="single" w:color="auto" w:sz="8" w:space="0"/>
            </w:tcBorders>
            <w:shd w:val="clear" w:color="auto" w:fill="BFBFBF"/>
          </w:tcPr>
          <w:p w:rsidRPr="003E362C" w:rsidR="00BF7C68" w:rsidP="00C541CF" w:rsidRDefault="00BF7C68" w14:paraId="1090505D" w14:textId="77777777">
            <w:pPr>
              <w:spacing w:after="0" w:line="480" w:lineRule="auto"/>
            </w:pPr>
          </w:p>
        </w:tc>
        <w:tc>
          <w:tcPr>
            <w:tcW w:w="54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0B67C1A7" w14:textId="77777777">
            <w:pPr>
              <w:spacing w:after="0" w:line="480" w:lineRule="auto"/>
            </w:pPr>
          </w:p>
        </w:tc>
        <w:tc>
          <w:tcPr>
            <w:tcW w:w="41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267CCA2F" w14:textId="77777777">
            <w:pPr>
              <w:spacing w:after="0" w:line="480" w:lineRule="auto"/>
            </w:pPr>
          </w:p>
        </w:tc>
        <w:tc>
          <w:tcPr>
            <w:tcW w:w="590" w:type="pct"/>
            <w:tcBorders>
              <w:top w:val="nil"/>
              <w:left w:val="nil"/>
              <w:bottom w:val="single" w:color="auto" w:sz="8" w:space="0"/>
              <w:right w:val="single" w:color="auto" w:sz="8" w:space="0"/>
            </w:tcBorders>
            <w:shd w:val="clear" w:color="auto" w:fill="BFBFBF"/>
          </w:tcPr>
          <w:p w:rsidRPr="003E362C" w:rsidR="00BF7C68" w:rsidP="00C541CF" w:rsidRDefault="00BF7C68" w14:paraId="1C652E7D" w14:textId="77777777">
            <w:pPr>
              <w:spacing w:after="0" w:line="480" w:lineRule="auto"/>
            </w:pPr>
          </w:p>
        </w:tc>
        <w:tc>
          <w:tcPr>
            <w:tcW w:w="724" w:type="pct"/>
            <w:tcBorders>
              <w:top w:val="nil"/>
              <w:left w:val="nil"/>
              <w:bottom w:val="single" w:color="auto" w:sz="8" w:space="0"/>
              <w:right w:val="single" w:color="auto" w:sz="8" w:space="0"/>
            </w:tcBorders>
          </w:tcPr>
          <w:p w:rsidRPr="003E362C" w:rsidR="00BF7C68" w:rsidP="00C541CF" w:rsidRDefault="00BF7C68" w14:paraId="70B53AD6" w14:textId="77777777">
            <w:pPr>
              <w:spacing w:after="0" w:line="480" w:lineRule="auto"/>
            </w:pPr>
          </w:p>
        </w:tc>
      </w:tr>
      <w:tr w:rsidRPr="003E362C" w:rsidR="00BF7C68" w:rsidTr="0086123D" w14:paraId="1CCF8503" w14:textId="77777777">
        <w:trPr>
          <w:trHeight w:val="300"/>
        </w:trPr>
        <w:tc>
          <w:tcPr>
            <w:tcW w:w="214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362C" w:rsidR="00BF7C68" w:rsidP="00C541CF" w:rsidRDefault="00BF7C68" w14:paraId="3B3E4C25" w14:textId="77777777">
            <w:pPr>
              <w:spacing w:after="0" w:line="480" w:lineRule="auto"/>
              <w:rPr>
                <w:b/>
                <w:bCs/>
              </w:rPr>
            </w:pPr>
            <w:r w:rsidRPr="003E362C">
              <w:rPr>
                <w:b/>
                <w:bCs/>
              </w:rPr>
              <w:t>Total</w:t>
            </w:r>
          </w:p>
        </w:tc>
        <w:tc>
          <w:tcPr>
            <w:tcW w:w="578" w:type="pct"/>
            <w:tcBorders>
              <w:top w:val="nil"/>
              <w:left w:val="nil"/>
              <w:bottom w:val="single" w:color="auto" w:sz="8" w:space="0"/>
              <w:right w:val="single" w:color="auto" w:sz="8" w:space="0"/>
            </w:tcBorders>
            <w:shd w:val="clear" w:color="auto" w:fill="BFBFBF"/>
          </w:tcPr>
          <w:p w:rsidRPr="003E362C" w:rsidR="00BF7C68" w:rsidP="00C541CF" w:rsidRDefault="00BF7C68" w14:paraId="5FFBF763" w14:textId="77777777">
            <w:pPr>
              <w:spacing w:after="0" w:line="480" w:lineRule="auto"/>
            </w:pPr>
          </w:p>
        </w:tc>
        <w:tc>
          <w:tcPr>
            <w:tcW w:w="54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604E89E6" w14:textId="77777777">
            <w:pPr>
              <w:spacing w:after="0" w:line="480" w:lineRule="auto"/>
            </w:pPr>
          </w:p>
        </w:tc>
        <w:tc>
          <w:tcPr>
            <w:tcW w:w="41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E362C" w:rsidR="00BF7C68" w:rsidP="00C541CF" w:rsidRDefault="00BF7C68" w14:paraId="400D1CD6" w14:textId="77777777">
            <w:pPr>
              <w:spacing w:after="0" w:line="480" w:lineRule="auto"/>
            </w:pPr>
          </w:p>
        </w:tc>
        <w:tc>
          <w:tcPr>
            <w:tcW w:w="590" w:type="pct"/>
            <w:tcBorders>
              <w:top w:val="nil"/>
              <w:left w:val="nil"/>
              <w:bottom w:val="single" w:color="auto" w:sz="8" w:space="0"/>
              <w:right w:val="single" w:color="auto" w:sz="8" w:space="0"/>
            </w:tcBorders>
            <w:shd w:val="clear" w:color="auto" w:fill="BFBFBF"/>
          </w:tcPr>
          <w:p w:rsidRPr="003E362C" w:rsidR="00BF7C68" w:rsidP="00C541CF" w:rsidRDefault="00BF7C68" w14:paraId="5218273E" w14:textId="77777777">
            <w:pPr>
              <w:spacing w:after="0" w:line="480" w:lineRule="auto"/>
            </w:pPr>
          </w:p>
        </w:tc>
        <w:tc>
          <w:tcPr>
            <w:tcW w:w="724" w:type="pct"/>
            <w:tcBorders>
              <w:top w:val="nil"/>
              <w:left w:val="nil"/>
              <w:bottom w:val="single" w:color="auto" w:sz="8" w:space="0"/>
              <w:right w:val="single" w:color="auto" w:sz="8" w:space="0"/>
            </w:tcBorders>
            <w:hideMark/>
          </w:tcPr>
          <w:p w:rsidRPr="003E362C" w:rsidR="00BF7C68" w:rsidP="00C541CF" w:rsidRDefault="00BF7C68" w14:paraId="03A645C7" w14:textId="77777777">
            <w:pPr>
              <w:spacing w:after="0" w:line="480" w:lineRule="auto"/>
              <w:jc w:val="center"/>
              <w:rPr>
                <w:b/>
                <w:bCs/>
              </w:rPr>
            </w:pPr>
            <w:r w:rsidRPr="003E362C">
              <w:rPr>
                <w:b/>
                <w:bCs/>
              </w:rPr>
              <w:t>$</w:t>
            </w:r>
            <w:r w:rsidRPr="004754DC">
              <w:rPr>
                <w:b/>
                <w:bCs/>
              </w:rPr>
              <w:t>2,939</w:t>
            </w:r>
          </w:p>
        </w:tc>
      </w:tr>
    </w:tbl>
    <w:p w:rsidRPr="003E362C" w:rsidR="00BF7C68" w:rsidP="00C541CF" w:rsidRDefault="00BF7C68" w14:paraId="602E93E3" w14:textId="77777777">
      <w:pPr>
        <w:spacing w:after="0" w:line="480" w:lineRule="auto"/>
      </w:pPr>
      <w:bookmarkStart w:name="_Hlk31117769" w:id="0"/>
      <w:r w:rsidRPr="003E362C">
        <w:t>*</w:t>
      </w:r>
      <w:r>
        <w:rPr>
          <w:sz w:val="18"/>
          <w:szCs w:val="18"/>
        </w:rPr>
        <w:t>T</w:t>
      </w:r>
      <w:r w:rsidRPr="003E362C">
        <w:rPr>
          <w:sz w:val="18"/>
          <w:szCs w:val="18"/>
        </w:rPr>
        <w:t>he</w:t>
      </w:r>
      <w:r w:rsidRPr="003E362C">
        <w:t xml:space="preserve"> </w:t>
      </w:r>
      <w:r w:rsidRPr="003E362C">
        <w:rPr>
          <w:sz w:val="18"/>
          <w:szCs w:val="18"/>
        </w:rPr>
        <w:t>Salary in table above is cited from</w:t>
      </w:r>
      <w:r w:rsidRPr="003E362C">
        <w:t xml:space="preserve"> </w:t>
      </w:r>
      <w:hyperlink w:history="1" r:id="rId9">
        <w:r w:rsidRPr="003E362C">
          <w:rPr>
            <w:rStyle w:val="Hyperlink"/>
            <w:sz w:val="18"/>
            <w:szCs w:val="18"/>
          </w:rPr>
          <w:t>https://www.opm.gov/policy-data-oversight/pay-leave/salaries-wages/salary-tables/pdf/2022/DCB.pdf</w:t>
        </w:r>
      </w:hyperlink>
      <w:r w:rsidRPr="003E362C">
        <w:rPr>
          <w:rStyle w:val="Hyperlink"/>
          <w:sz w:val="18"/>
          <w:szCs w:val="18"/>
        </w:rPr>
        <w:t xml:space="preserve"> </w:t>
      </w:r>
    </w:p>
    <w:bookmarkEnd w:id="0"/>
    <w:p w:rsidRPr="00113647" w:rsidR="00BB7115" w:rsidP="00C541CF" w:rsidRDefault="00BB7115" w14:paraId="5B948273" w14:textId="77777777">
      <w:pPr>
        <w:spacing w:after="0" w:line="480" w:lineRule="auto"/>
      </w:pPr>
    </w:p>
    <w:p w:rsidRPr="00113647" w:rsidR="00713CF8" w:rsidP="00C541CF" w:rsidRDefault="00713CF8" w14:paraId="701B9E8A" w14:textId="77777777">
      <w:pPr>
        <w:spacing w:after="0" w:line="480" w:lineRule="auto"/>
        <w:rPr>
          <w:b/>
        </w:rPr>
      </w:pPr>
      <w:r w:rsidRPr="00113647">
        <w:rPr>
          <w:b/>
        </w:rPr>
        <w:t>A.15 Explanation for Program Changes or Adjustments</w:t>
      </w:r>
    </w:p>
    <w:p w:rsidRPr="00113647" w:rsidR="00713CF8" w:rsidP="009A7C88" w:rsidRDefault="00713CF8" w14:paraId="6E9E0532" w14:textId="77777777">
      <w:pPr>
        <w:spacing w:after="0" w:line="480" w:lineRule="auto"/>
        <w:ind w:firstLine="720"/>
      </w:pPr>
      <w:r w:rsidRPr="00113647">
        <w:t>N/A</w:t>
      </w:r>
    </w:p>
    <w:p w:rsidRPr="00113647" w:rsidR="00713CF8" w:rsidP="00C541CF" w:rsidRDefault="00713CF8" w14:paraId="3F3A531D" w14:textId="77777777">
      <w:pPr>
        <w:spacing w:after="0" w:line="480" w:lineRule="auto"/>
      </w:pPr>
    </w:p>
    <w:p w:rsidRPr="00113647" w:rsidR="00713CF8" w:rsidP="00C541CF" w:rsidRDefault="00713CF8" w14:paraId="3B93546E" w14:textId="77777777">
      <w:pPr>
        <w:spacing w:after="0" w:line="480" w:lineRule="auto"/>
        <w:rPr>
          <w:b/>
        </w:rPr>
      </w:pPr>
      <w:r w:rsidRPr="00113647">
        <w:rPr>
          <w:b/>
        </w:rPr>
        <w:t>A.16 Plans for Tabulation and Publication and Project Time Schedule</w:t>
      </w:r>
    </w:p>
    <w:p w:rsidR="002C4725" w:rsidP="009A7C88" w:rsidRDefault="00B9090D" w14:paraId="7C364AFF" w14:textId="114CAA0D">
      <w:pPr>
        <w:spacing w:after="0" w:line="480" w:lineRule="auto"/>
        <w:ind w:firstLine="720"/>
      </w:pPr>
      <w:r>
        <w:t>N/A</w:t>
      </w:r>
    </w:p>
    <w:p w:rsidRPr="00113647" w:rsidR="00B9090D" w:rsidP="00C541CF" w:rsidRDefault="00B9090D" w14:paraId="452469EC" w14:textId="77777777">
      <w:pPr>
        <w:spacing w:after="0" w:line="480" w:lineRule="auto"/>
      </w:pPr>
    </w:p>
    <w:p w:rsidRPr="00113647" w:rsidR="00713CF8" w:rsidP="00C541CF" w:rsidRDefault="00713CF8" w14:paraId="6E544D17" w14:textId="77777777">
      <w:pPr>
        <w:spacing w:after="0" w:line="480" w:lineRule="auto"/>
        <w:rPr>
          <w:b/>
        </w:rPr>
      </w:pPr>
      <w:r w:rsidRPr="00113647">
        <w:rPr>
          <w:b/>
        </w:rPr>
        <w:lastRenderedPageBreak/>
        <w:t>A.17 Reason(s) Display of OMB Expiration Date is Inappropriate</w:t>
      </w:r>
    </w:p>
    <w:p w:rsidRPr="00113647" w:rsidR="00713CF8" w:rsidP="009A7C88" w:rsidRDefault="00713CF8" w14:paraId="331E5FB8" w14:textId="25B88767">
      <w:pPr>
        <w:spacing w:after="0" w:line="480" w:lineRule="auto"/>
        <w:ind w:firstLine="720"/>
      </w:pPr>
      <w:r w:rsidRPr="00113647">
        <w:t>We are not requesting an exemption to the display of the OMB Expiration date.</w:t>
      </w:r>
      <w:r w:rsidR="002C4725">
        <w:t xml:space="preserve"> </w:t>
      </w:r>
    </w:p>
    <w:p w:rsidRPr="00113647" w:rsidR="00713CF8" w:rsidP="00C541CF" w:rsidRDefault="00713CF8" w14:paraId="2F4AF321" w14:textId="77777777">
      <w:pPr>
        <w:spacing w:after="0" w:line="480" w:lineRule="auto"/>
      </w:pPr>
    </w:p>
    <w:p w:rsidRPr="00113647" w:rsidR="00713CF8" w:rsidP="00C541CF" w:rsidRDefault="00713CF8" w14:paraId="695E184B" w14:textId="77777777">
      <w:pPr>
        <w:spacing w:after="0" w:line="480" w:lineRule="auto"/>
        <w:rPr>
          <w:b/>
        </w:rPr>
      </w:pPr>
      <w:r w:rsidRPr="00113647">
        <w:rPr>
          <w:b/>
        </w:rPr>
        <w:t>A.18 Exceptions to Certification for Paperwork Reduction Act Submissions</w:t>
      </w:r>
    </w:p>
    <w:p w:rsidR="00A66625" w:rsidP="003D05AB" w:rsidRDefault="0087173D" w14:paraId="536D8860" w14:textId="254EDC0F">
      <w:pPr>
        <w:spacing w:after="0" w:line="480" w:lineRule="auto"/>
      </w:pPr>
      <w:r w:rsidRPr="00113647">
        <w:t>This survey will comply with the requirements in 5 CFR 1320.9.</w:t>
      </w:r>
      <w:r w:rsidRPr="00990709" w:rsidR="00990709">
        <w:rPr>
          <w:sz w:val="24"/>
          <w:szCs w:val="24"/>
        </w:rPr>
        <w:tab/>
      </w:r>
    </w:p>
    <w:p w:rsidR="00A66625" w:rsidP="00A66625" w:rsidRDefault="00A66625" w14:paraId="620BDA0A" w14:textId="77777777">
      <w:pPr>
        <w:spacing w:after="0" w:line="480" w:lineRule="auto"/>
      </w:pPr>
    </w:p>
    <w:p w:rsidRPr="00A66625" w:rsidR="003D05AB" w:rsidP="003D05AB" w:rsidRDefault="000F6757" w14:paraId="75F6C684" w14:textId="5FA54318">
      <w:pPr>
        <w:spacing w:after="0" w:line="480" w:lineRule="auto"/>
      </w:pPr>
      <w:r w:rsidRPr="00A66625">
        <w:t>Attachments</w:t>
      </w:r>
    </w:p>
    <w:p w:rsidR="000F6757" w:rsidP="000F6757" w:rsidRDefault="000F6757" w14:paraId="2AA984DA" w14:textId="1F8E0DC0">
      <w:pPr>
        <w:pStyle w:val="ListParagraph"/>
        <w:numPr>
          <w:ilvl w:val="0"/>
          <w:numId w:val="6"/>
        </w:numPr>
        <w:spacing w:after="0" w:line="480" w:lineRule="auto"/>
      </w:pPr>
      <w:r w:rsidRPr="00A66625">
        <w:t>Privacy Impact Assessment (PIA)</w:t>
      </w:r>
    </w:p>
    <w:p w:rsidRPr="00032A65" w:rsidR="00032A65" w:rsidP="00032A65" w:rsidRDefault="00032A65" w14:paraId="27B243B0" w14:textId="72288620"/>
    <w:p w:rsidRPr="00032A65" w:rsidR="00032A65" w:rsidP="00032A65" w:rsidRDefault="00032A65" w14:paraId="17AE6AC5" w14:textId="1942C5D6"/>
    <w:p w:rsidRPr="00032A65" w:rsidR="00032A65" w:rsidP="00032A65" w:rsidRDefault="00032A65" w14:paraId="31AC540C" w14:textId="3B2117C4"/>
    <w:p w:rsidRPr="00032A65" w:rsidR="00032A65" w:rsidP="00032A65" w:rsidRDefault="00032A65" w14:paraId="7F999803" w14:textId="426994D0"/>
    <w:p w:rsidRPr="00032A65" w:rsidR="00032A65" w:rsidP="00032A65" w:rsidRDefault="00032A65" w14:paraId="677ED4CA" w14:textId="07B63270"/>
    <w:p w:rsidR="00032A65" w:rsidP="00032A65" w:rsidRDefault="00032A65" w14:paraId="73B9991F" w14:textId="3234416F"/>
    <w:p w:rsidRPr="00032A65" w:rsidR="00032A65" w:rsidP="00032A65" w:rsidRDefault="00032A65" w14:paraId="19BF0CE1" w14:textId="515DC723">
      <w:pPr>
        <w:tabs>
          <w:tab w:val="left" w:pos="3828"/>
        </w:tabs>
      </w:pPr>
      <w:r>
        <w:tab/>
      </w:r>
    </w:p>
    <w:sectPr w:rsidRPr="00032A65" w:rsidR="00032A65" w:rsidSect="00F4290D">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CC99" w14:textId="77777777" w:rsidR="00A8164F" w:rsidRDefault="00A8164F" w:rsidP="005676C6">
      <w:pPr>
        <w:spacing w:after="0" w:line="240" w:lineRule="auto"/>
      </w:pPr>
      <w:r>
        <w:separator/>
      </w:r>
    </w:p>
  </w:endnote>
  <w:endnote w:type="continuationSeparator" w:id="0">
    <w:p w14:paraId="2B8775E5" w14:textId="77777777" w:rsidR="00A8164F" w:rsidRDefault="00A8164F"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873A" w14:textId="77777777" w:rsidR="00BA4F9C" w:rsidRDefault="00BA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A13D"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B40" w14:textId="77777777" w:rsidR="00BA4F9C" w:rsidRDefault="00BA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C611" w14:textId="77777777" w:rsidR="00A8164F" w:rsidRDefault="00A8164F" w:rsidP="005676C6">
      <w:pPr>
        <w:spacing w:after="0" w:line="240" w:lineRule="auto"/>
      </w:pPr>
      <w:r>
        <w:separator/>
      </w:r>
    </w:p>
  </w:footnote>
  <w:footnote w:type="continuationSeparator" w:id="0">
    <w:p w14:paraId="2CE0A580" w14:textId="77777777" w:rsidR="00A8164F" w:rsidRDefault="00A8164F"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FE95" w14:textId="77777777" w:rsidR="00BA4F9C" w:rsidRDefault="00BA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6675" w14:textId="2A075DA9" w:rsidR="00BA4F9C" w:rsidRDefault="00BA4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EFD3" w14:textId="77777777" w:rsidR="00BA4F9C" w:rsidRDefault="00BA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13B1"/>
    <w:multiLevelType w:val="hybridMultilevel"/>
    <w:tmpl w:val="FCA04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11868"/>
    <w:rsid w:val="00032A65"/>
    <w:rsid w:val="000535E5"/>
    <w:rsid w:val="00057A71"/>
    <w:rsid w:val="00057C98"/>
    <w:rsid w:val="00063927"/>
    <w:rsid w:val="00063DC1"/>
    <w:rsid w:val="000A796F"/>
    <w:rsid w:val="000B4C09"/>
    <w:rsid w:val="000C3D67"/>
    <w:rsid w:val="000D1BBB"/>
    <w:rsid w:val="000D35DA"/>
    <w:rsid w:val="000E09A6"/>
    <w:rsid w:val="000E6635"/>
    <w:rsid w:val="000F528B"/>
    <w:rsid w:val="000F6757"/>
    <w:rsid w:val="001051BA"/>
    <w:rsid w:val="0010526B"/>
    <w:rsid w:val="00113647"/>
    <w:rsid w:val="00113D5F"/>
    <w:rsid w:val="00124BD6"/>
    <w:rsid w:val="00127316"/>
    <w:rsid w:val="001435DE"/>
    <w:rsid w:val="00147128"/>
    <w:rsid w:val="001548EF"/>
    <w:rsid w:val="0016069E"/>
    <w:rsid w:val="00175FFD"/>
    <w:rsid w:val="00185105"/>
    <w:rsid w:val="001952C8"/>
    <w:rsid w:val="001B29D1"/>
    <w:rsid w:val="001B3C5E"/>
    <w:rsid w:val="001C1DC2"/>
    <w:rsid w:val="001D2741"/>
    <w:rsid w:val="001D3CE0"/>
    <w:rsid w:val="001E3759"/>
    <w:rsid w:val="001F1780"/>
    <w:rsid w:val="001F4D29"/>
    <w:rsid w:val="002065DB"/>
    <w:rsid w:val="00206879"/>
    <w:rsid w:val="00206ED6"/>
    <w:rsid w:val="0021543C"/>
    <w:rsid w:val="0022211A"/>
    <w:rsid w:val="00224347"/>
    <w:rsid w:val="00236DA8"/>
    <w:rsid w:val="00242F5D"/>
    <w:rsid w:val="002605C4"/>
    <w:rsid w:val="002659C7"/>
    <w:rsid w:val="002727A9"/>
    <w:rsid w:val="00273125"/>
    <w:rsid w:val="00273E4C"/>
    <w:rsid w:val="00276ABA"/>
    <w:rsid w:val="0029112F"/>
    <w:rsid w:val="002B11E6"/>
    <w:rsid w:val="002B193F"/>
    <w:rsid w:val="002C0A13"/>
    <w:rsid w:val="002C1D97"/>
    <w:rsid w:val="002C4725"/>
    <w:rsid w:val="002F3354"/>
    <w:rsid w:val="0032015D"/>
    <w:rsid w:val="00330E82"/>
    <w:rsid w:val="00336D39"/>
    <w:rsid w:val="00342353"/>
    <w:rsid w:val="00350296"/>
    <w:rsid w:val="00372808"/>
    <w:rsid w:val="00372B52"/>
    <w:rsid w:val="00373E0F"/>
    <w:rsid w:val="00382B75"/>
    <w:rsid w:val="0038440E"/>
    <w:rsid w:val="00395820"/>
    <w:rsid w:val="0039797C"/>
    <w:rsid w:val="003A14DC"/>
    <w:rsid w:val="003A767A"/>
    <w:rsid w:val="003A7F7F"/>
    <w:rsid w:val="003C623D"/>
    <w:rsid w:val="003D05AB"/>
    <w:rsid w:val="003D32E2"/>
    <w:rsid w:val="003D43B1"/>
    <w:rsid w:val="0040282E"/>
    <w:rsid w:val="00413459"/>
    <w:rsid w:val="0041659D"/>
    <w:rsid w:val="00434026"/>
    <w:rsid w:val="0043583E"/>
    <w:rsid w:val="00435865"/>
    <w:rsid w:val="004409C0"/>
    <w:rsid w:val="00446BA0"/>
    <w:rsid w:val="0046633D"/>
    <w:rsid w:val="00470949"/>
    <w:rsid w:val="00477A8E"/>
    <w:rsid w:val="004A24AF"/>
    <w:rsid w:val="004B26F2"/>
    <w:rsid w:val="004B3C21"/>
    <w:rsid w:val="004C2CD3"/>
    <w:rsid w:val="004D2AD6"/>
    <w:rsid w:val="004D3407"/>
    <w:rsid w:val="004E33DC"/>
    <w:rsid w:val="00506DA7"/>
    <w:rsid w:val="00517DA7"/>
    <w:rsid w:val="005200F8"/>
    <w:rsid w:val="00534B5A"/>
    <w:rsid w:val="00547CA8"/>
    <w:rsid w:val="00551B2D"/>
    <w:rsid w:val="00564758"/>
    <w:rsid w:val="005676C6"/>
    <w:rsid w:val="00573BAB"/>
    <w:rsid w:val="00582456"/>
    <w:rsid w:val="005868BD"/>
    <w:rsid w:val="00586D7F"/>
    <w:rsid w:val="00594BC4"/>
    <w:rsid w:val="00595D1E"/>
    <w:rsid w:val="005A0D46"/>
    <w:rsid w:val="005A6F64"/>
    <w:rsid w:val="005B5E5B"/>
    <w:rsid w:val="005C2944"/>
    <w:rsid w:val="005D1FD5"/>
    <w:rsid w:val="005E18C3"/>
    <w:rsid w:val="005E2D23"/>
    <w:rsid w:val="005F211D"/>
    <w:rsid w:val="005F64DC"/>
    <w:rsid w:val="005F71E7"/>
    <w:rsid w:val="006122EF"/>
    <w:rsid w:val="00626A3E"/>
    <w:rsid w:val="00626ED4"/>
    <w:rsid w:val="00632B5C"/>
    <w:rsid w:val="006540A7"/>
    <w:rsid w:val="00665E78"/>
    <w:rsid w:val="00671031"/>
    <w:rsid w:val="006719D4"/>
    <w:rsid w:val="006854FC"/>
    <w:rsid w:val="00687733"/>
    <w:rsid w:val="0069025C"/>
    <w:rsid w:val="00693A83"/>
    <w:rsid w:val="00695204"/>
    <w:rsid w:val="006B2ACE"/>
    <w:rsid w:val="006C4C95"/>
    <w:rsid w:val="006C7CDC"/>
    <w:rsid w:val="006F3226"/>
    <w:rsid w:val="006F7AFA"/>
    <w:rsid w:val="00713CF8"/>
    <w:rsid w:val="00720840"/>
    <w:rsid w:val="00723D33"/>
    <w:rsid w:val="007312DC"/>
    <w:rsid w:val="00737FCE"/>
    <w:rsid w:val="00740F9D"/>
    <w:rsid w:val="00741F60"/>
    <w:rsid w:val="00742FB3"/>
    <w:rsid w:val="0074542F"/>
    <w:rsid w:val="00751793"/>
    <w:rsid w:val="00762CFB"/>
    <w:rsid w:val="00780432"/>
    <w:rsid w:val="00781198"/>
    <w:rsid w:val="0079784E"/>
    <w:rsid w:val="007A4541"/>
    <w:rsid w:val="007B6FBB"/>
    <w:rsid w:val="007D19AD"/>
    <w:rsid w:val="007D3181"/>
    <w:rsid w:val="007D66AD"/>
    <w:rsid w:val="007D6C3D"/>
    <w:rsid w:val="007F5A32"/>
    <w:rsid w:val="0080014B"/>
    <w:rsid w:val="00802B74"/>
    <w:rsid w:val="00805A41"/>
    <w:rsid w:val="008113F2"/>
    <w:rsid w:val="00816C32"/>
    <w:rsid w:val="00817166"/>
    <w:rsid w:val="00820C79"/>
    <w:rsid w:val="00822442"/>
    <w:rsid w:val="00823644"/>
    <w:rsid w:val="008529CC"/>
    <w:rsid w:val="00860DBE"/>
    <w:rsid w:val="008716F6"/>
    <w:rsid w:val="0087173D"/>
    <w:rsid w:val="00877B4D"/>
    <w:rsid w:val="00893AAD"/>
    <w:rsid w:val="00894D8A"/>
    <w:rsid w:val="00897D34"/>
    <w:rsid w:val="008A3432"/>
    <w:rsid w:val="008B6349"/>
    <w:rsid w:val="008C3522"/>
    <w:rsid w:val="008C5A1E"/>
    <w:rsid w:val="008D12B2"/>
    <w:rsid w:val="008D6113"/>
    <w:rsid w:val="008E75EC"/>
    <w:rsid w:val="009033F0"/>
    <w:rsid w:val="00907E27"/>
    <w:rsid w:val="00907E64"/>
    <w:rsid w:val="009120A0"/>
    <w:rsid w:val="009252DE"/>
    <w:rsid w:val="00932A3E"/>
    <w:rsid w:val="00942DB8"/>
    <w:rsid w:val="00944ABD"/>
    <w:rsid w:val="00953B2E"/>
    <w:rsid w:val="00974140"/>
    <w:rsid w:val="00990709"/>
    <w:rsid w:val="009A74DA"/>
    <w:rsid w:val="009A7C88"/>
    <w:rsid w:val="009F02AA"/>
    <w:rsid w:val="009F4546"/>
    <w:rsid w:val="00A24DA1"/>
    <w:rsid w:val="00A2740D"/>
    <w:rsid w:val="00A52D36"/>
    <w:rsid w:val="00A53B52"/>
    <w:rsid w:val="00A61F11"/>
    <w:rsid w:val="00A622DA"/>
    <w:rsid w:val="00A65095"/>
    <w:rsid w:val="00A65883"/>
    <w:rsid w:val="00A66625"/>
    <w:rsid w:val="00A67125"/>
    <w:rsid w:val="00A74631"/>
    <w:rsid w:val="00A75A5C"/>
    <w:rsid w:val="00A8164F"/>
    <w:rsid w:val="00A93930"/>
    <w:rsid w:val="00AA355D"/>
    <w:rsid w:val="00AB60E0"/>
    <w:rsid w:val="00AC113B"/>
    <w:rsid w:val="00AD7BAB"/>
    <w:rsid w:val="00AF01AD"/>
    <w:rsid w:val="00B20D87"/>
    <w:rsid w:val="00B50E23"/>
    <w:rsid w:val="00B575BB"/>
    <w:rsid w:val="00B732AC"/>
    <w:rsid w:val="00B84576"/>
    <w:rsid w:val="00B9090D"/>
    <w:rsid w:val="00B94357"/>
    <w:rsid w:val="00B97CC8"/>
    <w:rsid w:val="00BA3D61"/>
    <w:rsid w:val="00BA4F9C"/>
    <w:rsid w:val="00BB14C2"/>
    <w:rsid w:val="00BB41D9"/>
    <w:rsid w:val="00BB7115"/>
    <w:rsid w:val="00BC088C"/>
    <w:rsid w:val="00BC721E"/>
    <w:rsid w:val="00BE135A"/>
    <w:rsid w:val="00BE197D"/>
    <w:rsid w:val="00BE67B6"/>
    <w:rsid w:val="00BF7C68"/>
    <w:rsid w:val="00C0501F"/>
    <w:rsid w:val="00C127EF"/>
    <w:rsid w:val="00C16629"/>
    <w:rsid w:val="00C16E41"/>
    <w:rsid w:val="00C252ED"/>
    <w:rsid w:val="00C465FF"/>
    <w:rsid w:val="00C50672"/>
    <w:rsid w:val="00C541CF"/>
    <w:rsid w:val="00C605AC"/>
    <w:rsid w:val="00C62281"/>
    <w:rsid w:val="00C6694B"/>
    <w:rsid w:val="00C75272"/>
    <w:rsid w:val="00C91869"/>
    <w:rsid w:val="00C95821"/>
    <w:rsid w:val="00CA038C"/>
    <w:rsid w:val="00CB2332"/>
    <w:rsid w:val="00CB4C39"/>
    <w:rsid w:val="00CC32B1"/>
    <w:rsid w:val="00CD598E"/>
    <w:rsid w:val="00CE0A31"/>
    <w:rsid w:val="00CF1726"/>
    <w:rsid w:val="00D165C3"/>
    <w:rsid w:val="00D2057F"/>
    <w:rsid w:val="00D20947"/>
    <w:rsid w:val="00D21495"/>
    <w:rsid w:val="00D255CD"/>
    <w:rsid w:val="00D31D73"/>
    <w:rsid w:val="00D40A8B"/>
    <w:rsid w:val="00D44EAD"/>
    <w:rsid w:val="00D45A58"/>
    <w:rsid w:val="00D605CF"/>
    <w:rsid w:val="00D6099F"/>
    <w:rsid w:val="00D7195F"/>
    <w:rsid w:val="00D72137"/>
    <w:rsid w:val="00DA0EB5"/>
    <w:rsid w:val="00DA142A"/>
    <w:rsid w:val="00DB27F3"/>
    <w:rsid w:val="00DC22CE"/>
    <w:rsid w:val="00DC73AE"/>
    <w:rsid w:val="00DE3A7C"/>
    <w:rsid w:val="00DF6124"/>
    <w:rsid w:val="00E0439D"/>
    <w:rsid w:val="00E13104"/>
    <w:rsid w:val="00E2551B"/>
    <w:rsid w:val="00E33992"/>
    <w:rsid w:val="00E360F1"/>
    <w:rsid w:val="00E46078"/>
    <w:rsid w:val="00E61741"/>
    <w:rsid w:val="00E62A64"/>
    <w:rsid w:val="00E712FF"/>
    <w:rsid w:val="00E749D9"/>
    <w:rsid w:val="00EA2B21"/>
    <w:rsid w:val="00EB394D"/>
    <w:rsid w:val="00EB437A"/>
    <w:rsid w:val="00EB77CC"/>
    <w:rsid w:val="00EC1392"/>
    <w:rsid w:val="00EC499E"/>
    <w:rsid w:val="00ED1560"/>
    <w:rsid w:val="00ED3881"/>
    <w:rsid w:val="00ED4628"/>
    <w:rsid w:val="00EE7362"/>
    <w:rsid w:val="00EF6E54"/>
    <w:rsid w:val="00F0448C"/>
    <w:rsid w:val="00F04BC5"/>
    <w:rsid w:val="00F143CF"/>
    <w:rsid w:val="00F4290D"/>
    <w:rsid w:val="00F43D8F"/>
    <w:rsid w:val="00F45BD9"/>
    <w:rsid w:val="00F64FA7"/>
    <w:rsid w:val="00F65756"/>
    <w:rsid w:val="00FA4D97"/>
    <w:rsid w:val="00FB424C"/>
    <w:rsid w:val="00FB481F"/>
    <w:rsid w:val="00FC3BAD"/>
    <w:rsid w:val="00FC3E5B"/>
    <w:rsid w:val="00FC5FDF"/>
    <w:rsid w:val="00FF1D87"/>
    <w:rsid w:val="00F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paragraph" w:customStyle="1" w:styleId="P1-StandPara">
    <w:name w:val="P1-Stand Para"/>
    <w:rsid w:val="00D40A8B"/>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013">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909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Abdelmouti, Tawanda (NIH/OD) [E]</cp:lastModifiedBy>
  <cp:revision>3</cp:revision>
  <cp:lastPrinted>2010-02-17T12:08:00Z</cp:lastPrinted>
  <dcterms:created xsi:type="dcterms:W3CDTF">2022-06-23T18:53:00Z</dcterms:created>
  <dcterms:modified xsi:type="dcterms:W3CDTF">2022-06-23T18:55:00Z</dcterms:modified>
</cp:coreProperties>
</file>