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08A" w:rsidP="00F06866" w:rsidRDefault="00EE37F5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Pr="009239AA" w:rsidR="008738B8" w:rsidP="008738B8" w:rsidRDefault="005A7C5D" w14:paraId="29E5ABCB" w14:textId="4187B0F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C49BD70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E004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738B8">
        <w:t>S</w:t>
      </w:r>
      <w:r w:rsidRPr="00575D5C" w:rsidR="008738B8">
        <w:t>tigma trainee survey</w:t>
      </w:r>
      <w:r w:rsidR="00EC4D43">
        <w:t xml:space="preserve"> (FIC)</w:t>
      </w:r>
    </w:p>
    <w:p w:rsidR="008738B8" w:rsidP="008738B8" w:rsidRDefault="008738B8" w14:paraId="6AFC58E5" w14:textId="77777777"/>
    <w:p w:rsidRPr="009239AA" w:rsidR="00E50293" w:rsidP="00434E33" w:rsidRDefault="00E50293" w14:paraId="771867AD" w14:textId="6DEB3456">
      <w:pPr>
        <w:rPr>
          <w:b/>
        </w:rPr>
      </w:pPr>
    </w:p>
    <w:p w:rsidR="005E714A" w:rsidRDefault="005E714A" w14:paraId="7E4E3CB3" w14:textId="77777777"/>
    <w:p w:rsidRPr="00526FFC" w:rsidR="00526FFC" w:rsidP="008738B8" w:rsidRDefault="00F15956" w14:paraId="3FA263ED" w14:textId="2E28BFF7">
      <w:pPr>
        <w:rPr>
          <w:szCs w:val="21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526FFC" w:rsidR="008738B8">
        <w:rPr>
          <w:szCs w:val="21"/>
        </w:rPr>
        <w:t xml:space="preserve">In June 2021, </w:t>
      </w:r>
      <w:r w:rsidRPr="00526FFC" w:rsidR="00526FFC">
        <w:rPr>
          <w:szCs w:val="21"/>
        </w:rPr>
        <w:t>Fogarty’s Center for Global Health Studies (</w:t>
      </w:r>
      <w:r w:rsidRPr="00526FFC" w:rsidR="008738B8">
        <w:rPr>
          <w:szCs w:val="21"/>
        </w:rPr>
        <w:t>CGHS</w:t>
      </w:r>
      <w:r w:rsidRPr="00526FFC" w:rsidR="00526FFC">
        <w:rPr>
          <w:szCs w:val="21"/>
        </w:rPr>
        <w:t>)</w:t>
      </w:r>
      <w:r w:rsidRPr="00526FFC" w:rsidR="008738B8">
        <w:rPr>
          <w:szCs w:val="21"/>
        </w:rPr>
        <w:t xml:space="preserve"> hosted a short-term training institute that provided U.S. and low- and middle-income country (LMIC) investigators the opportunity to better understand the transdisciplinary nature of stigma research and learn how to apply novel, cross-cutting research methodologies to their work. </w:t>
      </w:r>
    </w:p>
    <w:p w:rsidRPr="00526FFC" w:rsidR="00526FFC" w:rsidP="008738B8" w:rsidRDefault="00526FFC" w14:paraId="359383C8" w14:textId="77777777">
      <w:pPr>
        <w:rPr>
          <w:szCs w:val="21"/>
        </w:rPr>
      </w:pPr>
    </w:p>
    <w:p w:rsidRPr="00526FFC" w:rsidR="00C8488C" w:rsidP="00526FFC" w:rsidRDefault="008738B8" w14:paraId="715CFA04" w14:textId="029CCC25">
      <w:pPr>
        <w:rPr>
          <w:b/>
        </w:rPr>
      </w:pPr>
      <w:r w:rsidRPr="00526FFC">
        <w:t xml:space="preserve">The purpose of this request is </w:t>
      </w:r>
      <w:r w:rsidRPr="00526FFC" w:rsidR="00526FFC">
        <w:t xml:space="preserve">to </w:t>
      </w:r>
      <w:r w:rsidRPr="00526FFC" w:rsidR="00526FFC">
        <w:rPr>
          <w:bCs/>
        </w:rPr>
        <w:t>collect information that will allow FIC</w:t>
      </w:r>
      <w:r w:rsidR="00526FFC">
        <w:rPr>
          <w:bCs/>
        </w:rPr>
        <w:t xml:space="preserve"> </w:t>
      </w:r>
      <w:r w:rsidRPr="00526FFC" w:rsidR="00526FFC">
        <w:rPr>
          <w:bCs/>
        </w:rPr>
        <w:t xml:space="preserve">to identify and improve its scientific practices as it relates to cross-cutting training institutes held at CGHS. </w:t>
      </w:r>
      <w:r w:rsidRPr="00526FFC" w:rsidR="00526FFC">
        <w:t>T</w:t>
      </w:r>
      <w:r w:rsidRPr="00526FFC">
        <w:t xml:space="preserve">rainees </w:t>
      </w:r>
      <w:r w:rsidRPr="00526FFC" w:rsidR="00526FFC">
        <w:t xml:space="preserve">will </w:t>
      </w:r>
      <w:r w:rsidRPr="00526FFC">
        <w:t>answer questions to help us better understand how we can design or adapt trainings like this in the future.</w:t>
      </w:r>
      <w:r w:rsidRPr="00526FFC" w:rsidR="00526FFC">
        <w:t xml:space="preserve"> </w:t>
      </w: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556B2A44" w14:textId="74B714DE"/>
    <w:p w:rsidRPr="00526FFC" w:rsidR="008738B8" w:rsidP="008738B8" w:rsidRDefault="008738B8" w14:paraId="0F696978" w14:textId="1561D45A">
      <w:pPr>
        <w:pStyle w:val="ListParagraph"/>
        <w:spacing w:after="160" w:line="259" w:lineRule="auto"/>
        <w:ind w:left="0"/>
        <w:rPr>
          <w:b/>
        </w:rPr>
      </w:pPr>
      <w:r w:rsidRPr="00526FFC">
        <w:t xml:space="preserve">  Early- to mid-career social, behavioral, and biomedical researchers from the US and LMICs.</w:t>
      </w:r>
    </w:p>
    <w:p w:rsidR="008738B8" w:rsidP="008738B8" w:rsidRDefault="008738B8" w14:paraId="59FFE2FB" w14:textId="77777777">
      <w:pPr>
        <w:rPr>
          <w:b/>
        </w:rPr>
      </w:pPr>
    </w:p>
    <w:p w:rsidR="008738B8" w:rsidRDefault="008738B8" w14:paraId="2EA873A6" w14:textId="77777777"/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29117770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[] Repository of Tools and Best Practices</w:t>
      </w:r>
    </w:p>
    <w:p w:rsidR="0096108F" w:rsidP="0096108F" w:rsidRDefault="0096108F" w14:paraId="0129C2CF" w14:textId="41470270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</w:r>
      <w:r w:rsidR="00526FFC">
        <w:rPr>
          <w:bCs/>
          <w:sz w:val="24"/>
        </w:rPr>
        <w:tab/>
      </w:r>
      <w:r w:rsidR="00DB608A">
        <w:rPr>
          <w:bCs/>
          <w:sz w:val="24"/>
        </w:rPr>
        <w:t>[ ] Resources</w:t>
      </w:r>
    </w:p>
    <w:p w:rsidRPr="00F06866" w:rsidR="00F06866" w:rsidP="0096108F" w:rsidRDefault="00935ADA" w14:paraId="3A23215E" w14:textId="760FB268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526FFC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8738B8" w:rsidR="008738B8">
        <w:rPr>
          <w:bCs/>
          <w:sz w:val="24"/>
        </w:rPr>
        <w:t xml:space="preserve"> </w:t>
      </w:r>
      <w:r w:rsidRPr="00F06866" w:rsidR="00F06866">
        <w:rPr>
          <w:bCs/>
          <w:sz w:val="24"/>
          <w:u w:val="single"/>
        </w:rPr>
        <w:t>_</w:t>
      </w:r>
      <w:r w:rsidR="00526FFC">
        <w:rPr>
          <w:bCs/>
          <w:sz w:val="24"/>
          <w:u w:val="single"/>
        </w:rPr>
        <w:t>Best Practices Survey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3C262DA0">
      <w:pPr>
        <w:pStyle w:val="ListParagraph"/>
        <w:numPr>
          <w:ilvl w:val="0"/>
          <w:numId w:val="14"/>
        </w:numPr>
      </w:pPr>
      <w:r>
        <w:t>The collection is low burden for respondents and low-cost for the Federal Government.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Pr="008738B8" w:rsidR="009C13B9" w:rsidP="009C13B9" w:rsidRDefault="009C13B9" w14:paraId="353F279A" w14:textId="77777777">
      <w:pPr>
        <w:rPr>
          <w:u w:val="single"/>
        </w:rPr>
      </w:pPr>
    </w:p>
    <w:p w:rsidRPr="008738B8" w:rsidR="009C13B9" w:rsidP="009C13B9" w:rsidRDefault="009C13B9" w14:paraId="52DF1569" w14:textId="564B562B">
      <w:pPr>
        <w:rPr>
          <w:u w:val="single"/>
        </w:rPr>
      </w:pPr>
      <w:r w:rsidRPr="008738B8">
        <w:rPr>
          <w:u w:val="single"/>
        </w:rPr>
        <w:t>Name:</w:t>
      </w:r>
      <w:r w:rsidR="00EC4D43">
        <w:rPr>
          <w:u w:val="single"/>
        </w:rPr>
        <w:t xml:space="preserve"> </w:t>
      </w:r>
      <w:r w:rsidRPr="008738B8">
        <w:rPr>
          <w:u w:val="single"/>
        </w:rPr>
        <w:t>_</w:t>
      </w:r>
      <w:r w:rsidRPr="008738B8" w:rsidR="008738B8">
        <w:rPr>
          <w:u w:val="single"/>
        </w:rPr>
        <w:t>Aisha Jalloh</w:t>
      </w:r>
      <w:r w:rsidRPr="008738B8">
        <w:rPr>
          <w:u w:val="single"/>
        </w:rPr>
        <w:t>________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9C13B9" w:rsidP="009C13B9" w:rsidRDefault="009C13B9" w14:paraId="24E1CA9D" w14:textId="77777777">
      <w:r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3BDC04D" w14:textId="3217E65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738B8">
        <w:t>X</w:t>
      </w:r>
      <w:r w:rsidR="009239AA">
        <w:t xml:space="preserve"> ]  No </w:t>
      </w:r>
    </w:p>
    <w:p w:rsidR="00C86E91" w:rsidP="00C86E91" w:rsidRDefault="009C13B9" w14:paraId="7186FCEC" w14:textId="59ED105E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8738B8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62A1D75A" w14:textId="7699C1C8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</w:t>
      </w:r>
      <w:r w:rsidR="008738B8">
        <w:t>X</w:t>
      </w:r>
      <w:r>
        <w:t xml:space="preserve">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03AC1B7B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8738B8">
        <w:t>X</w:t>
      </w:r>
      <w:r>
        <w:t xml:space="preserve"> ] No  </w:t>
      </w:r>
    </w:p>
    <w:p w:rsidR="004D6E14" w:rsidRDefault="004D6E14" w14:paraId="19254812" w14:textId="77777777">
      <w:pPr>
        <w:rPr>
          <w:b/>
        </w:rPr>
      </w:pPr>
    </w:p>
    <w:p w:rsidR="00F24CFC" w:rsidRDefault="00F24CFC" w14:paraId="464AA28C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95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160"/>
        <w:gridCol w:w="1530"/>
        <w:gridCol w:w="1440"/>
      </w:tblGrid>
      <w:tr w:rsidR="003668D6" w:rsidTr="0083433D" w14:paraId="43D8EEDC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Pr="002D26E2" w:rsidR="003668D6" w:rsidP="00843796" w:rsidRDefault="003668D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3668D6" w:rsidP="00843796" w:rsidRDefault="003668D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993698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440" w:type="dxa"/>
          </w:tcPr>
          <w:p w:rsidR="003668D6" w:rsidP="00843796" w:rsidRDefault="003668D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83433D" w14:paraId="6C4086BE" w14:textId="77777777">
        <w:trPr>
          <w:trHeight w:val="260"/>
        </w:trPr>
        <w:tc>
          <w:tcPr>
            <w:tcW w:w="2790" w:type="dxa"/>
          </w:tcPr>
          <w:p w:rsidR="003668D6" w:rsidP="00843796" w:rsidRDefault="002F5061" w14:paraId="74505133" w14:textId="6919FB24">
            <w:r w:rsidRPr="00575D5C">
              <w:t>LMIC and US multidisciplinary researchers</w:t>
            </w:r>
            <w:r>
              <w:t>- Individuals</w:t>
            </w:r>
          </w:p>
        </w:tc>
        <w:tc>
          <w:tcPr>
            <w:tcW w:w="1597" w:type="dxa"/>
          </w:tcPr>
          <w:p w:rsidR="003668D6" w:rsidP="00843796" w:rsidRDefault="002F5061" w14:paraId="48480537" w14:textId="6EFFA6FC">
            <w:r>
              <w:t>51</w:t>
            </w:r>
          </w:p>
        </w:tc>
        <w:tc>
          <w:tcPr>
            <w:tcW w:w="2160" w:type="dxa"/>
          </w:tcPr>
          <w:p w:rsidR="003668D6" w:rsidP="00843796" w:rsidRDefault="002F5061" w14:paraId="0DFCFA35" w14:textId="71BB213B">
            <w:r>
              <w:t>1</w:t>
            </w:r>
          </w:p>
        </w:tc>
        <w:tc>
          <w:tcPr>
            <w:tcW w:w="1530" w:type="dxa"/>
          </w:tcPr>
          <w:p w:rsidR="003668D6" w:rsidP="00843796" w:rsidRDefault="002F5061" w14:paraId="3D1773F5" w14:textId="1227FC6E">
            <w:r>
              <w:t>15/60</w:t>
            </w:r>
          </w:p>
        </w:tc>
        <w:tc>
          <w:tcPr>
            <w:tcW w:w="1440" w:type="dxa"/>
          </w:tcPr>
          <w:p w:rsidR="003668D6" w:rsidP="00843796" w:rsidRDefault="002F5061" w14:paraId="47C85A64" w14:textId="135F1228">
            <w:r>
              <w:t>13</w:t>
            </w:r>
          </w:p>
        </w:tc>
      </w:tr>
      <w:tr w:rsidR="003668D6" w:rsidTr="0083433D" w14:paraId="40D619CD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2D26E2" w:rsidR="003668D6" w:rsidP="00843796" w:rsidRDefault="003668D6" w14:paraId="2089A7BF" w14:textId="6CFA6CA9">
            <w:pPr>
              <w:rPr>
                <w:b/>
              </w:rPr>
            </w:pPr>
          </w:p>
        </w:tc>
        <w:tc>
          <w:tcPr>
            <w:tcW w:w="2160" w:type="dxa"/>
          </w:tcPr>
          <w:p w:rsidR="003668D6" w:rsidP="00843796" w:rsidRDefault="00EC4D43" w14:paraId="5BF515D7" w14:textId="65619E15">
            <w:r>
              <w:t>51</w:t>
            </w:r>
          </w:p>
        </w:tc>
        <w:tc>
          <w:tcPr>
            <w:tcW w:w="1530" w:type="dxa"/>
          </w:tcPr>
          <w:p w:rsidR="003668D6" w:rsidP="00843796" w:rsidRDefault="003668D6" w14:paraId="6453AF92" w14:textId="77777777"/>
        </w:tc>
        <w:tc>
          <w:tcPr>
            <w:tcW w:w="1440" w:type="dxa"/>
          </w:tcPr>
          <w:p w:rsidRPr="002D26E2" w:rsidR="003668D6" w:rsidP="00843796" w:rsidRDefault="002F5061" w14:paraId="79836567" w14:textId="0CE2170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F3170F" w:rsidP="00F3170F" w:rsidRDefault="00F3170F" w14:paraId="70A8B133" w14:textId="5E2771D9"/>
    <w:p w:rsidRPr="00EC4D43" w:rsidR="00EC4D43" w:rsidP="00F3170F" w:rsidRDefault="00EC4D43" w14:paraId="2A4785BF" w14:textId="29811020">
      <w:pPr>
        <w:rPr>
          <w:b/>
          <w:bCs/>
        </w:rPr>
      </w:pPr>
      <w:r w:rsidRPr="00EC4D43">
        <w:rPr>
          <w:b/>
          <w:bCs/>
        </w:rPr>
        <w:t>COST TO RESPONDENT</w:t>
      </w:r>
    </w:p>
    <w:p w:rsidRPr="009A036B" w:rsidR="009A036B" w:rsidP="009A036B" w:rsidRDefault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6277B5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3039D02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2F5061" w14:paraId="63B44F56" w14:textId="531ABD0E">
            <w:r w:rsidRPr="00575D5C">
              <w:t>LMIC and US multidisciplinary researchers</w:t>
            </w:r>
            <w:r>
              <w:t>- Individuals</w:t>
            </w:r>
          </w:p>
        </w:tc>
        <w:tc>
          <w:tcPr>
            <w:tcW w:w="2250" w:type="dxa"/>
          </w:tcPr>
          <w:p w:rsidRPr="009A036B" w:rsidR="00CA2010" w:rsidP="009A036B" w:rsidRDefault="002F5061" w14:paraId="17548B0F" w14:textId="10942ED3">
            <w:r>
              <w:t>13</w:t>
            </w:r>
          </w:p>
        </w:tc>
        <w:tc>
          <w:tcPr>
            <w:tcW w:w="2520" w:type="dxa"/>
          </w:tcPr>
          <w:p w:rsidRPr="009A036B" w:rsidR="00CA2010" w:rsidP="009A036B" w:rsidRDefault="002F5061" w14:paraId="216778BF" w14:textId="503AD75B">
            <w:r>
              <w:t>$37</w:t>
            </w:r>
          </w:p>
        </w:tc>
        <w:tc>
          <w:tcPr>
            <w:tcW w:w="1620" w:type="dxa"/>
          </w:tcPr>
          <w:p w:rsidRPr="009A036B" w:rsidR="00CA2010" w:rsidP="009A036B" w:rsidRDefault="002F5061" w14:paraId="198FF701" w14:textId="6476AB7F">
            <w:r>
              <w:t>$481</w:t>
            </w:r>
          </w:p>
        </w:tc>
      </w:tr>
      <w:tr w:rsidRPr="009A036B" w:rsidR="00CA2010" w:rsidTr="00CA2010" w14:paraId="1707AB8A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2F5061" w14:paraId="51980B66" w14:textId="07D4F60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20" w:type="dxa"/>
          </w:tcPr>
          <w:p w:rsidRPr="009A036B" w:rsidR="00CA2010" w:rsidP="009A036B" w:rsidRDefault="00CA2010" w14:paraId="50FA256A" w14:textId="77777777"/>
        </w:tc>
        <w:tc>
          <w:tcPr>
            <w:tcW w:w="1620" w:type="dxa"/>
          </w:tcPr>
          <w:p w:rsidRPr="009A036B" w:rsidR="00CA2010" w:rsidP="009A036B" w:rsidRDefault="002F5061" w14:paraId="277A39C9" w14:textId="24DF9BE1">
            <w:r>
              <w:t>$481</w:t>
            </w:r>
          </w:p>
        </w:tc>
      </w:tr>
    </w:tbl>
    <w:p w:rsidRPr="00EC4D43" w:rsidR="002F5061" w:rsidP="002F5061" w:rsidRDefault="002F5061" w14:paraId="48963ACC" w14:textId="77777777">
      <w:pPr>
        <w:rPr>
          <w:sz w:val="18"/>
          <w:szCs w:val="18"/>
        </w:rPr>
      </w:pPr>
      <w:r w:rsidRPr="00EC4D43">
        <w:rPr>
          <w:i/>
          <w:iCs/>
          <w:sz w:val="18"/>
          <w:szCs w:val="18"/>
        </w:rPr>
        <w:t>For</w:t>
      </w:r>
      <w:r w:rsidRPr="00EC4D43">
        <w:rPr>
          <w:sz w:val="18"/>
          <w:szCs w:val="18"/>
        </w:rPr>
        <w:t xml:space="preserve"> </w:t>
      </w:r>
      <w:r w:rsidRPr="00EC4D43">
        <w:rPr>
          <w:i/>
          <w:iCs/>
          <w:sz w:val="18"/>
          <w:szCs w:val="18"/>
        </w:rPr>
        <w:t>US Respondents</w:t>
      </w:r>
      <w:r w:rsidRPr="00EC4D43">
        <w:rPr>
          <w:sz w:val="18"/>
          <w:szCs w:val="18"/>
        </w:rPr>
        <w:t xml:space="preserve"> the hourly rate was obtained from U.S. BLS</w:t>
      </w:r>
    </w:p>
    <w:p w:rsidRPr="00EC4D43" w:rsidR="009A036B" w:rsidP="00F3170F" w:rsidRDefault="00180ED0" w14:paraId="7F3DCA9C" w14:textId="70C0B659">
      <w:pPr>
        <w:rPr>
          <w:sz w:val="18"/>
          <w:szCs w:val="18"/>
        </w:rPr>
      </w:pPr>
      <w:hyperlink w:history="1" r:id="rId8">
        <w:r w:rsidRPr="00EC4D43" w:rsidR="002F5061">
          <w:rPr>
            <w:rStyle w:val="Hyperlink"/>
            <w:sz w:val="18"/>
            <w:szCs w:val="18"/>
          </w:rPr>
          <w:t>Environmental Scientists and Specialists: Occupational Outlook Handbook</w:t>
        </w:r>
        <w:proofErr w:type="gramStart"/>
        <w:r w:rsidRPr="00EC4D43" w:rsidR="002F5061">
          <w:rPr>
            <w:rStyle w:val="Hyperlink"/>
            <w:sz w:val="18"/>
            <w:szCs w:val="18"/>
          </w:rPr>
          <w:t>: :</w:t>
        </w:r>
        <w:proofErr w:type="gramEnd"/>
        <w:r w:rsidRPr="00EC4D43" w:rsidR="002F5061">
          <w:rPr>
            <w:rStyle w:val="Hyperlink"/>
            <w:sz w:val="18"/>
            <w:szCs w:val="18"/>
          </w:rPr>
          <w:t xml:space="preserve"> U.S. Bureau of Labor Statistics (bls.gov)</w:t>
        </w:r>
      </w:hyperlink>
    </w:p>
    <w:p w:rsidR="00441434" w:rsidP="00F3170F" w:rsidRDefault="00441434" w14:paraId="0092AEDF" w14:textId="77777777"/>
    <w:p w:rsidR="005E714A" w:rsidRDefault="001C39F7" w14:paraId="164B5F94" w14:textId="34F9F3D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2F5061" w:rsidR="00BF6223">
        <w:rPr>
          <w:u w:val="single"/>
        </w:rPr>
        <w:t>_</w:t>
      </w:r>
      <w:r w:rsidRPr="002F5061" w:rsidR="002F5061">
        <w:rPr>
          <w:u w:val="single"/>
        </w:rPr>
        <w:t>$</w:t>
      </w:r>
      <w:r w:rsidR="00EC4D43">
        <w:rPr>
          <w:u w:val="single"/>
        </w:rPr>
        <w:t>860</w:t>
      </w:r>
    </w:p>
    <w:p w:rsidRPr="009A036B" w:rsidR="009A036B" w:rsidP="009A036B" w:rsidRDefault="009A036B" w14:paraId="649E7DF1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2F5061" w:rsidTr="002F5061" w14:paraId="47497D8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5C0774C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="002F5061" w:rsidRDefault="002F5061" w14:paraId="25184D44" w14:textId="77777777">
            <w:pPr>
              <w:rPr>
                <w:b/>
                <w:bCs/>
              </w:rPr>
            </w:pPr>
          </w:p>
          <w:p w:rsidR="002F5061" w:rsidRDefault="002F5061" w14:paraId="3058E20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5CE4D6F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Salary*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52180EE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gramStart"/>
            <w:r>
              <w:rPr>
                <w:b/>
                <w:bCs/>
              </w:rPr>
              <w:t>of</w:t>
            </w:r>
            <w:proofErr w:type="gramEnd"/>
            <w:r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2F5061" w:rsidRDefault="002F5061" w14:paraId="7FFFDAA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2F5061" w:rsidRDefault="002F5061" w14:paraId="1575123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Cost to Gov’t</w:t>
            </w:r>
          </w:p>
        </w:tc>
      </w:tr>
      <w:tr w:rsidR="002F5061" w:rsidTr="002F5061" w14:paraId="45A42E1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6960CBC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41766C2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772107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491E8F0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346246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392B1A7E" w14:textId="77777777"/>
        </w:tc>
      </w:tr>
      <w:tr w:rsidR="002F5061" w:rsidTr="002F5061" w14:paraId="5EA2B5A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4687F0EE" w14:textId="77777777">
            <w:r>
              <w:t>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2F5061" w:rsidRDefault="002F5061" w14:paraId="6832C17C" w14:textId="77777777">
            <w:r>
              <w:t>13/2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7E35A8E1" w14:textId="77777777">
            <w:r>
              <w:t>$110,384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6B9CC316" w14:textId="77777777">
            <w:r>
              <w:t>.01%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77F50C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2F5061" w:rsidRDefault="002F5061" w14:paraId="0EFB6D74" w14:textId="77777777">
            <w:r>
              <w:t>$110</w:t>
            </w:r>
          </w:p>
        </w:tc>
      </w:tr>
      <w:tr w:rsidR="002F5061" w:rsidTr="002F5061" w14:paraId="7DECC1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231FE8E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1A372EA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520587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393584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5524367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694B0431" w14:textId="77777777"/>
        </w:tc>
      </w:tr>
      <w:tr w:rsidR="002F5061" w:rsidTr="002F5061" w14:paraId="35FA40C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7EBA46C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4B3A7C9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1DCA72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7A8A8F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30BA629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79651597" w14:textId="77777777"/>
        </w:tc>
      </w:tr>
      <w:tr w:rsidR="002F5061" w:rsidTr="002F5061" w14:paraId="6A793E4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5C942D7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3BA1354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3284BE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2982991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12375E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71266EE5" w14:textId="77777777"/>
        </w:tc>
      </w:tr>
      <w:tr w:rsidR="002F5061" w:rsidTr="002F5061" w14:paraId="18078B3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48560F37" w14:textId="77777777">
            <w:r>
              <w:t>CGHS Project Coordinator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2F5061" w:rsidRDefault="002F5061" w14:paraId="28929563" w14:textId="77777777">
            <w: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1A79B9BB" w14:textId="77777777">
            <w:r>
              <w:t>$75,000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4AD6E857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319C2E4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2F5061" w:rsidRDefault="002F5061" w14:paraId="4FA8C12C" w14:textId="77777777">
            <w:r>
              <w:t>$750</w:t>
            </w:r>
          </w:p>
        </w:tc>
      </w:tr>
      <w:tr w:rsidR="002F5061" w:rsidTr="002F5061" w14:paraId="4FD26CC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74750C87" w14:textId="77777777">
            <w: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496E9CC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3381D41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16B14C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2AC200B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6FA2B3A3" w14:textId="77777777"/>
        </w:tc>
      </w:tr>
      <w:tr w:rsidR="002F5061" w:rsidTr="002F5061" w14:paraId="4376992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56A3CBCF" w14:textId="77777777">
            <w: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64CEA2E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664C8E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2212E7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4A4C7E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73B009D8" w14:textId="77777777"/>
        </w:tc>
      </w:tr>
      <w:tr w:rsidR="002F5061" w:rsidTr="002F5061" w14:paraId="4FAFDD6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37DF615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0FA6021A" w14:textId="77777777">
            <w:pPr>
              <w:rPr>
                <w:rFonts w:eastAsiaTheme="min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6EAB5B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5061" w:rsidRDefault="002F5061" w14:paraId="3EE0AAAA" w14:textId="77777777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2F5061" w:rsidRDefault="002F5061" w14:paraId="4C000BB5" w14:textId="77777777">
            <w:pPr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38CDF153" w14:textId="77777777">
            <w:pPr>
              <w:rPr>
                <w:b/>
                <w:bCs/>
              </w:rPr>
            </w:pPr>
          </w:p>
        </w:tc>
      </w:tr>
      <w:tr w:rsidR="002F5061" w:rsidTr="002F5061" w14:paraId="793FB38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28CED4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="002F5061" w:rsidRDefault="002F5061" w14:paraId="21C772E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7B8FCF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5061" w:rsidRDefault="002F5061" w14:paraId="572B5FCC" w14:textId="77777777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="002F5061" w:rsidRDefault="002F5061" w14:paraId="3607002F" w14:textId="77777777">
            <w:pPr>
              <w:rPr>
                <w:rFonts w:eastAsia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2F5061" w:rsidRDefault="002F5061" w14:paraId="459ED434" w14:textId="3237377D">
            <w:r>
              <w:t>$860</w:t>
            </w:r>
          </w:p>
        </w:tc>
      </w:tr>
    </w:tbl>
    <w:p w:rsidRPr="009A036B" w:rsidR="009A036B" w:rsidP="009A036B" w:rsidRDefault="009A036B" w14:paraId="2F526F57" w14:textId="77777777"/>
    <w:p w:rsidRPr="00EC4D43" w:rsidR="009A036B" w:rsidP="009A036B" w:rsidRDefault="002D74B4" w14:paraId="13D0BA23" w14:textId="3A587733">
      <w:pPr>
        <w:rPr>
          <w:sz w:val="18"/>
          <w:szCs w:val="18"/>
        </w:rPr>
      </w:pPr>
      <w:r w:rsidRPr="00EC4D43">
        <w:rPr>
          <w:sz w:val="18"/>
          <w:szCs w:val="18"/>
        </w:rPr>
        <w:t>*</w:t>
      </w:r>
      <w:proofErr w:type="gramStart"/>
      <w:r w:rsidRPr="00EC4D43">
        <w:rPr>
          <w:sz w:val="18"/>
          <w:szCs w:val="18"/>
        </w:rPr>
        <w:t>the</w:t>
      </w:r>
      <w:proofErr w:type="gramEnd"/>
      <w:r w:rsidRPr="00EC4D43">
        <w:rPr>
          <w:sz w:val="18"/>
          <w:szCs w:val="18"/>
        </w:rPr>
        <w:t xml:space="preserve"> Salary in table above is cited from </w:t>
      </w:r>
      <w:hyperlink w:history="1" r:id="rId9">
        <w:r w:rsidRPr="00EC4D43" w:rsidR="00EC4D43">
          <w:rPr>
            <w:rStyle w:val="Hyperlink"/>
            <w:sz w:val="18"/>
            <w:szCs w:val="18"/>
          </w:rPr>
          <w:t>https://www.opm.gov/policy-data-oversight/pay-leave/salaries-wages/2022/general-schedule/</w:t>
        </w:r>
      </w:hyperlink>
      <w:r w:rsidRPr="00EC4D43">
        <w:rPr>
          <w:sz w:val="18"/>
          <w:szCs w:val="18"/>
        </w:rPr>
        <w:t xml:space="preserve"> </w:t>
      </w:r>
    </w:p>
    <w:p w:rsidR="009A036B" w:rsidRDefault="009A036B" w14:paraId="498195CC" w14:textId="77777777">
      <w:pPr>
        <w:rPr>
          <w:b/>
        </w:rPr>
      </w:pPr>
    </w:p>
    <w:p w:rsidR="00ED6492" w:rsidRDefault="00ED6492" w14:paraId="0B5C9F16" w14:textId="77777777">
      <w:pPr>
        <w:rPr>
          <w:b/>
          <w:bCs/>
          <w:u w:val="single"/>
        </w:rPr>
      </w:pP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0B58847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2F5061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72F65D6F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F5061" w:rsidP="001B0AAA" w:rsidRDefault="002F5061" w14:paraId="706B5EDC" w14:textId="77777777"/>
    <w:p w:rsidR="002F5061" w:rsidP="002F5061" w:rsidRDefault="002F5061" w14:paraId="4D1177F1" w14:textId="5961A294">
      <w:r>
        <w:t>The customer list is based participa</w:t>
      </w:r>
      <w:r w:rsidR="00526FFC">
        <w:t>nts of</w:t>
      </w:r>
      <w:r>
        <w:t xml:space="preserve"> the stigma research training institute in June 2021. All participants will be emailed and asked to fill out a survey to learn about their stigma research activities over the past year, and if and how the training had any impact on their research and professional development. </w:t>
      </w:r>
      <w:r w:rsidR="00526FFC">
        <w:t>This will</w:t>
      </w:r>
      <w:r>
        <w:t xml:space="preserve"> help </w:t>
      </w:r>
      <w:r w:rsidR="00526FFC">
        <w:t>us</w:t>
      </w:r>
      <w:r>
        <w:t xml:space="preserve"> design</w:t>
      </w:r>
      <w:r w:rsidR="00526FFC">
        <w:t xml:space="preserve">, develop and/or </w:t>
      </w:r>
      <w:r>
        <w:t>adapt trainings like this in the future.</w:t>
      </w:r>
    </w:p>
    <w:p w:rsidR="002F5061" w:rsidP="002F5061" w:rsidRDefault="002F5061" w14:paraId="3233463F" w14:textId="77777777">
      <w:pPr>
        <w:pStyle w:val="ListParagraph"/>
      </w:pPr>
    </w:p>
    <w:p w:rsidR="00A403BB" w:rsidP="00A403BB" w:rsidRDefault="00A403BB" w14:paraId="37F9091A" w14:textId="77777777">
      <w:pPr>
        <w:pStyle w:val="ListParagraph"/>
      </w:pP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5DDF6D39">
      <w:pPr>
        <w:ind w:left="720"/>
      </w:pPr>
      <w:r>
        <w:t xml:space="preserve">[ </w:t>
      </w:r>
      <w:proofErr w:type="gramStart"/>
      <w:r w:rsidR="002F5061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857180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04197B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9EB718E" w14:textId="5F6E1E4A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2F5061">
        <w:t>X</w:t>
      </w:r>
      <w:r>
        <w:t xml:space="preserve"> 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BF52A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77A4B0F" w14:textId="77777777">
      <w:pPr>
        <w:rPr>
          <w:b/>
        </w:rPr>
      </w:pPr>
    </w:p>
    <w:p w:rsidRPr="00F24CFC" w:rsidR="003932D1" w:rsidP="0024521E" w:rsidRDefault="003932D1" w14:paraId="699E5224" w14:textId="77777777">
      <w:pPr>
        <w:rPr>
          <w:b/>
        </w:rPr>
      </w:pPr>
    </w:p>
    <w:p w:rsidR="005E714A" w:rsidP="00F24CFC" w:rsidRDefault="005E714A" w14:paraId="5354A140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ED66" w14:textId="77777777" w:rsidR="00180ED0" w:rsidRDefault="00180ED0">
      <w:r>
        <w:separator/>
      </w:r>
    </w:p>
  </w:endnote>
  <w:endnote w:type="continuationSeparator" w:id="0">
    <w:p w14:paraId="77F1D642" w14:textId="77777777" w:rsidR="00180ED0" w:rsidRDefault="0018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F03E" w14:textId="77777777" w:rsidR="00180ED0" w:rsidRDefault="00180ED0">
      <w:r>
        <w:separator/>
      </w:r>
    </w:p>
  </w:footnote>
  <w:footnote w:type="continuationSeparator" w:id="0">
    <w:p w14:paraId="303C0439" w14:textId="77777777" w:rsidR="00180ED0" w:rsidRDefault="0018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C773" w14:textId="63DB8C40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0ED0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B1498"/>
    <w:rsid w:val="002B3C95"/>
    <w:rsid w:val="002B46B0"/>
    <w:rsid w:val="002D0B92"/>
    <w:rsid w:val="002D26E2"/>
    <w:rsid w:val="002D74B4"/>
    <w:rsid w:val="002E48F5"/>
    <w:rsid w:val="002F5061"/>
    <w:rsid w:val="003668D6"/>
    <w:rsid w:val="003932D1"/>
    <w:rsid w:val="003960BB"/>
    <w:rsid w:val="003A7074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8415B"/>
    <w:rsid w:val="004876EC"/>
    <w:rsid w:val="004A44F3"/>
    <w:rsid w:val="004B1EB8"/>
    <w:rsid w:val="004D6E14"/>
    <w:rsid w:val="005009B0"/>
    <w:rsid w:val="00526FFC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3DDE"/>
    <w:rsid w:val="00704678"/>
    <w:rsid w:val="007304E5"/>
    <w:rsid w:val="007425E7"/>
    <w:rsid w:val="00766D95"/>
    <w:rsid w:val="0077703F"/>
    <w:rsid w:val="007F2A72"/>
    <w:rsid w:val="00802607"/>
    <w:rsid w:val="0080329C"/>
    <w:rsid w:val="008101A5"/>
    <w:rsid w:val="00811789"/>
    <w:rsid w:val="00822664"/>
    <w:rsid w:val="0083433D"/>
    <w:rsid w:val="00843796"/>
    <w:rsid w:val="0085116A"/>
    <w:rsid w:val="008738B8"/>
    <w:rsid w:val="00887320"/>
    <w:rsid w:val="00895229"/>
    <w:rsid w:val="008E7827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13944"/>
    <w:rsid w:val="00B1396E"/>
    <w:rsid w:val="00B2002B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B608A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C4D43"/>
    <w:rsid w:val="00ED6492"/>
    <w:rsid w:val="00EE37F5"/>
    <w:rsid w:val="00EF2095"/>
    <w:rsid w:val="00F06866"/>
    <w:rsid w:val="00F15956"/>
    <w:rsid w:val="00F24CFC"/>
    <w:rsid w:val="00F3170F"/>
    <w:rsid w:val="00F86109"/>
    <w:rsid w:val="00F94D8C"/>
    <w:rsid w:val="00F976B0"/>
    <w:rsid w:val="00FA6DE7"/>
    <w:rsid w:val="00FC0A8E"/>
    <w:rsid w:val="00FE2FA6"/>
    <w:rsid w:val="00FE3DF2"/>
    <w:rsid w:val="4F0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oh/life-physical-and-social-science/environmental-scientists-and-specialists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2022/general-schedul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3AAE-CA08-440D-99D5-D492E8B7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2022-08-15T18:29:00Z</dcterms:created>
  <dcterms:modified xsi:type="dcterms:W3CDTF">2022-08-15T18:29:00Z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