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6F5D" w:rsidP="000C7F4B">
      <w:r w:rsidRPr="000C7F4B">
        <w:rPr>
          <w:b/>
        </w:rPr>
        <w:t xml:space="preserve">Attachment </w:t>
      </w:r>
      <w:r w:rsidR="00EC55C4">
        <w:rPr>
          <w:b/>
        </w:rPr>
        <w:t>P</w:t>
      </w:r>
      <w:r>
        <w:t xml:space="preserve"> -- Non-response Bias Analysis of Private Establishments from the 2014 Medical Expenditures Panel Surve</w:t>
      </w:r>
      <w:bookmarkStart w:id="0" w:name="_GoBack"/>
      <w:bookmarkEnd w:id="0"/>
      <w:r>
        <w:t>y – Insurance Component (MEPS-IC)</w:t>
      </w:r>
    </w:p>
    <w:p w:rsidR="00B26F5D" w:rsidRPr="00272C78" w:rsidP="00B26F5D">
      <w:pPr>
        <w:ind w:left="720" w:hanging="720"/>
        <w:rPr>
          <w:b/>
          <w:u w:val="single"/>
        </w:rPr>
      </w:pPr>
      <w:r w:rsidRPr="00272C78">
        <w:rPr>
          <w:b/>
          <w:u w:val="single"/>
        </w:rPr>
        <w:t>Introduction:</w:t>
      </w:r>
    </w:p>
    <w:p w:rsidR="00B26F5D" w:rsidP="00B26F5D">
      <w:pPr>
        <w:spacing w:line="240" w:lineRule="auto"/>
      </w:pPr>
      <w:r w:rsidRPr="000B7BD7">
        <w:t xml:space="preserve">When an expected unit response rate is below 80 percent, </w:t>
      </w:r>
      <w:hyperlink r:id="rId5" w:history="1">
        <w:r w:rsidRPr="000B7BD7">
          <w:rPr>
            <w:rStyle w:val="Hyperlink"/>
          </w:rPr>
          <w:t xml:space="preserve">OMB Standards &amp; Guidelines for </w:t>
        </w:r>
        <w:r>
          <w:rPr>
            <w:rStyle w:val="Hyperlink"/>
          </w:rPr>
          <w:t>Statistical</w:t>
        </w:r>
        <w:r>
          <w:rPr>
            <w:rStyle w:val="Hyperlink"/>
          </w:rPr>
          <w:br/>
        </w:r>
        <w:r w:rsidRPr="000B7BD7">
          <w:rPr>
            <w:rStyle w:val="Hyperlink"/>
          </w:rPr>
          <w:t>Surveys</w:t>
        </w:r>
      </w:hyperlink>
      <w:r w:rsidRPr="000B7BD7">
        <w:t xml:space="preserve"> recommends conducting a nonresponse bias analysis.  </w:t>
      </w:r>
      <w:r w:rsidRPr="00C937FF">
        <w:t>Of the 42,055 sample units</w:t>
      </w:r>
      <w:r>
        <w:t xml:space="preserve"> selected for the 2014 MEPS-IC</w:t>
      </w:r>
      <w:r w:rsidRPr="00C937FF">
        <w:t>, 27,226 (64.7%) responded, 11,776 (28.0%) did not respond, and 3</w:t>
      </w:r>
      <w:r w:rsidR="00B709E5">
        <w:t>,</w:t>
      </w:r>
      <w:r w:rsidRPr="00C937FF">
        <w:t>053 (7.3%) were out of sample or out of business.</w:t>
      </w:r>
      <w:r>
        <w:t xml:space="preserve">  </w:t>
      </w:r>
      <w:r>
        <w:t>Removing the out of sample and out of business units from the response rate calculation results in a</w:t>
      </w:r>
      <w:r w:rsidR="0038584F">
        <w:t>n unweighted</w:t>
      </w:r>
      <w:r>
        <w:t xml:space="preserve"> response rate of 69.8 percent.</w:t>
      </w:r>
      <w:r>
        <w:t xml:space="preserve">  As shown in the formula below, nonresponse bias is a function of both the nonresponse rate and the difference between the respondent mean and the </w:t>
      </w:r>
      <w:r>
        <w:t>nonrespondent</w:t>
      </w:r>
      <w:r>
        <w:t xml:space="preserve"> mean on the variable of interest:</w:t>
      </w:r>
    </w:p>
    <w:p w:rsidR="00B26F5D" w:rsidP="00B26F5D">
      <w:pPr>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412253</wp:posOffset>
                </wp:positionH>
                <wp:positionV relativeFrom="paragraph">
                  <wp:posOffset>485554</wp:posOffset>
                </wp:positionV>
                <wp:extent cx="374904" cy="265176"/>
                <wp:effectExtent l="0" t="0" r="6350" b="190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4904" cy="265176"/>
                        </a:xfrm>
                        <a:prstGeom prst="rect">
                          <a:avLst/>
                        </a:prstGeom>
                        <a:solidFill>
                          <a:srgbClr val="FFFFFF"/>
                        </a:solidFill>
                        <a:ln w="9525">
                          <a:noFill/>
                          <a:miter lim="800000"/>
                          <a:headEnd/>
                          <a:tailEnd/>
                        </a:ln>
                      </wps:spPr>
                      <wps:txbx>
                        <w:txbxContent>
                          <w:p w:rsidR="00830851" w:rsidRPr="0088257C" w:rsidP="00B26F5D">
                            <w:pPr>
                              <w:spacing w:line="240" w:lineRule="auto"/>
                              <w:rPr>
                                <w:b/>
                              </w:rPr>
                            </w:pPr>
                            <w:r>
                              <w:rPr>
                                <w:b/>
                              </w:rPr>
                              <w:t>OR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5pt;height:20.9pt;margin-top:38.25pt;margin-left:32.45pt;mso-height-percent:0;mso-height-relative:margin;mso-width-percent:0;mso-width-relative:margin;mso-wrap-distance-bottom:0;mso-wrap-distance-left:9pt;mso-wrap-distance-right:9pt;mso-wrap-distance-top:0;mso-wrap-style:square;position:absolute;visibility:visible;v-text-anchor:top;z-index:251659264" stroked="f">
                <v:textbox>
                  <w:txbxContent>
                    <w:p w:rsidR="00830851" w:rsidRPr="0088257C" w:rsidP="00B26F5D">
                      <w:pPr>
                        <w:spacing w:line="240" w:lineRule="auto"/>
                        <w:rPr>
                          <w:b/>
                        </w:rPr>
                      </w:pPr>
                      <w:r>
                        <w:rPr>
                          <w:b/>
                        </w:rPr>
                        <w:t>OR</w:t>
                      </w:r>
                    </w:p>
                  </w:txbxContent>
                </v:textbox>
              </v:shape>
            </w:pict>
          </mc:Fallback>
        </mc:AlternateContent>
      </w:r>
      <w:r>
        <w:rPr>
          <w:noProof/>
        </w:rPr>
        <w:drawing>
          <wp:inline distT="0" distB="0" distL="0" distR="0">
            <wp:extent cx="2345635" cy="618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47293" cy="619055"/>
                    </a:xfrm>
                    <a:prstGeom prst="rect">
                      <a:avLst/>
                    </a:prstGeom>
                    <a:noFill/>
                    <a:ln>
                      <a:noFill/>
                    </a:ln>
                  </pic:spPr>
                </pic:pic>
              </a:graphicData>
            </a:graphic>
          </wp:inline>
        </w:drawing>
      </w:r>
    </w:p>
    <w:p w:rsidR="00B26F5D" w:rsidRPr="0088257C" w:rsidP="00B26F5D">
      <w:pPr>
        <w:spacing w:line="240" w:lineRule="auto"/>
        <w:rPr>
          <w:b/>
        </w:rPr>
      </w:pPr>
      <w:r w:rsidRPr="0088257C">
        <w:rPr>
          <w:b/>
        </w:rPr>
        <w:t>Respondent Mean = Full Sample Mean + (Nonresponse Rate)*(Respondent Mean –</w:t>
      </w:r>
      <w:r w:rsidRPr="0088257C">
        <w:rPr>
          <w:b/>
        </w:rPr>
        <w:t>Nonrespondent</w:t>
      </w:r>
      <w:r w:rsidRPr="0088257C">
        <w:rPr>
          <w:b/>
        </w:rPr>
        <w:t xml:space="preserve"> Mean)</w:t>
      </w:r>
    </w:p>
    <w:p w:rsidR="00B26F5D" w:rsidP="00B26F5D">
      <w:pPr>
        <w:spacing w:line="240" w:lineRule="auto"/>
      </w:pPr>
      <w:r>
        <w:t>In the MEPS-IC we are most concerned about nonresponse bias in our key estimates</w:t>
      </w:r>
      <w:r w:rsidR="004C5764">
        <w:t xml:space="preserve">- </w:t>
      </w:r>
      <w:r>
        <w:t xml:space="preserve">the percent of establishments offering health insurance, the percent of employees offered health insurance and the percent of employees enrolled in health insurance, among other important estimates.  Unfortunately, </w:t>
      </w:r>
      <w:r w:rsidR="004C5764">
        <w:t xml:space="preserve">since </w:t>
      </w:r>
      <w:r>
        <w:t xml:space="preserve">we do not have these estimates for the </w:t>
      </w:r>
      <w:r>
        <w:t>nonresponding</w:t>
      </w:r>
      <w:r>
        <w:t xml:space="preserve"> establishments</w:t>
      </w:r>
      <w:r w:rsidR="004C5764">
        <w:t>,</w:t>
      </w:r>
      <w:r>
        <w:t xml:space="preserve"> we cannot directly measure the potential nonresponse bias in these estimates.  However, from the sampling frame we have data for both responding and nonresponding establishments that are correlated with</w:t>
      </w:r>
      <w:r w:rsidR="0062790C">
        <w:t>, or vary by,</w:t>
      </w:r>
      <w:r>
        <w:t xml:space="preserve"> many of our key estimates.  These var</w:t>
      </w:r>
      <w:r w:rsidR="00343391">
        <w:t>iables include the size of the firm the establishment is in (</w:t>
      </w:r>
      <w:r>
        <w:t>number of employees), the industry group the establishment belongs to</w:t>
      </w:r>
      <w:r w:rsidRPr="001F4770">
        <w:t xml:space="preserve"> </w:t>
      </w:r>
      <w:r>
        <w:t>and the region of the country where the establishment is located (C</w:t>
      </w:r>
      <w:r w:rsidR="0062790C">
        <w:t>ensus division</w:t>
      </w:r>
      <w:r>
        <w:t>).  This analysis will compare the responding establishments to the nonresponding establishments on these sampling frame variables, using both a chi-square test of independence and a t-test to test differences in means</w:t>
      </w:r>
      <w:r w:rsidR="00391D6F">
        <w:t xml:space="preserve"> and percentages</w:t>
      </w:r>
      <w:r>
        <w:t xml:space="preserve">.  </w:t>
      </w:r>
    </w:p>
    <w:p w:rsidR="00B26F5D" w:rsidP="00B26F5D">
      <w:pPr>
        <w:spacing w:line="240" w:lineRule="auto"/>
      </w:pPr>
      <w:r>
        <w:t>The rest of this memo includes three sections where the differences between responding and nonresponding establishments will be tested and discussed,</w:t>
      </w:r>
      <w:r w:rsidR="008904C5">
        <w:t xml:space="preserve"> followed by a discussion of the weighting adjustments for nonresponse bias</w:t>
      </w:r>
      <w:r w:rsidR="0075516C">
        <w:t xml:space="preserve"> and a </w:t>
      </w:r>
      <w:r w:rsidR="00AF2376">
        <w:t>conclusion section.</w:t>
      </w:r>
    </w:p>
    <w:p w:rsidR="00B26F5D" w:rsidP="00B26F5D">
      <w:pPr>
        <w:spacing w:line="240" w:lineRule="auto"/>
        <w:rPr>
          <w:b/>
          <w:u w:val="single"/>
        </w:rPr>
      </w:pPr>
      <w:r>
        <w:rPr>
          <w:b/>
          <w:u w:val="single"/>
        </w:rPr>
        <w:t>Firm</w:t>
      </w:r>
      <w:r w:rsidRPr="008D3927">
        <w:rPr>
          <w:b/>
          <w:u w:val="single"/>
        </w:rPr>
        <w:t xml:space="preserve"> Size:</w:t>
      </w:r>
    </w:p>
    <w:p w:rsidR="00843E03" w:rsidP="00B26F5D">
      <w:r>
        <w:t>Firm</w:t>
      </w:r>
      <w:r w:rsidR="00B26F5D">
        <w:t xml:space="preserve"> size is highly correlated with at least one of our key measures, the percentage of establishments that offer health insurance.  In 2014</w:t>
      </w:r>
      <w:r w:rsidR="004C5764">
        <w:t>,</w:t>
      </w:r>
      <w:r w:rsidR="00B26F5D">
        <w:t xml:space="preserve"> 25.7 percent of private sector establishments</w:t>
      </w:r>
      <w:r>
        <w:t xml:space="preserve"> in firms</w:t>
      </w:r>
      <w:r w:rsidR="00B26F5D">
        <w:t xml:space="preserve"> with less than 10 employees offered health insurance and this percentage increased to establishments</w:t>
      </w:r>
      <w:r>
        <w:t xml:space="preserve"> in firms</w:t>
      </w:r>
      <w:r w:rsidR="00B26F5D">
        <w:t xml:space="preserve"> with 1,000 or more employees where 99.2 percent offered insurance.  Table 1 presents the resu</w:t>
      </w:r>
      <w:r w:rsidR="008C3441">
        <w:t>lts of a chi-square test of</w:t>
      </w:r>
      <w:r w:rsidR="00B26F5D">
        <w:t xml:space="preserve"> the re</w:t>
      </w:r>
      <w:r>
        <w:t>lationship between firm</w:t>
      </w:r>
      <w:r w:rsidR="00B26F5D">
        <w:t xml:space="preserve"> size and </w:t>
      </w:r>
      <w:r w:rsidR="00BA74E5">
        <w:t>response</w:t>
      </w:r>
      <w:r w:rsidR="00B26F5D">
        <w:t>.</w:t>
      </w:r>
      <w:r w:rsidR="008904C5">
        <w:t xml:space="preserve">  The test shows</w:t>
      </w:r>
      <w:r w:rsidR="00DE13D3">
        <w:t xml:space="preserve"> </w:t>
      </w:r>
      <w:r w:rsidRPr="00DE13D3" w:rsidR="00DE13D3">
        <w:t>that response to the MEPS-IC is not independent of firm size</w:t>
      </w:r>
      <w:r w:rsidR="00830851">
        <w:t xml:space="preserve"> and</w:t>
      </w:r>
      <w:r w:rsidR="008904C5">
        <w:t xml:space="preserve"> </w:t>
      </w:r>
      <w:r w:rsidRPr="00830851" w:rsidR="00830851">
        <w:t>this may be a source of nonresponse bias</w:t>
      </w:r>
      <w:r w:rsidR="00830851">
        <w:t>.</w:t>
      </w:r>
      <w:r>
        <w:t xml:space="preserve">  </w:t>
      </w:r>
    </w:p>
    <w:p w:rsidR="008904C5" w:rsidP="00B26F5D">
      <w:r>
        <w:t xml:space="preserve">To identify which firms size categories are possibly the source of this bias, table 2 shows the percent distribution of responding and </w:t>
      </w:r>
      <w:r>
        <w:t>nonresponding</w:t>
      </w:r>
      <w:r>
        <w:t xml:space="preserve"> establishments across the firm size categories and the </w:t>
      </w:r>
      <w:r>
        <w:t xml:space="preserve">results of testing the difference in these percentages.  The results show </w:t>
      </w:r>
      <w:r w:rsidR="001C0AA9">
        <w:t>those establishments</w:t>
      </w:r>
      <w:r>
        <w:t xml:space="preserve"> in firms with less than 10 employees, and those with 25 to 99</w:t>
      </w:r>
      <w:r w:rsidR="00830851">
        <w:t xml:space="preserve"> employees </w:t>
      </w:r>
      <w:r w:rsidRPr="00830851" w:rsidR="00F31B00">
        <w:t>may be a source of nonresponse bias</w:t>
      </w:r>
      <w:r w:rsidR="001C0AA9">
        <w:t>.</w:t>
      </w:r>
    </w:p>
    <w:p w:rsidR="00755248" w:rsidP="00755248">
      <w:pPr>
        <w:spacing w:line="240" w:lineRule="auto"/>
        <w:rPr>
          <w:b/>
          <w:u w:val="single"/>
        </w:rPr>
      </w:pPr>
      <w:r>
        <w:rPr>
          <w:b/>
          <w:u w:val="single"/>
        </w:rPr>
        <w:t>Industry Group:</w:t>
      </w:r>
    </w:p>
    <w:p w:rsidR="00755248" w:rsidP="00755248">
      <w:pPr>
        <w:spacing w:line="240" w:lineRule="auto"/>
      </w:pPr>
      <w:r>
        <w:t xml:space="preserve">Most of the MEPS-IC key estimates vary by industry group.  For example, in 2014 the percent of establishments that offered health insurance to their employees ranged from 23.6 percent for establishments in agriculture, fishing and forestry to 61.8 percent for those in mining and manufacturing.  Table 3 presents the results of a chi-square test of the relationship between industry group and response.  </w:t>
      </w:r>
      <w:r w:rsidR="00830851">
        <w:t xml:space="preserve">The test shows </w:t>
      </w:r>
      <w:r w:rsidRPr="00DE13D3" w:rsidR="00830851">
        <w:t xml:space="preserve">that response to the MEPS-IC is not independent of </w:t>
      </w:r>
      <w:r w:rsidRPr="00830851" w:rsidR="00830851">
        <w:t>industry category</w:t>
      </w:r>
      <w:r w:rsidR="00830851">
        <w:t xml:space="preserve"> and </w:t>
      </w:r>
      <w:r w:rsidRPr="00830851" w:rsidR="00830851">
        <w:t>this may be a source of nonresponse bias</w:t>
      </w:r>
      <w:r w:rsidR="00830851">
        <w:t xml:space="preserve">. </w:t>
      </w:r>
    </w:p>
    <w:p w:rsidR="00755248" w:rsidP="00755248">
      <w:r>
        <w:t xml:space="preserve">To identify which industry category is possibly the source of this bias, table 4 shows the percent distribution of responding and </w:t>
      </w:r>
      <w:r>
        <w:t>nonresponding</w:t>
      </w:r>
      <w:r>
        <w:t xml:space="preserve"> establishments across the industry categories and the results of testing the difference in these percentages.  The results show those establishments in agriculture, fishing and forestry, mining and manufacturing, construction, and professional services </w:t>
      </w:r>
      <w:r w:rsidRPr="00830851" w:rsidR="00F31B00">
        <w:t>may be a source of nonresponse bias</w:t>
      </w:r>
      <w:r>
        <w:t>.</w:t>
      </w:r>
    </w:p>
    <w:p w:rsidR="00755248" w:rsidP="00755248">
      <w:pPr>
        <w:spacing w:line="240" w:lineRule="auto"/>
        <w:rPr>
          <w:b/>
          <w:u w:val="single"/>
        </w:rPr>
      </w:pPr>
      <w:r>
        <w:rPr>
          <w:b/>
          <w:u w:val="single"/>
        </w:rPr>
        <w:t>Census Division</w:t>
      </w:r>
      <w:r w:rsidRPr="008D3927">
        <w:rPr>
          <w:b/>
          <w:u w:val="single"/>
        </w:rPr>
        <w:t>:</w:t>
      </w:r>
    </w:p>
    <w:p w:rsidR="00F4416E" w:rsidP="00755248">
      <w:r>
        <w:t xml:space="preserve">Many of the MEPS-IC key estimates vary by Census division.  For example, in 2013 the percent of employees in establishments that offered health insurance ranged from 82.0 percent for establishments located in West South Central to 88.6 percent for those located in New England.  Table 5 presents the results of a chi-square test of the relationship between Census region and response.  </w:t>
      </w:r>
      <w:r>
        <w:t xml:space="preserve">The test shows </w:t>
      </w:r>
      <w:r w:rsidRPr="00DE13D3">
        <w:t xml:space="preserve">that response to the MEPS-IC is not independent of </w:t>
      </w:r>
      <w:r>
        <w:t xml:space="preserve">Census division and </w:t>
      </w:r>
      <w:r w:rsidRPr="00830851">
        <w:t>this may be a source of nonresponse bias</w:t>
      </w:r>
      <w:r>
        <w:t xml:space="preserve">.  </w:t>
      </w:r>
    </w:p>
    <w:p w:rsidR="00DB27E1" w:rsidP="00755248">
      <w:r>
        <w:t xml:space="preserve">To identify which Census division is possibly the source of this bias, table 6 shows the percent distribution of responding and </w:t>
      </w:r>
      <w:r>
        <w:t>nonresponding</w:t>
      </w:r>
      <w:r>
        <w:t xml:space="preserve"> establishments across divisions and the results of testing the difference in these percentages.  The results show those establishments located in </w:t>
      </w:r>
      <w:r w:rsidR="009110A2">
        <w:t>6 of the 9 divisions</w:t>
      </w:r>
      <w:r>
        <w:t xml:space="preserve"> </w:t>
      </w:r>
      <w:r w:rsidRPr="00F31B00" w:rsidR="00F31B00">
        <w:t>may be a source of nonresponse bias</w:t>
      </w:r>
      <w:r>
        <w:t>.</w:t>
      </w:r>
    </w:p>
    <w:p w:rsidR="0075516C" w:rsidP="0075516C">
      <w:pPr>
        <w:spacing w:line="240" w:lineRule="auto"/>
        <w:rPr>
          <w:b/>
          <w:u w:val="single"/>
        </w:rPr>
      </w:pPr>
      <w:r>
        <w:rPr>
          <w:b/>
          <w:u w:val="single"/>
        </w:rPr>
        <w:t>Weighting adjustments for nonresponse bias:</w:t>
      </w:r>
    </w:p>
    <w:p w:rsidR="0075516C" w:rsidRPr="00E036DA" w:rsidP="0075516C">
      <w:pPr>
        <w:spacing w:line="240" w:lineRule="auto"/>
        <w:rPr>
          <w:iCs/>
        </w:rPr>
      </w:pPr>
      <w:r w:rsidRPr="00E036DA">
        <w:rPr>
          <w:iCs/>
        </w:rPr>
        <w:t xml:space="preserve">The base sampling weights of the respondents to the MEPS-IC are adjusted so that the respondents </w:t>
      </w:r>
      <w:r w:rsidRPr="00E036DA" w:rsidR="009B0D93">
        <w:rPr>
          <w:iCs/>
        </w:rPr>
        <w:t xml:space="preserve">also </w:t>
      </w:r>
      <w:r w:rsidRPr="00E036DA">
        <w:rPr>
          <w:iCs/>
        </w:rPr>
        <w:t>repres</w:t>
      </w:r>
      <w:r w:rsidRPr="00E036DA" w:rsidR="0047432D">
        <w:rPr>
          <w:iCs/>
        </w:rPr>
        <w:t xml:space="preserve">ent the </w:t>
      </w:r>
      <w:r w:rsidRPr="00E036DA" w:rsidR="0047432D">
        <w:rPr>
          <w:iCs/>
        </w:rPr>
        <w:t>nonrespondents</w:t>
      </w:r>
      <w:r w:rsidRPr="00E036DA" w:rsidR="0047432D">
        <w:rPr>
          <w:iCs/>
        </w:rPr>
        <w:t xml:space="preserve"> while </w:t>
      </w:r>
      <w:r w:rsidRPr="00E036DA" w:rsidR="009B0D93">
        <w:rPr>
          <w:iCs/>
        </w:rPr>
        <w:t>minimizing the bias associated with</w:t>
      </w:r>
      <w:r w:rsidRPr="00E036DA" w:rsidR="0047432D">
        <w:rPr>
          <w:iCs/>
        </w:rPr>
        <w:t xml:space="preserve"> nonresponse. The adjust</w:t>
      </w:r>
      <w:r w:rsidRPr="00E036DA" w:rsidR="009B0D93">
        <w:rPr>
          <w:iCs/>
        </w:rPr>
        <w:t xml:space="preserve">ment is made by controlling </w:t>
      </w:r>
      <w:r w:rsidRPr="00E036DA" w:rsidR="00C75BAE">
        <w:rPr>
          <w:iCs/>
        </w:rPr>
        <w:t>fi</w:t>
      </w:r>
      <w:r w:rsidRPr="00E036DA" w:rsidR="0047432D">
        <w:rPr>
          <w:iCs/>
        </w:rPr>
        <w:t xml:space="preserve">rm size, establishment </w:t>
      </w:r>
      <w:r w:rsidRPr="00E036DA" w:rsidR="00C75BAE">
        <w:rPr>
          <w:iCs/>
        </w:rPr>
        <w:t>size, industry group, type of fi</w:t>
      </w:r>
      <w:r w:rsidRPr="00E036DA" w:rsidR="0047432D">
        <w:rPr>
          <w:iCs/>
        </w:rPr>
        <w:t>rm</w:t>
      </w:r>
      <w:r w:rsidRPr="00E036DA" w:rsidR="00C75BAE">
        <w:rPr>
          <w:iCs/>
        </w:rPr>
        <w:t>,</w:t>
      </w:r>
      <w:r w:rsidRPr="00E036DA" w:rsidR="0047432D">
        <w:rPr>
          <w:iCs/>
        </w:rPr>
        <w:t xml:space="preserve"> </w:t>
      </w:r>
      <w:r w:rsidRPr="00E036DA" w:rsidR="00C75BAE">
        <w:rPr>
          <w:iCs/>
        </w:rPr>
        <w:t xml:space="preserve">and </w:t>
      </w:r>
      <w:r w:rsidRPr="00E036DA" w:rsidR="0047432D">
        <w:rPr>
          <w:iCs/>
        </w:rPr>
        <w:t>state</w:t>
      </w:r>
      <w:r w:rsidRPr="00E036DA" w:rsidR="00C75BAE">
        <w:rPr>
          <w:iCs/>
        </w:rPr>
        <w:t xml:space="preserve">.  </w:t>
      </w:r>
      <w:r w:rsidRPr="00E036DA" w:rsidR="0047432D">
        <w:rPr>
          <w:iCs/>
        </w:rPr>
        <w:t xml:space="preserve"> </w:t>
      </w:r>
      <w:r w:rsidRPr="00E036DA" w:rsidR="00C75BAE">
        <w:rPr>
          <w:iCs/>
        </w:rPr>
        <w:t>Thus,</w:t>
      </w:r>
      <w:r w:rsidRPr="00E036DA" w:rsidR="006E762F">
        <w:rPr>
          <w:iCs/>
        </w:rPr>
        <w:t xml:space="preserve"> a </w:t>
      </w:r>
      <w:r w:rsidRPr="00E036DA" w:rsidR="006E762F">
        <w:rPr>
          <w:iCs/>
        </w:rPr>
        <w:t>nonresponding</w:t>
      </w:r>
      <w:r w:rsidRPr="00E036DA" w:rsidR="006E762F">
        <w:rPr>
          <w:iCs/>
        </w:rPr>
        <w:t xml:space="preserve"> establishment is represented by a responding establishment with characteristics similar to the extent possible in terms of these variables. </w:t>
      </w:r>
      <w:r w:rsidRPr="00E036DA" w:rsidR="00C75BAE">
        <w:rPr>
          <w:iCs/>
        </w:rPr>
        <w:t>A</w:t>
      </w:r>
      <w:r w:rsidRPr="00E036DA" w:rsidR="009B0D93">
        <w:rPr>
          <w:iCs/>
        </w:rPr>
        <w:t xml:space="preserve"> raking procedure </w:t>
      </w:r>
      <w:r w:rsidRPr="00E036DA" w:rsidR="00C75BAE">
        <w:rPr>
          <w:iCs/>
        </w:rPr>
        <w:t xml:space="preserve">is applied </w:t>
      </w:r>
      <w:r w:rsidRPr="00E036DA" w:rsidR="009B0D93">
        <w:rPr>
          <w:iCs/>
        </w:rPr>
        <w:t xml:space="preserve">to adjust the weights of the respondents to represent all eligible establishments on the frame (i.e., both respondents and </w:t>
      </w:r>
      <w:r w:rsidRPr="00E036DA" w:rsidR="009B0D93">
        <w:rPr>
          <w:iCs/>
        </w:rPr>
        <w:t>nonrespondents</w:t>
      </w:r>
      <w:r w:rsidRPr="00E036DA" w:rsidR="009B0D93">
        <w:rPr>
          <w:iCs/>
        </w:rPr>
        <w:t xml:space="preserve">) while </w:t>
      </w:r>
      <w:r w:rsidRPr="00E036DA" w:rsidR="00026D69">
        <w:rPr>
          <w:iCs/>
        </w:rPr>
        <w:t xml:space="preserve">controlling for the marginal distributions of all these variables. The raking adjustment is expected to reduce any bias due to nonresponse to the extent the MEPS-IC estimates are associated with the </w:t>
      </w:r>
      <w:r w:rsidRPr="00E036DA" w:rsidR="006E762F">
        <w:rPr>
          <w:iCs/>
        </w:rPr>
        <w:t>characteristics</w:t>
      </w:r>
      <w:r w:rsidRPr="00E036DA" w:rsidR="00026D69">
        <w:rPr>
          <w:iCs/>
        </w:rPr>
        <w:t xml:space="preserve"> used in the raking </w:t>
      </w:r>
      <w:r w:rsidRPr="00E036DA" w:rsidR="009371E9">
        <w:rPr>
          <w:iCs/>
        </w:rPr>
        <w:t>procedure</w:t>
      </w:r>
      <w:r w:rsidRPr="00E036DA" w:rsidR="00026D69">
        <w:rPr>
          <w:iCs/>
        </w:rPr>
        <w:t>.</w:t>
      </w:r>
      <w:r w:rsidRPr="00E036DA" w:rsidR="006E762F">
        <w:rPr>
          <w:iCs/>
        </w:rPr>
        <w:t xml:space="preserve"> </w:t>
      </w:r>
      <w:r w:rsidRPr="00E036DA" w:rsidR="00360F2B">
        <w:rPr>
          <w:iCs/>
        </w:rPr>
        <w:t xml:space="preserve"> Since the MEPS-IC estimates are </w:t>
      </w:r>
      <w:r w:rsidRPr="00E036DA" w:rsidR="009371E9">
        <w:rPr>
          <w:iCs/>
        </w:rPr>
        <w:t xml:space="preserve">generally </w:t>
      </w:r>
      <w:r w:rsidRPr="00E036DA" w:rsidR="00360F2B">
        <w:rPr>
          <w:iCs/>
        </w:rPr>
        <w:t xml:space="preserve">highly correlated with these characteristics, </w:t>
      </w:r>
      <w:r w:rsidRPr="00E036DA" w:rsidR="009371E9">
        <w:rPr>
          <w:iCs/>
        </w:rPr>
        <w:t>the weighting adjustment is</w:t>
      </w:r>
      <w:r w:rsidRPr="00E036DA" w:rsidR="00360F2B">
        <w:rPr>
          <w:iCs/>
        </w:rPr>
        <w:t xml:space="preserve"> expected to </w:t>
      </w:r>
      <w:r w:rsidRPr="00E036DA" w:rsidR="009371E9">
        <w:rPr>
          <w:iCs/>
        </w:rPr>
        <w:t>minimize the nonresponse bias</w:t>
      </w:r>
      <w:r w:rsidRPr="00E036DA" w:rsidR="00360F2B">
        <w:rPr>
          <w:iCs/>
        </w:rPr>
        <w:t xml:space="preserve"> to a large extent.</w:t>
      </w:r>
      <w:r w:rsidRPr="00E036DA" w:rsidR="00026D69">
        <w:rPr>
          <w:iCs/>
        </w:rPr>
        <w:t xml:space="preserve"> </w:t>
      </w:r>
    </w:p>
    <w:p w:rsidR="00472E08" w:rsidP="0075516C">
      <w:pPr>
        <w:spacing w:line="240" w:lineRule="auto"/>
        <w:rPr>
          <w:b/>
          <w:u w:val="single"/>
        </w:rPr>
      </w:pPr>
    </w:p>
    <w:p w:rsidR="0075516C" w:rsidP="0075516C">
      <w:pPr>
        <w:spacing w:line="240" w:lineRule="auto"/>
      </w:pPr>
      <w:r>
        <w:rPr>
          <w:b/>
          <w:u w:val="single"/>
        </w:rPr>
        <w:t>Conclusion:</w:t>
      </w:r>
      <w:r>
        <w:t xml:space="preserve"> </w:t>
      </w:r>
    </w:p>
    <w:p w:rsidR="006B4E0E" w:rsidP="0075516C">
      <w:pPr>
        <w:spacing w:line="240" w:lineRule="auto"/>
      </w:pPr>
      <w:r>
        <w:t>The results of this analysis show that there is</w:t>
      </w:r>
      <w:r w:rsidR="00A11145">
        <w:t xml:space="preserve"> the</w:t>
      </w:r>
      <w:r>
        <w:t xml:space="preserve"> potential </w:t>
      </w:r>
      <w:r w:rsidR="00A11145">
        <w:t xml:space="preserve">for </w:t>
      </w:r>
      <w:r>
        <w:t xml:space="preserve">nonresponse bias in the MEPS-IC.  </w:t>
      </w:r>
      <w:r>
        <w:t>A</w:t>
      </w:r>
      <w:r w:rsidRPr="006B4E0E">
        <w:t>lthough we never really know the extent of any bias in the</w:t>
      </w:r>
      <w:r>
        <w:t xml:space="preserve"> survey estimates, </w:t>
      </w:r>
      <w:r w:rsidRPr="006B4E0E">
        <w:t>since the distributions of res</w:t>
      </w:r>
      <w:r>
        <w:t>ponding</w:t>
      </w:r>
      <w:r w:rsidRPr="006B4E0E">
        <w:t xml:space="preserve"> and </w:t>
      </w:r>
      <w:r w:rsidRPr="006B4E0E">
        <w:t>nonres</w:t>
      </w:r>
      <w:r>
        <w:t>ponding</w:t>
      </w:r>
      <w:r w:rsidRPr="006B4E0E">
        <w:t xml:space="preserve"> establishments are close</w:t>
      </w:r>
      <w:r>
        <w:t>,</w:t>
      </w:r>
      <w:r w:rsidRPr="006B4E0E">
        <w:t xml:space="preserve"> and since the weighting adjustment takes into account the important variables by which MEPS-IC estimates mostly vary, </w:t>
      </w:r>
      <w:r w:rsidRPr="00472E08" w:rsidR="00472E08">
        <w:t>we can be fairly confident that, to the extent possible, nonresponse bias has been addressed in the MEPS-IC</w:t>
      </w:r>
      <w:r w:rsidR="00472E08">
        <w:t>.</w:t>
      </w:r>
    </w:p>
    <w:p w:rsidR="00472E08" w:rsidP="0075516C">
      <w:pPr>
        <w:spacing w:line="240" w:lineRule="auto"/>
      </w:pPr>
    </w:p>
    <w:p w:rsidR="00472E08" w:rsidP="0075516C">
      <w:pPr>
        <w:spacing w:line="240" w:lineRule="auto"/>
      </w:pPr>
    </w:p>
    <w:tbl>
      <w:tblPr>
        <w:tblDescription w:val="Page Layout"/>
        <w:tblW w:w="7942" w:type="dxa"/>
        <w:tblInd w:w="93" w:type="dxa"/>
        <w:tblLook w:val="04A0"/>
      </w:tblPr>
      <w:tblGrid>
        <w:gridCol w:w="1153"/>
        <w:gridCol w:w="107"/>
        <w:gridCol w:w="305"/>
        <w:gridCol w:w="1207"/>
        <w:gridCol w:w="497"/>
        <w:gridCol w:w="53"/>
        <w:gridCol w:w="1078"/>
        <w:gridCol w:w="565"/>
        <w:gridCol w:w="406"/>
        <w:gridCol w:w="774"/>
        <w:gridCol w:w="394"/>
        <w:gridCol w:w="399"/>
        <w:gridCol w:w="7"/>
        <w:gridCol w:w="591"/>
        <w:gridCol w:w="251"/>
        <w:gridCol w:w="155"/>
      </w:tblGrid>
      <w:tr w:rsidTr="00E036DA">
        <w:tblPrEx>
          <w:tblW w:w="7942" w:type="dxa"/>
          <w:tblInd w:w="93" w:type="dxa"/>
          <w:tblLook w:val="04A0"/>
        </w:tblPrEx>
        <w:trPr>
          <w:gridAfter w:val="2"/>
          <w:wAfter w:w="406" w:type="dxa"/>
          <w:trHeight w:val="300"/>
        </w:trPr>
        <w:tc>
          <w:tcPr>
            <w:tcW w:w="1260" w:type="dxa"/>
            <w:gridSpan w:val="2"/>
            <w:tcBorders>
              <w:bottom w:val="nil"/>
              <w:right w:val="single" w:sz="4" w:space="0" w:color="auto"/>
            </w:tcBorders>
            <w:shd w:val="clear" w:color="auto" w:fill="auto"/>
            <w:noWrap/>
            <w:vAlign w:val="bottom"/>
          </w:tcPr>
          <w:p w:rsidR="00E37086" w:rsidRPr="00755248" w:rsidP="00E37086">
            <w:pPr>
              <w:spacing w:after="0" w:line="240" w:lineRule="auto"/>
              <w:rPr>
                <w:rFonts w:ascii="Calibri" w:eastAsia="Times New Roman" w:hAnsi="Calibri" w:cs="Times New Roman"/>
                <w:color w:val="000000"/>
              </w:rPr>
            </w:pPr>
          </w:p>
        </w:tc>
        <w:tc>
          <w:tcPr>
            <w:tcW w:w="627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708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Table 1. Chi-Square of Response by Firm Size, 2014 MEPS-IC</w:t>
            </w:r>
          </w:p>
        </w:tc>
      </w:tr>
      <w:tr w:rsidTr="00E036DA">
        <w:tblPrEx>
          <w:tblW w:w="7942" w:type="dxa"/>
          <w:tblInd w:w="93" w:type="dxa"/>
          <w:tblLook w:val="04A0"/>
        </w:tblPrEx>
        <w:trPr>
          <w:gridAfter w:val="2"/>
          <w:wAfter w:w="406" w:type="dxa"/>
          <w:trHeight w:val="300"/>
        </w:trPr>
        <w:tc>
          <w:tcPr>
            <w:tcW w:w="1260" w:type="dxa"/>
            <w:gridSpan w:val="2"/>
            <w:tcBorders>
              <w:top w:val="nil"/>
              <w:bottom w:val="single" w:sz="4" w:space="0" w:color="auto"/>
              <w:right w:val="single" w:sz="4" w:space="0" w:color="auto"/>
            </w:tcBorders>
            <w:shd w:val="clear" w:color="auto" w:fill="auto"/>
            <w:noWrap/>
            <w:vAlign w:val="bottom"/>
          </w:tcPr>
          <w:p w:rsidR="00E3708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708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Firm Size</w:t>
            </w:r>
          </w:p>
        </w:tc>
        <w:tc>
          <w:tcPr>
            <w:tcW w:w="1628" w:type="dxa"/>
            <w:gridSpan w:val="3"/>
            <w:tcBorders>
              <w:top w:val="nil"/>
              <w:left w:val="nil"/>
              <w:bottom w:val="single" w:sz="4" w:space="0" w:color="auto"/>
              <w:right w:val="single" w:sz="4" w:space="0" w:color="auto"/>
            </w:tcBorders>
            <w:shd w:val="clear" w:color="auto" w:fill="auto"/>
            <w:noWrap/>
            <w:vAlign w:val="bottom"/>
            <w:hideMark/>
          </w:tcPr>
          <w:p w:rsidR="00E37086" w:rsidRPr="00755248" w:rsidP="00290B2A">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Responding (</w:t>
            </w:r>
            <w:r w:rsidRPr="00755248" w:rsidR="008370C0">
              <w:rPr>
                <w:rFonts w:ascii="Calibri" w:eastAsia="Times New Roman" w:hAnsi="Calibri" w:cs="Times New Roman"/>
                <w:color w:val="000000"/>
              </w:rPr>
              <w:t>N</w:t>
            </w:r>
            <w:r w:rsidRPr="00755248">
              <w:rPr>
                <w:rFonts w:ascii="Calibri" w:eastAsia="Times New Roman" w:hAnsi="Calibri" w:cs="Times New Roman"/>
                <w:color w:val="000000"/>
              </w:rPr>
              <w:t>)</w:t>
            </w:r>
          </w:p>
        </w:tc>
        <w:tc>
          <w:tcPr>
            <w:tcW w:w="2139" w:type="dxa"/>
            <w:gridSpan w:val="4"/>
            <w:tcBorders>
              <w:top w:val="nil"/>
              <w:left w:val="nil"/>
              <w:bottom w:val="single" w:sz="4" w:space="0" w:color="auto"/>
              <w:right w:val="single" w:sz="4" w:space="0" w:color="auto"/>
            </w:tcBorders>
            <w:shd w:val="clear" w:color="auto" w:fill="auto"/>
            <w:noWrap/>
            <w:vAlign w:val="bottom"/>
            <w:hideMark/>
          </w:tcPr>
          <w:p w:rsidR="00E3708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Nonrespond</w:t>
            </w:r>
            <w:r w:rsidRPr="00755248">
              <w:rPr>
                <w:rFonts w:ascii="Calibri" w:eastAsia="Times New Roman" w:hAnsi="Calibri" w:cs="Times New Roman"/>
                <w:color w:val="000000"/>
              </w:rPr>
              <w:t>ing (N)</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E3708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Total</w:t>
            </w:r>
          </w:p>
        </w:tc>
      </w:tr>
      <w:tr w:rsidTr="00E036DA">
        <w:tblPrEx>
          <w:tblW w:w="7942" w:type="dxa"/>
          <w:tblInd w:w="93" w:type="dxa"/>
          <w:tblLook w:val="04A0"/>
        </w:tblPrEx>
        <w:trPr>
          <w:gridAfter w:val="2"/>
          <w:wAfter w:w="406" w:type="dxa"/>
          <w:trHeight w:val="300"/>
        </w:trPr>
        <w:tc>
          <w:tcPr>
            <w:tcW w:w="1260" w:type="dxa"/>
            <w:gridSpan w:val="2"/>
            <w:tcBorders>
              <w:top w:val="single" w:sz="4" w:space="0" w:color="auto"/>
              <w:left w:val="single" w:sz="4" w:space="0" w:color="auto"/>
              <w:bottom w:val="nil"/>
              <w:right w:val="single" w:sz="4" w:space="0" w:color="auto"/>
            </w:tcBorders>
            <w:shd w:val="clear" w:color="auto" w:fill="auto"/>
            <w:noWrap/>
            <w:vAlign w:val="bottom"/>
          </w:tcPr>
          <w:p w:rsidR="00912356" w:rsidRPr="00755248" w:rsidP="00E66054">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Frequency</w:t>
            </w: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Less than 10</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2653849</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1263299</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3917148</w:t>
            </w:r>
          </w:p>
        </w:tc>
      </w:tr>
      <w:tr w:rsidTr="00E036DA">
        <w:tblPrEx>
          <w:tblW w:w="7942" w:type="dxa"/>
          <w:tblInd w:w="93" w:type="dxa"/>
          <w:tblLook w:val="04A0"/>
        </w:tblPrEx>
        <w:trPr>
          <w:gridAfter w:val="2"/>
          <w:wAfter w:w="406" w:type="dxa"/>
          <w:trHeight w:val="300"/>
        </w:trPr>
        <w:tc>
          <w:tcPr>
            <w:tcW w:w="1260" w:type="dxa"/>
            <w:gridSpan w:val="2"/>
            <w:tcBorders>
              <w:top w:val="nil"/>
              <w:left w:val="single" w:sz="4" w:space="0" w:color="auto"/>
              <w:bottom w:val="nil"/>
              <w:right w:val="single" w:sz="4" w:space="0" w:color="auto"/>
            </w:tcBorders>
            <w:shd w:val="clear" w:color="auto" w:fill="auto"/>
            <w:noWrap/>
            <w:vAlign w:val="bottom"/>
          </w:tcPr>
          <w:p w:rsidR="00912356" w:rsidRPr="00755248" w:rsidP="00E66054">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Expected</w:t>
            </w: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2685550</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1231598</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single" w:sz="4" w:space="0" w:color="auto"/>
              <w:right w:val="single" w:sz="4" w:space="0" w:color="auto"/>
            </w:tcBorders>
            <w:shd w:val="clear" w:color="auto" w:fill="auto"/>
            <w:noWrap/>
            <w:vAlign w:val="bottom"/>
          </w:tcPr>
          <w:p w:rsidR="00912356" w:rsidRPr="00755248" w:rsidP="00E66054">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Percent</w:t>
            </w: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39.96</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19.02</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58.98</w:t>
            </w:r>
          </w:p>
        </w:tc>
      </w:tr>
      <w:tr w:rsidTr="00E036DA">
        <w:tblPrEx>
          <w:tblW w:w="7942" w:type="dxa"/>
          <w:tblInd w:w="93" w:type="dxa"/>
          <w:tblLook w:val="04A0"/>
        </w:tblPrEx>
        <w:trPr>
          <w:gridAfter w:val="2"/>
          <w:wAfter w:w="406" w:type="dxa"/>
          <w:trHeight w:val="300"/>
        </w:trPr>
        <w:tc>
          <w:tcPr>
            <w:tcW w:w="1260" w:type="dxa"/>
            <w:gridSpan w:val="2"/>
            <w:tcBorders>
              <w:top w:val="nil"/>
              <w:left w:val="single" w:sz="4" w:space="0" w:color="auto"/>
              <w:bottom w:val="nil"/>
              <w:right w:val="single" w:sz="4" w:space="0" w:color="auto"/>
            </w:tcBorders>
            <w:shd w:val="clear" w:color="auto" w:fill="auto"/>
            <w:noWrap/>
            <w:vAlign w:val="bottom"/>
          </w:tcPr>
          <w:p w:rsidR="00912356" w:rsidRPr="00755248" w:rsidP="00E66054">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xml:space="preserve">Row </w:t>
            </w:r>
            <w:r w:rsidRPr="00755248">
              <w:rPr>
                <w:rFonts w:ascii="Calibri" w:eastAsia="Times New Roman" w:hAnsi="Calibri" w:cs="Times New Roman"/>
                <w:color w:val="000000"/>
              </w:rPr>
              <w:t>Pct</w:t>
            </w: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67.75</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32.25</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single" w:sz="4" w:space="0" w:color="auto"/>
              <w:bottom w:val="single" w:sz="4" w:space="0" w:color="auto"/>
              <w:right w:val="single" w:sz="4" w:space="0" w:color="auto"/>
            </w:tcBorders>
            <w:shd w:val="clear" w:color="auto" w:fill="auto"/>
            <w:noWrap/>
            <w:vAlign w:val="bottom"/>
          </w:tcPr>
          <w:p w:rsidR="00912356" w:rsidRPr="00755248" w:rsidP="00E66054">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xml:space="preserve">Col </w:t>
            </w:r>
            <w:r w:rsidRPr="00755248">
              <w:rPr>
                <w:rFonts w:ascii="Calibri" w:eastAsia="Times New Roman" w:hAnsi="Calibri" w:cs="Times New Roman"/>
                <w:color w:val="000000"/>
              </w:rPr>
              <w:t>Pct</w:t>
            </w:r>
          </w:p>
        </w:tc>
        <w:tc>
          <w:tcPr>
            <w:tcW w:w="1512"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58.29</w:t>
            </w:r>
          </w:p>
        </w:tc>
        <w:tc>
          <w:tcPr>
            <w:tcW w:w="2139" w:type="dxa"/>
            <w:gridSpan w:val="4"/>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60.5</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single" w:sz="4" w:space="0" w:color="auto"/>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10 to 24</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550138</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240744</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790882</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542219</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248663</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8.28</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3.63</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11.91</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69.56</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30.44</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12.08</w:t>
            </w:r>
          </w:p>
        </w:tc>
        <w:tc>
          <w:tcPr>
            <w:tcW w:w="2139" w:type="dxa"/>
            <w:gridSpan w:val="4"/>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11.53</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25 to 99</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377294</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146313</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523607</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358979</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164628</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5.68</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2.2</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7.88</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72.06</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27.94</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8.29</w:t>
            </w:r>
          </w:p>
        </w:tc>
        <w:tc>
          <w:tcPr>
            <w:tcW w:w="2139" w:type="dxa"/>
            <w:gridSpan w:val="4"/>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7.01</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100 to 999</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298031</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138730</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436762</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299439</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137323</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4.49</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2.09</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6.58</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68.24</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31.76</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6.55</w:t>
            </w:r>
          </w:p>
        </w:tc>
        <w:tc>
          <w:tcPr>
            <w:tcW w:w="2139" w:type="dxa"/>
            <w:gridSpan w:val="4"/>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6.64</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1,000 or more</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673818</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298987</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972805</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666944</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305861</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10.15</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4.5</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14.65</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69.27</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30.73</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356" w:rsidRPr="00755248" w:rsidP="00E37086">
            <w:pPr>
              <w:spacing w:after="0" w:line="240" w:lineRule="auto"/>
              <w:jc w:val="center"/>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14.8</w:t>
            </w:r>
          </w:p>
        </w:tc>
        <w:tc>
          <w:tcPr>
            <w:tcW w:w="2139" w:type="dxa"/>
            <w:gridSpan w:val="4"/>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14.32</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Total</w:t>
            </w:r>
          </w:p>
        </w:tc>
        <w:tc>
          <w:tcPr>
            <w:tcW w:w="1628"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4553130</w:t>
            </w:r>
          </w:p>
        </w:tc>
        <w:tc>
          <w:tcPr>
            <w:tcW w:w="2139" w:type="dxa"/>
            <w:gridSpan w:val="4"/>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2088073</w:t>
            </w:r>
          </w:p>
        </w:tc>
        <w:tc>
          <w:tcPr>
            <w:tcW w:w="997" w:type="dxa"/>
            <w:gridSpan w:val="3"/>
            <w:tcBorders>
              <w:top w:val="nil"/>
              <w:left w:val="nil"/>
              <w:bottom w:val="nil"/>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6641204</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912356"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356"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c>
          <w:tcPr>
            <w:tcW w:w="1628"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68.56</w:t>
            </w:r>
          </w:p>
        </w:tc>
        <w:tc>
          <w:tcPr>
            <w:tcW w:w="2139" w:type="dxa"/>
            <w:gridSpan w:val="4"/>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31.44</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912356"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100</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843E03" w:rsidRPr="00755248" w:rsidP="00E37086">
            <w:pPr>
              <w:spacing w:after="0" w:line="240" w:lineRule="auto"/>
              <w:rPr>
                <w:rFonts w:ascii="Calibri" w:eastAsia="Times New Roman" w:hAnsi="Calibri" w:cs="Times New Roman"/>
                <w:color w:val="000000"/>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Statistic</w:t>
            </w:r>
          </w:p>
        </w:tc>
        <w:tc>
          <w:tcPr>
            <w:tcW w:w="1628" w:type="dxa"/>
            <w:gridSpan w:val="3"/>
            <w:tcBorders>
              <w:top w:val="single" w:sz="4" w:space="0" w:color="auto"/>
              <w:left w:val="nil"/>
              <w:bottom w:val="single" w:sz="4" w:space="0" w:color="auto"/>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DF</w:t>
            </w:r>
          </w:p>
        </w:tc>
        <w:tc>
          <w:tcPr>
            <w:tcW w:w="2139" w:type="dxa"/>
            <w:gridSpan w:val="4"/>
            <w:tcBorders>
              <w:top w:val="single" w:sz="4" w:space="0" w:color="auto"/>
              <w:left w:val="nil"/>
              <w:bottom w:val="single" w:sz="4" w:space="0" w:color="auto"/>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Value</w:t>
            </w:r>
          </w:p>
        </w:tc>
        <w:tc>
          <w:tcPr>
            <w:tcW w:w="997" w:type="dxa"/>
            <w:gridSpan w:val="3"/>
            <w:tcBorders>
              <w:top w:val="single" w:sz="4" w:space="0" w:color="auto"/>
              <w:left w:val="nil"/>
              <w:bottom w:val="single" w:sz="4" w:space="0" w:color="auto"/>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Prob</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843E03"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nil"/>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Chi-Square</w:t>
            </w:r>
          </w:p>
        </w:tc>
        <w:tc>
          <w:tcPr>
            <w:tcW w:w="1628" w:type="dxa"/>
            <w:gridSpan w:val="3"/>
            <w:tcBorders>
              <w:top w:val="nil"/>
              <w:left w:val="nil"/>
              <w:bottom w:val="nil"/>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4</w:t>
            </w:r>
          </w:p>
        </w:tc>
        <w:tc>
          <w:tcPr>
            <w:tcW w:w="2139" w:type="dxa"/>
            <w:gridSpan w:val="4"/>
            <w:tcBorders>
              <w:top w:val="nil"/>
              <w:left w:val="nil"/>
              <w:bottom w:val="nil"/>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4776.6482</w:t>
            </w:r>
          </w:p>
        </w:tc>
        <w:tc>
          <w:tcPr>
            <w:tcW w:w="997" w:type="dxa"/>
            <w:gridSpan w:val="3"/>
            <w:tcBorders>
              <w:top w:val="nil"/>
              <w:left w:val="nil"/>
              <w:bottom w:val="nil"/>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&lt;.0001</w:t>
            </w:r>
          </w:p>
        </w:tc>
      </w:tr>
      <w:tr w:rsidTr="00E036DA">
        <w:tblPrEx>
          <w:tblW w:w="7942" w:type="dxa"/>
          <w:tblInd w:w="93" w:type="dxa"/>
          <w:tblLook w:val="04A0"/>
        </w:tblPrEx>
        <w:trPr>
          <w:gridAfter w:val="2"/>
          <w:wAfter w:w="406" w:type="dxa"/>
          <w:trHeight w:val="300"/>
        </w:trPr>
        <w:tc>
          <w:tcPr>
            <w:tcW w:w="1260" w:type="dxa"/>
            <w:gridSpan w:val="2"/>
            <w:tcBorders>
              <w:top w:val="nil"/>
              <w:left w:val="nil"/>
              <w:bottom w:val="nil"/>
              <w:right w:val="nil"/>
            </w:tcBorders>
            <w:shd w:val="clear" w:color="auto" w:fill="auto"/>
            <w:noWrap/>
            <w:vAlign w:val="bottom"/>
          </w:tcPr>
          <w:p w:rsidR="00843E03" w:rsidRPr="00755248" w:rsidP="00E37086">
            <w:pPr>
              <w:spacing w:after="0" w:line="240" w:lineRule="auto"/>
              <w:rPr>
                <w:rFonts w:ascii="Calibri" w:eastAsia="Times New Roman" w:hAnsi="Calibri" w:cs="Times New Roman"/>
                <w:color w:val="000000"/>
              </w:rPr>
            </w:pPr>
          </w:p>
        </w:tc>
        <w:tc>
          <w:tcPr>
            <w:tcW w:w="1512" w:type="dxa"/>
            <w:gridSpan w:val="2"/>
            <w:tcBorders>
              <w:top w:val="nil"/>
              <w:left w:val="single" w:sz="4" w:space="0" w:color="auto"/>
              <w:bottom w:val="single" w:sz="4" w:space="0" w:color="auto"/>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Cramer's V</w:t>
            </w:r>
          </w:p>
        </w:tc>
        <w:tc>
          <w:tcPr>
            <w:tcW w:w="1628" w:type="dxa"/>
            <w:gridSpan w:val="3"/>
            <w:tcBorders>
              <w:top w:val="nil"/>
              <w:left w:val="nil"/>
              <w:bottom w:val="single" w:sz="4" w:space="0" w:color="auto"/>
              <w:right w:val="single" w:sz="4" w:space="0" w:color="auto"/>
            </w:tcBorders>
            <w:shd w:val="clear" w:color="auto" w:fill="auto"/>
            <w:noWrap/>
            <w:vAlign w:val="bottom"/>
            <w:hideMark/>
          </w:tcPr>
          <w:p w:rsidR="00843E03"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 </w:t>
            </w:r>
          </w:p>
        </w:tc>
        <w:tc>
          <w:tcPr>
            <w:tcW w:w="2139" w:type="dxa"/>
            <w:gridSpan w:val="4"/>
            <w:tcBorders>
              <w:top w:val="nil"/>
              <w:left w:val="nil"/>
              <w:bottom w:val="single" w:sz="4" w:space="0" w:color="auto"/>
              <w:right w:val="single" w:sz="4" w:space="0" w:color="auto"/>
            </w:tcBorders>
            <w:shd w:val="clear" w:color="auto" w:fill="auto"/>
            <w:noWrap/>
            <w:vAlign w:val="bottom"/>
            <w:hideMark/>
          </w:tcPr>
          <w:p w:rsidR="00843E03" w:rsidRPr="00755248" w:rsidP="00E37086">
            <w:pPr>
              <w:spacing w:after="0" w:line="240" w:lineRule="auto"/>
              <w:jc w:val="right"/>
              <w:rPr>
                <w:rFonts w:ascii="Calibri" w:eastAsia="Times New Roman" w:hAnsi="Calibri" w:cs="Times New Roman"/>
                <w:color w:val="000000"/>
              </w:rPr>
            </w:pPr>
            <w:r w:rsidRPr="00755248">
              <w:rPr>
                <w:rFonts w:ascii="Calibri" w:eastAsia="Times New Roman" w:hAnsi="Calibri" w:cs="Times New Roman"/>
                <w:color w:val="000000"/>
              </w:rPr>
              <w:t>0.0268</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43E03" w:rsidRPr="00755248" w:rsidP="00E37086">
            <w:pPr>
              <w:spacing w:after="0" w:line="240" w:lineRule="auto"/>
              <w:rPr>
                <w:rFonts w:ascii="Calibri" w:eastAsia="Times New Roman" w:hAnsi="Calibri" w:cs="Times New Roman"/>
                <w:color w:val="000000"/>
              </w:rPr>
            </w:pPr>
            <w:r w:rsidRPr="00755248">
              <w:rPr>
                <w:rFonts w:ascii="Calibri" w:eastAsia="Times New Roman" w:hAnsi="Calibri" w:cs="Times New Roman"/>
                <w:color w:val="000000"/>
              </w:rPr>
              <w:t> </w:t>
            </w:r>
          </w:p>
        </w:tc>
      </w:tr>
      <w:tr w:rsidTr="00E036DA">
        <w:tblPrEx>
          <w:tblW w:w="7942" w:type="dxa"/>
          <w:tblInd w:w="93" w:type="dxa"/>
          <w:tblLook w:val="04A0"/>
        </w:tblPrEx>
        <w:trPr>
          <w:gridAfter w:val="1"/>
          <w:wAfter w:w="155" w:type="dxa"/>
          <w:trHeight w:val="300"/>
        </w:trPr>
        <w:tc>
          <w:tcPr>
            <w:tcW w:w="7787" w:type="dxa"/>
            <w:gridSpan w:val="15"/>
            <w:tcBorders>
              <w:top w:val="single" w:sz="4" w:space="0" w:color="auto"/>
              <w:left w:val="single" w:sz="4" w:space="0" w:color="auto"/>
              <w:bottom w:val="single" w:sz="4" w:space="0" w:color="auto"/>
              <w:right w:val="nil"/>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Pr>
                <w:rFonts w:ascii="Calibri" w:eastAsia="Times New Roman" w:hAnsi="Calibri" w:cs="Times New Roman"/>
                <w:color w:val="000000"/>
                <w:lang w:eastAsia="ko-KR"/>
              </w:rPr>
              <w:t>Table 2</w:t>
            </w:r>
            <w:r w:rsidRPr="00906420">
              <w:rPr>
                <w:rFonts w:ascii="Calibri" w:eastAsia="Times New Roman" w:hAnsi="Calibri" w:cs="Times New Roman"/>
                <w:color w:val="000000"/>
                <w:lang w:eastAsia="ko-KR"/>
              </w:rPr>
              <w:t>. T-test of Response by Firm Size, 2014 MEPS_IC</w:t>
            </w:r>
          </w:p>
        </w:tc>
      </w:tr>
      <w:tr w:rsidTr="00E036DA">
        <w:tblPrEx>
          <w:tblW w:w="7942" w:type="dxa"/>
          <w:tblInd w:w="93" w:type="dxa"/>
          <w:tblLook w:val="04A0"/>
        </w:tblPrEx>
        <w:trPr>
          <w:gridAfter w:val="1"/>
          <w:wAfter w:w="155" w:type="dxa"/>
          <w:trHeight w:val="300"/>
        </w:trPr>
        <w:tc>
          <w:tcPr>
            <w:tcW w:w="1565"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Firm Size</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Responding (%)</w:t>
            </w:r>
          </w:p>
        </w:tc>
        <w:tc>
          <w:tcPr>
            <w:tcW w:w="2102" w:type="dxa"/>
            <w:gridSpan w:val="4"/>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Nonresponding (%)</w:t>
            </w:r>
          </w:p>
        </w:tc>
        <w:tc>
          <w:tcPr>
            <w:tcW w:w="774"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DF</w:t>
            </w:r>
          </w:p>
        </w:tc>
        <w:tc>
          <w:tcPr>
            <w:tcW w:w="793"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t Value</w:t>
            </w:r>
          </w:p>
        </w:tc>
        <w:tc>
          <w:tcPr>
            <w:tcW w:w="849" w:type="dxa"/>
            <w:gridSpan w:val="3"/>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Pr</w:t>
            </w:r>
            <w:r w:rsidRPr="00906420">
              <w:rPr>
                <w:rFonts w:ascii="Calibri" w:eastAsia="Times New Roman" w:hAnsi="Calibri" w:cs="Times New Roman"/>
                <w:color w:val="000000"/>
                <w:lang w:eastAsia="ko-KR"/>
              </w:rPr>
              <w:t xml:space="preserve"> &gt; |t|</w:t>
            </w:r>
          </w:p>
        </w:tc>
      </w:tr>
      <w:tr w:rsidTr="00E036DA">
        <w:tblPrEx>
          <w:tblW w:w="7942" w:type="dxa"/>
          <w:tblInd w:w="93" w:type="dxa"/>
          <w:tblLook w:val="04A0"/>
        </w:tblPrEx>
        <w:trPr>
          <w:gridAfter w:val="1"/>
          <w:wAfter w:w="155" w:type="dxa"/>
          <w:trHeight w:val="300"/>
        </w:trPr>
        <w:tc>
          <w:tcPr>
            <w:tcW w:w="1565"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Less than 10</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58.31</w:t>
            </w:r>
          </w:p>
        </w:tc>
        <w:tc>
          <w:tcPr>
            <w:tcW w:w="2102" w:type="dxa"/>
            <w:gridSpan w:val="4"/>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60.47</w:t>
            </w:r>
          </w:p>
        </w:tc>
        <w:tc>
          <w:tcPr>
            <w:tcW w:w="774"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22377</w:t>
            </w:r>
          </w:p>
        </w:tc>
        <w:tc>
          <w:tcPr>
            <w:tcW w:w="793"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-4</w:t>
            </w:r>
          </w:p>
        </w:tc>
        <w:tc>
          <w:tcPr>
            <w:tcW w:w="849" w:type="dxa"/>
            <w:gridSpan w:val="3"/>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&lt;.0001</w:t>
            </w:r>
          </w:p>
        </w:tc>
      </w:tr>
      <w:tr w:rsidTr="00E036DA">
        <w:tblPrEx>
          <w:tblW w:w="7942" w:type="dxa"/>
          <w:tblInd w:w="93" w:type="dxa"/>
          <w:tblLook w:val="04A0"/>
        </w:tblPrEx>
        <w:trPr>
          <w:gridAfter w:val="1"/>
          <w:wAfter w:w="155" w:type="dxa"/>
          <w:trHeight w:val="300"/>
        </w:trPr>
        <w:tc>
          <w:tcPr>
            <w:tcW w:w="1565"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 to 24</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12.1</w:t>
            </w:r>
          </w:p>
        </w:tc>
        <w:tc>
          <w:tcPr>
            <w:tcW w:w="2102" w:type="dxa"/>
            <w:gridSpan w:val="4"/>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11.48</w:t>
            </w:r>
          </w:p>
        </w:tc>
        <w:tc>
          <w:tcPr>
            <w:tcW w:w="774"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39000</w:t>
            </w:r>
          </w:p>
        </w:tc>
        <w:tc>
          <w:tcPr>
            <w:tcW w:w="793"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1.76</w:t>
            </w:r>
          </w:p>
        </w:tc>
        <w:tc>
          <w:tcPr>
            <w:tcW w:w="849" w:type="dxa"/>
            <w:gridSpan w:val="3"/>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0.0776</w:t>
            </w:r>
          </w:p>
        </w:tc>
      </w:tr>
      <w:tr w:rsidTr="00E036DA">
        <w:tblPrEx>
          <w:tblW w:w="7942" w:type="dxa"/>
          <w:tblInd w:w="93" w:type="dxa"/>
          <w:tblLook w:val="04A0"/>
        </w:tblPrEx>
        <w:trPr>
          <w:gridAfter w:val="1"/>
          <w:wAfter w:w="155" w:type="dxa"/>
          <w:trHeight w:val="300"/>
        </w:trPr>
        <w:tc>
          <w:tcPr>
            <w:tcW w:w="1565"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25 to 99</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8.28</w:t>
            </w:r>
          </w:p>
        </w:tc>
        <w:tc>
          <w:tcPr>
            <w:tcW w:w="2102" w:type="dxa"/>
            <w:gridSpan w:val="4"/>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7.01</w:t>
            </w:r>
          </w:p>
        </w:tc>
        <w:tc>
          <w:tcPr>
            <w:tcW w:w="774"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23839</w:t>
            </w:r>
          </w:p>
        </w:tc>
        <w:tc>
          <w:tcPr>
            <w:tcW w:w="793"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4.4</w:t>
            </w:r>
          </w:p>
        </w:tc>
        <w:tc>
          <w:tcPr>
            <w:tcW w:w="849" w:type="dxa"/>
            <w:gridSpan w:val="3"/>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&lt;.0001</w:t>
            </w:r>
          </w:p>
        </w:tc>
      </w:tr>
      <w:tr w:rsidTr="00E036DA">
        <w:tblPrEx>
          <w:tblW w:w="7942" w:type="dxa"/>
          <w:tblInd w:w="93" w:type="dxa"/>
          <w:tblLook w:val="04A0"/>
        </w:tblPrEx>
        <w:trPr>
          <w:gridAfter w:val="1"/>
          <w:wAfter w:w="155" w:type="dxa"/>
          <w:trHeight w:val="300"/>
        </w:trPr>
        <w:tc>
          <w:tcPr>
            <w:tcW w:w="1565"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100 to 999</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6.54</w:t>
            </w:r>
          </w:p>
        </w:tc>
        <w:tc>
          <w:tcPr>
            <w:tcW w:w="2102" w:type="dxa"/>
            <w:gridSpan w:val="4"/>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6.65</w:t>
            </w:r>
          </w:p>
        </w:tc>
        <w:tc>
          <w:tcPr>
            <w:tcW w:w="774"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27276</w:t>
            </w:r>
          </w:p>
        </w:tc>
        <w:tc>
          <w:tcPr>
            <w:tcW w:w="793"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-0.4</w:t>
            </w:r>
          </w:p>
        </w:tc>
        <w:tc>
          <w:tcPr>
            <w:tcW w:w="849" w:type="dxa"/>
            <w:gridSpan w:val="3"/>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0.6883</w:t>
            </w:r>
          </w:p>
        </w:tc>
      </w:tr>
      <w:tr w:rsidTr="00E036DA">
        <w:tblPrEx>
          <w:tblW w:w="7942" w:type="dxa"/>
          <w:tblInd w:w="93" w:type="dxa"/>
          <w:tblLook w:val="04A0"/>
        </w:tblPrEx>
        <w:trPr>
          <w:gridAfter w:val="1"/>
          <w:wAfter w:w="155" w:type="dxa"/>
          <w:trHeight w:val="300"/>
        </w:trPr>
        <w:tc>
          <w:tcPr>
            <w:tcW w:w="1565"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1,000 or more</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14.77</w:t>
            </w:r>
          </w:p>
        </w:tc>
        <w:tc>
          <w:tcPr>
            <w:tcW w:w="2102" w:type="dxa"/>
            <w:gridSpan w:val="4"/>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14.39</w:t>
            </w:r>
          </w:p>
        </w:tc>
        <w:tc>
          <w:tcPr>
            <w:tcW w:w="774"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22425</w:t>
            </w:r>
          </w:p>
        </w:tc>
        <w:tc>
          <w:tcPr>
            <w:tcW w:w="793"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0.98</w:t>
            </w:r>
          </w:p>
        </w:tc>
        <w:tc>
          <w:tcPr>
            <w:tcW w:w="849" w:type="dxa"/>
            <w:gridSpan w:val="3"/>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0.328</w:t>
            </w:r>
          </w:p>
        </w:tc>
      </w:tr>
      <w:tr w:rsidTr="00E036DA">
        <w:tblPrEx>
          <w:tblW w:w="7942" w:type="dxa"/>
          <w:tblInd w:w="93" w:type="dxa"/>
          <w:tblLook w:val="04A0"/>
        </w:tblPrEx>
        <w:trPr>
          <w:gridAfter w:val="1"/>
          <w:wAfter w:w="155" w:type="dxa"/>
          <w:trHeight w:val="300"/>
        </w:trPr>
        <w:tc>
          <w:tcPr>
            <w:tcW w:w="1565"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Total</w:t>
            </w:r>
          </w:p>
        </w:tc>
        <w:tc>
          <w:tcPr>
            <w:tcW w:w="1704" w:type="dxa"/>
            <w:gridSpan w:val="2"/>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100</w:t>
            </w:r>
          </w:p>
        </w:tc>
        <w:tc>
          <w:tcPr>
            <w:tcW w:w="2102" w:type="dxa"/>
            <w:gridSpan w:val="4"/>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100</w:t>
            </w:r>
          </w:p>
        </w:tc>
        <w:tc>
          <w:tcPr>
            <w:tcW w:w="774" w:type="dxa"/>
            <w:tcBorders>
              <w:top w:val="nil"/>
              <w:left w:val="nil"/>
              <w:bottom w:val="nil"/>
              <w:right w:val="nil"/>
            </w:tcBorders>
            <w:shd w:val="clear" w:color="auto" w:fill="auto"/>
            <w:noWrap/>
            <w:vAlign w:val="bottom"/>
            <w:hideMark/>
          </w:tcPr>
          <w:p w:rsidR="00906420" w:rsidRPr="00906420" w:rsidP="00906420">
            <w:pPr>
              <w:spacing w:after="0" w:line="240" w:lineRule="auto"/>
              <w:rPr>
                <w:rFonts w:ascii="Calibri" w:eastAsia="Times New Roman" w:hAnsi="Calibri" w:cs="Times New Roman"/>
                <w:color w:val="000000"/>
                <w:lang w:eastAsia="ko-KR"/>
              </w:rPr>
            </w:pPr>
          </w:p>
        </w:tc>
        <w:tc>
          <w:tcPr>
            <w:tcW w:w="793" w:type="dxa"/>
            <w:gridSpan w:val="2"/>
            <w:tcBorders>
              <w:top w:val="nil"/>
              <w:left w:val="nil"/>
              <w:bottom w:val="nil"/>
              <w:right w:val="nil"/>
            </w:tcBorders>
            <w:shd w:val="clear" w:color="auto" w:fill="auto"/>
            <w:noWrap/>
            <w:vAlign w:val="bottom"/>
            <w:hideMark/>
          </w:tcPr>
          <w:p w:rsidR="00906420" w:rsidRPr="00906420" w:rsidP="00906420">
            <w:pPr>
              <w:spacing w:after="0" w:line="240" w:lineRule="auto"/>
              <w:rPr>
                <w:rFonts w:ascii="Calibri" w:eastAsia="Times New Roman" w:hAnsi="Calibri" w:cs="Times New Roman"/>
                <w:color w:val="000000"/>
                <w:lang w:eastAsia="ko-KR"/>
              </w:rPr>
            </w:pPr>
          </w:p>
        </w:tc>
        <w:tc>
          <w:tcPr>
            <w:tcW w:w="849" w:type="dxa"/>
            <w:gridSpan w:val="3"/>
            <w:tcBorders>
              <w:top w:val="nil"/>
              <w:left w:val="nil"/>
              <w:bottom w:val="nil"/>
              <w:right w:val="nil"/>
            </w:tcBorders>
            <w:shd w:val="clear" w:color="auto" w:fill="auto"/>
            <w:noWrap/>
            <w:vAlign w:val="bottom"/>
            <w:hideMark/>
          </w:tcPr>
          <w:p w:rsidR="00906420" w:rsidRPr="00906420" w:rsidP="00906420">
            <w:pPr>
              <w:spacing w:after="0" w:line="240" w:lineRule="auto"/>
              <w:rPr>
                <w:rFonts w:ascii="Calibri" w:eastAsia="Times New Roman" w:hAnsi="Calibri" w:cs="Times New Roman"/>
                <w:color w:val="000000"/>
                <w:lang w:eastAsia="ko-KR"/>
              </w:rPr>
            </w:pPr>
          </w:p>
        </w:tc>
      </w:tr>
      <w:tr w:rsidTr="00E036DA">
        <w:tblPrEx>
          <w:tblW w:w="7942" w:type="dxa"/>
          <w:tblInd w:w="93" w:type="dxa"/>
          <w:tblLook w:val="04A0"/>
        </w:tblPrEx>
        <w:trPr>
          <w:trHeight w:val="300"/>
        </w:trPr>
        <w:tc>
          <w:tcPr>
            <w:tcW w:w="1153" w:type="dxa"/>
            <w:tcBorders>
              <w:left w:val="nil"/>
              <w:bottom w:val="nil"/>
            </w:tcBorders>
            <w:shd w:val="clear" w:color="auto" w:fill="auto"/>
            <w:noWrap/>
            <w:vAlign w:val="bottom"/>
          </w:tcPr>
          <w:p w:rsidR="00E036DA" w:rsidP="00290B2A">
            <w:pPr>
              <w:spacing w:after="0" w:line="240" w:lineRule="auto"/>
              <w:rPr>
                <w:rFonts w:ascii="Calibri" w:eastAsia="Times New Roman" w:hAnsi="Calibri" w:cs="Times New Roman"/>
                <w:color w:val="000000"/>
              </w:rPr>
            </w:pPr>
          </w:p>
        </w:tc>
        <w:tc>
          <w:tcPr>
            <w:tcW w:w="6789" w:type="dxa"/>
            <w:gridSpan w:val="15"/>
            <w:tcBorders>
              <w:bottom w:val="single" w:sz="4" w:space="0" w:color="auto"/>
            </w:tcBorders>
            <w:shd w:val="clear" w:color="auto" w:fill="auto"/>
            <w:noWrap/>
            <w:vAlign w:val="bottom"/>
          </w:tcPr>
          <w:p w:rsidR="00E036DA" w:rsidP="00290B2A">
            <w:pPr>
              <w:spacing w:after="0" w:line="240" w:lineRule="auto"/>
              <w:jc w:val="center"/>
              <w:rPr>
                <w:rFonts w:ascii="Calibri" w:eastAsia="Times New Roman" w:hAnsi="Calibri" w:cs="Times New Roman"/>
                <w:color w:val="000000"/>
              </w:rPr>
            </w:pP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P="00290B2A">
            <w:pPr>
              <w:spacing w:after="0" w:line="240" w:lineRule="auto"/>
              <w:rPr>
                <w:rFonts w:ascii="Calibri" w:eastAsia="Times New Roman" w:hAnsi="Calibri" w:cs="Times New Roman"/>
                <w:color w:val="000000"/>
              </w:rPr>
            </w:pPr>
          </w:p>
          <w:p w:rsidR="00E036DA" w:rsidRPr="00290B2A" w:rsidP="00290B2A">
            <w:pPr>
              <w:spacing w:after="0" w:line="240" w:lineRule="auto"/>
              <w:rPr>
                <w:rFonts w:ascii="Calibri" w:eastAsia="Times New Roman" w:hAnsi="Calibri" w:cs="Times New Roman"/>
                <w:color w:val="000000"/>
              </w:rPr>
            </w:pPr>
          </w:p>
        </w:tc>
        <w:tc>
          <w:tcPr>
            <w:tcW w:w="6789"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Table 3</w:t>
            </w:r>
            <w:r w:rsidRPr="00290B2A">
              <w:rPr>
                <w:rFonts w:ascii="Calibri" w:eastAsia="Times New Roman" w:hAnsi="Calibri" w:cs="Times New Roman"/>
                <w:color w:val="000000"/>
              </w:rPr>
              <w:t>. Chi-Square of Response by Industry, 2014 MEPS-IC</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Industry</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Responding (N</w:t>
            </w:r>
            <w:r w:rsidRPr="00290B2A">
              <w:rPr>
                <w:rFonts w:ascii="Calibri" w:eastAsia="Times New Roman" w:hAnsi="Calibri" w:cs="Times New Roman"/>
                <w:color w:val="000000"/>
              </w:rPr>
              <w:t>)</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Nonresponding (N)</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Total</w:t>
            </w:r>
          </w:p>
        </w:tc>
      </w:tr>
      <w:tr w:rsidTr="00E036DA">
        <w:tblPrEx>
          <w:tblW w:w="7942" w:type="dxa"/>
          <w:tblInd w:w="93" w:type="dxa"/>
          <w:tblLook w:val="04A0"/>
        </w:tblPrEx>
        <w:trPr>
          <w:trHeight w:val="300"/>
        </w:trPr>
        <w:tc>
          <w:tcPr>
            <w:tcW w:w="1153" w:type="dxa"/>
            <w:tcBorders>
              <w:top w:val="single" w:sz="4" w:space="0" w:color="auto"/>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Frequency</w:t>
            </w:r>
          </w:p>
        </w:tc>
        <w:tc>
          <w:tcPr>
            <w:tcW w:w="2169"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Agriculture,</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118102</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63347.5</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181450</w:t>
            </w:r>
          </w:p>
        </w:tc>
      </w:tr>
      <w:tr w:rsidTr="00E036DA">
        <w:tblPrEx>
          <w:tblW w:w="7942" w:type="dxa"/>
          <w:tblInd w:w="93" w:type="dxa"/>
          <w:tblLook w:val="04A0"/>
        </w:tblPrEx>
        <w:trPr>
          <w:trHeight w:val="300"/>
        </w:trPr>
        <w:tc>
          <w:tcPr>
            <w:tcW w:w="1153" w:type="dxa"/>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Expected</w:t>
            </w:r>
          </w:p>
        </w:tc>
        <w:tc>
          <w:tcPr>
            <w:tcW w:w="2169"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xml:space="preserve"> Fishing, and Forestry</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124400</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57050</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Percent</w:t>
            </w:r>
          </w:p>
        </w:tc>
        <w:tc>
          <w:tcPr>
            <w:tcW w:w="2169"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1.78</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0.95</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2.73</w:t>
            </w:r>
          </w:p>
        </w:tc>
      </w:tr>
      <w:tr w:rsidTr="00E036DA">
        <w:tblPrEx>
          <w:tblW w:w="7942" w:type="dxa"/>
          <w:tblInd w:w="93" w:type="dxa"/>
          <w:tblLook w:val="04A0"/>
        </w:tblPrEx>
        <w:trPr>
          <w:trHeight w:val="300"/>
        </w:trPr>
        <w:tc>
          <w:tcPr>
            <w:tcW w:w="1153" w:type="dxa"/>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xml:space="preserve">Row </w:t>
            </w:r>
            <w:r w:rsidRPr="00290B2A">
              <w:rPr>
                <w:rFonts w:ascii="Calibri" w:eastAsia="Times New Roman" w:hAnsi="Calibri" w:cs="Times New Roman"/>
                <w:color w:val="000000"/>
              </w:rPr>
              <w:t>Pct</w:t>
            </w:r>
          </w:p>
        </w:tc>
        <w:tc>
          <w:tcPr>
            <w:tcW w:w="2169"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65.09</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34.91</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xml:space="preserve">Col </w:t>
            </w:r>
            <w:r w:rsidRPr="00290B2A">
              <w:rPr>
                <w:rFonts w:ascii="Calibri" w:eastAsia="Times New Roman" w:hAnsi="Calibri" w:cs="Times New Roman"/>
                <w:color w:val="000000"/>
              </w:rPr>
              <w:t>Pct</w:t>
            </w:r>
          </w:p>
        </w:tc>
        <w:tc>
          <w:tcPr>
            <w:tcW w:w="2169"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2.59</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3.03</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xml:space="preserve">Mining and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206529</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83937.3</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290466</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Manufacturing</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199140</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91326</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3.11</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1.26</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4.37</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71.1</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28.9</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4.54</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4.02</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Construction</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362858</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201415</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564273</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386859</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177414</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5.46</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3.03</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8.5</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64.31</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35.69</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7.97</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9.65</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Utilities and</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137421</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61984</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199405</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Transportation</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136710</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62695</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2.07</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0.93</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68.92</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31.08</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3.02</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2.97</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Wholesale Trade</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241713</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114359</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356072</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244119</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111953</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3.64</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1.72</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5.36</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67.88</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32.12</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5.31</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5.48</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Financial Services</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528676</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237594</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766270</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xml:space="preserve"> and Real Estate</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525346</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240924</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7.96</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3.58</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11.54</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68.99</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31.01</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11.61</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11.38</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Retail Trade</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643184</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286023</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929207</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637053</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292154</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9.68</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4.31</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13.99</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69.22</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30.78</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14.13</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13.7</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Professional Services</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1178993</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507821</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1686814</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1156460</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530354</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17.75</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7.65</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25.4</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69.89</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30.11</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25.89</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24.32</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Other</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1135655</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531592</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1667246</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1143044</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524202</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17.1</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8</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25.1</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68.12</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31.88</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24.94</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25.46</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Total</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4553130</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2088073</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6641204</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68.56</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31.44</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100</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Statistic</w:t>
            </w:r>
          </w:p>
        </w:tc>
        <w:tc>
          <w:tcPr>
            <w:tcW w:w="1643" w:type="dxa"/>
            <w:gridSpan w:val="2"/>
            <w:tcBorders>
              <w:top w:val="single" w:sz="4" w:space="0" w:color="auto"/>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DF</w:t>
            </w:r>
          </w:p>
        </w:tc>
        <w:tc>
          <w:tcPr>
            <w:tcW w:w="1980" w:type="dxa"/>
            <w:gridSpan w:val="5"/>
            <w:tcBorders>
              <w:top w:val="single" w:sz="4" w:space="0" w:color="auto"/>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Value</w:t>
            </w:r>
          </w:p>
        </w:tc>
        <w:tc>
          <w:tcPr>
            <w:tcW w:w="997" w:type="dxa"/>
            <w:gridSpan w:val="3"/>
            <w:tcBorders>
              <w:top w:val="single" w:sz="4" w:space="0" w:color="auto"/>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Prob</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nil"/>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Chi-Square</w:t>
            </w:r>
          </w:p>
        </w:tc>
        <w:tc>
          <w:tcPr>
            <w:tcW w:w="1643" w:type="dxa"/>
            <w:gridSpan w:val="2"/>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8</w:t>
            </w:r>
          </w:p>
        </w:tc>
        <w:tc>
          <w:tcPr>
            <w:tcW w:w="1980" w:type="dxa"/>
            <w:gridSpan w:val="5"/>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8512.2193</w:t>
            </w:r>
          </w:p>
        </w:tc>
        <w:tc>
          <w:tcPr>
            <w:tcW w:w="997" w:type="dxa"/>
            <w:gridSpan w:val="3"/>
            <w:tcBorders>
              <w:top w:val="nil"/>
              <w:left w:val="nil"/>
              <w:bottom w:val="nil"/>
              <w:right w:val="single" w:sz="4" w:space="0" w:color="auto"/>
            </w:tcBorders>
            <w:shd w:val="clear" w:color="auto" w:fill="auto"/>
            <w:noWrap/>
            <w:vAlign w:val="bottom"/>
            <w:hideMark/>
          </w:tcPr>
          <w:p w:rsidR="00290B2A" w:rsidRPr="00290B2A" w:rsidP="00290B2A">
            <w:pPr>
              <w:spacing w:after="0" w:line="240" w:lineRule="auto"/>
              <w:jc w:val="center"/>
              <w:rPr>
                <w:rFonts w:ascii="Calibri" w:eastAsia="Times New Roman" w:hAnsi="Calibri" w:cs="Times New Roman"/>
                <w:color w:val="000000"/>
              </w:rPr>
            </w:pPr>
            <w:r w:rsidRPr="00290B2A">
              <w:rPr>
                <w:rFonts w:ascii="Calibri" w:eastAsia="Times New Roman" w:hAnsi="Calibri" w:cs="Times New Roman"/>
                <w:color w:val="000000"/>
              </w:rPr>
              <w:t>&lt;.0001</w:t>
            </w:r>
          </w:p>
        </w:tc>
      </w:tr>
      <w:tr w:rsidTr="00E036DA">
        <w:tblPrEx>
          <w:tblW w:w="794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p>
        </w:tc>
        <w:tc>
          <w:tcPr>
            <w:tcW w:w="2169" w:type="dxa"/>
            <w:gridSpan w:val="5"/>
            <w:tcBorders>
              <w:top w:val="nil"/>
              <w:left w:val="single" w:sz="4" w:space="0" w:color="auto"/>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Cramer's V</w:t>
            </w:r>
          </w:p>
        </w:tc>
        <w:tc>
          <w:tcPr>
            <w:tcW w:w="1643" w:type="dxa"/>
            <w:gridSpan w:val="2"/>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c>
          <w:tcPr>
            <w:tcW w:w="1980" w:type="dxa"/>
            <w:gridSpan w:val="5"/>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jc w:val="right"/>
              <w:rPr>
                <w:rFonts w:ascii="Calibri" w:eastAsia="Times New Roman" w:hAnsi="Calibri" w:cs="Times New Roman"/>
                <w:color w:val="000000"/>
              </w:rPr>
            </w:pPr>
            <w:r w:rsidRPr="00290B2A">
              <w:rPr>
                <w:rFonts w:ascii="Calibri" w:eastAsia="Times New Roman" w:hAnsi="Calibri" w:cs="Times New Roman"/>
                <w:color w:val="000000"/>
              </w:rPr>
              <w:t>0.0358</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290B2A" w:rsidRPr="00290B2A" w:rsidP="00290B2A">
            <w:pPr>
              <w:spacing w:after="0" w:line="240" w:lineRule="auto"/>
              <w:rPr>
                <w:rFonts w:ascii="Calibri" w:eastAsia="Times New Roman" w:hAnsi="Calibri" w:cs="Times New Roman"/>
                <w:color w:val="000000"/>
              </w:rPr>
            </w:pPr>
            <w:r w:rsidRPr="00290B2A">
              <w:rPr>
                <w:rFonts w:ascii="Calibri" w:eastAsia="Times New Roman" w:hAnsi="Calibri" w:cs="Times New Roman"/>
                <w:color w:val="000000"/>
              </w:rPr>
              <w:t> </w:t>
            </w:r>
          </w:p>
        </w:tc>
      </w:tr>
    </w:tbl>
    <w:p w:rsidR="00B26F5D" w:rsidRPr="00CD019A" w:rsidP="00B26F5D">
      <w:pPr>
        <w:spacing w:line="240" w:lineRule="auto"/>
      </w:pPr>
    </w:p>
    <w:tbl>
      <w:tblPr>
        <w:tblW w:w="9660" w:type="dxa"/>
        <w:tblInd w:w="93" w:type="dxa"/>
        <w:tblLook w:val="04A0"/>
      </w:tblPr>
      <w:tblGrid>
        <w:gridCol w:w="3554"/>
        <w:gridCol w:w="1691"/>
        <w:gridCol w:w="2085"/>
        <w:gridCol w:w="774"/>
        <w:gridCol w:w="787"/>
        <w:gridCol w:w="842"/>
      </w:tblGrid>
      <w:tr w:rsidTr="00906420">
        <w:tblPrEx>
          <w:tblW w:w="9660" w:type="dxa"/>
          <w:tblInd w:w="93" w:type="dxa"/>
          <w:tblLook w:val="04A0"/>
        </w:tblPrEx>
        <w:trPr>
          <w:trHeight w:val="300"/>
        </w:trPr>
        <w:tc>
          <w:tcPr>
            <w:tcW w:w="9660" w:type="dxa"/>
            <w:gridSpan w:val="6"/>
            <w:tcBorders>
              <w:top w:val="single" w:sz="4" w:space="0" w:color="auto"/>
              <w:left w:val="single" w:sz="4" w:space="0" w:color="auto"/>
              <w:bottom w:val="single" w:sz="4" w:space="0" w:color="auto"/>
              <w:right w:val="nil"/>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Pr>
                <w:rFonts w:ascii="Calibri" w:eastAsia="Times New Roman" w:hAnsi="Calibri" w:cs="Times New Roman"/>
                <w:color w:val="000000"/>
                <w:lang w:eastAsia="ko-KR"/>
              </w:rPr>
              <w:t>Table 4</w:t>
            </w:r>
            <w:r w:rsidRPr="00906420">
              <w:rPr>
                <w:rFonts w:ascii="Calibri" w:eastAsia="Times New Roman" w:hAnsi="Calibri" w:cs="Times New Roman"/>
                <w:color w:val="000000"/>
                <w:lang w:eastAsia="ko-KR"/>
              </w:rPr>
              <w:t>. T-test of Response by Industry, 2014 MEPS_IC</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Industry</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Responding (%)</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Nonresponding (%)</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DF</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t Value</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Pr</w:t>
            </w:r>
            <w:r w:rsidRPr="00906420">
              <w:rPr>
                <w:rFonts w:ascii="Calibri" w:eastAsia="Times New Roman" w:hAnsi="Calibri" w:cs="Times New Roman"/>
                <w:color w:val="000000"/>
                <w:lang w:eastAsia="ko-KR"/>
              </w:rPr>
              <w:t xml:space="preserve"> &gt; |t|</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Agriculture, Fishing, and Forestry</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2.59</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3.04</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20723</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-2.44</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0.0146</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Mining and Manufacturing</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4.54</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4.01</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23455</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2.4</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0.0165</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Construction</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7.99</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9.61</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20628</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-5.11</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&lt;.0001</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Utilities and Transportation</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3.01</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2.98</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22297</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0.15</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0.8811</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Wholesale Trade</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5.31</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5.48</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21899</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-0.7</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0.4823</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Financial Real Estate</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11.59</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11.42</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22334</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0.48</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0.6341</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Retail Trade</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14.11</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13.74</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22434</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0.98</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0.3284</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Professional Services</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25.92</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24.25</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39000</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3.51</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0.0005</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Other</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24.94</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25.47</w:t>
            </w:r>
          </w:p>
        </w:tc>
        <w:tc>
          <w:tcPr>
            <w:tcW w:w="70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22070</w:t>
            </w:r>
          </w:p>
        </w:tc>
        <w:tc>
          <w:tcPr>
            <w:tcW w:w="787"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-1.07</w:t>
            </w:r>
          </w:p>
        </w:tc>
        <w:tc>
          <w:tcPr>
            <w:tcW w:w="842"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0.2863</w:t>
            </w:r>
          </w:p>
        </w:tc>
      </w:tr>
      <w:tr w:rsidTr="00906420">
        <w:tblPrEx>
          <w:tblW w:w="9660" w:type="dxa"/>
          <w:tblInd w:w="93" w:type="dxa"/>
          <w:tblLook w:val="04A0"/>
        </w:tblPrEx>
        <w:trPr>
          <w:trHeight w:val="300"/>
        </w:trPr>
        <w:tc>
          <w:tcPr>
            <w:tcW w:w="3554"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Total</w:t>
            </w:r>
          </w:p>
        </w:tc>
        <w:tc>
          <w:tcPr>
            <w:tcW w:w="1691"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100</w:t>
            </w:r>
          </w:p>
        </w:tc>
        <w:tc>
          <w:tcPr>
            <w:tcW w:w="208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100</w:t>
            </w:r>
          </w:p>
        </w:tc>
        <w:tc>
          <w:tcPr>
            <w:tcW w:w="701" w:type="dxa"/>
            <w:tcBorders>
              <w:top w:val="nil"/>
              <w:left w:val="nil"/>
              <w:bottom w:val="nil"/>
              <w:right w:val="nil"/>
            </w:tcBorders>
            <w:shd w:val="clear" w:color="auto" w:fill="auto"/>
            <w:noWrap/>
            <w:vAlign w:val="bottom"/>
            <w:hideMark/>
          </w:tcPr>
          <w:p w:rsidR="00906420" w:rsidRPr="00906420" w:rsidP="00906420">
            <w:pPr>
              <w:spacing w:after="0" w:line="240" w:lineRule="auto"/>
              <w:rPr>
                <w:rFonts w:ascii="Calibri" w:eastAsia="Times New Roman" w:hAnsi="Calibri" w:cs="Times New Roman"/>
                <w:color w:val="000000"/>
                <w:lang w:eastAsia="ko-KR"/>
              </w:rPr>
            </w:pPr>
          </w:p>
        </w:tc>
        <w:tc>
          <w:tcPr>
            <w:tcW w:w="787" w:type="dxa"/>
            <w:tcBorders>
              <w:top w:val="nil"/>
              <w:left w:val="nil"/>
              <w:bottom w:val="nil"/>
              <w:right w:val="nil"/>
            </w:tcBorders>
            <w:shd w:val="clear" w:color="auto" w:fill="auto"/>
            <w:noWrap/>
            <w:vAlign w:val="bottom"/>
            <w:hideMark/>
          </w:tcPr>
          <w:p w:rsidR="00906420" w:rsidRPr="00906420" w:rsidP="00906420">
            <w:pPr>
              <w:spacing w:after="0" w:line="240" w:lineRule="auto"/>
              <w:rPr>
                <w:rFonts w:ascii="Calibri" w:eastAsia="Times New Roman" w:hAnsi="Calibri" w:cs="Times New Roman"/>
                <w:color w:val="000000"/>
                <w:lang w:eastAsia="ko-KR"/>
              </w:rPr>
            </w:pPr>
          </w:p>
        </w:tc>
        <w:tc>
          <w:tcPr>
            <w:tcW w:w="842" w:type="dxa"/>
            <w:tcBorders>
              <w:top w:val="nil"/>
              <w:left w:val="nil"/>
              <w:bottom w:val="nil"/>
              <w:right w:val="nil"/>
            </w:tcBorders>
            <w:shd w:val="clear" w:color="auto" w:fill="auto"/>
            <w:noWrap/>
            <w:vAlign w:val="bottom"/>
            <w:hideMark/>
          </w:tcPr>
          <w:p w:rsidR="00906420" w:rsidRPr="00906420" w:rsidP="00906420">
            <w:pPr>
              <w:spacing w:after="0" w:line="240" w:lineRule="auto"/>
              <w:rPr>
                <w:rFonts w:ascii="Calibri" w:eastAsia="Times New Roman" w:hAnsi="Calibri" w:cs="Times New Roman"/>
                <w:color w:val="000000"/>
                <w:lang w:eastAsia="ko-KR"/>
              </w:rPr>
            </w:pPr>
          </w:p>
        </w:tc>
      </w:tr>
    </w:tbl>
    <w:p w:rsidR="00BD2B63" w:rsidP="00B26F5D">
      <w:pPr>
        <w:spacing w:line="240" w:lineRule="auto"/>
        <w:rPr>
          <w:b/>
          <w:u w:val="single"/>
        </w:rPr>
      </w:pPr>
    </w:p>
    <w:p w:rsidR="00E036DA" w:rsidP="00B26F5D">
      <w:pPr>
        <w:spacing w:line="240" w:lineRule="auto"/>
        <w:rPr>
          <w:b/>
          <w:u w:val="single"/>
        </w:rPr>
      </w:pPr>
    </w:p>
    <w:p w:rsidR="00E036DA" w:rsidP="00B26F5D">
      <w:pPr>
        <w:spacing w:line="240" w:lineRule="auto"/>
        <w:rPr>
          <w:b/>
          <w:u w:val="single"/>
        </w:rPr>
      </w:pPr>
    </w:p>
    <w:p w:rsidR="00E036DA" w:rsidP="00B26F5D">
      <w:pPr>
        <w:spacing w:line="240" w:lineRule="auto"/>
        <w:rPr>
          <w:b/>
          <w:u w:val="single"/>
        </w:rPr>
      </w:pPr>
    </w:p>
    <w:p w:rsidR="00E036DA" w:rsidP="00B26F5D">
      <w:pPr>
        <w:spacing w:line="240" w:lineRule="auto"/>
        <w:rPr>
          <w:b/>
          <w:u w:val="single"/>
        </w:rPr>
      </w:pPr>
    </w:p>
    <w:tbl>
      <w:tblPr>
        <w:tblW w:w="6862" w:type="dxa"/>
        <w:tblInd w:w="93" w:type="dxa"/>
        <w:tblLook w:val="04A0"/>
      </w:tblPr>
      <w:tblGrid>
        <w:gridCol w:w="1153"/>
        <w:gridCol w:w="1124"/>
        <w:gridCol w:w="1608"/>
        <w:gridCol w:w="1980"/>
        <w:gridCol w:w="997"/>
      </w:tblGrid>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57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Table 5</w:t>
            </w:r>
            <w:r w:rsidRPr="00824AD9">
              <w:rPr>
                <w:rFonts w:ascii="Calibri" w:eastAsia="Times New Roman" w:hAnsi="Calibri" w:cs="Times New Roman"/>
                <w:color w:val="000000"/>
              </w:rPr>
              <w:t>. Chi-Square of Response by Division, 2014 MEPS-IC</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Division</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Responding (Y)</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Nonresponding (N)</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Total</w:t>
            </w:r>
          </w:p>
        </w:tc>
      </w:tr>
      <w:tr w:rsidTr="0056163C">
        <w:tblPrEx>
          <w:tblW w:w="6862" w:type="dxa"/>
          <w:tblInd w:w="93" w:type="dxa"/>
          <w:tblLook w:val="04A0"/>
        </w:tblPrEx>
        <w:trPr>
          <w:trHeight w:val="300"/>
        </w:trPr>
        <w:tc>
          <w:tcPr>
            <w:tcW w:w="1153" w:type="dxa"/>
            <w:tcBorders>
              <w:top w:val="single" w:sz="4" w:space="0" w:color="auto"/>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Frequency</w:t>
            </w:r>
          </w:p>
        </w:tc>
        <w:tc>
          <w:tcPr>
            <w:tcW w:w="1124" w:type="dxa"/>
            <w:tcBorders>
              <w:top w:val="nil"/>
              <w:left w:val="nil"/>
              <w:bottom w:val="nil"/>
              <w:right w:val="single" w:sz="4" w:space="0" w:color="auto"/>
            </w:tcBorders>
            <w:shd w:val="clear" w:color="auto" w:fill="auto"/>
            <w:noWrap/>
            <w:vAlign w:val="bottom"/>
            <w:hideMark/>
          </w:tcPr>
          <w:p w:rsidR="00C704F6" w:rsidRPr="00C704F6" w:rsidP="00C704F6">
            <w:pPr>
              <w:spacing w:after="0" w:line="240" w:lineRule="auto"/>
              <w:jc w:val="center"/>
              <w:rPr>
                <w:rFonts w:ascii="Calibri" w:hAnsi="Calibri" w:cs="Times New Roman"/>
                <w:color w:val="000000"/>
                <w:lang w:eastAsia="ko-KR"/>
              </w:rPr>
            </w:pPr>
            <w:r>
              <w:rPr>
                <w:rFonts w:ascii="Calibri" w:hAnsi="Calibri" w:cs="Times New Roman" w:hint="eastAsia"/>
                <w:color w:val="000000"/>
                <w:lang w:eastAsia="ko-KR"/>
              </w:rPr>
              <w:t>New</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240544</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102128</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342672</w:t>
            </w:r>
          </w:p>
        </w:tc>
      </w:tr>
      <w:tr w:rsidTr="0056163C">
        <w:tblPrEx>
          <w:tblW w:w="6862" w:type="dxa"/>
          <w:tblInd w:w="93" w:type="dxa"/>
          <w:tblLook w:val="04A0"/>
        </w:tblPrEx>
        <w:trPr>
          <w:trHeight w:val="300"/>
        </w:trPr>
        <w:tc>
          <w:tcPr>
            <w:tcW w:w="1153"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Expected</w:t>
            </w:r>
          </w:p>
        </w:tc>
        <w:tc>
          <w:tcPr>
            <w:tcW w:w="1124" w:type="dxa"/>
            <w:tcBorders>
              <w:top w:val="nil"/>
              <w:left w:val="nil"/>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sidRPr="00824AD9">
              <w:rPr>
                <w:rFonts w:ascii="Calibri" w:eastAsia="Times New Roman" w:hAnsi="Calibri" w:cs="Times New Roman"/>
                <w:color w:val="000000"/>
              </w:rPr>
              <w:t> </w:t>
            </w:r>
            <w:r w:rsidR="00C704F6">
              <w:rPr>
                <w:rFonts w:ascii="Calibri" w:hAnsi="Calibri" w:cs="Times New Roman" w:hint="eastAsia"/>
                <w:color w:val="000000"/>
                <w:lang w:eastAsia="ko-KR"/>
              </w:rPr>
              <w:t>England</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234932</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107740</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Percent</w:t>
            </w:r>
          </w:p>
        </w:tc>
        <w:tc>
          <w:tcPr>
            <w:tcW w:w="1124"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3.62</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1.54</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5.16</w:t>
            </w:r>
          </w:p>
        </w:tc>
      </w:tr>
      <w:tr w:rsidTr="0056163C">
        <w:tblPrEx>
          <w:tblW w:w="6862" w:type="dxa"/>
          <w:tblInd w:w="93" w:type="dxa"/>
          <w:tblLook w:val="04A0"/>
        </w:tblPrEx>
        <w:trPr>
          <w:trHeight w:val="300"/>
        </w:trPr>
        <w:tc>
          <w:tcPr>
            <w:tcW w:w="1153"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xml:space="preserve">Row </w:t>
            </w:r>
            <w:r w:rsidRPr="00824AD9">
              <w:rPr>
                <w:rFonts w:ascii="Calibri" w:eastAsia="Times New Roman" w:hAnsi="Calibri" w:cs="Times New Roman"/>
                <w:color w:val="000000"/>
              </w:rPr>
              <w:t>Pct</w:t>
            </w:r>
          </w:p>
        </w:tc>
        <w:tc>
          <w:tcPr>
            <w:tcW w:w="1124"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70.2</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29.8</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xml:space="preserve">Col </w:t>
            </w:r>
            <w:r w:rsidRPr="00824AD9">
              <w:rPr>
                <w:rFonts w:ascii="Calibri" w:eastAsia="Times New Roman" w:hAnsi="Calibri" w:cs="Times New Roman"/>
                <w:color w:val="000000"/>
              </w:rPr>
              <w:t>Pct</w:t>
            </w:r>
          </w:p>
        </w:tc>
        <w:tc>
          <w:tcPr>
            <w:tcW w:w="1124"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5.28</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4.89</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C704F6" w:rsidRPr="00C704F6" w:rsidP="00C704F6">
            <w:pPr>
              <w:spacing w:after="0" w:line="240" w:lineRule="auto"/>
              <w:jc w:val="center"/>
              <w:rPr>
                <w:rFonts w:ascii="Calibri" w:hAnsi="Calibri" w:cs="Times New Roman"/>
                <w:color w:val="000000"/>
                <w:lang w:eastAsia="ko-KR"/>
              </w:rPr>
            </w:pPr>
            <w:r>
              <w:rPr>
                <w:rFonts w:ascii="Calibri" w:hAnsi="Calibri" w:cs="Times New Roman" w:hint="eastAsia"/>
                <w:color w:val="000000"/>
                <w:lang w:eastAsia="ko-KR"/>
              </w:rPr>
              <w:t>Middle</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587908</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335436</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923344</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sidRPr="00824AD9">
              <w:rPr>
                <w:rFonts w:ascii="Calibri" w:eastAsia="Times New Roman" w:hAnsi="Calibri" w:cs="Times New Roman"/>
                <w:color w:val="000000"/>
              </w:rPr>
              <w:t> </w:t>
            </w:r>
            <w:r w:rsidR="00C704F6">
              <w:rPr>
                <w:rFonts w:ascii="Calibri" w:hAnsi="Calibri" w:cs="Times New Roman" w:hint="eastAsia"/>
                <w:color w:val="000000"/>
                <w:lang w:eastAsia="ko-KR"/>
              </w:rPr>
              <w:t>Atlantic</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633034</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290310</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8.85</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5.05</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13.9</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63.67</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36.33</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12.91</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16.06</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Pr>
                <w:rFonts w:ascii="Calibri" w:hAnsi="Calibri" w:cs="Times New Roman" w:hint="eastAsia"/>
                <w:color w:val="000000"/>
                <w:lang w:eastAsia="ko-KR"/>
              </w:rPr>
              <w:t>East</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670924</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289825</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960749</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sidRPr="00824AD9">
              <w:rPr>
                <w:rFonts w:ascii="Calibri" w:eastAsia="Times New Roman" w:hAnsi="Calibri" w:cs="Times New Roman"/>
                <w:color w:val="000000"/>
              </w:rPr>
              <w:t> </w:t>
            </w:r>
            <w:r w:rsidR="00C704F6">
              <w:rPr>
                <w:rFonts w:ascii="Calibri" w:hAnsi="Calibri" w:cs="Times New Roman" w:hint="eastAsia"/>
                <w:color w:val="000000"/>
                <w:lang w:eastAsia="ko-KR"/>
              </w:rPr>
              <w:t>North</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658678</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302071</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sidRPr="00824AD9">
              <w:rPr>
                <w:rFonts w:ascii="Calibri" w:eastAsia="Times New Roman" w:hAnsi="Calibri" w:cs="Times New Roman"/>
                <w:color w:val="000000"/>
              </w:rPr>
              <w:t> </w:t>
            </w:r>
            <w:r w:rsidR="00C704F6">
              <w:rPr>
                <w:rFonts w:ascii="Calibri" w:hAnsi="Calibri" w:cs="Times New Roman" w:hint="eastAsia"/>
                <w:color w:val="000000"/>
                <w:lang w:eastAsia="ko-KR"/>
              </w:rPr>
              <w:t>Central</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10.1</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4.36</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14.47</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69.83</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30.17</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14.74</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13.88</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Pr>
                <w:rFonts w:ascii="Calibri" w:hAnsi="Calibri" w:cs="Times New Roman" w:hint="eastAsia"/>
                <w:color w:val="000000"/>
                <w:lang w:eastAsia="ko-KR"/>
              </w:rPr>
              <w:t>West</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388453</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137034</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525487</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sidRPr="00824AD9">
              <w:rPr>
                <w:rFonts w:ascii="Calibri" w:eastAsia="Times New Roman" w:hAnsi="Calibri" w:cs="Times New Roman"/>
                <w:color w:val="000000"/>
              </w:rPr>
              <w:t> </w:t>
            </w:r>
            <w:r w:rsidR="00C704F6">
              <w:rPr>
                <w:rFonts w:ascii="Calibri" w:hAnsi="Calibri" w:cs="Times New Roman" w:hint="eastAsia"/>
                <w:color w:val="000000"/>
                <w:lang w:eastAsia="ko-KR"/>
              </w:rPr>
              <w:t>North</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360268</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165219</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sidRPr="00824AD9">
              <w:rPr>
                <w:rFonts w:ascii="Calibri" w:eastAsia="Times New Roman" w:hAnsi="Calibri" w:cs="Times New Roman"/>
                <w:color w:val="000000"/>
              </w:rPr>
              <w:t> </w:t>
            </w:r>
            <w:r w:rsidR="00C704F6">
              <w:rPr>
                <w:rFonts w:ascii="Calibri" w:hAnsi="Calibri" w:cs="Times New Roman" w:hint="eastAsia"/>
                <w:color w:val="000000"/>
                <w:lang w:eastAsia="ko-KR"/>
              </w:rPr>
              <w:t>Central</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5.85</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2.06</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7.91</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73.92</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26.08</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8.53</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6.56</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Pr>
                <w:rFonts w:ascii="Calibri" w:hAnsi="Calibri" w:cs="Times New Roman" w:hint="eastAsia"/>
                <w:color w:val="000000"/>
                <w:lang w:eastAsia="ko-KR"/>
              </w:rPr>
              <w:t>South</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861378</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416445</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1277823</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sidRPr="00824AD9">
              <w:rPr>
                <w:rFonts w:ascii="Calibri" w:eastAsia="Times New Roman" w:hAnsi="Calibri" w:cs="Times New Roman"/>
                <w:color w:val="000000"/>
              </w:rPr>
              <w:t> </w:t>
            </w:r>
            <w:r w:rsidR="00C704F6">
              <w:rPr>
                <w:rFonts w:ascii="Calibri" w:hAnsi="Calibri" w:cs="Times New Roman" w:hint="eastAsia"/>
                <w:color w:val="000000"/>
                <w:lang w:eastAsia="ko-KR"/>
              </w:rPr>
              <w:t>Atlantic</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876060</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401763</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12.97</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6.27</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19.24</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67.41</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32.59</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18.92</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19.94</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Pr>
                <w:rFonts w:ascii="Calibri" w:hAnsi="Calibri" w:cs="Times New Roman" w:hint="eastAsia"/>
                <w:color w:val="000000"/>
                <w:lang w:eastAsia="ko-KR"/>
              </w:rPr>
              <w:t>East</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242474</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92219.5</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334693</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Pr>
                <w:rFonts w:ascii="Calibri" w:hAnsi="Calibri" w:cs="Times New Roman" w:hint="eastAsia"/>
                <w:color w:val="000000"/>
                <w:lang w:eastAsia="ko-KR"/>
              </w:rPr>
              <w:t>South</w:t>
            </w: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229462</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105231</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Pr>
                <w:rFonts w:ascii="Calibri" w:hAnsi="Calibri" w:cs="Times New Roman" w:hint="eastAsia"/>
                <w:color w:val="000000"/>
                <w:lang w:eastAsia="ko-KR"/>
              </w:rPr>
              <w:t>Central</w:t>
            </w: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3.65</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1.39</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5.04</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72.45</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27.55</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5.33</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4.42</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Pr>
                <w:rFonts w:ascii="Calibri" w:hAnsi="Calibri" w:cs="Times New Roman" w:hint="eastAsia"/>
                <w:color w:val="000000"/>
                <w:lang w:eastAsia="ko-KR"/>
              </w:rPr>
              <w:t>West</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480372</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227581</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707952</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sidRPr="00824AD9">
              <w:rPr>
                <w:rFonts w:ascii="Calibri" w:eastAsia="Times New Roman" w:hAnsi="Calibri" w:cs="Times New Roman"/>
                <w:color w:val="000000"/>
              </w:rPr>
              <w:t> </w:t>
            </w:r>
            <w:r w:rsidR="00C704F6">
              <w:rPr>
                <w:rFonts w:ascii="Calibri" w:hAnsi="Calibri" w:cs="Times New Roman" w:hint="eastAsia"/>
                <w:color w:val="000000"/>
                <w:lang w:eastAsia="ko-KR"/>
              </w:rPr>
              <w:t>South</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485364</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222589</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sidRPr="00824AD9">
              <w:rPr>
                <w:rFonts w:ascii="Calibri" w:eastAsia="Times New Roman" w:hAnsi="Calibri" w:cs="Times New Roman"/>
                <w:color w:val="000000"/>
              </w:rPr>
              <w:t> </w:t>
            </w:r>
            <w:r w:rsidR="00C704F6">
              <w:rPr>
                <w:rFonts w:ascii="Calibri" w:hAnsi="Calibri" w:cs="Times New Roman" w:hint="eastAsia"/>
                <w:color w:val="000000"/>
                <w:lang w:eastAsia="ko-KR"/>
              </w:rPr>
              <w:t>Central</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7.23</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3.43</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10.66</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67.85</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32.15</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10.55</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10.9</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Pr>
                <w:rFonts w:ascii="Calibri" w:hAnsi="Calibri" w:cs="Times New Roman" w:hint="eastAsia"/>
                <w:color w:val="000000"/>
                <w:lang w:eastAsia="ko-KR"/>
              </w:rPr>
              <w:t>Mountain</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355633</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140220</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495853</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339951</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155902</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5.35</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2.11</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7.47</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71.72</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28.28</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7.81</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6.72</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C704F6" w:rsidP="00824AD9">
            <w:pPr>
              <w:spacing w:after="0" w:line="240" w:lineRule="auto"/>
              <w:jc w:val="center"/>
              <w:rPr>
                <w:rFonts w:ascii="Calibri" w:hAnsi="Calibri" w:cs="Times New Roman"/>
                <w:color w:val="000000"/>
                <w:lang w:eastAsia="ko-KR"/>
              </w:rPr>
            </w:pPr>
            <w:r>
              <w:rPr>
                <w:rFonts w:ascii="Calibri" w:hAnsi="Calibri" w:cs="Times New Roman" w:hint="eastAsia"/>
                <w:color w:val="000000"/>
                <w:lang w:eastAsia="ko-KR"/>
              </w:rPr>
              <w:t>Pacific</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725446</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347185</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1072630</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735383</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337248</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10.92</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5.23</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16.15</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67.63</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32.37</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15.93</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16.63</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Total</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4553130</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2088073</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6641204</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68.56</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31.44</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100</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Statistic</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DF</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Value</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Prob</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nil"/>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Chi-Square</w:t>
            </w:r>
          </w:p>
        </w:tc>
        <w:tc>
          <w:tcPr>
            <w:tcW w:w="1608"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8</w:t>
            </w:r>
          </w:p>
        </w:tc>
        <w:tc>
          <w:tcPr>
            <w:tcW w:w="1980"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24415.1746</w:t>
            </w:r>
          </w:p>
        </w:tc>
        <w:tc>
          <w:tcPr>
            <w:tcW w:w="997" w:type="dxa"/>
            <w:tcBorders>
              <w:top w:val="nil"/>
              <w:left w:val="nil"/>
              <w:bottom w:val="nil"/>
              <w:right w:val="single" w:sz="4" w:space="0" w:color="auto"/>
            </w:tcBorders>
            <w:shd w:val="clear" w:color="auto" w:fill="auto"/>
            <w:noWrap/>
            <w:vAlign w:val="bottom"/>
            <w:hideMark/>
          </w:tcPr>
          <w:p w:rsidR="00824AD9" w:rsidRPr="00824AD9" w:rsidP="00824AD9">
            <w:pPr>
              <w:spacing w:after="0" w:line="240" w:lineRule="auto"/>
              <w:jc w:val="center"/>
              <w:rPr>
                <w:rFonts w:ascii="Calibri" w:eastAsia="Times New Roman" w:hAnsi="Calibri" w:cs="Times New Roman"/>
                <w:color w:val="000000"/>
              </w:rPr>
            </w:pPr>
            <w:r w:rsidRPr="00824AD9">
              <w:rPr>
                <w:rFonts w:ascii="Calibri" w:eastAsia="Times New Roman" w:hAnsi="Calibri" w:cs="Times New Roman"/>
                <w:color w:val="000000"/>
              </w:rPr>
              <w:t>&lt;.0001</w:t>
            </w:r>
          </w:p>
        </w:tc>
      </w:tr>
      <w:tr w:rsidTr="0056163C">
        <w:tblPrEx>
          <w:tblW w:w="6862" w:type="dxa"/>
          <w:tblInd w:w="93" w:type="dxa"/>
          <w:tblLook w:val="04A0"/>
        </w:tblPrEx>
        <w:trPr>
          <w:trHeight w:val="300"/>
        </w:trPr>
        <w:tc>
          <w:tcPr>
            <w:tcW w:w="1153" w:type="dxa"/>
            <w:tcBorders>
              <w:top w:val="nil"/>
              <w:left w:val="nil"/>
              <w:bottom w:val="nil"/>
              <w:right w:val="nil"/>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Cramer's V</w:t>
            </w:r>
          </w:p>
        </w:tc>
        <w:tc>
          <w:tcPr>
            <w:tcW w:w="1608"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jc w:val="right"/>
              <w:rPr>
                <w:rFonts w:ascii="Calibri" w:eastAsia="Times New Roman" w:hAnsi="Calibri" w:cs="Times New Roman"/>
                <w:color w:val="000000"/>
              </w:rPr>
            </w:pPr>
            <w:r w:rsidRPr="00824AD9">
              <w:rPr>
                <w:rFonts w:ascii="Calibri" w:eastAsia="Times New Roman" w:hAnsi="Calibri" w:cs="Times New Roman"/>
                <w:color w:val="000000"/>
              </w:rPr>
              <w:t>0.0606</w:t>
            </w:r>
          </w:p>
        </w:tc>
        <w:tc>
          <w:tcPr>
            <w:tcW w:w="997" w:type="dxa"/>
            <w:tcBorders>
              <w:top w:val="nil"/>
              <w:left w:val="nil"/>
              <w:bottom w:val="single" w:sz="4" w:space="0" w:color="auto"/>
              <w:right w:val="single" w:sz="4" w:space="0" w:color="auto"/>
            </w:tcBorders>
            <w:shd w:val="clear" w:color="auto" w:fill="auto"/>
            <w:noWrap/>
            <w:vAlign w:val="bottom"/>
            <w:hideMark/>
          </w:tcPr>
          <w:p w:rsidR="00824AD9" w:rsidRPr="00824AD9" w:rsidP="00824AD9">
            <w:pPr>
              <w:spacing w:after="0" w:line="240" w:lineRule="auto"/>
              <w:rPr>
                <w:rFonts w:ascii="Calibri" w:eastAsia="Times New Roman" w:hAnsi="Calibri" w:cs="Times New Roman"/>
                <w:color w:val="000000"/>
              </w:rPr>
            </w:pPr>
            <w:r w:rsidRPr="00824AD9">
              <w:rPr>
                <w:rFonts w:ascii="Calibri" w:eastAsia="Times New Roman" w:hAnsi="Calibri" w:cs="Times New Roman"/>
                <w:color w:val="000000"/>
              </w:rPr>
              <w:t> </w:t>
            </w:r>
          </w:p>
        </w:tc>
      </w:tr>
    </w:tbl>
    <w:p w:rsidR="00824AD9" w:rsidP="00B26F5D">
      <w:pPr>
        <w:spacing w:line="240" w:lineRule="auto"/>
      </w:pPr>
    </w:p>
    <w:tbl>
      <w:tblPr>
        <w:tblW w:w="9660" w:type="dxa"/>
        <w:tblInd w:w="93" w:type="dxa"/>
        <w:tblLook w:val="04A0"/>
      </w:tblPr>
      <w:tblGrid>
        <w:gridCol w:w="2479"/>
        <w:gridCol w:w="1988"/>
        <w:gridCol w:w="2453"/>
        <w:gridCol w:w="825"/>
        <w:gridCol w:w="925"/>
        <w:gridCol w:w="990"/>
      </w:tblGrid>
      <w:tr w:rsidTr="00906420">
        <w:tblPrEx>
          <w:tblW w:w="9660" w:type="dxa"/>
          <w:tblInd w:w="93" w:type="dxa"/>
          <w:tblLook w:val="04A0"/>
        </w:tblPrEx>
        <w:trPr>
          <w:trHeight w:val="300"/>
        </w:trPr>
        <w:tc>
          <w:tcPr>
            <w:tcW w:w="9660" w:type="dxa"/>
            <w:gridSpan w:val="6"/>
            <w:tcBorders>
              <w:top w:val="single" w:sz="4" w:space="0" w:color="auto"/>
              <w:left w:val="single" w:sz="4" w:space="0" w:color="auto"/>
              <w:bottom w:val="single" w:sz="4" w:space="0" w:color="auto"/>
              <w:right w:val="nil"/>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Pr>
                <w:rFonts w:ascii="Calibri" w:eastAsia="Times New Roman" w:hAnsi="Calibri" w:cs="Times New Roman"/>
                <w:color w:val="000000"/>
                <w:lang w:eastAsia="ko-KR"/>
              </w:rPr>
              <w:t>Table 6</w:t>
            </w:r>
            <w:r w:rsidRPr="00906420">
              <w:rPr>
                <w:rFonts w:ascii="Calibri" w:eastAsia="Times New Roman" w:hAnsi="Calibri" w:cs="Times New Roman"/>
                <w:color w:val="000000"/>
                <w:lang w:eastAsia="ko-KR"/>
              </w:rPr>
              <w:t>. T-test of Response by Geographic Division, 2014 MEPS_IC</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Division</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Responding (%)</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Nonresponding (%)</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DF</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t Value</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Pr</w:t>
            </w:r>
            <w:r w:rsidRPr="00906420">
              <w:rPr>
                <w:rFonts w:ascii="Calibri" w:eastAsia="Times New Roman" w:hAnsi="Calibri" w:cs="Times New Roman"/>
                <w:color w:val="000000"/>
                <w:lang w:eastAsia="ko-KR"/>
              </w:rPr>
              <w:t xml:space="preserve"> &gt; |t|</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New England</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5.3</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4.85</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39000</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1.84</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0.066</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Middle Atlantic</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12.92</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16.07</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20505</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-7.97</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&lt;.0001</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East North Central</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14.74</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13.87</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39000</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2.27</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0.0231</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West North Central</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8.52</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6.59</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24796</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6.77</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&lt;.0001</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South Atlantic</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18.92</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19.93</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21814</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-2.3</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0.0216</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East South Central</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5.33</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4.41</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24142</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3.94</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&lt;.0001</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West South Central</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10.54</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10.92</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21901</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-1.09</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0.2777</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Mountain</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7.8</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6.74</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23623</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3.72</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0.0002</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Pacific</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15.93</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16.62</w:t>
            </w:r>
          </w:p>
        </w:tc>
        <w:tc>
          <w:tcPr>
            <w:tcW w:w="8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21868</w:t>
            </w:r>
          </w:p>
        </w:tc>
        <w:tc>
          <w:tcPr>
            <w:tcW w:w="925"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-1.68</w:t>
            </w:r>
          </w:p>
        </w:tc>
        <w:tc>
          <w:tcPr>
            <w:tcW w:w="990"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0.0939</w:t>
            </w:r>
          </w:p>
        </w:tc>
      </w:tr>
      <w:tr w:rsidTr="00906420">
        <w:tblPrEx>
          <w:tblW w:w="9660" w:type="dxa"/>
          <w:tblInd w:w="93" w:type="dxa"/>
          <w:tblLook w:val="04A0"/>
        </w:tblPrEx>
        <w:trPr>
          <w:trHeight w:val="300"/>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906420" w:rsidRPr="00906420" w:rsidP="00906420">
            <w:pPr>
              <w:spacing w:after="0" w:line="240" w:lineRule="auto"/>
              <w:jc w:val="center"/>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Total</w:t>
            </w:r>
          </w:p>
        </w:tc>
        <w:tc>
          <w:tcPr>
            <w:tcW w:w="1988"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100</w:t>
            </w:r>
          </w:p>
        </w:tc>
        <w:tc>
          <w:tcPr>
            <w:tcW w:w="2453" w:type="dxa"/>
            <w:tcBorders>
              <w:top w:val="nil"/>
              <w:left w:val="nil"/>
              <w:bottom w:val="single" w:sz="4" w:space="0" w:color="auto"/>
              <w:right w:val="single" w:sz="4" w:space="0" w:color="auto"/>
            </w:tcBorders>
            <w:shd w:val="clear" w:color="auto" w:fill="auto"/>
            <w:noWrap/>
            <w:vAlign w:val="bottom"/>
            <w:hideMark/>
          </w:tcPr>
          <w:p w:rsidR="00906420" w:rsidRPr="00906420" w:rsidP="00906420">
            <w:pPr>
              <w:spacing w:after="0" w:line="240" w:lineRule="auto"/>
              <w:jc w:val="right"/>
              <w:rPr>
                <w:rFonts w:ascii="Calibri" w:eastAsia="Times New Roman" w:hAnsi="Calibri" w:cs="Times New Roman"/>
                <w:color w:val="000000"/>
                <w:lang w:eastAsia="ko-KR"/>
              </w:rPr>
            </w:pPr>
            <w:r w:rsidRPr="00906420">
              <w:rPr>
                <w:rFonts w:ascii="Calibri" w:eastAsia="Times New Roman" w:hAnsi="Calibri" w:cs="Times New Roman"/>
                <w:color w:val="000000"/>
                <w:lang w:eastAsia="ko-KR"/>
              </w:rPr>
              <w:t>100</w:t>
            </w:r>
          </w:p>
        </w:tc>
        <w:tc>
          <w:tcPr>
            <w:tcW w:w="825" w:type="dxa"/>
            <w:tcBorders>
              <w:top w:val="nil"/>
              <w:left w:val="nil"/>
              <w:bottom w:val="nil"/>
              <w:right w:val="nil"/>
            </w:tcBorders>
            <w:shd w:val="clear" w:color="auto" w:fill="auto"/>
            <w:noWrap/>
            <w:vAlign w:val="bottom"/>
            <w:hideMark/>
          </w:tcPr>
          <w:p w:rsidR="00906420" w:rsidRPr="00906420" w:rsidP="00906420">
            <w:pPr>
              <w:spacing w:after="0" w:line="240" w:lineRule="auto"/>
              <w:rPr>
                <w:rFonts w:ascii="Calibri" w:eastAsia="Times New Roman" w:hAnsi="Calibri" w:cs="Times New Roman"/>
                <w:color w:val="000000"/>
                <w:lang w:eastAsia="ko-KR"/>
              </w:rPr>
            </w:pPr>
          </w:p>
        </w:tc>
        <w:tc>
          <w:tcPr>
            <w:tcW w:w="925" w:type="dxa"/>
            <w:tcBorders>
              <w:top w:val="nil"/>
              <w:left w:val="nil"/>
              <w:bottom w:val="nil"/>
              <w:right w:val="nil"/>
            </w:tcBorders>
            <w:shd w:val="clear" w:color="auto" w:fill="auto"/>
            <w:noWrap/>
            <w:vAlign w:val="bottom"/>
            <w:hideMark/>
          </w:tcPr>
          <w:p w:rsidR="00906420" w:rsidRPr="00906420" w:rsidP="00906420">
            <w:pPr>
              <w:spacing w:after="0" w:line="240" w:lineRule="auto"/>
              <w:rPr>
                <w:rFonts w:ascii="Calibri" w:eastAsia="Times New Roman" w:hAnsi="Calibri" w:cs="Times New Roman"/>
                <w:color w:val="000000"/>
                <w:lang w:eastAsia="ko-KR"/>
              </w:rPr>
            </w:pPr>
          </w:p>
        </w:tc>
        <w:tc>
          <w:tcPr>
            <w:tcW w:w="990" w:type="dxa"/>
            <w:tcBorders>
              <w:top w:val="nil"/>
              <w:left w:val="nil"/>
              <w:bottom w:val="nil"/>
              <w:right w:val="nil"/>
            </w:tcBorders>
            <w:shd w:val="clear" w:color="auto" w:fill="auto"/>
            <w:noWrap/>
            <w:vAlign w:val="bottom"/>
            <w:hideMark/>
          </w:tcPr>
          <w:p w:rsidR="00906420" w:rsidRPr="00906420" w:rsidP="00906420">
            <w:pPr>
              <w:spacing w:after="0" w:line="240" w:lineRule="auto"/>
              <w:rPr>
                <w:rFonts w:ascii="Calibri" w:eastAsia="Times New Roman" w:hAnsi="Calibri" w:cs="Times New Roman"/>
                <w:color w:val="000000"/>
                <w:lang w:eastAsia="ko-KR"/>
              </w:rPr>
            </w:pPr>
          </w:p>
        </w:tc>
      </w:tr>
    </w:tbl>
    <w:p w:rsidR="00906420" w:rsidP="00B26F5D">
      <w:pPr>
        <w:spacing w:line="240" w:lineRule="auto"/>
        <w:rPr>
          <w:b/>
          <w:u w:val="single"/>
          <w:lang w:eastAsia="ko-KR"/>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5D"/>
    <w:rsid w:val="00026D69"/>
    <w:rsid w:val="00056DE5"/>
    <w:rsid w:val="000845DC"/>
    <w:rsid w:val="000B16AE"/>
    <w:rsid w:val="000B7BD7"/>
    <w:rsid w:val="000C7F4B"/>
    <w:rsid w:val="000F78CD"/>
    <w:rsid w:val="00122F1F"/>
    <w:rsid w:val="001349DD"/>
    <w:rsid w:val="00194D4C"/>
    <w:rsid w:val="001A4363"/>
    <w:rsid w:val="001A75C5"/>
    <w:rsid w:val="001C0AA9"/>
    <w:rsid w:val="001F1ECF"/>
    <w:rsid w:val="001F2D5A"/>
    <w:rsid w:val="001F4770"/>
    <w:rsid w:val="00241613"/>
    <w:rsid w:val="00272C78"/>
    <w:rsid w:val="00290B2A"/>
    <w:rsid w:val="00293B95"/>
    <w:rsid w:val="002F7793"/>
    <w:rsid w:val="00327041"/>
    <w:rsid w:val="00343391"/>
    <w:rsid w:val="00344C97"/>
    <w:rsid w:val="00350949"/>
    <w:rsid w:val="00360F2B"/>
    <w:rsid w:val="00361799"/>
    <w:rsid w:val="0038584F"/>
    <w:rsid w:val="00391D6F"/>
    <w:rsid w:val="003A50A4"/>
    <w:rsid w:val="003F0522"/>
    <w:rsid w:val="00427D31"/>
    <w:rsid w:val="004544FD"/>
    <w:rsid w:val="004637A3"/>
    <w:rsid w:val="00472E08"/>
    <w:rsid w:val="0047432D"/>
    <w:rsid w:val="004C5764"/>
    <w:rsid w:val="004E4B5B"/>
    <w:rsid w:val="00527FC1"/>
    <w:rsid w:val="00547DDA"/>
    <w:rsid w:val="0056163C"/>
    <w:rsid w:val="005A2D67"/>
    <w:rsid w:val="005A5775"/>
    <w:rsid w:val="0062790C"/>
    <w:rsid w:val="006B4E0E"/>
    <w:rsid w:val="006C53FA"/>
    <w:rsid w:val="006E762F"/>
    <w:rsid w:val="006F418F"/>
    <w:rsid w:val="00704C35"/>
    <w:rsid w:val="00713E4F"/>
    <w:rsid w:val="0075516C"/>
    <w:rsid w:val="00755248"/>
    <w:rsid w:val="007805D2"/>
    <w:rsid w:val="00824AD9"/>
    <w:rsid w:val="00830851"/>
    <w:rsid w:val="008370C0"/>
    <w:rsid w:val="00843E03"/>
    <w:rsid w:val="00846BBD"/>
    <w:rsid w:val="00851CD0"/>
    <w:rsid w:val="00863311"/>
    <w:rsid w:val="0088257C"/>
    <w:rsid w:val="00887297"/>
    <w:rsid w:val="008904C5"/>
    <w:rsid w:val="008B069C"/>
    <w:rsid w:val="008B0B5A"/>
    <w:rsid w:val="008B5952"/>
    <w:rsid w:val="008C3441"/>
    <w:rsid w:val="008D1E8A"/>
    <w:rsid w:val="008D3927"/>
    <w:rsid w:val="008F30B5"/>
    <w:rsid w:val="00906420"/>
    <w:rsid w:val="009110A2"/>
    <w:rsid w:val="00912356"/>
    <w:rsid w:val="009371E9"/>
    <w:rsid w:val="00960A56"/>
    <w:rsid w:val="00966C5E"/>
    <w:rsid w:val="00987919"/>
    <w:rsid w:val="009A0204"/>
    <w:rsid w:val="009B0D93"/>
    <w:rsid w:val="009D3DB5"/>
    <w:rsid w:val="00A00802"/>
    <w:rsid w:val="00A11145"/>
    <w:rsid w:val="00A149B1"/>
    <w:rsid w:val="00A25CDC"/>
    <w:rsid w:val="00A44CD8"/>
    <w:rsid w:val="00A464C8"/>
    <w:rsid w:val="00AF2376"/>
    <w:rsid w:val="00AF2ED0"/>
    <w:rsid w:val="00B23C8F"/>
    <w:rsid w:val="00B26F5D"/>
    <w:rsid w:val="00B5000A"/>
    <w:rsid w:val="00B709E5"/>
    <w:rsid w:val="00BA74E5"/>
    <w:rsid w:val="00BD0323"/>
    <w:rsid w:val="00BD2B63"/>
    <w:rsid w:val="00BF6A3E"/>
    <w:rsid w:val="00C435E8"/>
    <w:rsid w:val="00C618CC"/>
    <w:rsid w:val="00C704F6"/>
    <w:rsid w:val="00C75BAE"/>
    <w:rsid w:val="00C937FF"/>
    <w:rsid w:val="00CB373F"/>
    <w:rsid w:val="00CC5501"/>
    <w:rsid w:val="00CD019A"/>
    <w:rsid w:val="00D21007"/>
    <w:rsid w:val="00D45AB5"/>
    <w:rsid w:val="00D73D7A"/>
    <w:rsid w:val="00DB27E1"/>
    <w:rsid w:val="00DE13D3"/>
    <w:rsid w:val="00DE3EBF"/>
    <w:rsid w:val="00DF10DF"/>
    <w:rsid w:val="00E036DA"/>
    <w:rsid w:val="00E05B3D"/>
    <w:rsid w:val="00E363BA"/>
    <w:rsid w:val="00E37086"/>
    <w:rsid w:val="00E66054"/>
    <w:rsid w:val="00EB422B"/>
    <w:rsid w:val="00EC55C4"/>
    <w:rsid w:val="00F31B00"/>
    <w:rsid w:val="00F31E03"/>
    <w:rsid w:val="00F4416E"/>
    <w:rsid w:val="00F64D6E"/>
  </w:rsids>
  <m:mathPr>
    <m:mathFont m:val="Cambria Math"/>
  </m:mathPr>
  <w:themeFontLang w:val="en-US" w:eastAsia="ko-KR" w:bidi="b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F5D"/>
    <w:rPr>
      <w:color w:val="0000FF" w:themeColor="hyperlink"/>
      <w:u w:val="single"/>
    </w:rPr>
  </w:style>
  <w:style w:type="table" w:styleId="TableGrid">
    <w:name w:val="Table Grid"/>
    <w:basedOn w:val="TableNormal"/>
    <w:uiPriority w:val="59"/>
    <w:rsid w:val="00B2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F5D"/>
    <w:rPr>
      <w:rFonts w:ascii="Tahoma" w:hAnsi="Tahoma" w:cs="Tahoma"/>
      <w:sz w:val="16"/>
      <w:szCs w:val="16"/>
    </w:rPr>
  </w:style>
  <w:style w:type="character" w:styleId="CommentReference">
    <w:name w:val="annotation reference"/>
    <w:basedOn w:val="DefaultParagraphFont"/>
    <w:uiPriority w:val="99"/>
    <w:semiHidden/>
    <w:unhideWhenUsed/>
    <w:rsid w:val="00056DE5"/>
    <w:rPr>
      <w:sz w:val="16"/>
      <w:szCs w:val="16"/>
    </w:rPr>
  </w:style>
  <w:style w:type="paragraph" w:styleId="CommentText">
    <w:name w:val="annotation text"/>
    <w:basedOn w:val="Normal"/>
    <w:link w:val="CommentTextChar"/>
    <w:uiPriority w:val="99"/>
    <w:semiHidden/>
    <w:unhideWhenUsed/>
    <w:rsid w:val="00056DE5"/>
    <w:pPr>
      <w:spacing w:line="240" w:lineRule="auto"/>
    </w:pPr>
    <w:rPr>
      <w:sz w:val="20"/>
      <w:szCs w:val="20"/>
    </w:rPr>
  </w:style>
  <w:style w:type="character" w:customStyle="1" w:styleId="CommentTextChar">
    <w:name w:val="Comment Text Char"/>
    <w:basedOn w:val="DefaultParagraphFont"/>
    <w:link w:val="CommentText"/>
    <w:uiPriority w:val="99"/>
    <w:semiHidden/>
    <w:rsid w:val="00056DE5"/>
    <w:rPr>
      <w:sz w:val="20"/>
      <w:szCs w:val="20"/>
    </w:rPr>
  </w:style>
  <w:style w:type="paragraph" w:styleId="CommentSubject">
    <w:name w:val="annotation subject"/>
    <w:basedOn w:val="CommentText"/>
    <w:next w:val="CommentText"/>
    <w:link w:val="CommentSubjectChar"/>
    <w:uiPriority w:val="99"/>
    <w:semiHidden/>
    <w:unhideWhenUsed/>
    <w:rsid w:val="00056DE5"/>
    <w:rPr>
      <w:b/>
      <w:bCs/>
    </w:rPr>
  </w:style>
  <w:style w:type="character" w:customStyle="1" w:styleId="CommentSubjectChar">
    <w:name w:val="Comment Subject Char"/>
    <w:basedOn w:val="CommentTextChar"/>
    <w:link w:val="CommentSubject"/>
    <w:uiPriority w:val="99"/>
    <w:semiHidden/>
    <w:rsid w:val="00056D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whitehouse.gov/sites/default/files/omb/inforeg/statpolicy/standards_stat_surveys.pdf" TargetMode="External" /><Relationship Id="rId6" Type="http://schemas.openxmlformats.org/officeDocument/2006/relationships/image" Target="media/image1.emf"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FE34-1636-4200-883D-95349EC6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2016-06-27T13:29:00Z</cp:lastPrinted>
  <dcterms:created xsi:type="dcterms:W3CDTF">2017-03-17T15:28:00Z</dcterms:created>
  <dcterms:modified xsi:type="dcterms:W3CDTF">2017-03-17T15:28:00Z</dcterms:modified>
</cp:coreProperties>
</file>