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11" w:type="dxa"/>
        <w:tblInd w:w="-73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440"/>
        <w:gridCol w:w="9369"/>
      </w:tblGrid>
      <w:tr w:rsidR="00023D19" w:rsidRPr="00C26BB4" w:rsidTr="00A4016D">
        <w:trPr>
          <w:trHeight w:val="881"/>
        </w:trPr>
        <w:tc>
          <w:tcPr>
            <w:tcW w:w="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D19" w:rsidRPr="007A4EE7" w:rsidRDefault="00023D19" w:rsidP="0026534F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bookmarkStart w:id="0" w:name="_GoBack"/>
            <w:bookmarkEnd w:id="0"/>
            <w:r w:rsidRPr="007A4EE7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B-01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D19" w:rsidRPr="007A4EE7" w:rsidRDefault="00023D19" w:rsidP="0026534F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color w:val="000000"/>
                <w:sz w:val="18"/>
                <w:szCs w:val="18"/>
                <w:lang w:eastAsia="ko-KR"/>
              </w:rPr>
            </w:pPr>
            <w:r w:rsidRPr="007A4EE7">
              <w:rPr>
                <w:rFonts w:ascii="Arial" w:hAnsi="Arial" w:cs="Arial"/>
                <w:b/>
                <w:sz w:val="18"/>
                <w:szCs w:val="18"/>
              </w:rPr>
              <w:t xml:space="preserve">Major activities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A4EE7">
              <w:rPr>
                <w:rFonts w:ascii="Arial" w:hAnsi="Arial" w:cs="Arial"/>
                <w:b/>
                <w:sz w:val="18"/>
                <w:szCs w:val="18"/>
              </w:rPr>
              <w:t>ccomplishments during this period</w:t>
            </w:r>
          </w:p>
        </w:tc>
        <w:tc>
          <w:tcPr>
            <w:tcW w:w="936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3D19" w:rsidRDefault="00023D19" w:rsidP="0026534F">
            <w:pPr>
              <w:rPr>
                <w:rFonts w:ascii="Arial" w:hAnsi="Arial"/>
                <w:sz w:val="18"/>
                <w:szCs w:val="20"/>
              </w:rPr>
            </w:pPr>
          </w:p>
          <w:tbl>
            <w:tblPr>
              <w:tblW w:w="8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0"/>
              <w:gridCol w:w="960"/>
              <w:gridCol w:w="1280"/>
            </w:tblGrid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b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color w:val="000000"/>
                    </w:rPr>
                    <w:t>Home Study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 xml:space="preserve">Quarter 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TVPRA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of Cases Cancelled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ORR Mandated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of Cases Cancelled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EC5F43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EC5F43">
                    <w:rPr>
                      <w:rFonts w:ascii="Calibri" w:hAnsi="Calibri"/>
                      <w:color w:val="000000"/>
                    </w:rPr>
                    <w:t>Discretionary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Number of Cases Cancelled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9D20F6" w:rsidRDefault="00023D19" w:rsidP="0026534F">
                  <w:pPr>
                    <w:rPr>
                      <w:rFonts w:ascii="Calibri" w:hAnsi="Calibri"/>
                      <w:b/>
                      <w:color w:val="000000"/>
                    </w:rPr>
                  </w:pPr>
                  <w:r w:rsidRPr="009D20F6">
                    <w:rPr>
                      <w:rFonts w:ascii="Calibri" w:hAnsi="Calibri"/>
                      <w:b/>
                      <w:color w:val="000000"/>
                    </w:rPr>
                    <w:t xml:space="preserve">Total Number of Children Served through Home Studies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b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color w:val="000000"/>
                    </w:rPr>
                    <w:t>Post Release Services</w:t>
                  </w:r>
                  <w:r>
                    <w:rPr>
                      <w:rFonts w:ascii="Calibri" w:hAnsi="Calibri"/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 xml:space="preserve">Quarter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8DB4E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Only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TVPRA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After Discretionary Home Study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896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272C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272CCD">
                    <w:rPr>
                      <w:rFonts w:ascii="Calibri" w:hAnsi="Calibri"/>
                      <w:color w:val="000000"/>
                    </w:rPr>
                    <w:t>PRS After Mandated Home Study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New Cases</w:t>
                  </w:r>
                  <w:r w:rsidRPr="00077ECD">
                    <w:rPr>
                      <w:rFonts w:ascii="Calibri" w:hAnsi="Calibri"/>
                      <w:color w:val="000000"/>
                    </w:rPr>
                    <w:t xml:space="preserve"> Accepted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Rollover Cases Being Served from P</w:t>
                  </w:r>
                  <w:r w:rsidRPr="00077ECD">
                    <w:rPr>
                      <w:rFonts w:ascii="Calibri" w:hAnsi="Calibri"/>
                      <w:color w:val="000000"/>
                    </w:rPr>
                    <w:t>revious Fiscal Year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Cases Closed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600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double" w:sz="6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 xml:space="preserve">Total Number of </w:t>
                  </w:r>
                  <w:r>
                    <w:rPr>
                      <w:rFonts w:ascii="Calibri" w:hAnsi="Calibri"/>
                      <w:color w:val="000000"/>
                    </w:rPr>
                    <w:t>Children Served for ALL Post Release Services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b/>
                      <w:bCs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b/>
                      <w:bCs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15"/>
              </w:trPr>
              <w:tc>
                <w:tcPr>
                  <w:tcW w:w="6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jc w:val="center"/>
                    <w:rPr>
                      <w:rFonts w:ascii="Calibri" w:eastAsia="Calibri" w:hAnsi="Calibri"/>
                      <w:b/>
                      <w:bCs/>
                      <w:color w:val="000000"/>
                    </w:rPr>
                  </w:pPr>
                  <w:r w:rsidRPr="00077ECD">
                    <w:rPr>
                      <w:rFonts w:ascii="Calibri" w:hAnsi="Calibri"/>
                      <w:b/>
                      <w:bCs/>
                      <w:color w:val="000000"/>
                    </w:rPr>
                    <w:t>TOTAL NUMBER OF CHILDREN SERVED in HS and PRS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color w:val="000000"/>
                    </w:rPr>
                  </w:pPr>
                  <w:r w:rsidRPr="00077ECD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23D19" w:rsidRPr="00077ECD" w:rsidRDefault="00023D19" w:rsidP="0026534F">
                  <w:pPr>
                    <w:rPr>
                      <w:rFonts w:ascii="Calibri" w:eastAsia="Calibri" w:hAnsi="Calibri"/>
                      <w:b/>
                      <w:color w:val="000000"/>
                    </w:rPr>
                  </w:pPr>
                </w:p>
              </w:tc>
            </w:tr>
          </w:tbl>
          <w:p w:rsidR="00023D19" w:rsidRDefault="00023D19" w:rsidP="0026534F">
            <w:pPr>
              <w:rPr>
                <w:rFonts w:ascii="Arial" w:hAnsi="Arial"/>
                <w:sz w:val="18"/>
                <w:szCs w:val="20"/>
              </w:rPr>
            </w:pPr>
          </w:p>
          <w:p w:rsidR="00A4016D" w:rsidRDefault="00A4016D" w:rsidP="0026534F">
            <w:pPr>
              <w:rPr>
                <w:rFonts w:ascii="Arial" w:hAnsi="Arial"/>
                <w:sz w:val="18"/>
                <w:szCs w:val="20"/>
              </w:rPr>
            </w:pPr>
          </w:p>
          <w:p w:rsidR="00023D19" w:rsidRDefault="00023D19" w:rsidP="0026534F">
            <w:pPr>
              <w:rPr>
                <w:rFonts w:ascii="Arial" w:hAnsi="Arial"/>
                <w:sz w:val="18"/>
                <w:szCs w:val="20"/>
              </w:rPr>
            </w:pPr>
          </w:p>
          <w:tbl>
            <w:tblPr>
              <w:tblW w:w="8965" w:type="dxa"/>
              <w:tblLayout w:type="fixed"/>
              <w:tblLook w:val="04A0" w:firstRow="1" w:lastRow="0" w:firstColumn="1" w:lastColumn="0" w:noHBand="0" w:noVBand="1"/>
            </w:tblPr>
            <w:tblGrid>
              <w:gridCol w:w="6702"/>
              <w:gridCol w:w="990"/>
              <w:gridCol w:w="1273"/>
            </w:tblGrid>
            <w:tr w:rsidR="00023D19" w:rsidTr="00023D19">
              <w:trPr>
                <w:trHeight w:val="30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lastRenderedPageBreak/>
                    <w:t>Home Study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Quarter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Total Number of Reports submitted to ORR within 10 business days (beginning Dec. 1, 2015)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Number of Reports granted an extension by ORR/DCS/Federal Field Specialist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Total Number of Addendums requested by ORR/DCS/Federal Field Specialist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570"/>
              </w:trPr>
              <w:tc>
                <w:tcPr>
                  <w:tcW w:w="6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Total Number of Reports canceled or remanded by ORR/DCS/Federal Field Specialist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</w:tbl>
          <w:p w:rsidR="00023D19" w:rsidRPr="00077ECD" w:rsidRDefault="00023D19" w:rsidP="0026534F">
            <w:pPr>
              <w:rPr>
                <w:rFonts w:ascii="Calibri" w:hAnsi="Calibri"/>
                <w:szCs w:val="20"/>
              </w:rPr>
            </w:pPr>
          </w:p>
          <w:tbl>
            <w:tblPr>
              <w:tblW w:w="9031" w:type="dxa"/>
              <w:tblLayout w:type="fixed"/>
              <w:tblLook w:val="04A0" w:firstRow="1" w:lastRow="0" w:firstColumn="1" w:lastColumn="0" w:noHBand="0" w:noVBand="1"/>
            </w:tblPr>
            <w:tblGrid>
              <w:gridCol w:w="5800"/>
              <w:gridCol w:w="1350"/>
              <w:gridCol w:w="1881"/>
            </w:tblGrid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Post Release Services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Quarter 1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Annual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903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Primary Reason for Closure (Select One)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UAC turned 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Legal Case- Status Achieved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Legal Case Closed Without Status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Sponsor DECLINED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PRS Assessment deemed services completed / no longer needed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Unable to Contact Sponsor / UAC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3D19" w:rsidRDefault="00023D19" w:rsidP="0026534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Transferred to another PRS Provider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UAC Ran Away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EC5F43">
                    <w:rPr>
                      <w:rFonts w:ascii="Calibri" w:hAnsi="Calibri"/>
                      <w:color w:val="000000"/>
                    </w:rPr>
                    <w:t>UAC Arrested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Other</w:t>
                  </w:r>
                </w:p>
                <w:p w:rsidR="00511AE0" w:rsidRDefault="00511AE0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A4016D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4016D" w:rsidRDefault="00A4016D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023D19" w:rsidRPr="00531E0C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531E0C">
                    <w:rPr>
                      <w:rFonts w:ascii="Calibri" w:hAnsi="Calibri"/>
                      <w:b/>
                      <w:bCs/>
                    </w:rPr>
                    <w:t>PRS Needs</w:t>
                  </w:r>
                  <w:r>
                    <w:rPr>
                      <w:rFonts w:ascii="Calibri" w:hAnsi="Calibri"/>
                      <w:b/>
                      <w:bCs/>
                    </w:rPr>
                    <w:t xml:space="preserve"> (B</w:t>
                  </w:r>
                  <w:r w:rsidRPr="00531E0C">
                    <w:rPr>
                      <w:rFonts w:ascii="Calibri" w:hAnsi="Calibri"/>
                      <w:b/>
                      <w:bCs/>
                    </w:rPr>
                    <w:t>y type)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</w:tcPr>
                <w:p w:rsidR="00023D19" w:rsidRPr="00531E0C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Original reason for referral to PRS (New Cases) </w:t>
                  </w:r>
                </w:p>
              </w:tc>
              <w:tc>
                <w:tcPr>
                  <w:tcW w:w="1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bottom"/>
                </w:tcPr>
                <w:p w:rsidR="00023D19" w:rsidRPr="00531E0C" w:rsidRDefault="00023D19" w:rsidP="0026534F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Ongoing Primary Needs PRS Identified (After Initial Assessment)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Placement Stability and Safety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Guardianship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Legal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School Enrollment / Ed</w:t>
                  </w:r>
                  <w:r>
                    <w:rPr>
                      <w:rFonts w:ascii="Calibri" w:hAnsi="Calibri"/>
                      <w:color w:val="000000"/>
                    </w:rPr>
                    <w:t>uc</w:t>
                  </w:r>
                  <w:r w:rsidRPr="000B0266">
                    <w:rPr>
                      <w:rFonts w:ascii="Calibri" w:hAnsi="Calibri"/>
                      <w:color w:val="000000"/>
                    </w:rPr>
                    <w:t>ation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Medical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Individual Mental Health Services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Family Stabilization/ Counseling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Substance Abuse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  <w:tr w:rsidR="00023D19" w:rsidTr="00023D19">
              <w:trPr>
                <w:trHeight w:val="300"/>
              </w:trPr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023D19" w:rsidRPr="000B0266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  <w:r w:rsidRPr="000B0266">
                    <w:rPr>
                      <w:rFonts w:ascii="Calibri" w:hAnsi="Calibri"/>
                      <w:color w:val="000000"/>
                    </w:rPr>
                    <w:t>Gang Prevention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23D19" w:rsidRDefault="00023D19" w:rsidP="0026534F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023D19" w:rsidRPr="00077ECD" w:rsidRDefault="00023D19" w:rsidP="0026534F">
            <w:pPr>
              <w:rPr>
                <w:rFonts w:ascii="Calibri" w:hAnsi="Calibri"/>
                <w:szCs w:val="20"/>
              </w:rPr>
            </w:pPr>
          </w:p>
          <w:p w:rsidR="00023D19" w:rsidRPr="00C26BB4" w:rsidRDefault="00023D19" w:rsidP="002653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2CD1" w:rsidRDefault="00442CD1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442CD1" w:rsidRDefault="00442CD1" w:rsidP="00A4016D">
      <w:pPr>
        <w:pStyle w:val="BodyText"/>
        <w:ind w:left="0" w:right="115"/>
      </w:pPr>
    </w:p>
    <w:sectPr w:rsidR="00442CD1" w:rsidSect="00A40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270" w:bottom="1350" w:left="13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A4" w:rsidRDefault="00FC3DA4">
      <w:r>
        <w:separator/>
      </w:r>
    </w:p>
  </w:endnote>
  <w:endnote w:type="continuationSeparator" w:id="0">
    <w:p w:rsidR="00FC3DA4" w:rsidRDefault="00F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Default="00A401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Pr="00A4016D" w:rsidRDefault="00A4016D" w:rsidP="00A4016D">
    <w:pPr>
      <w:pStyle w:val="Heading1"/>
      <w:spacing w:before="45"/>
      <w:ind w:left="100"/>
      <w:rPr>
        <w:b w:val="0"/>
        <w:bCs w:val="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Pr="00A4016D" w:rsidRDefault="00A4016D" w:rsidP="00A4016D">
    <w:pPr>
      <w:pStyle w:val="Heading1"/>
      <w:spacing w:before="45"/>
      <w:ind w:left="100"/>
      <w:rPr>
        <w:b w:val="0"/>
        <w:bCs w:val="0"/>
        <w:sz w:val="20"/>
        <w:szCs w:val="20"/>
      </w:rPr>
    </w:pPr>
    <w:r w:rsidRPr="006339B7">
      <w:rPr>
        <w:sz w:val="20"/>
        <w:szCs w:val="20"/>
      </w:rPr>
      <w:t>THE</w:t>
    </w:r>
    <w:r w:rsidRPr="006339B7">
      <w:rPr>
        <w:spacing w:val="-4"/>
        <w:sz w:val="20"/>
        <w:szCs w:val="20"/>
      </w:rPr>
      <w:t xml:space="preserve"> </w:t>
    </w:r>
    <w:r w:rsidRPr="006339B7">
      <w:rPr>
        <w:sz w:val="20"/>
        <w:szCs w:val="20"/>
      </w:rPr>
      <w:t>PAPERWORK</w:t>
    </w:r>
    <w:r w:rsidRPr="006339B7">
      <w:rPr>
        <w:spacing w:val="-4"/>
        <w:sz w:val="20"/>
        <w:szCs w:val="20"/>
      </w:rPr>
      <w:t xml:space="preserve"> </w:t>
    </w:r>
    <w:r w:rsidRPr="006339B7">
      <w:rPr>
        <w:spacing w:val="-1"/>
        <w:sz w:val="20"/>
        <w:szCs w:val="20"/>
      </w:rPr>
      <w:t>REDUCTION</w:t>
    </w:r>
    <w:r w:rsidRPr="006339B7">
      <w:rPr>
        <w:spacing w:val="-3"/>
        <w:sz w:val="20"/>
        <w:szCs w:val="20"/>
      </w:rPr>
      <w:t xml:space="preserve"> </w:t>
    </w:r>
    <w:r w:rsidRPr="006339B7">
      <w:rPr>
        <w:spacing w:val="-1"/>
        <w:sz w:val="20"/>
        <w:szCs w:val="20"/>
      </w:rPr>
      <w:t>ACT</w:t>
    </w:r>
    <w:r w:rsidRPr="006339B7">
      <w:rPr>
        <w:spacing w:val="-4"/>
        <w:sz w:val="20"/>
        <w:szCs w:val="20"/>
      </w:rPr>
      <w:t xml:space="preserve"> </w:t>
    </w:r>
    <w:r w:rsidRPr="006339B7">
      <w:rPr>
        <w:sz w:val="20"/>
        <w:szCs w:val="20"/>
      </w:rPr>
      <w:t>OF</w:t>
    </w:r>
    <w:r w:rsidRPr="006339B7">
      <w:rPr>
        <w:spacing w:val="-3"/>
        <w:sz w:val="20"/>
        <w:szCs w:val="20"/>
      </w:rPr>
      <w:t xml:space="preserve"> </w:t>
    </w:r>
    <w:r w:rsidRPr="006339B7">
      <w:rPr>
        <w:sz w:val="20"/>
        <w:szCs w:val="20"/>
      </w:rPr>
      <w:t>1995</w:t>
    </w:r>
    <w:r w:rsidRPr="006339B7">
      <w:rPr>
        <w:spacing w:val="-3"/>
        <w:sz w:val="20"/>
        <w:szCs w:val="20"/>
      </w:rPr>
      <w:t xml:space="preserve"> </w:t>
    </w:r>
    <w:r w:rsidRPr="006339B7">
      <w:rPr>
        <w:sz w:val="20"/>
        <w:szCs w:val="20"/>
      </w:rPr>
      <w:t>(Pub.</w:t>
    </w:r>
    <w:r w:rsidRPr="006339B7">
      <w:rPr>
        <w:spacing w:val="-5"/>
        <w:sz w:val="20"/>
        <w:szCs w:val="20"/>
      </w:rPr>
      <w:t xml:space="preserve"> </w:t>
    </w:r>
    <w:r w:rsidRPr="006339B7">
      <w:rPr>
        <w:sz w:val="20"/>
        <w:szCs w:val="20"/>
      </w:rPr>
      <w:t>L.</w:t>
    </w:r>
    <w:r w:rsidRPr="006339B7">
      <w:rPr>
        <w:spacing w:val="-3"/>
        <w:sz w:val="20"/>
        <w:szCs w:val="20"/>
      </w:rPr>
      <w:t xml:space="preserve"> </w:t>
    </w:r>
    <w:r w:rsidRPr="006339B7">
      <w:rPr>
        <w:sz w:val="20"/>
        <w:szCs w:val="20"/>
      </w:rPr>
      <w:t xml:space="preserve">104-13): </w:t>
    </w:r>
    <w:r w:rsidRPr="006339B7">
      <w:rPr>
        <w:b w:val="0"/>
        <w:spacing w:val="-1"/>
        <w:sz w:val="20"/>
        <w:szCs w:val="20"/>
      </w:rPr>
      <w:t>Public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reporting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burden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for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this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collection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of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information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is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estimated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to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average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10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hours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per</w:t>
    </w:r>
    <w:r w:rsidRPr="006339B7">
      <w:rPr>
        <w:b w:val="0"/>
        <w:spacing w:val="21"/>
        <w:w w:val="99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response,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including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the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time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for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reviewing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instructions,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gathering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and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maintaining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the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data</w:t>
    </w:r>
    <w:r w:rsidRPr="006339B7">
      <w:rPr>
        <w:b w:val="0"/>
        <w:w w:val="99"/>
        <w:sz w:val="20"/>
        <w:szCs w:val="20"/>
      </w:rPr>
      <w:t xml:space="preserve"> </w:t>
    </w:r>
    <w:r w:rsidRPr="006339B7">
      <w:rPr>
        <w:b w:val="0"/>
        <w:sz w:val="20"/>
        <w:szCs w:val="20"/>
      </w:rPr>
      <w:t>needed,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and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reviewing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the</w:t>
    </w:r>
    <w:r w:rsidRPr="006339B7">
      <w:rPr>
        <w:b w:val="0"/>
        <w:spacing w:val="-8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collection</w:t>
    </w:r>
    <w:r w:rsidRPr="006339B7">
      <w:rPr>
        <w:b w:val="0"/>
        <w:spacing w:val="-9"/>
        <w:sz w:val="20"/>
        <w:szCs w:val="20"/>
      </w:rPr>
      <w:t xml:space="preserve"> </w:t>
    </w:r>
    <w:r w:rsidRPr="006339B7">
      <w:rPr>
        <w:b w:val="0"/>
        <w:sz w:val="20"/>
        <w:szCs w:val="20"/>
      </w:rPr>
      <w:t>of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 xml:space="preserve">information. </w:t>
    </w:r>
    <w:r w:rsidRPr="006339B7">
      <w:rPr>
        <w:b w:val="0"/>
        <w:spacing w:val="-1"/>
        <w:sz w:val="20"/>
        <w:szCs w:val="20"/>
      </w:rPr>
      <w:t>An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agency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may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not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conduct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or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pacing w:val="-1"/>
        <w:sz w:val="20"/>
        <w:szCs w:val="20"/>
      </w:rPr>
      <w:t>sponsor,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and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a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person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is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not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required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to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respond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to,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a</w:t>
    </w:r>
    <w:r w:rsidRPr="006339B7">
      <w:rPr>
        <w:b w:val="0"/>
        <w:spacing w:val="-3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collection</w:t>
    </w:r>
    <w:r w:rsidRPr="006339B7">
      <w:rPr>
        <w:b w:val="0"/>
        <w:spacing w:val="-4"/>
        <w:sz w:val="20"/>
        <w:szCs w:val="20"/>
      </w:rPr>
      <w:t xml:space="preserve"> </w:t>
    </w:r>
    <w:r w:rsidRPr="006339B7">
      <w:rPr>
        <w:b w:val="0"/>
        <w:sz w:val="20"/>
        <w:szCs w:val="20"/>
      </w:rPr>
      <w:t>of</w:t>
    </w:r>
    <w:r w:rsidRPr="006339B7">
      <w:rPr>
        <w:b w:val="0"/>
        <w:spacing w:val="23"/>
        <w:sz w:val="20"/>
        <w:szCs w:val="20"/>
      </w:rPr>
      <w:t xml:space="preserve"> </w:t>
    </w:r>
    <w:r w:rsidRPr="006339B7">
      <w:rPr>
        <w:b w:val="0"/>
        <w:sz w:val="20"/>
        <w:szCs w:val="20"/>
      </w:rPr>
      <w:t>information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unless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it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displays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a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z w:val="20"/>
        <w:szCs w:val="20"/>
      </w:rPr>
      <w:t>currently</w:t>
    </w:r>
    <w:r w:rsidRPr="006339B7">
      <w:rPr>
        <w:b w:val="0"/>
        <w:spacing w:val="-7"/>
        <w:sz w:val="20"/>
        <w:szCs w:val="20"/>
      </w:rPr>
      <w:t xml:space="preserve"> </w:t>
    </w:r>
    <w:r w:rsidRPr="006339B7">
      <w:rPr>
        <w:b w:val="0"/>
        <w:sz w:val="20"/>
        <w:szCs w:val="20"/>
      </w:rPr>
      <w:t>valid</w:t>
    </w:r>
    <w:r w:rsidRPr="006339B7">
      <w:rPr>
        <w:b w:val="0"/>
        <w:spacing w:val="-5"/>
        <w:sz w:val="20"/>
        <w:szCs w:val="20"/>
      </w:rPr>
      <w:t xml:space="preserve"> </w:t>
    </w:r>
    <w:r w:rsidRPr="006339B7">
      <w:rPr>
        <w:b w:val="0"/>
        <w:spacing w:val="-1"/>
        <w:sz w:val="20"/>
        <w:szCs w:val="20"/>
      </w:rPr>
      <w:t>OMB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control</w:t>
    </w:r>
    <w:r w:rsidRPr="006339B7">
      <w:rPr>
        <w:b w:val="0"/>
        <w:spacing w:val="-6"/>
        <w:sz w:val="20"/>
        <w:szCs w:val="20"/>
      </w:rPr>
      <w:t xml:space="preserve"> </w:t>
    </w:r>
    <w:r w:rsidRPr="006339B7">
      <w:rPr>
        <w:b w:val="0"/>
        <w:sz w:val="20"/>
        <w:szCs w:val="20"/>
      </w:rPr>
      <w:t>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A4" w:rsidRDefault="00FC3DA4">
      <w:r>
        <w:separator/>
      </w:r>
    </w:p>
  </w:footnote>
  <w:footnote w:type="continuationSeparator" w:id="0">
    <w:p w:rsidR="00FC3DA4" w:rsidRDefault="00FC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Default="00A40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CD1" w:rsidRDefault="00A4016D">
    <w:pPr>
      <w:spacing w:line="14" w:lineRule="auto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55FD76" wp14:editId="5CE9984B">
              <wp:simplePos x="0" y="0"/>
              <wp:positionH relativeFrom="page">
                <wp:posOffset>2305050</wp:posOffset>
              </wp:positionH>
              <wp:positionV relativeFrom="page">
                <wp:posOffset>69850</wp:posOffset>
              </wp:positionV>
              <wp:extent cx="3158490" cy="1035050"/>
              <wp:effectExtent l="0" t="0" r="3810" b="1270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Program Indicators for Office of Refugee and Resettlement (ORR)/Department of Unaccompanied Children Operations (DUCO); Home Study (HS) and Post Release Service (PRS)</w:t>
                          </w:r>
                          <w:r w:rsidRPr="00791CC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Grantees</w:t>
                          </w:r>
                        </w:p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APPENDIX B – PROGRAM INDICATORS</w:t>
                          </w:r>
                        </w:p>
                        <w:p w:rsidR="00A4016D" w:rsidRPr="00A5221C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ACF-OGM-SF- PPR </w:t>
                          </w:r>
                        </w:p>
                        <w:p w:rsidR="00A4016D" w:rsidRDefault="00A4016D" w:rsidP="00A4016D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1.5pt;margin-top:5.5pt;width:248.7pt;height:8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" filled="f" stroked="f">
              <v:textbox inset="0,0,0,0">
                <w:txbxContent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Program Indicators for Office of Refugee and Resettlement (ORR)/Department of Unaccompanied Children Operations (DUCO); Home Study (HS) and Post Release Service (PRS)</w:t>
                    </w:r>
                    <w:r w:rsidRPr="00791CC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791CC7">
                      <w:rPr>
                        <w:b/>
                        <w:sz w:val="20"/>
                        <w:szCs w:val="20"/>
                      </w:rPr>
                      <w:t>Grantees</w:t>
                    </w:r>
                  </w:p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APPENDIX B – PROGRAM INDICATORS</w:t>
                    </w:r>
                  </w:p>
                  <w:p w:rsidR="00A4016D" w:rsidRPr="00A5221C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 xml:space="preserve">ACF-OGM-SF- PPR </w:t>
                    </w:r>
                  </w:p>
                  <w:p w:rsidR="00A4016D" w:rsidRDefault="00A4016D" w:rsidP="00A4016D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6D" w:rsidRDefault="00A4016D" w:rsidP="00A4016D">
    <w:pPr>
      <w:pStyle w:val="Header"/>
      <w:jc w:val="right"/>
      <w:rPr>
        <w:sz w:val="20"/>
      </w:rPr>
    </w:pPr>
  </w:p>
  <w:p w:rsidR="00A4016D" w:rsidRDefault="00A4016D" w:rsidP="00A4016D">
    <w:pPr>
      <w:pStyle w:val="Header"/>
      <w:jc w:val="right"/>
      <w:rPr>
        <w:sz w:val="20"/>
      </w:rPr>
    </w:pPr>
  </w:p>
  <w:p w:rsidR="00A4016D" w:rsidRPr="00A4016D" w:rsidRDefault="00A4016D" w:rsidP="00A4016D">
    <w:pPr>
      <w:pStyle w:val="Header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02669C" wp14:editId="3027285E">
              <wp:simplePos x="0" y="0"/>
              <wp:positionH relativeFrom="page">
                <wp:posOffset>2305050</wp:posOffset>
              </wp:positionH>
              <wp:positionV relativeFrom="page">
                <wp:posOffset>69850</wp:posOffset>
              </wp:positionV>
              <wp:extent cx="3158490" cy="1035050"/>
              <wp:effectExtent l="0" t="0" r="381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Program Indicators for Office of Refugee and Resettlement (ORR)/Department of Unaccompanied Children Operations (DUCO); Home Study (HS) and Post Release Service (PRS)</w:t>
                          </w:r>
                          <w:r w:rsidRPr="00791CC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Grantees</w:t>
                          </w:r>
                        </w:p>
                        <w:p w:rsidR="00A4016D" w:rsidRPr="00791CC7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91CC7">
                            <w:rPr>
                              <w:b/>
                              <w:sz w:val="20"/>
                              <w:szCs w:val="20"/>
                            </w:rPr>
                            <w:t>APPENDIX B – PROGRAM INDICATORS</w:t>
                          </w:r>
                        </w:p>
                        <w:p w:rsidR="00A4016D" w:rsidRPr="00A5221C" w:rsidRDefault="00A4016D" w:rsidP="00A4016D">
                          <w:pPr>
                            <w:pStyle w:val="Default"/>
                            <w:jc w:val="center"/>
                            <w:outlineLvl w:val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ACF-OGM-SF- PPR </w:t>
                          </w:r>
                        </w:p>
                        <w:p w:rsidR="00A4016D" w:rsidRDefault="00A4016D" w:rsidP="00A4016D">
                          <w:pPr>
                            <w:spacing w:line="242" w:lineRule="auto"/>
                            <w:ind w:left="613" w:right="609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1.5pt;margin-top:5.5pt;width:248.7pt;height:8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8nsgIAALE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" filled="f" stroked="f">
              <v:textbox inset="0,0,0,0">
                <w:txbxContent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Program Indicators for Office of Refugee and Resettlement (ORR)/Department of Unaccompanied Children Operations (DUCO); Home Study (HS) and Post Release Service (PRS)</w:t>
                    </w:r>
                    <w:r w:rsidRPr="00791CC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791CC7">
                      <w:rPr>
                        <w:b/>
                        <w:sz w:val="20"/>
                        <w:szCs w:val="20"/>
                      </w:rPr>
                      <w:t>Grantees</w:t>
                    </w:r>
                  </w:p>
                  <w:p w:rsidR="00A4016D" w:rsidRPr="00791CC7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20"/>
                        <w:szCs w:val="20"/>
                      </w:rPr>
                    </w:pPr>
                    <w:r w:rsidRPr="00791CC7">
                      <w:rPr>
                        <w:b/>
                        <w:sz w:val="20"/>
                        <w:szCs w:val="20"/>
                      </w:rPr>
                      <w:t>APPENDIX B – PROGRAM INDICATORS</w:t>
                    </w:r>
                  </w:p>
                  <w:p w:rsidR="00A4016D" w:rsidRPr="00A5221C" w:rsidRDefault="00A4016D" w:rsidP="00A4016D">
                    <w:pPr>
                      <w:pStyle w:val="Default"/>
                      <w:jc w:val="center"/>
                      <w:outlineLvl w:val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 xml:space="preserve">ACF-OGM-SF- PPR </w:t>
                    </w:r>
                  </w:p>
                  <w:p w:rsidR="00A4016D" w:rsidRDefault="00A4016D" w:rsidP="00A4016D">
                    <w:pPr>
                      <w:spacing w:line="242" w:lineRule="auto"/>
                      <w:ind w:left="613" w:right="609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4016D">
      <w:rPr>
        <w:sz w:val="20"/>
      </w:rPr>
      <w:t>OMB #: 0970-0490</w:t>
    </w:r>
  </w:p>
  <w:p w:rsidR="00A4016D" w:rsidRPr="00A4016D" w:rsidRDefault="00A4016D" w:rsidP="00A4016D">
    <w:pPr>
      <w:pStyle w:val="Header"/>
      <w:jc w:val="right"/>
      <w:rPr>
        <w:sz w:val="20"/>
      </w:rPr>
    </w:pPr>
    <w:r w:rsidRPr="00A4016D">
      <w:rPr>
        <w:sz w:val="20"/>
      </w:rPr>
      <w:t>Expiration Date: 1/31/2020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D1"/>
    <w:rsid w:val="00013122"/>
    <w:rsid w:val="00023D19"/>
    <w:rsid w:val="00192986"/>
    <w:rsid w:val="002748E8"/>
    <w:rsid w:val="00442CD1"/>
    <w:rsid w:val="00443EAD"/>
    <w:rsid w:val="0048288F"/>
    <w:rsid w:val="00511AE0"/>
    <w:rsid w:val="00703442"/>
    <w:rsid w:val="00791CC7"/>
    <w:rsid w:val="00862338"/>
    <w:rsid w:val="008F5C90"/>
    <w:rsid w:val="00904E5A"/>
    <w:rsid w:val="00910746"/>
    <w:rsid w:val="00A4016D"/>
    <w:rsid w:val="00AB5ACE"/>
    <w:rsid w:val="00BB2127"/>
    <w:rsid w:val="00D067FD"/>
    <w:rsid w:val="00D764C8"/>
    <w:rsid w:val="00E730B2"/>
    <w:rsid w:val="00ED14DC"/>
    <w:rsid w:val="00F240CA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  <w:style w:type="paragraph" w:customStyle="1" w:styleId="Default">
    <w:name w:val="Default"/>
    <w:rsid w:val="00023D19"/>
    <w:pPr>
      <w:widowControl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DC"/>
  </w:style>
  <w:style w:type="paragraph" w:styleId="Footer">
    <w:name w:val="footer"/>
    <w:basedOn w:val="Normal"/>
    <w:link w:val="FooterChar"/>
    <w:uiPriority w:val="99"/>
    <w:unhideWhenUsed/>
    <w:rsid w:val="00ED1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DC"/>
  </w:style>
  <w:style w:type="paragraph" w:customStyle="1" w:styleId="Default">
    <w:name w:val="Default"/>
    <w:rsid w:val="00023D19"/>
    <w:pPr>
      <w:widowControl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D8BB-10D4-4282-9441-DB699DA8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ACF-OGM-PPR Cover Page and Form B Program Indicators and Instructions</vt:lpstr>
    </vt:vector>
  </TitlesOfParts>
  <Company>DHHS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ACF-OGM-PPR Cover Page and Form B Program Indicators and Instructions</dc:title>
  <dc:subject>ACF-OGM-PPR Cover Page and Form B Program Indicators and Instructions</dc:subject>
  <dc:creator>Latasha N. Abney</dc:creator>
  <cp:lastModifiedBy>SYSTEM</cp:lastModifiedBy>
  <cp:revision>2</cp:revision>
  <dcterms:created xsi:type="dcterms:W3CDTF">2019-12-09T16:13:00Z</dcterms:created>
  <dcterms:modified xsi:type="dcterms:W3CDTF">2019-12-09T16:13:00Z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2012-10-25T00:00:00Z</vt:filetime>
  </property>
  <property fmtid="{D5CDD505-2E9C-101B-9397-08002B2CF9AE}" pid="3" name="LastSaved">
    <vt:filetime>2016-05-06T00:00:00Z</vt:filetime>
  </property>
</Properties>
</file>