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552" w:rsidRPr="00DF7552" w:rsidP="00DF7552" w14:paraId="66C8DE7F" w14:textId="77777777">
      <w:pPr>
        <w:tabs>
          <w:tab w:val="center" w:pos="4680"/>
        </w:tabs>
        <w:spacing w:after="0" w:line="240" w:lineRule="auto"/>
        <w:jc w:val="center"/>
        <w:rPr>
          <w:rFonts w:ascii="Times New Roman" w:eastAsia="Times New Roman" w:hAnsi="Times New Roman" w:cs="Times New Roman"/>
          <w:b/>
          <w:snapToGrid w:val="0"/>
          <w:sz w:val="32"/>
          <w:szCs w:val="32"/>
        </w:rPr>
      </w:pPr>
      <w:r w:rsidRPr="00DF7552">
        <w:rPr>
          <w:rFonts w:ascii="Times New Roman" w:eastAsia="Times New Roman" w:hAnsi="Times New Roman" w:cs="Times New Roman"/>
          <w:b/>
          <w:snapToGrid w:val="0"/>
          <w:sz w:val="32"/>
          <w:szCs w:val="32"/>
        </w:rPr>
        <w:t>Supporting Statement A</w:t>
      </w:r>
    </w:p>
    <w:p w:rsidR="00DF7552" w:rsidRPr="00DF7552" w:rsidP="00DF7552" w14:paraId="430C98D6" w14:textId="77777777">
      <w:pPr>
        <w:tabs>
          <w:tab w:val="center" w:pos="4680"/>
        </w:tabs>
        <w:spacing w:after="0" w:line="240" w:lineRule="auto"/>
        <w:jc w:val="center"/>
        <w:rPr>
          <w:rFonts w:ascii="Times New Roman" w:eastAsia="Times New Roman" w:hAnsi="Times New Roman" w:cs="Times New Roman"/>
          <w:b/>
          <w:snapToGrid w:val="0"/>
          <w:sz w:val="32"/>
          <w:szCs w:val="32"/>
        </w:rPr>
      </w:pPr>
    </w:p>
    <w:p w:rsidR="00DF7552" w:rsidRPr="00DF7552" w:rsidP="00DF7552" w14:paraId="55501665" w14:textId="77777777">
      <w:pPr>
        <w:spacing w:after="0" w:line="240" w:lineRule="auto"/>
        <w:jc w:val="center"/>
        <w:rPr>
          <w:rFonts w:ascii="Times New Roman" w:eastAsia="Times New Roman" w:hAnsi="Times New Roman" w:cs="Times New Roman"/>
          <w:b/>
          <w:snapToGrid w:val="0"/>
          <w:sz w:val="32"/>
          <w:szCs w:val="32"/>
        </w:rPr>
      </w:pPr>
      <w:r w:rsidRPr="00DF7552">
        <w:rPr>
          <w:rFonts w:ascii="Times New Roman" w:eastAsia="Times New Roman" w:hAnsi="Times New Roman" w:cs="Times New Roman"/>
          <w:b/>
          <w:snapToGrid w:val="0"/>
          <w:sz w:val="32"/>
          <w:szCs w:val="32"/>
        </w:rPr>
        <w:t>OCS Net Profit Share Payment Reporting–</w:t>
      </w:r>
    </w:p>
    <w:p w:rsidR="00DF7552" w:rsidRPr="00DF7552" w:rsidP="00DF7552" w14:paraId="7C77F38F" w14:textId="77777777">
      <w:pPr>
        <w:spacing w:after="0" w:line="240" w:lineRule="auto"/>
        <w:jc w:val="center"/>
        <w:rPr>
          <w:rFonts w:ascii="Times New Roman" w:eastAsia="Times New Roman" w:hAnsi="Times New Roman" w:cs="Times New Roman"/>
          <w:b/>
          <w:snapToGrid w:val="0"/>
          <w:sz w:val="32"/>
          <w:szCs w:val="32"/>
        </w:rPr>
      </w:pPr>
      <w:r w:rsidRPr="00DF7552">
        <w:rPr>
          <w:rFonts w:ascii="Times New Roman" w:eastAsia="Times New Roman" w:hAnsi="Times New Roman" w:cs="Times New Roman"/>
          <w:b/>
          <w:snapToGrid w:val="0"/>
          <w:sz w:val="32"/>
          <w:szCs w:val="32"/>
        </w:rPr>
        <w:t>30 CFR Part 1220</w:t>
      </w:r>
    </w:p>
    <w:p w:rsidR="00DF7552" w:rsidRPr="00DF7552" w:rsidP="00DF7552" w14:paraId="20C7B11C" w14:textId="77777777">
      <w:pPr>
        <w:spacing w:after="0" w:line="240" w:lineRule="auto"/>
        <w:jc w:val="center"/>
        <w:rPr>
          <w:rFonts w:ascii="Times New Roman" w:eastAsia="Times New Roman" w:hAnsi="Times New Roman" w:cs="Times New Roman"/>
          <w:b/>
          <w:snapToGrid w:val="0"/>
          <w:sz w:val="32"/>
          <w:szCs w:val="32"/>
        </w:rPr>
      </w:pPr>
    </w:p>
    <w:p w:rsidR="00DF7552" w:rsidRPr="00DF7552" w:rsidP="00DF7552" w14:paraId="27E231E6" w14:textId="77777777">
      <w:pPr>
        <w:spacing w:after="0" w:line="240" w:lineRule="auto"/>
        <w:jc w:val="center"/>
        <w:rPr>
          <w:rFonts w:ascii="Times New Roman" w:eastAsia="Times New Roman" w:hAnsi="Times New Roman" w:cs="Times New Roman"/>
          <w:b/>
          <w:snapToGrid w:val="0"/>
          <w:sz w:val="32"/>
          <w:szCs w:val="32"/>
        </w:rPr>
      </w:pPr>
      <w:r w:rsidRPr="00DF7552">
        <w:rPr>
          <w:rFonts w:ascii="Times New Roman" w:eastAsia="Times New Roman" w:hAnsi="Times New Roman" w:cs="Times New Roman"/>
          <w:b/>
          <w:snapToGrid w:val="0"/>
          <w:sz w:val="32"/>
          <w:szCs w:val="32"/>
        </w:rPr>
        <w:t>OMB Control Number 1012-0009</w:t>
      </w:r>
    </w:p>
    <w:p w:rsidR="00DF7552" w:rsidRPr="00DF7552" w:rsidP="00DF7552" w14:paraId="2BA11D45" w14:textId="77777777">
      <w:pPr>
        <w:tabs>
          <w:tab w:val="center" w:pos="4680"/>
        </w:tabs>
        <w:spacing w:after="0" w:line="240" w:lineRule="auto"/>
        <w:rPr>
          <w:rFonts w:ascii="Times New Roman" w:eastAsia="Times New Roman" w:hAnsi="Times New Roman" w:cs="Times New Roman"/>
          <w:b/>
          <w:snapToGrid w:val="0"/>
          <w:sz w:val="32"/>
          <w:szCs w:val="32"/>
        </w:rPr>
      </w:pPr>
    </w:p>
    <w:p w:rsidR="00DF7552" w:rsidRPr="00DF7552" w:rsidP="00DF7552" w14:paraId="5EECBC4D" w14:textId="77777777">
      <w:pPr>
        <w:tabs>
          <w:tab w:val="center" w:pos="4680"/>
        </w:tabs>
        <w:spacing w:after="0" w:line="240" w:lineRule="auto"/>
        <w:rPr>
          <w:rFonts w:ascii="Times New Roman" w:eastAsia="Times New Roman" w:hAnsi="Times New Roman" w:cs="Times New Roman"/>
          <w:snapToGrid w:val="0"/>
          <w:sz w:val="32"/>
          <w:szCs w:val="32"/>
        </w:rPr>
      </w:pPr>
      <w:r w:rsidRPr="00DF7552">
        <w:rPr>
          <w:rFonts w:ascii="Times New Roman" w:eastAsia="Times New Roman" w:hAnsi="Times New Roman" w:cs="Times New Roman"/>
          <w:b/>
          <w:snapToGrid w:val="0"/>
          <w:sz w:val="32"/>
          <w:szCs w:val="32"/>
        </w:rPr>
        <w:t>Terms of Clearance</w:t>
      </w:r>
      <w:r w:rsidRPr="00DF7552">
        <w:rPr>
          <w:rFonts w:ascii="Times New Roman" w:eastAsia="Times New Roman" w:hAnsi="Times New Roman" w:cs="Times New Roman"/>
          <w:snapToGrid w:val="0"/>
          <w:sz w:val="32"/>
          <w:szCs w:val="32"/>
        </w:rPr>
        <w:t>: None</w:t>
      </w:r>
    </w:p>
    <w:p w:rsidR="00DF7552" w:rsidRPr="00DF7552" w:rsidP="00DF7552" w14:paraId="3B00C6D1" w14:textId="77777777">
      <w:pPr>
        <w:tabs>
          <w:tab w:val="center" w:pos="4680"/>
        </w:tabs>
        <w:spacing w:after="0" w:line="240" w:lineRule="auto"/>
        <w:rPr>
          <w:rFonts w:ascii="Times New Roman" w:eastAsia="Times New Roman" w:hAnsi="Times New Roman" w:cs="Times New Roman"/>
          <w:b/>
          <w:snapToGrid w:val="0"/>
          <w:sz w:val="24"/>
          <w:szCs w:val="20"/>
        </w:rPr>
      </w:pPr>
    </w:p>
    <w:p w:rsidR="00DF7552" w:rsidRPr="00DF7552" w:rsidP="00DF7552" w14:paraId="27D80888" w14:textId="77777777">
      <w:pPr>
        <w:tabs>
          <w:tab w:val="center" w:pos="4680"/>
        </w:tabs>
        <w:spacing w:after="0" w:line="240" w:lineRule="auto"/>
        <w:rPr>
          <w:rFonts w:ascii="Arial" w:eastAsia="Times New Roman" w:hAnsi="Arial" w:cs="Arial"/>
          <w:b/>
          <w:snapToGrid w:val="0"/>
        </w:rPr>
      </w:pPr>
      <w:r w:rsidRPr="00DF7552">
        <w:rPr>
          <w:rFonts w:ascii="Arial" w:eastAsia="Times New Roman" w:hAnsi="Arial" w:cs="Arial"/>
          <w:b/>
          <w:snapToGrid w:val="0"/>
        </w:rPr>
        <w:t>General Instructions</w:t>
      </w:r>
    </w:p>
    <w:p w:rsidR="00DF7552" w:rsidRPr="00DF7552" w:rsidP="00DF7552" w14:paraId="25CC239F" w14:textId="77777777">
      <w:pPr>
        <w:tabs>
          <w:tab w:val="center" w:pos="4680"/>
        </w:tabs>
        <w:spacing w:after="0" w:line="240" w:lineRule="auto"/>
        <w:rPr>
          <w:rFonts w:ascii="Times New Roman" w:eastAsia="Times New Roman" w:hAnsi="Times New Roman" w:cs="Times New Roman"/>
          <w:b/>
          <w:snapToGrid w:val="0"/>
          <w:sz w:val="24"/>
          <w:szCs w:val="20"/>
        </w:rPr>
      </w:pPr>
    </w:p>
    <w:p w:rsidR="00DF7552" w:rsidRPr="00DF7552" w:rsidP="00DF7552" w14:paraId="237F58EA" w14:textId="77777777">
      <w:pPr>
        <w:tabs>
          <w:tab w:val="center" w:pos="468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p>
    <w:p w:rsidR="00DF7552" w:rsidRPr="00DF7552" w:rsidP="00DF7552" w14:paraId="6782CDCA" w14:textId="77777777">
      <w:pPr>
        <w:tabs>
          <w:tab w:val="center" w:pos="4680"/>
        </w:tabs>
        <w:spacing w:after="0" w:line="240" w:lineRule="auto"/>
        <w:rPr>
          <w:rFonts w:ascii="Times New Roman" w:eastAsia="Times New Roman" w:hAnsi="Times New Roman" w:cs="Times New Roman"/>
          <w:snapToGrid w:val="0"/>
          <w:sz w:val="24"/>
          <w:szCs w:val="20"/>
        </w:rPr>
      </w:pPr>
    </w:p>
    <w:p w:rsidR="00DF7552" w:rsidRPr="00DF7552" w:rsidP="00DF7552" w14:paraId="201DB4D9" w14:textId="77777777">
      <w:pPr>
        <w:tabs>
          <w:tab w:val="center" w:pos="4680"/>
        </w:tabs>
        <w:spacing w:after="0" w:line="240" w:lineRule="auto"/>
        <w:rPr>
          <w:rFonts w:ascii="Arial" w:eastAsia="Times New Roman" w:hAnsi="Arial" w:cs="Arial"/>
          <w:b/>
          <w:snapToGrid w:val="0"/>
        </w:rPr>
      </w:pPr>
      <w:r w:rsidRPr="00DF7552">
        <w:rPr>
          <w:rFonts w:ascii="Arial" w:eastAsia="Times New Roman" w:hAnsi="Arial" w:cs="Arial"/>
          <w:b/>
          <w:snapToGrid w:val="0"/>
        </w:rPr>
        <w:t>Specific Instructions</w:t>
      </w:r>
    </w:p>
    <w:p w:rsidR="00DF7552" w:rsidRPr="00DF7552" w:rsidP="00DF7552" w14:paraId="2EAFA2FA" w14:textId="77777777">
      <w:pPr>
        <w:tabs>
          <w:tab w:val="center" w:pos="4680"/>
        </w:tabs>
        <w:spacing w:after="0" w:line="240" w:lineRule="auto"/>
        <w:rPr>
          <w:rFonts w:ascii="Times New Roman" w:eastAsia="Times New Roman" w:hAnsi="Times New Roman" w:cs="Times New Roman"/>
          <w:b/>
          <w:snapToGrid w:val="0"/>
          <w:sz w:val="24"/>
          <w:szCs w:val="20"/>
        </w:rPr>
      </w:pPr>
    </w:p>
    <w:p w:rsidR="00DF7552" w:rsidRPr="00DF7552" w:rsidP="00DF7552" w14:paraId="230C28DD"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0"/>
          <w:u w:val="single"/>
        </w:rPr>
      </w:pPr>
      <w:r w:rsidRPr="00DF7552">
        <w:rPr>
          <w:rFonts w:ascii="Times New Roman" w:eastAsia="Times New Roman" w:hAnsi="Times New Roman" w:cs="Times New Roman"/>
          <w:b/>
          <w:snapToGrid w:val="0"/>
          <w:sz w:val="24"/>
          <w:szCs w:val="20"/>
        </w:rPr>
        <w:t>A.</w:t>
      </w:r>
      <w:r w:rsidRPr="00DF7552">
        <w:rPr>
          <w:rFonts w:ascii="Times New Roman" w:eastAsia="Times New Roman" w:hAnsi="Times New Roman" w:cs="Times New Roman"/>
          <w:b/>
          <w:snapToGrid w:val="0"/>
          <w:sz w:val="24"/>
          <w:szCs w:val="20"/>
        </w:rPr>
        <w:tab/>
      </w:r>
      <w:r w:rsidRPr="00DF7552">
        <w:rPr>
          <w:rFonts w:ascii="Times New Roman" w:eastAsia="Times New Roman" w:hAnsi="Times New Roman" w:cs="Times New Roman"/>
          <w:b/>
          <w:snapToGrid w:val="0"/>
          <w:sz w:val="24"/>
          <w:szCs w:val="20"/>
          <w:u w:val="single"/>
        </w:rPr>
        <w:t>Justification</w:t>
      </w:r>
    </w:p>
    <w:p w:rsidR="00DF7552" w:rsidRPr="00DF7552" w:rsidP="00DF7552" w14:paraId="24886A2C"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205DE331" w14:textId="77777777">
      <w:pPr>
        <w:tabs>
          <w:tab w:val="left" w:pos="-1080"/>
          <w:tab w:val="left" w:pos="-720"/>
          <w:tab w:val="left" w:pos="360"/>
        </w:tabs>
        <w:spacing w:after="0" w:line="240" w:lineRule="auto"/>
        <w:rPr>
          <w:rFonts w:ascii="Times New Roman" w:eastAsia="Times New Roman" w:hAnsi="Times New Roman" w:cs="Times New Roman"/>
          <w:b/>
          <w:i/>
          <w:snapToGrid w:val="0"/>
          <w:sz w:val="24"/>
          <w:szCs w:val="20"/>
        </w:rPr>
      </w:pPr>
      <w:r w:rsidRPr="00DF7552">
        <w:rPr>
          <w:rFonts w:ascii="Times New Roman" w:eastAsia="Times New Roman" w:hAnsi="Times New Roman" w:cs="Times New Roman"/>
          <w:b/>
          <w:i/>
          <w:snapToGrid w:val="0"/>
          <w:sz w:val="24"/>
          <w:szCs w:val="20"/>
        </w:rPr>
        <w:t>1. Explain the circumstances that make the collection of information necessary. Identify any legal or administrative requirements that necessitate the collection.</w:t>
      </w:r>
    </w:p>
    <w:p w:rsidR="00DF7552" w:rsidRPr="00DF7552" w:rsidP="00DF7552" w14:paraId="4CE19409" w14:textId="77777777">
      <w:pPr>
        <w:tabs>
          <w:tab w:val="center" w:pos="4680"/>
        </w:tabs>
        <w:spacing w:after="0" w:line="240" w:lineRule="auto"/>
        <w:rPr>
          <w:rFonts w:ascii="Arial" w:eastAsia="Times New Roman" w:hAnsi="Arial" w:cs="Arial"/>
          <w:b/>
        </w:rPr>
      </w:pPr>
    </w:p>
    <w:p w:rsidR="00DF7552" w:rsidRPr="00DF7552" w:rsidP="00DF7552" w14:paraId="04F8F0D2" w14:textId="0BD3C167">
      <w:pPr>
        <w:spacing w:after="0" w:line="240" w:lineRule="auto"/>
        <w:ind w:firstLine="360"/>
        <w:rPr>
          <w:rFonts w:ascii="Times New Roman" w:eastAsia="Times New Roman" w:hAnsi="Times New Roman" w:cs="Times New Roman"/>
          <w:sz w:val="24"/>
          <w:szCs w:val="24"/>
        </w:rPr>
      </w:pPr>
      <w:r w:rsidRPr="00DF7552">
        <w:rPr>
          <w:rFonts w:ascii="Times New Roman" w:eastAsia="Times New Roman" w:hAnsi="Times New Roman" w:cs="Times New Roman"/>
          <w:sz w:val="24"/>
          <w:szCs w:val="24"/>
        </w:rPr>
        <w:t xml:space="preserve">The Secretary of the United States Department of the Interior is responsible for mineral resource development on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and Indian lands and the Outer Continental Shelf (OCS). Under various laws, the Secretary’s responsibility is to carry out a comprehensive inspection, collection, and fiscal and production accounting and auditing system that provides the capability to: (1) accurately determine mineral royalties, interest, and other payments owed, (2) collect and account for such amounts in a timely manner, and (3) disburse the funds collected. The laws pertaining to mineral leases on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and Indian lands and the OSC are posted at </w:t>
      </w:r>
      <w:r w:rsidRPr="00DF7552">
        <w:rPr>
          <w:rFonts w:ascii="Times New Roman" w:eastAsia="Times New Roman" w:hAnsi="Times New Roman" w:cs="Times New Roman"/>
          <w:snapToGrid w:val="0"/>
          <w:sz w:val="24"/>
          <w:szCs w:val="20"/>
        </w:rPr>
        <w:t>https://onrr.gov/references/statutes</w:t>
      </w:r>
      <w:r>
        <w:rPr>
          <w:rFonts w:ascii="Times New Roman" w:eastAsia="Times New Roman" w:hAnsi="Times New Roman" w:cs="Times New Roman"/>
          <w:snapToGrid w:val="0"/>
          <w:sz w:val="24"/>
          <w:szCs w:val="20"/>
        </w:rPr>
        <w:t xml:space="preserve">. </w:t>
      </w:r>
    </w:p>
    <w:p w:rsidR="00DF7552" w:rsidRPr="00DF7552" w:rsidP="00DF7552" w14:paraId="5D3B49B5" w14:textId="77777777">
      <w:pPr>
        <w:keepNext/>
        <w:spacing w:after="0" w:line="240" w:lineRule="auto"/>
        <w:rPr>
          <w:rFonts w:ascii="Times New Roman" w:eastAsia="Times New Roman" w:hAnsi="Times New Roman" w:cs="Times New Roman"/>
          <w:sz w:val="24"/>
          <w:szCs w:val="24"/>
        </w:rPr>
      </w:pPr>
    </w:p>
    <w:p w:rsidR="00DF7552" w:rsidRPr="00DF7552" w:rsidP="00DF7552" w14:paraId="46877F0B" w14:textId="77777777">
      <w:pPr>
        <w:widowControl w:val="0"/>
        <w:tabs>
          <w:tab w:val="left" w:pos="720"/>
          <w:tab w:val="left" w:pos="3888"/>
          <w:tab w:val="left" w:pos="7200"/>
        </w:tabs>
        <w:spacing w:after="0" w:line="240" w:lineRule="auto"/>
        <w:ind w:firstLine="360"/>
        <w:rPr>
          <w:rFonts w:ascii="Times New Roman" w:eastAsia="Times New Roman" w:hAnsi="Times New Roman" w:cs="Times New Roman"/>
          <w:sz w:val="24"/>
          <w:szCs w:val="24"/>
        </w:rPr>
      </w:pPr>
      <w:r w:rsidRPr="00DF7552">
        <w:rPr>
          <w:rFonts w:ascii="Times New Roman" w:eastAsia="Times New Roman" w:hAnsi="Times New Roman" w:cs="Times New Roman"/>
          <w:sz w:val="24"/>
          <w:szCs w:val="24"/>
        </w:rPr>
        <w:t>The Secretary also has a trust responsibility to manage Indian lands and seek advice and information from Indian beneficiaries. ONRR performs the minerals revenue management functions for the Secretary and assists the Secretary in carrying out the Department’s trust responsibility for Indian lands.</w:t>
      </w:r>
    </w:p>
    <w:p w:rsidR="00DF7552" w:rsidRPr="00DF7552" w:rsidP="00DF7552" w14:paraId="57219E1D" w14:textId="77777777">
      <w:pPr>
        <w:widowControl w:val="0"/>
        <w:tabs>
          <w:tab w:val="left" w:pos="720"/>
          <w:tab w:val="left" w:pos="3888"/>
          <w:tab w:val="left" w:pos="7200"/>
        </w:tabs>
        <w:spacing w:after="0" w:line="240" w:lineRule="auto"/>
        <w:ind w:firstLine="360"/>
        <w:rPr>
          <w:rFonts w:ascii="Times New Roman" w:eastAsia="Times New Roman" w:hAnsi="Times New Roman" w:cs="Times New Roman"/>
          <w:sz w:val="24"/>
          <w:szCs w:val="24"/>
        </w:rPr>
      </w:pPr>
    </w:p>
    <w:p w:rsidR="00DF7552" w:rsidRPr="00DF7552" w:rsidP="00DF7552" w14:paraId="3FBBA590" w14:textId="49CA1AF1">
      <w:pPr>
        <w:spacing w:after="0" w:line="240" w:lineRule="auto"/>
        <w:ind w:firstLine="360"/>
        <w:contextualSpacing/>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Title 30 CFR part 1220</w:t>
      </w:r>
      <w:r w:rsidRPr="00DF7552">
        <w:rPr>
          <w:rFonts w:ascii="Times New Roman" w:eastAsia="Times New Roman" w:hAnsi="Times New Roman" w:cs="Times New Roman"/>
          <w:snapToGrid w:val="0"/>
          <w:sz w:val="24"/>
          <w:szCs w:val="20"/>
        </w:rPr>
        <w:t xml:space="preserve"> </w:t>
      </w:r>
      <w:r w:rsidRPr="00DF7552">
        <w:rPr>
          <w:rFonts w:ascii="Times New Roman" w:eastAsia="Times New Roman" w:hAnsi="Times New Roman" w:cs="Times New Roman"/>
          <w:snapToGrid w:val="0"/>
          <w:sz w:val="24"/>
          <w:szCs w:val="20"/>
        </w:rPr>
        <w:t xml:space="preserve">covers the net profit share lease (NPSL) program and establishes reporting requirements for determining the net profit share base under § 1220.021 and calculating net profit share payments due the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government for the production of oil and gas from leases under § 1220.022. </w:t>
      </w:r>
      <w:r w:rsidRPr="00DF7552">
        <w:rPr>
          <w:rFonts w:ascii="Times New Roman" w:eastAsia="Times New Roman" w:hAnsi="Times New Roman" w:cs="Times New Roman"/>
          <w:sz w:val="24"/>
          <w:szCs w:val="24"/>
        </w:rPr>
        <w:t xml:space="preserve">ONRR collects and uses this information to determine: (i) the allowable direct, and allocable joint, costs and credits that are incurred during the lease term under § 1220.011, (ii) the appropriate overhead allowance related to these costs permitted under </w:t>
      </w:r>
      <w:r w:rsidRPr="00DF7552">
        <w:rPr>
          <w:rFonts w:ascii="Times New Roman" w:eastAsia="Times New Roman" w:hAnsi="Times New Roman" w:cs="Times New Roman"/>
          <w:sz w:val="24"/>
          <w:szCs w:val="24"/>
        </w:rPr>
        <w:t xml:space="preserve">§ 1220.012, and (iii) the allowances for capital recovery calculated under § 1220.020. ONRR also collects this information to ensure that royalties or net profit share payments are accurately valued and appropriately paid. This ICR only effects oil and gas leases located on submerged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lands on the Outer Continental Shelf (OCS).</w:t>
      </w:r>
    </w:p>
    <w:p w:rsidR="00DF7552" w:rsidRPr="00DF7552" w:rsidP="00DF7552" w14:paraId="1CCB55CA" w14:textId="77777777">
      <w:pPr>
        <w:widowControl w:val="0"/>
        <w:spacing w:after="0" w:line="240" w:lineRule="auto"/>
        <w:contextualSpacing/>
        <w:rPr>
          <w:rFonts w:ascii="Times New Roman" w:eastAsia="Times New Roman" w:hAnsi="Times New Roman" w:cs="Times New Roman"/>
          <w:bCs/>
          <w:i/>
          <w:iCs/>
          <w:sz w:val="24"/>
          <w:szCs w:val="24"/>
        </w:rPr>
      </w:pPr>
    </w:p>
    <w:p w:rsidR="00DF7552" w:rsidRPr="00DF7552" w:rsidP="00DF7552" w14:paraId="3FA6DD02" w14:textId="48115CC9">
      <w:pPr>
        <w:widowControl w:val="0"/>
        <w:spacing w:after="0" w:line="240" w:lineRule="auto"/>
        <w:ind w:firstLine="360"/>
        <w:contextualSpacing/>
        <w:rPr>
          <w:rFonts w:ascii="Times New Roman" w:eastAsia="Times New Roman" w:hAnsi="Times New Roman" w:cs="Times New Roman"/>
          <w:sz w:val="24"/>
          <w:szCs w:val="24"/>
        </w:rPr>
      </w:pPr>
      <w:r w:rsidRPr="00DF7552">
        <w:rPr>
          <w:rFonts w:ascii="Times New Roman" w:eastAsia="Times New Roman" w:hAnsi="Times New Roman" w:cs="Times New Roman"/>
          <w:i/>
          <w:sz w:val="24"/>
          <w:szCs w:val="24"/>
        </w:rPr>
        <w:t>NPSL Bidding System</w:t>
      </w:r>
      <w:r w:rsidRPr="00DF7552">
        <w:rPr>
          <w:rFonts w:ascii="Times New Roman" w:eastAsia="Times New Roman" w:hAnsi="Times New Roman" w:cs="Times New Roman"/>
          <w:sz w:val="24"/>
          <w:szCs w:val="24"/>
        </w:rPr>
        <w:t xml:space="preserve">: To encourage exploration and development of oil and gas leases on submerged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lands on the OCS, the Bureau of Ocean Energy Management (BOEM) promulgated regulations under 30 CFR part 560—Outer Continental Shelf Oil and Gas Leasing. BOEM also promulgated specific implementing regulations for the NPSL bidding system under § </w:t>
      </w:r>
      <w:r w:rsidR="00714253">
        <w:rPr>
          <w:rFonts w:ascii="Times New Roman" w:eastAsia="Times New Roman" w:hAnsi="Times New Roman" w:cs="Times New Roman"/>
          <w:sz w:val="24"/>
          <w:szCs w:val="24"/>
        </w:rPr>
        <w:t>560.203</w:t>
      </w:r>
      <w:r w:rsidRPr="00DF7552">
        <w:rPr>
          <w:rFonts w:ascii="Times New Roman" w:eastAsia="Times New Roman" w:hAnsi="Times New Roman" w:cs="Times New Roman"/>
          <w:sz w:val="24"/>
          <w:szCs w:val="24"/>
        </w:rPr>
        <w:t xml:space="preserve">. BOEM established the NPSL bidding system to balance a fair market return to the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government for the lease of its public lands with a fair profit to companies risking their investment capital. The system provides an incentive for early, expeditious exploration and development, and provides for risk sharing between the lessee and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government. The NPSL bidding system incorporates a fixed capital recovery system that allows a lessee to recover exploration and development costs from production revenues, including a reasonable return on investment.</w:t>
      </w:r>
    </w:p>
    <w:p w:rsidR="00DF7552" w:rsidRPr="00DF7552" w:rsidP="00DF7552" w14:paraId="7F795929" w14:textId="77777777">
      <w:pPr>
        <w:widowControl w:val="0"/>
        <w:spacing w:after="0" w:line="240" w:lineRule="auto"/>
        <w:rPr>
          <w:rFonts w:ascii="Times New Roman" w:eastAsia="Times New Roman" w:hAnsi="Times New Roman" w:cs="Times New Roman"/>
          <w:sz w:val="24"/>
          <w:szCs w:val="24"/>
        </w:rPr>
      </w:pPr>
    </w:p>
    <w:p w:rsidR="00DF7552" w:rsidRPr="00DF7552" w:rsidP="00DF7552" w14:paraId="6D5E6603" w14:textId="1DE849FB">
      <w:pPr>
        <w:widowControl w:val="0"/>
        <w:spacing w:after="0" w:line="240" w:lineRule="auto"/>
        <w:ind w:firstLine="360"/>
        <w:contextualSpacing/>
        <w:rPr>
          <w:rFonts w:ascii="Times New Roman" w:eastAsia="Times New Roman" w:hAnsi="Times New Roman" w:cs="Times New Roman"/>
          <w:sz w:val="24"/>
          <w:szCs w:val="24"/>
        </w:rPr>
      </w:pPr>
      <w:r w:rsidRPr="00DF7552">
        <w:rPr>
          <w:rFonts w:ascii="Times New Roman" w:eastAsia="Times New Roman" w:hAnsi="Times New Roman" w:cs="Times New Roman"/>
          <w:i/>
          <w:sz w:val="24"/>
          <w:szCs w:val="24"/>
        </w:rPr>
        <w:t>NPSL Capital Account</w:t>
      </w:r>
      <w:r w:rsidRPr="00DF7552">
        <w:rPr>
          <w:rFonts w:ascii="Times New Roman" w:eastAsia="Times New Roman" w:hAnsi="Times New Roman" w:cs="Times New Roman"/>
          <w:sz w:val="24"/>
          <w:szCs w:val="24"/>
        </w:rPr>
        <w:t xml:space="preserve">: The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government does not receive a profit share payment from an NPSL until the lessee shows a credit balance in its capital account; that is, cumulative revenues and other credits exceed cumulative costs. Lessees multiply the credit balance by the net profit share rate (30 to 50 percent), which determines the amount of net</w:t>
      </w:r>
      <w:r w:rsidRPr="00DF7552">
        <w:rPr>
          <w:rFonts w:ascii="Times New Roman" w:eastAsia="Times New Roman" w:hAnsi="Times New Roman" w:cs="Times New Roman"/>
          <w:color w:val="0000FF"/>
          <w:sz w:val="24"/>
          <w:szCs w:val="24"/>
        </w:rPr>
        <w:t xml:space="preserve"> </w:t>
      </w:r>
      <w:r w:rsidRPr="00DF7552">
        <w:rPr>
          <w:rFonts w:ascii="Times New Roman" w:eastAsia="Times New Roman" w:hAnsi="Times New Roman" w:cs="Times New Roman"/>
          <w:sz w:val="24"/>
          <w:szCs w:val="24"/>
        </w:rPr>
        <w:t xml:space="preserve">profit share payment due to the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government. ONRR requires lessees to maintain an NPSL capital account for each lease under § 1220.010, which transfers to a new owner if sold. Following the cessation of production, ONRR also requires a lessee to provide either an annual or monthly report to the </w:t>
      </w:r>
      <w:r w:rsidR="00F23149">
        <w:rPr>
          <w:rFonts w:ascii="Times New Roman" w:eastAsia="Times New Roman" w:hAnsi="Times New Roman" w:cs="Times New Roman"/>
          <w:sz w:val="24"/>
          <w:szCs w:val="24"/>
        </w:rPr>
        <w:t>Federal</w:t>
      </w:r>
      <w:r w:rsidRPr="00DF7552">
        <w:rPr>
          <w:rFonts w:ascii="Times New Roman" w:eastAsia="Times New Roman" w:hAnsi="Times New Roman" w:cs="Times New Roman"/>
          <w:sz w:val="24"/>
          <w:szCs w:val="24"/>
        </w:rPr>
        <w:t xml:space="preserve"> government using data from the capital account until such time that the lease is terminated, expired, or relinquished.</w:t>
      </w:r>
    </w:p>
    <w:p w:rsidR="00DF7552" w:rsidRPr="00DF7552" w:rsidP="00DF7552" w14:paraId="597C857D" w14:textId="77777777">
      <w:pPr>
        <w:widowControl w:val="0"/>
        <w:spacing w:after="0" w:line="240" w:lineRule="auto"/>
        <w:ind w:firstLine="360"/>
        <w:rPr>
          <w:rFonts w:ascii="Times New Roman" w:eastAsia="Times New Roman" w:hAnsi="Times New Roman" w:cs="Times New Roman"/>
          <w:sz w:val="24"/>
          <w:szCs w:val="24"/>
        </w:rPr>
      </w:pPr>
    </w:p>
    <w:p w:rsidR="00DF7552" w:rsidRPr="00DF7552" w:rsidP="00DF7552" w14:paraId="1919E4C1" w14:textId="77777777">
      <w:pPr>
        <w:widowControl w:val="0"/>
        <w:spacing w:after="0" w:line="240" w:lineRule="auto"/>
        <w:ind w:firstLine="360"/>
        <w:contextualSpacing/>
        <w:rPr>
          <w:rFonts w:ascii="Times New Roman" w:eastAsia="Times New Roman" w:hAnsi="Times New Roman" w:cs="Times New Roman"/>
          <w:sz w:val="24"/>
          <w:szCs w:val="24"/>
        </w:rPr>
      </w:pPr>
      <w:r w:rsidRPr="00DF7552">
        <w:rPr>
          <w:rFonts w:ascii="Times New Roman" w:eastAsia="Times New Roman" w:hAnsi="Times New Roman" w:cs="Times New Roman"/>
          <w:i/>
          <w:sz w:val="24"/>
          <w:szCs w:val="24"/>
        </w:rPr>
        <w:t xml:space="preserve">NPSL Inventories: </w:t>
      </w:r>
      <w:r w:rsidRPr="00DF7552">
        <w:rPr>
          <w:rFonts w:ascii="Times New Roman" w:eastAsia="Times New Roman" w:hAnsi="Times New Roman" w:cs="Times New Roman"/>
          <w:sz w:val="24"/>
          <w:szCs w:val="24"/>
        </w:rPr>
        <w:t xml:space="preserve">A NPSL lessee must notify BOEM of its intent to take </w:t>
      </w:r>
    </w:p>
    <w:p w:rsidR="00DF7552" w:rsidRPr="00DF7552" w:rsidP="00DF7552" w14:paraId="11697983" w14:textId="77777777">
      <w:pPr>
        <w:widowControl w:val="0"/>
        <w:spacing w:after="0" w:line="240" w:lineRule="auto"/>
        <w:rPr>
          <w:rFonts w:ascii="Times New Roman" w:eastAsia="Times New Roman" w:hAnsi="Times New Roman" w:cs="Times New Roman"/>
          <w:sz w:val="24"/>
          <w:szCs w:val="24"/>
        </w:rPr>
      </w:pPr>
      <w:r w:rsidRPr="00DF7552">
        <w:rPr>
          <w:rFonts w:ascii="Times New Roman" w:eastAsia="Times New Roman" w:hAnsi="Times New Roman" w:cs="Times New Roman"/>
          <w:sz w:val="24"/>
          <w:szCs w:val="24"/>
        </w:rPr>
        <w:t>inventory so that BOEM’s Director may be represented at the inventory taking under § 1220.032. The lessee must file a report after taking inventory, and report controllable material under § 1220.031.</w:t>
      </w:r>
    </w:p>
    <w:p w:rsidR="00DF7552" w:rsidRPr="00DF7552" w:rsidP="00DF7552" w14:paraId="16674F50" w14:textId="77777777">
      <w:pPr>
        <w:widowControl w:val="0"/>
        <w:spacing w:after="0" w:line="240" w:lineRule="auto"/>
        <w:rPr>
          <w:rFonts w:ascii="Times New Roman" w:eastAsia="Times New Roman" w:hAnsi="Times New Roman" w:cs="Times New Roman"/>
          <w:i/>
          <w:sz w:val="24"/>
          <w:szCs w:val="24"/>
        </w:rPr>
      </w:pPr>
    </w:p>
    <w:p w:rsidR="00DF7552" w:rsidRPr="00DF7552" w:rsidP="00DF7552" w14:paraId="145A76CC" w14:textId="77777777">
      <w:pPr>
        <w:widowControl w:val="0"/>
        <w:spacing w:after="0" w:line="240" w:lineRule="auto"/>
        <w:ind w:firstLine="360"/>
        <w:contextualSpacing/>
        <w:rPr>
          <w:rFonts w:ascii="Times New Roman" w:eastAsia="Times New Roman" w:hAnsi="Times New Roman" w:cs="Times New Roman"/>
          <w:sz w:val="24"/>
          <w:szCs w:val="24"/>
        </w:rPr>
      </w:pPr>
      <w:r w:rsidRPr="00DF7552">
        <w:rPr>
          <w:rFonts w:ascii="Times New Roman" w:eastAsia="Times New Roman" w:hAnsi="Times New Roman" w:cs="Times New Roman"/>
          <w:i/>
          <w:sz w:val="24"/>
          <w:szCs w:val="24"/>
        </w:rPr>
        <w:t xml:space="preserve">NPSL Audits: </w:t>
      </w:r>
      <w:r w:rsidRPr="00DF7552">
        <w:rPr>
          <w:rFonts w:ascii="Times New Roman" w:eastAsia="Times New Roman" w:hAnsi="Times New Roman" w:cs="Times New Roman"/>
          <w:sz w:val="24"/>
          <w:szCs w:val="24"/>
        </w:rPr>
        <w:t xml:space="preserve">When a non-operator of an NPSL calls for an audit, it must notify </w:t>
      </w:r>
    </w:p>
    <w:p w:rsidR="00DF7552" w:rsidRPr="00DF7552" w:rsidP="00DF7552" w14:paraId="6D8C3591" w14:textId="77777777">
      <w:pPr>
        <w:widowControl w:val="0"/>
        <w:spacing w:after="0" w:line="240" w:lineRule="auto"/>
        <w:rPr>
          <w:rFonts w:ascii="Times New Roman" w:eastAsia="Times New Roman" w:hAnsi="Times New Roman" w:cs="Times New Roman"/>
          <w:i/>
          <w:sz w:val="24"/>
          <w:szCs w:val="24"/>
        </w:rPr>
      </w:pPr>
      <w:r w:rsidRPr="00DF7552">
        <w:rPr>
          <w:rFonts w:ascii="Times New Roman" w:eastAsia="Times New Roman" w:hAnsi="Times New Roman" w:cs="Times New Roman"/>
          <w:sz w:val="24"/>
          <w:szCs w:val="24"/>
        </w:rPr>
        <w:t>ONRR. When ONRR calls for an audit, the lessee must notify all non-operators on the lease. These requirements are located under § 1220.033.</w:t>
      </w:r>
    </w:p>
    <w:p w:rsidR="00DF7552" w:rsidRPr="00DF7552" w:rsidP="00DF7552" w14:paraId="36EFE420" w14:textId="77777777">
      <w:pPr>
        <w:spacing w:after="0" w:line="240" w:lineRule="auto"/>
        <w:rPr>
          <w:rFonts w:ascii="Times New Roman" w:eastAsia="Times New Roman" w:hAnsi="Times New Roman" w:cs="Times New Roman"/>
          <w:sz w:val="24"/>
          <w:szCs w:val="20"/>
        </w:rPr>
      </w:pPr>
    </w:p>
    <w:p w:rsidR="00DF7552" w:rsidRPr="00DF7552" w:rsidP="00DF7552" w14:paraId="2C0F818F" w14:textId="669EAE87">
      <w:pPr>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 xml:space="preserve">ONRR has posted the following laws pertaining to mineral leases on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and Indian lands and the OCS at</w:t>
      </w:r>
      <w:r>
        <w:rPr>
          <w:rFonts w:ascii="Times New Roman" w:eastAsia="Times New Roman" w:hAnsi="Times New Roman" w:cs="Times New Roman"/>
          <w:snapToGrid w:val="0"/>
          <w:sz w:val="24"/>
          <w:szCs w:val="20"/>
        </w:rPr>
        <w:t xml:space="preserve"> </w:t>
      </w:r>
      <w:r w:rsidRPr="00DF7552">
        <w:rPr>
          <w:rFonts w:ascii="Times New Roman" w:eastAsia="Times New Roman" w:hAnsi="Times New Roman" w:cs="Times New Roman"/>
          <w:snapToGrid w:val="0"/>
          <w:sz w:val="24"/>
          <w:szCs w:val="20"/>
        </w:rPr>
        <w:t>https://onrr.gov/references/statutes:</w:t>
      </w:r>
    </w:p>
    <w:p w:rsidR="00DF7552" w:rsidRPr="00DF7552" w:rsidP="00DF7552" w14:paraId="69EA0DEF" w14:textId="77777777">
      <w:pPr>
        <w:spacing w:after="0" w:line="240" w:lineRule="auto"/>
        <w:rPr>
          <w:rFonts w:ascii="Times New Roman" w:eastAsia="Times New Roman" w:hAnsi="Times New Roman" w:cs="Times New Roman"/>
          <w:snapToGrid w:val="0"/>
          <w:sz w:val="24"/>
          <w:szCs w:val="20"/>
        </w:rPr>
      </w:pPr>
    </w:p>
    <w:p w:rsidR="00DF7552" w:rsidRPr="00DF7552" w:rsidP="00DF7552" w14:paraId="53257280" w14:textId="77777777">
      <w:pPr>
        <w:widowControl w:val="0"/>
        <w:numPr>
          <w:ilvl w:val="0"/>
          <w:numId w:val="16"/>
        </w:numPr>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Mineral Leasing Act of 1920, as amended, 30 U.S.C. 181</w:t>
      </w:r>
      <w:r w:rsidRPr="00DF7552">
        <w:rPr>
          <w:rFonts w:ascii="Times New Roman" w:eastAsia="Times New Roman" w:hAnsi="Times New Roman" w:cs="Times New Roman"/>
          <w:snapToGrid w:val="0"/>
          <w:sz w:val="24"/>
          <w:szCs w:val="24"/>
        </w:rPr>
        <w:t xml:space="preserve"> </w:t>
      </w:r>
      <w:r w:rsidRPr="00DF7552">
        <w:rPr>
          <w:rFonts w:ascii="Times New Roman" w:eastAsia="Times New Roman" w:hAnsi="Times New Roman" w:cs="Times New Roman"/>
          <w:i/>
          <w:snapToGrid w:val="0"/>
          <w:sz w:val="24"/>
          <w:szCs w:val="24"/>
        </w:rPr>
        <w:t>et seq.</w:t>
      </w:r>
    </w:p>
    <w:p w:rsidR="00DF7552" w:rsidRPr="00DF7552" w:rsidP="00DF7552" w14:paraId="5EA668D2" w14:textId="77777777">
      <w:pPr>
        <w:widowControl w:val="0"/>
        <w:numPr>
          <w:ilvl w:val="0"/>
          <w:numId w:val="16"/>
        </w:numPr>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4"/>
        </w:rPr>
        <w:t xml:space="preserve">Outer Continental Shelf Lands Act of 1953, as amended, 43 U.S.C. 1331 </w:t>
      </w:r>
      <w:r w:rsidRPr="00DF7552">
        <w:rPr>
          <w:rFonts w:ascii="Times New Roman" w:eastAsia="Times New Roman" w:hAnsi="Times New Roman" w:cs="Times New Roman"/>
          <w:i/>
          <w:snapToGrid w:val="0"/>
          <w:sz w:val="24"/>
          <w:szCs w:val="24"/>
        </w:rPr>
        <w:t>et seq.</w:t>
      </w:r>
    </w:p>
    <w:p w:rsidR="00DF7552" w:rsidRPr="00DF7552" w:rsidP="00DF7552" w14:paraId="311035B4" w14:textId="6CBB74CD">
      <w:pPr>
        <w:widowControl w:val="0"/>
        <w:numPr>
          <w:ilvl w:val="0"/>
          <w:numId w:val="16"/>
        </w:num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Oil and Gas Royalty Management Act of 1982, as amended, 30 U.S.C. 1701 </w:t>
      </w:r>
      <w:r w:rsidRPr="00DF7552">
        <w:rPr>
          <w:rFonts w:ascii="Times New Roman" w:eastAsia="Times New Roman" w:hAnsi="Times New Roman" w:cs="Times New Roman"/>
          <w:i/>
          <w:snapToGrid w:val="0"/>
          <w:sz w:val="24"/>
          <w:szCs w:val="20"/>
        </w:rPr>
        <w:t>et seq.</w:t>
      </w:r>
    </w:p>
    <w:p w:rsidR="00DF7552" w:rsidRPr="00DF7552" w:rsidP="00DF7552" w14:paraId="55E90611" w14:textId="46C32F40">
      <w:pPr>
        <w:widowControl w:val="0"/>
        <w:numPr>
          <w:ilvl w:val="0"/>
          <w:numId w:val="16"/>
        </w:numPr>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4"/>
        </w:rPr>
        <w:t>Federal</w:t>
      </w:r>
      <w:r w:rsidRPr="00DF7552">
        <w:rPr>
          <w:rFonts w:ascii="Times New Roman" w:eastAsia="Times New Roman" w:hAnsi="Times New Roman" w:cs="Times New Roman"/>
          <w:snapToGrid w:val="0"/>
          <w:sz w:val="24"/>
          <w:szCs w:val="24"/>
        </w:rPr>
        <w:t xml:space="preserve"> Oil and Gas Royalty Simplification and Fairness Act of 1996, as amended, </w:t>
      </w:r>
      <w:r w:rsidRPr="00DF7552">
        <w:rPr>
          <w:rFonts w:ascii="Times New Roman" w:eastAsia="Times New Roman" w:hAnsi="Times New Roman" w:cs="Times New Roman"/>
          <w:snapToGrid w:val="0"/>
          <w:sz w:val="24"/>
          <w:szCs w:val="20"/>
        </w:rPr>
        <w:t xml:space="preserve">30 U.S.C. 1701 </w:t>
      </w:r>
      <w:r w:rsidRPr="00DF7552">
        <w:rPr>
          <w:rFonts w:ascii="Times New Roman" w:eastAsia="Times New Roman" w:hAnsi="Times New Roman" w:cs="Times New Roman"/>
          <w:i/>
          <w:snapToGrid w:val="0"/>
          <w:sz w:val="24"/>
          <w:szCs w:val="20"/>
        </w:rPr>
        <w:t>et seq.</w:t>
      </w:r>
    </w:p>
    <w:p w:rsidR="00DF7552" w:rsidRPr="00DF7552" w:rsidP="00DF7552" w14:paraId="679AA58C" w14:textId="77777777">
      <w:pPr>
        <w:spacing w:after="0" w:line="240" w:lineRule="auto"/>
        <w:rPr>
          <w:rFonts w:ascii="Times New Roman" w:eastAsia="Times New Roman" w:hAnsi="Times New Roman" w:cs="Times New Roman"/>
          <w:snapToGrid w:val="0"/>
          <w:sz w:val="24"/>
          <w:szCs w:val="20"/>
        </w:rPr>
      </w:pPr>
    </w:p>
    <w:p w:rsidR="00DF7552" w:rsidRPr="00DF7552" w:rsidP="00DF7552" w14:paraId="32CDD0DD" w14:textId="77777777">
      <w:pPr>
        <w:tabs>
          <w:tab w:val="left" w:pos="-1080"/>
          <w:tab w:val="left" w:pos="-720"/>
          <w:tab w:val="left" w:pos="72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 xml:space="preserve">  </w:t>
      </w:r>
      <w:r w:rsidRPr="00DF7552">
        <w:rPr>
          <w:rFonts w:ascii="Times New Roman" w:eastAsia="Times New Roman" w:hAnsi="Times New Roman" w:cs="Times New Roman"/>
          <w:b/>
          <w:snapToGrid w:val="0"/>
          <w:sz w:val="24"/>
          <w:szCs w:val="20"/>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F7552" w:rsidRPr="00DF7552" w:rsidP="00DF7552" w14:paraId="1CD2826F"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52E28F20" w14:textId="0129B572">
      <w:pPr>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 xml:space="preserve">Under the NPSL bidding system, a notice of an OCS lease sale is published in the </w:t>
      </w:r>
      <w:r w:rsidR="00F23149">
        <w:rPr>
          <w:rFonts w:ascii="Times New Roman" w:eastAsia="Times New Roman" w:hAnsi="Times New Roman" w:cs="Times New Roman"/>
          <w:i/>
          <w:iCs/>
          <w:snapToGrid w:val="0"/>
          <w:sz w:val="24"/>
          <w:szCs w:val="20"/>
        </w:rPr>
        <w:t>Federal</w:t>
      </w:r>
      <w:r w:rsidRPr="00DF7552">
        <w:rPr>
          <w:rFonts w:ascii="Times New Roman" w:eastAsia="Times New Roman" w:hAnsi="Times New Roman" w:cs="Times New Roman"/>
          <w:i/>
          <w:iCs/>
          <w:snapToGrid w:val="0"/>
          <w:sz w:val="24"/>
          <w:szCs w:val="20"/>
        </w:rPr>
        <w:t xml:space="preserve"> Register</w:t>
      </w:r>
      <w:r w:rsidRPr="00DF7552">
        <w:rPr>
          <w:rFonts w:ascii="Times New Roman" w:eastAsia="Times New Roman" w:hAnsi="Times New Roman" w:cs="Times New Roman"/>
          <w:snapToGrid w:val="0"/>
          <w:sz w:val="24"/>
          <w:szCs w:val="20"/>
        </w:rPr>
        <w:t xml:space="preserve"> with a net profit share rate and a capital recovery factor (CRF) established for each tract within the sale. The regulations allow the lessee to inflate certain costs by multiplying those costs by the CRF. However</w:t>
      </w:r>
      <w:r w:rsidRPr="00DF7552">
        <w:rPr>
          <w:rFonts w:ascii="Times New Roman" w:eastAsia="Times New Roman" w:hAnsi="Times New Roman" w:cs="Times New Roman"/>
          <w:snapToGrid w:val="0"/>
          <w:sz w:val="24"/>
          <w:szCs w:val="24"/>
        </w:rPr>
        <w:t xml:space="preserve">, the calculation of this allowance differs by time period, within and outside the capital recovery period. </w:t>
      </w:r>
      <w:r w:rsidRPr="00DF7552">
        <w:rPr>
          <w:rFonts w:ascii="Times New Roman" w:eastAsia="Times New Roman" w:hAnsi="Times New Roman" w:cs="Times New Roman"/>
          <w:snapToGrid w:val="0"/>
          <w:sz w:val="24"/>
          <w:szCs w:val="20"/>
        </w:rPr>
        <w:t>The capital recovery period begins with the issue date of the lease and ends when one of the following occurs:</w:t>
      </w:r>
    </w:p>
    <w:p w:rsidR="00DF7552" w:rsidRPr="00DF7552" w:rsidP="00DF7552" w14:paraId="58999E4F" w14:textId="77777777">
      <w:pPr>
        <w:spacing w:after="0" w:line="240" w:lineRule="auto"/>
        <w:rPr>
          <w:rFonts w:ascii="Times New Roman" w:eastAsia="Times New Roman" w:hAnsi="Times New Roman" w:cs="Times New Roman"/>
          <w:snapToGrid w:val="0"/>
          <w:sz w:val="24"/>
          <w:szCs w:val="20"/>
        </w:rPr>
      </w:pPr>
    </w:p>
    <w:p w:rsidR="00DF7552" w:rsidRPr="00DF7552" w:rsidP="00DF7552" w14:paraId="185B14D1" w14:textId="77777777">
      <w:pPr>
        <w:spacing w:after="0" w:line="240" w:lineRule="auto"/>
        <w:ind w:left="720" w:right="72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(1) The lessee completes the last well on the first platform specified in the development and production plan.</w:t>
      </w:r>
    </w:p>
    <w:p w:rsidR="00DF7552" w:rsidRPr="00DF7552" w:rsidP="00DF7552" w14:paraId="793A60C7" w14:textId="77777777">
      <w:pPr>
        <w:spacing w:after="0" w:line="240" w:lineRule="auto"/>
        <w:ind w:right="720"/>
        <w:rPr>
          <w:rFonts w:ascii="Times New Roman" w:eastAsia="Times New Roman" w:hAnsi="Times New Roman" w:cs="Times New Roman"/>
          <w:snapToGrid w:val="0"/>
          <w:sz w:val="24"/>
          <w:szCs w:val="20"/>
        </w:rPr>
      </w:pPr>
    </w:p>
    <w:p w:rsidR="00DF7552" w:rsidRPr="00DF7552" w:rsidP="00DF7552" w14:paraId="4F9F9DBD" w14:textId="77777777">
      <w:pPr>
        <w:spacing w:after="0" w:line="240" w:lineRule="auto"/>
        <w:ind w:right="720" w:firstLine="72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(2) The balance in the capital account changes from a debit to a credit.</w:t>
      </w:r>
    </w:p>
    <w:p w:rsidR="00DF7552" w:rsidRPr="00DF7552" w:rsidP="00DF7552" w14:paraId="397347C8" w14:textId="77777777">
      <w:pPr>
        <w:spacing w:after="0" w:line="240" w:lineRule="auto"/>
        <w:ind w:right="720"/>
        <w:rPr>
          <w:rFonts w:ascii="Times New Roman" w:eastAsia="Times New Roman" w:hAnsi="Times New Roman" w:cs="Times New Roman"/>
          <w:snapToGrid w:val="0"/>
          <w:sz w:val="24"/>
          <w:szCs w:val="20"/>
        </w:rPr>
      </w:pPr>
    </w:p>
    <w:p w:rsidR="00DF7552" w:rsidRPr="00DF7552" w:rsidP="00DF7552" w14:paraId="1695A19F" w14:textId="77777777">
      <w:pPr>
        <w:spacing w:after="0" w:line="240" w:lineRule="auto"/>
        <w:ind w:right="720" w:firstLine="72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(3) The lessee chooses to terminate the capital recovery period.</w:t>
      </w:r>
    </w:p>
    <w:p w:rsidR="00DF7552" w:rsidRPr="00DF7552" w:rsidP="00DF7552" w14:paraId="0565FBB3" w14:textId="77777777">
      <w:pPr>
        <w:spacing w:after="0" w:line="240" w:lineRule="auto"/>
        <w:ind w:right="720"/>
        <w:rPr>
          <w:rFonts w:ascii="Times New Roman" w:eastAsia="Times New Roman" w:hAnsi="Times New Roman" w:cs="Times New Roman"/>
          <w:snapToGrid w:val="0"/>
          <w:sz w:val="24"/>
          <w:szCs w:val="20"/>
        </w:rPr>
      </w:pPr>
    </w:p>
    <w:p w:rsidR="00DF7552" w:rsidRPr="00DF7552" w:rsidP="00DF7552" w14:paraId="3475B894" w14:textId="77777777">
      <w:pPr>
        <w:spacing w:after="0" w:line="240" w:lineRule="auto"/>
        <w:ind w:right="720"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During the capital recovery period, the lessee calculates a cost base consisting of allowable direct and allocable joint costs plus a 4-percent overhead allowance, less production revenues and other credits received during the month. This cost base is multiplied by the CRF established for the lease, resulting in the allowance for capital recovery. This allowance can be deducted from current revenue and other credits within the capital account. For example, if the CRF is 0.5, the lessee effectively adds another 50 percent of all allowable costs to the capital account. Once the capital recovery period is closed, it cannot be re-opened, and the lessee no longer is eligible for the allowance for capital recovery. However, the lessee then changes the overhead allowance to 10 percent.</w:t>
      </w:r>
    </w:p>
    <w:p w:rsidR="00DF7552" w:rsidRPr="00DF7552" w:rsidP="00DF7552" w14:paraId="2336C23C" w14:textId="77777777">
      <w:pPr>
        <w:spacing w:after="0" w:line="240" w:lineRule="auto"/>
        <w:ind w:right="720"/>
        <w:rPr>
          <w:rFonts w:ascii="Times New Roman" w:eastAsia="Times New Roman" w:hAnsi="Times New Roman" w:cs="Times New Roman"/>
          <w:snapToGrid w:val="0"/>
          <w:sz w:val="24"/>
          <w:szCs w:val="20"/>
        </w:rPr>
      </w:pPr>
    </w:p>
    <w:p w:rsidR="00DF7552" w:rsidRPr="00DF7552" w:rsidP="00DF7552" w14:paraId="06C641AE" w14:textId="77777777">
      <w:pPr>
        <w:spacing w:after="0" w:line="240" w:lineRule="auto"/>
        <w:ind w:right="720"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The lessee is required to maintain an NPSL capital account. The capital account balance represents the cumulative total of all costs and credits received over the life of the lease. When companies enter into NPSL agreements, they agree to submit reports required under § 1220.031. There are no specific formats required for these reports. ONRR uses the data submitted in these reports to verify costs, revenues or credits, and net profit share payments due. Not collecting this information would limit the Secretary’s ability to discharge fiduciary duties and may also result in the inability to confirm the accurate royalty value.</w:t>
      </w:r>
    </w:p>
    <w:p w:rsidR="00DF7552" w:rsidRPr="00DF7552" w:rsidP="00DF7552" w14:paraId="7ED2676E" w14:textId="77777777">
      <w:pPr>
        <w:spacing w:after="0" w:line="240" w:lineRule="auto"/>
        <w:ind w:right="720"/>
        <w:rPr>
          <w:rFonts w:ascii="Times New Roman" w:eastAsia="Times New Roman" w:hAnsi="Times New Roman" w:cs="Times New Roman"/>
          <w:snapToGrid w:val="0"/>
          <w:sz w:val="24"/>
          <w:szCs w:val="20"/>
        </w:rPr>
      </w:pPr>
    </w:p>
    <w:p w:rsidR="00DF7552" w:rsidRPr="00DF7552" w:rsidP="00DF7552" w14:paraId="68D6E224" w14:textId="77777777">
      <w:pPr>
        <w:spacing w:after="0" w:line="240" w:lineRule="auto"/>
        <w:ind w:right="720"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All information submitted is taken directly from the lessee's own records. No unique information is required. Nine leases, all in the Gulf of Mexico, are producing leases for which monthly reports are submitted</w:t>
      </w:r>
      <w:r w:rsidRPr="00DF7552">
        <w:rPr>
          <w:rFonts w:ascii="Times New Roman" w:eastAsia="Times New Roman" w:hAnsi="Times New Roman" w:cs="Times New Roman"/>
          <w:snapToGrid w:val="0"/>
          <w:sz w:val="24"/>
          <w:szCs w:val="24"/>
        </w:rPr>
        <w:t xml:space="preserve">. Currently, </w:t>
      </w:r>
      <w:r w:rsidRPr="00DF7552">
        <w:rPr>
          <w:rFonts w:ascii="Times New Roman" w:eastAsia="Times New Roman" w:hAnsi="Times New Roman" w:cs="Times New Roman"/>
          <w:snapToGrid w:val="0"/>
          <w:sz w:val="24"/>
          <w:szCs w:val="20"/>
        </w:rPr>
        <w:t>these nine producing leases are profitable.</w:t>
      </w:r>
    </w:p>
    <w:p w:rsidR="00DF7552" w:rsidRPr="00DF7552" w:rsidP="00DF7552" w14:paraId="16AE7099" w14:textId="77777777">
      <w:pPr>
        <w:spacing w:after="0" w:line="240" w:lineRule="auto"/>
        <w:rPr>
          <w:rFonts w:ascii="Times New Roman" w:eastAsia="Times New Roman" w:hAnsi="Times New Roman" w:cs="Times New Roman"/>
          <w:snapToGrid w:val="0"/>
          <w:sz w:val="24"/>
          <w:szCs w:val="20"/>
        </w:rPr>
      </w:pPr>
    </w:p>
    <w:p w:rsidR="00DF7552" w:rsidRPr="00DF7552" w:rsidP="00DF7552" w14:paraId="3D22582D" w14:textId="77777777">
      <w:pPr>
        <w:tabs>
          <w:tab w:val="left" w:pos="-1080"/>
          <w:tab w:val="left" w:pos="-720"/>
          <w:tab w:val="left" w:pos="0"/>
          <w:tab w:val="left" w:pos="72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F7552">
        <w:rPr>
          <w:rFonts w:ascii="Times New Roman" w:eastAsia="Times New Roman" w:hAnsi="Times New Roman" w:cs="Times New Roman"/>
          <w:b/>
          <w:snapToGrid w:val="0"/>
          <w:sz w:val="24"/>
          <w:szCs w:val="20"/>
        </w:rPr>
        <w:t>the basis for the decision for adopting this means of collection.  Also describe any consideration of using information technology to reduce burden and specifically how this collection meets GPEA requirements.</w:t>
      </w:r>
    </w:p>
    <w:p w:rsidR="00DF7552" w:rsidRPr="00DF7552" w:rsidP="00DF7552" w14:paraId="699D91D5"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5CF09043" w14:textId="77777777">
      <w:pPr>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color w:val="000000"/>
          <w:sz w:val="24"/>
          <w:szCs w:val="20"/>
        </w:rPr>
      </w:pPr>
      <w:r w:rsidRPr="00DF7552">
        <w:rPr>
          <w:rFonts w:ascii="Times New Roman" w:eastAsia="Times New Roman" w:hAnsi="Times New Roman" w:cs="Times New Roman"/>
          <w:snapToGrid w:val="0"/>
          <w:sz w:val="24"/>
          <w:szCs w:val="20"/>
        </w:rPr>
        <w:t>ONRR is moving to fully implement the Government Paperwork Elimination Act (GPEA). However, o</w:t>
      </w:r>
      <w:r w:rsidRPr="00DF7552">
        <w:rPr>
          <w:rFonts w:ascii="Times New Roman" w:eastAsia="Times New Roman" w:hAnsi="Times New Roman" w:cs="Times New Roman"/>
          <w:snapToGrid w:val="0"/>
          <w:color w:val="000000"/>
          <w:sz w:val="24"/>
          <w:szCs w:val="20"/>
        </w:rPr>
        <w:t>ur GPEA Plan indicates that the use of information technology is not practicable for this information collection because of the small number of lessees and the variety and complexity of computer programs that reporting companies use.</w:t>
      </w:r>
    </w:p>
    <w:p w:rsidR="00DF7552" w:rsidRPr="00DF7552" w:rsidP="00DF7552" w14:paraId="13DB4C29"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color w:val="000000"/>
          <w:sz w:val="24"/>
          <w:szCs w:val="20"/>
        </w:rPr>
      </w:pPr>
    </w:p>
    <w:p w:rsidR="00DF7552" w:rsidRPr="00DF7552" w:rsidP="00DF7552" w14:paraId="5F0570FF" w14:textId="79A84FA1">
      <w:pPr>
        <w:spacing w:after="0" w:line="240" w:lineRule="auto"/>
        <w:ind w:firstLine="360"/>
        <w:rPr>
          <w:rFonts w:ascii="Times New Roman" w:eastAsia="Times New Roman" w:hAnsi="Times New Roman" w:cs="Times New Roman"/>
          <w:snapToGrid w:val="0"/>
          <w:color w:val="000000"/>
          <w:sz w:val="24"/>
          <w:szCs w:val="20"/>
        </w:rPr>
      </w:pPr>
      <w:bookmarkStart w:id="0" w:name="_Hlk130819473"/>
      <w:r w:rsidRPr="00DF7552">
        <w:rPr>
          <w:rFonts w:ascii="Times New Roman" w:eastAsia="Times New Roman" w:hAnsi="Times New Roman" w:cs="Times New Roman"/>
          <w:snapToGrid w:val="0"/>
          <w:color w:val="000000"/>
          <w:sz w:val="24"/>
          <w:szCs w:val="20"/>
        </w:rPr>
        <w:t xml:space="preserve">Currently, only </w:t>
      </w:r>
      <w:r w:rsidRPr="000E647C">
        <w:rPr>
          <w:rFonts w:ascii="Times New Roman" w:eastAsia="Times New Roman" w:hAnsi="Times New Roman" w:cs="Times New Roman"/>
          <w:snapToGrid w:val="0"/>
          <w:sz w:val="24"/>
          <w:szCs w:val="24"/>
        </w:rPr>
        <w:t>two</w:t>
      </w:r>
      <w:r w:rsidRPr="00DF7552">
        <w:rPr>
          <w:rFonts w:ascii="Times New Roman" w:eastAsia="Times New Roman" w:hAnsi="Times New Roman" w:cs="Times New Roman"/>
          <w:snapToGrid w:val="0"/>
          <w:sz w:val="24"/>
          <w:szCs w:val="24"/>
        </w:rPr>
        <w:t xml:space="preserve"> lessees report monthly. </w:t>
      </w:r>
      <w:r w:rsidRPr="00DF7552">
        <w:rPr>
          <w:rFonts w:ascii="Times New Roman" w:eastAsia="Times New Roman" w:hAnsi="Times New Roman" w:cs="Times New Roman"/>
          <w:snapToGrid w:val="0"/>
          <w:color w:val="000000"/>
          <w:sz w:val="24"/>
          <w:szCs w:val="20"/>
        </w:rPr>
        <w:t>Because of the limited number of leases involved and lessee respondents and the differing and complex system designs, ONRR has not attempted to interface the companies' systems with ONRR systems. Therefore, at this time, the companies submit electronically their information to a standard workflow email inbox (</w:t>
      </w:r>
      <w:r w:rsidRPr="00C327CC">
        <w:rPr>
          <w:rFonts w:ascii="Times New Roman" w:eastAsia="Times New Roman" w:hAnsi="Times New Roman" w:cs="Times New Roman"/>
          <w:snapToGrid w:val="0"/>
          <w:color w:val="000000"/>
          <w:sz w:val="24"/>
          <w:szCs w:val="20"/>
        </w:rPr>
        <w:t>RubyMailBox@onrr.gov</w:t>
      </w:r>
      <w:r w:rsidRPr="00DF7552">
        <w:rPr>
          <w:rFonts w:ascii="Times New Roman" w:eastAsia="Times New Roman" w:hAnsi="Times New Roman" w:cs="Times New Roman"/>
          <w:snapToGrid w:val="0"/>
          <w:color w:val="000000"/>
          <w:sz w:val="24"/>
          <w:szCs w:val="20"/>
        </w:rPr>
        <w:t>) for processing by ONRR.</w:t>
      </w:r>
    </w:p>
    <w:bookmarkEnd w:id="0"/>
    <w:p w:rsidR="00DF7552" w:rsidRPr="00DF7552" w:rsidP="00DF7552" w14:paraId="6ECCD800" w14:textId="77777777">
      <w:pPr>
        <w:spacing w:after="0" w:line="240" w:lineRule="auto"/>
        <w:rPr>
          <w:rFonts w:ascii="Times New Roman" w:eastAsia="Times New Roman" w:hAnsi="Times New Roman" w:cs="Times New Roman"/>
          <w:snapToGrid w:val="0"/>
          <w:color w:val="000000"/>
          <w:sz w:val="24"/>
          <w:szCs w:val="20"/>
        </w:rPr>
      </w:pPr>
    </w:p>
    <w:p w:rsidR="00DF7552" w:rsidRPr="00DF7552" w:rsidP="00DF7552" w14:paraId="43877162" w14:textId="77777777">
      <w:pPr>
        <w:tabs>
          <w:tab w:val="left" w:pos="0"/>
          <w:tab w:val="left" w:pos="720"/>
        </w:tabs>
        <w:spacing w:after="0" w:line="240" w:lineRule="auto"/>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4.  Describe efforts to identify duplication.  Show specifically why any similar information already available cannot be used or modified for use for the purposes described in Item 2 above.</w:t>
      </w:r>
    </w:p>
    <w:p w:rsidR="00DF7552" w:rsidRPr="00DF7552" w:rsidP="00DF7552" w14:paraId="3E15A055" w14:textId="77777777">
      <w:pPr>
        <w:widowControl w:val="0"/>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0"/>
        </w:rPr>
      </w:pPr>
    </w:p>
    <w:p w:rsidR="00DF7552" w:rsidRPr="00DF7552" w:rsidP="00DF7552" w14:paraId="5EB4ADA6" w14:textId="1F250C1C">
      <w:pPr>
        <w:widowControl w:val="0"/>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 xml:space="preserve">This information is not available from any other source, nor is there any other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government agency currently collecting similar information for other purposes that could serve our needs. ONRR ensures that the lessee’s burden is minimized and not duplicated. </w:t>
      </w:r>
      <w:r w:rsidRPr="00DF7552">
        <w:rPr>
          <w:rFonts w:ascii="Times New Roman" w:eastAsia="Times New Roman" w:hAnsi="Times New Roman" w:cs="Times New Roman"/>
          <w:snapToGrid w:val="0"/>
          <w:color w:val="000000"/>
          <w:sz w:val="24"/>
          <w:szCs w:val="20"/>
        </w:rPr>
        <w:t xml:space="preserve">Reports and other information are unique for each individual lease. Each lease is numbered for identification, and the lessees must file a separate report for each lease. </w:t>
      </w:r>
    </w:p>
    <w:p w:rsidR="00DF7552" w:rsidRPr="00DF7552" w:rsidP="00DF7552" w14:paraId="5476B22A"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0"/>
        </w:rPr>
      </w:pPr>
    </w:p>
    <w:p w:rsidR="00DF7552" w:rsidRPr="00DF7552" w:rsidP="00DF7552" w14:paraId="689DCE92" w14:textId="77777777">
      <w:pPr>
        <w:widowControl w:val="0"/>
        <w:tabs>
          <w:tab w:val="left" w:pos="-1080"/>
          <w:tab w:val="left" w:pos="-720"/>
          <w:tab w:val="left" w:pos="0"/>
          <w:tab w:val="left" w:pos="72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5.  If the collection of information impacts small businesses or other small entities, describe any methods used to minimize burden</w:t>
      </w:r>
      <w:r w:rsidRPr="00DF7552">
        <w:rPr>
          <w:rFonts w:ascii="Times New Roman" w:eastAsia="Times New Roman" w:hAnsi="Times New Roman" w:cs="Times New Roman"/>
          <w:snapToGrid w:val="0"/>
          <w:sz w:val="24"/>
          <w:szCs w:val="20"/>
        </w:rPr>
        <w:t>.</w:t>
      </w:r>
    </w:p>
    <w:p w:rsidR="00DF7552" w:rsidRPr="00DF7552" w:rsidP="00DF7552" w14:paraId="090AA4AA" w14:textId="77777777">
      <w:pPr>
        <w:widowControl w:val="0"/>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785BB744" w14:textId="77777777">
      <w:pPr>
        <w:widowControl w:val="0"/>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This collection of information does not have a significant economic effect on a substantial number of small entities.</w:t>
      </w:r>
    </w:p>
    <w:p w:rsidR="00DF7552" w:rsidRPr="00DF7552" w:rsidP="00DF7552" w14:paraId="71929DAB"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20B78D9A" w14:textId="77777777">
      <w:pPr>
        <w:tabs>
          <w:tab w:val="left" w:pos="36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color w:val="000000"/>
          <w:sz w:val="24"/>
          <w:szCs w:val="20"/>
        </w:rPr>
        <w:t xml:space="preserve">Due to the extremely difficult and expensive processes associated with deepwater exploration and drilling, few small businesses were involved in the initial lease acquisitions. However, a few small businesses now own leases through purchases from larger companies or operate leases through farm-outs. </w:t>
      </w:r>
      <w:r w:rsidRPr="00DF7552">
        <w:rPr>
          <w:rFonts w:ascii="Times New Roman" w:eastAsia="Times New Roman" w:hAnsi="Times New Roman" w:cs="Times New Roman"/>
          <w:snapToGrid w:val="0"/>
          <w:sz w:val="24"/>
          <w:szCs w:val="20"/>
        </w:rPr>
        <w:t xml:space="preserve">Some of these purchased or farm-out properties may include NPSL lease terms. There are no special provisions for mitigating reporting requirements for small businesses in these circumstances. However, ONRR assists small entities </w:t>
      </w:r>
      <w:r w:rsidRPr="00DF7552">
        <w:rPr>
          <w:rFonts w:ascii="Times New Roman" w:eastAsia="Times New Roman" w:hAnsi="Times New Roman" w:cs="Times New Roman"/>
          <w:snapToGrid w:val="0"/>
          <w:color w:val="000000"/>
          <w:sz w:val="24"/>
          <w:szCs w:val="20"/>
        </w:rPr>
        <w:t>by maintaining regular and routine contact with these lessees as they file their reports. In addition, ONRR provides toll-free telephone assistance to lessees at 1-800-525-0309 to answer questions regarding NPSL regulations and respond to other concerns related to NPSLs. Since NPSLs are ongoing and require constant monitoring, numerous contacts have been developed and maintained over many years, providing timely opportunities to discuss any concerns regarding the information collected.</w:t>
      </w:r>
    </w:p>
    <w:p w:rsidR="00DF7552" w:rsidRPr="00DF7552" w:rsidP="00DF7552" w14:paraId="3CC016C0" w14:textId="77777777">
      <w:pPr>
        <w:spacing w:after="0" w:line="240" w:lineRule="auto"/>
        <w:rPr>
          <w:rFonts w:ascii="Times New Roman" w:eastAsia="Times New Roman" w:hAnsi="Times New Roman" w:cs="Times New Roman"/>
          <w:snapToGrid w:val="0"/>
          <w:sz w:val="24"/>
          <w:szCs w:val="20"/>
        </w:rPr>
      </w:pPr>
    </w:p>
    <w:p w:rsidR="00DF7552" w:rsidRPr="00DF7552" w:rsidP="00DF7552" w14:paraId="30359A5E" w14:textId="34C628A4">
      <w:pPr>
        <w:tabs>
          <w:tab w:val="left" w:pos="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 xml:space="preserve">6.  Describe the consequence to </w:t>
      </w:r>
      <w:r w:rsidR="00F23149">
        <w:rPr>
          <w:rFonts w:ascii="Times New Roman" w:eastAsia="Times New Roman" w:hAnsi="Times New Roman" w:cs="Times New Roman"/>
          <w:b/>
          <w:snapToGrid w:val="0"/>
          <w:sz w:val="24"/>
          <w:szCs w:val="20"/>
        </w:rPr>
        <w:t>Federal</w:t>
      </w:r>
      <w:r w:rsidRPr="00DF7552">
        <w:rPr>
          <w:rFonts w:ascii="Times New Roman" w:eastAsia="Times New Roman" w:hAnsi="Times New Roman" w:cs="Times New Roman"/>
          <w:b/>
          <w:snapToGrid w:val="0"/>
          <w:sz w:val="24"/>
          <w:szCs w:val="20"/>
        </w:rPr>
        <w:t xml:space="preserve"> program or policy activities if the collection is not conducted or is conducted less frequently, as well as any technical or legal obstacles to reducing burden.</w:t>
      </w:r>
    </w:p>
    <w:p w:rsidR="00DF7552" w:rsidRPr="00DF7552" w:rsidP="00DF7552" w14:paraId="136FE117"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461AFA22" w14:textId="176E6DA7">
      <w:pPr>
        <w:spacing w:after="0" w:line="240" w:lineRule="auto"/>
        <w:ind w:firstLine="360"/>
        <w:rPr>
          <w:rFonts w:ascii="Times New Roman" w:eastAsia="Times New Roman" w:hAnsi="Times New Roman" w:cs="Times New Roman"/>
          <w:snapToGrid w:val="0"/>
          <w:color w:val="000000"/>
          <w:sz w:val="24"/>
          <w:szCs w:val="20"/>
        </w:rPr>
      </w:pPr>
      <w:r w:rsidRPr="00DF7552">
        <w:rPr>
          <w:rFonts w:ascii="Times New Roman" w:eastAsia="Times New Roman" w:hAnsi="Times New Roman" w:cs="Times New Roman"/>
          <w:snapToGrid w:val="0"/>
          <w:color w:val="000000"/>
          <w:sz w:val="24"/>
          <w:szCs w:val="20"/>
        </w:rPr>
        <w:t xml:space="preserve">ONRR is required to gather this information by regulation. Title I of the </w:t>
      </w:r>
      <w:r w:rsidR="00F23149">
        <w:rPr>
          <w:rFonts w:ascii="Times New Roman" w:eastAsia="Times New Roman" w:hAnsi="Times New Roman" w:cs="Times New Roman"/>
          <w:snapToGrid w:val="0"/>
          <w:color w:val="000000"/>
          <w:sz w:val="24"/>
          <w:szCs w:val="20"/>
        </w:rPr>
        <w:t>Federal</w:t>
      </w:r>
      <w:r w:rsidRPr="00DF7552">
        <w:rPr>
          <w:rFonts w:ascii="Times New Roman" w:eastAsia="Times New Roman" w:hAnsi="Times New Roman" w:cs="Times New Roman"/>
          <w:snapToGrid w:val="0"/>
          <w:color w:val="000000"/>
          <w:sz w:val="24"/>
          <w:szCs w:val="20"/>
        </w:rPr>
        <w:t xml:space="preserve"> Oil and Gas Royalty Management Act of 1982 (30 U.S.C. 1711) requires that the Secretary “. . . establish a </w:t>
      </w:r>
    </w:p>
    <w:p w:rsidR="00DF7552" w:rsidRPr="00DF7552" w:rsidP="00DF7552" w14:paraId="13FACED5" w14:textId="50B7C24D">
      <w:pPr>
        <w:spacing w:after="0" w:line="240" w:lineRule="auto"/>
        <w:rPr>
          <w:rFonts w:ascii="Times New Roman" w:eastAsia="Times New Roman" w:hAnsi="Times New Roman" w:cs="Times New Roman"/>
          <w:snapToGrid w:val="0"/>
          <w:color w:val="000000"/>
          <w:sz w:val="24"/>
          <w:szCs w:val="20"/>
        </w:rPr>
      </w:pPr>
      <w:r w:rsidRPr="00DF7552">
        <w:rPr>
          <w:rFonts w:ascii="Times New Roman" w:eastAsia="Times New Roman" w:hAnsi="Times New Roman" w:cs="Times New Roman"/>
          <w:snapToGrid w:val="0"/>
          <w:color w:val="000000"/>
          <w:sz w:val="24"/>
          <w:szCs w:val="20"/>
        </w:rPr>
        <w:t xml:space="preserve">system to provide the capability to accurately determine oil and gas royalties, interest, fines, penalties, fees, deposits, and other payments owed and to collect and account for such amounts in a timely manner.” By regulation, the lessee must submit either annual or monthly reports related to NPSLs. Less frequent collection of information places the lessee in noncompliance with the regulations and may also result in loss of </w:t>
      </w:r>
      <w:r w:rsidRPr="00DF7552">
        <w:rPr>
          <w:rFonts w:ascii="Times New Roman" w:eastAsia="Times New Roman" w:hAnsi="Times New Roman" w:cs="Times New Roman"/>
          <w:snapToGrid w:val="0"/>
          <w:sz w:val="24"/>
          <w:szCs w:val="20"/>
        </w:rPr>
        <w:t>net profit</w:t>
      </w:r>
      <w:r w:rsidRPr="00DF7552">
        <w:rPr>
          <w:rFonts w:ascii="Times New Roman" w:eastAsia="Times New Roman" w:hAnsi="Times New Roman" w:cs="Times New Roman"/>
          <w:b/>
          <w:snapToGrid w:val="0"/>
          <w:sz w:val="24"/>
          <w:szCs w:val="20"/>
        </w:rPr>
        <w:t xml:space="preserve"> </w:t>
      </w:r>
      <w:r w:rsidRPr="00DF7552">
        <w:rPr>
          <w:rFonts w:ascii="Times New Roman" w:eastAsia="Times New Roman" w:hAnsi="Times New Roman" w:cs="Times New Roman"/>
          <w:snapToGrid w:val="0"/>
          <w:sz w:val="24"/>
          <w:szCs w:val="20"/>
        </w:rPr>
        <w:t>share</w:t>
      </w:r>
      <w:r w:rsidRPr="00DF7552">
        <w:rPr>
          <w:rFonts w:ascii="Times New Roman" w:eastAsia="Times New Roman" w:hAnsi="Times New Roman" w:cs="Times New Roman"/>
          <w:b/>
          <w:snapToGrid w:val="0"/>
          <w:sz w:val="24"/>
          <w:szCs w:val="20"/>
        </w:rPr>
        <w:t xml:space="preserve"> </w:t>
      </w:r>
      <w:r w:rsidRPr="00DF7552">
        <w:rPr>
          <w:rFonts w:ascii="Times New Roman" w:eastAsia="Times New Roman" w:hAnsi="Times New Roman" w:cs="Times New Roman"/>
          <w:snapToGrid w:val="0"/>
          <w:color w:val="000000"/>
          <w:sz w:val="24"/>
          <w:szCs w:val="20"/>
        </w:rPr>
        <w:t xml:space="preserve">payments to the </w:t>
      </w:r>
      <w:r w:rsidR="00F23149">
        <w:rPr>
          <w:rFonts w:ascii="Times New Roman" w:eastAsia="Times New Roman" w:hAnsi="Times New Roman" w:cs="Times New Roman"/>
          <w:snapToGrid w:val="0"/>
          <w:color w:val="000000"/>
          <w:sz w:val="24"/>
          <w:szCs w:val="20"/>
        </w:rPr>
        <w:t>Federal</w:t>
      </w:r>
      <w:r w:rsidRPr="00DF7552">
        <w:rPr>
          <w:rFonts w:ascii="Times New Roman" w:eastAsia="Times New Roman" w:hAnsi="Times New Roman" w:cs="Times New Roman"/>
          <w:snapToGrid w:val="0"/>
          <w:color w:val="000000"/>
          <w:sz w:val="24"/>
          <w:szCs w:val="20"/>
        </w:rPr>
        <w:t xml:space="preserve"> government.</w:t>
      </w:r>
    </w:p>
    <w:p w:rsidR="00DF7552" w:rsidRPr="00DF7552" w:rsidP="00DF7552" w14:paraId="17DD8B1C"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0"/>
        </w:rPr>
      </w:pPr>
    </w:p>
    <w:p w:rsidR="00DF7552" w:rsidRPr="00DF7552" w:rsidP="00DF7552" w14:paraId="292E80D3" w14:textId="77777777">
      <w:pPr>
        <w:widowControl w:val="0"/>
        <w:tabs>
          <w:tab w:val="left" w:pos="-1080"/>
          <w:tab w:val="left" w:pos="-720"/>
          <w:tab w:val="left" w:pos="0"/>
          <w:tab w:val="left" w:pos="72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7.  Explain any special circumstances that would cause an information collection to be conducted in a manner:</w:t>
      </w:r>
    </w:p>
    <w:p w:rsidR="00DF7552" w:rsidRPr="00DF7552" w:rsidP="00DF7552" w14:paraId="7810D559" w14:textId="77777777">
      <w:pPr>
        <w:widowControl w:val="0"/>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ab/>
      </w:r>
    </w:p>
    <w:p w:rsidR="00DF7552" w:rsidRPr="00DF7552" w:rsidP="00DF7552" w14:paraId="38D5A81A" w14:textId="77777777">
      <w:pPr>
        <w:widowControl w:val="0"/>
        <w:tabs>
          <w:tab w:val="left" w:pos="-1080"/>
          <w:tab w:val="left" w:pos="-720"/>
          <w:tab w:val="left" w:pos="360"/>
          <w:tab w:val="left" w:pos="720"/>
        </w:tabs>
        <w:spacing w:after="0" w:line="240" w:lineRule="auto"/>
        <w:ind w:left="720" w:hanging="72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snapToGrid w:val="0"/>
          <w:sz w:val="24"/>
          <w:szCs w:val="20"/>
        </w:rPr>
        <w:tab/>
        <w:t>*</w:t>
      </w:r>
      <w:r w:rsidRPr="00DF7552">
        <w:rPr>
          <w:rFonts w:ascii="Times New Roman" w:eastAsia="Times New Roman" w:hAnsi="Times New Roman" w:cs="Times New Roman"/>
          <w:snapToGrid w:val="0"/>
          <w:sz w:val="24"/>
          <w:szCs w:val="20"/>
        </w:rPr>
        <w:tab/>
      </w:r>
      <w:r w:rsidRPr="00DF7552">
        <w:rPr>
          <w:rFonts w:ascii="Times New Roman" w:eastAsia="Times New Roman" w:hAnsi="Times New Roman" w:cs="Times New Roman"/>
          <w:b/>
          <w:snapToGrid w:val="0"/>
          <w:sz w:val="24"/>
          <w:szCs w:val="20"/>
        </w:rPr>
        <w:t>requiring respondents to report information to the agency more often than quarterly;</w:t>
      </w:r>
    </w:p>
    <w:p w:rsidR="00DF7552" w:rsidRPr="00DF7552" w:rsidP="00DF7552" w14:paraId="779EAF28" w14:textId="77777777">
      <w:pPr>
        <w:widowControl w:val="0"/>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1DB276D6" w14:textId="77777777">
      <w:pPr>
        <w:widowControl w:val="0"/>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Title 30 CFR part 1220 requires that respondents submit annual, monthly, and, on occasion, inventory reports for NPSL. Respondents submit annual reports until the account has paid out. When accounts are paid out, respondents are required to report monthly capital account plus form ONRR-2014, Report of Sales and Royalty Remittance (OMB Control Number 1012-0004). Respondents also submit an inventory report on occasion or every three years.</w:t>
      </w:r>
    </w:p>
    <w:p w:rsidR="00DF7552" w:rsidRPr="00DF7552" w:rsidP="00DF7552" w14:paraId="6285B965"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3F2646BC" w14:textId="77777777">
      <w:pPr>
        <w:widowControl w:val="0"/>
        <w:tabs>
          <w:tab w:val="left" w:pos="-1080"/>
          <w:tab w:val="left" w:pos="-720"/>
          <w:tab w:val="left" w:pos="360"/>
          <w:tab w:val="left" w:pos="720"/>
        </w:tabs>
        <w:spacing w:after="0" w:line="240" w:lineRule="auto"/>
        <w:ind w:left="720" w:hanging="72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ab/>
        <w:t>*</w:t>
      </w:r>
      <w:r w:rsidRPr="00DF7552">
        <w:rPr>
          <w:rFonts w:ascii="Times New Roman" w:eastAsia="Times New Roman" w:hAnsi="Times New Roman" w:cs="Times New Roman"/>
          <w:b/>
          <w:snapToGrid w:val="0"/>
          <w:sz w:val="24"/>
          <w:szCs w:val="20"/>
        </w:rPr>
        <w:tab/>
        <w:t>requiring respondents to prepare a written response to a collection of information in fewer than 30 days after receipt of it;</w:t>
      </w:r>
    </w:p>
    <w:p w:rsidR="00DF7552" w:rsidRPr="00DF7552" w:rsidP="00DF7552" w14:paraId="3A747B7B" w14:textId="77777777">
      <w:pPr>
        <w:widowControl w:val="0"/>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21B1E7B7" w14:textId="77777777">
      <w:pPr>
        <w:widowControl w:val="0"/>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There are no special circumstances with respect to 5 CFR 1320.5(d)(2)(ii).</w:t>
      </w:r>
    </w:p>
    <w:p w:rsidR="00DF7552" w:rsidRPr="00DF7552" w:rsidP="00DF7552" w14:paraId="41131CA4"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153E8C28" w14:textId="77777777">
      <w:pPr>
        <w:tabs>
          <w:tab w:val="left" w:pos="-1080"/>
          <w:tab w:val="left" w:pos="-720"/>
          <w:tab w:val="left" w:pos="360"/>
          <w:tab w:val="left" w:pos="720"/>
        </w:tabs>
        <w:spacing w:after="0" w:line="240" w:lineRule="auto"/>
        <w:ind w:left="720" w:hanging="72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ab/>
        <w:t>*</w:t>
      </w:r>
      <w:r w:rsidRPr="00DF7552">
        <w:rPr>
          <w:rFonts w:ascii="Times New Roman" w:eastAsia="Times New Roman" w:hAnsi="Times New Roman" w:cs="Times New Roman"/>
          <w:b/>
          <w:snapToGrid w:val="0"/>
          <w:sz w:val="24"/>
          <w:szCs w:val="20"/>
        </w:rPr>
        <w:tab/>
        <w:t>requiring respondents to submit more than an original and two copies of any document;</w:t>
      </w:r>
    </w:p>
    <w:p w:rsidR="00DF7552" w:rsidRPr="00DF7552" w:rsidP="00DF7552" w14:paraId="1B93A670"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0A64CA3E" w14:textId="77777777">
      <w:pPr>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There are no special circumstances with respect to 5 CFR 1320.5(d)(2)(iii).</w:t>
      </w:r>
    </w:p>
    <w:p w:rsidR="00DF7552" w:rsidRPr="00DF7552" w:rsidP="00DF7552" w14:paraId="57AF5ECD"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0"/>
        </w:rPr>
      </w:pPr>
    </w:p>
    <w:p w:rsidR="00DF7552" w:rsidRPr="00DF7552" w:rsidP="00DF7552" w14:paraId="7DD4B3BD" w14:textId="77777777">
      <w:pPr>
        <w:tabs>
          <w:tab w:val="left" w:pos="-1080"/>
          <w:tab w:val="left" w:pos="-720"/>
          <w:tab w:val="left" w:pos="360"/>
        </w:tabs>
        <w:spacing w:after="0" w:line="240" w:lineRule="auto"/>
        <w:ind w:firstLine="36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 xml:space="preserve"> *</w:t>
      </w:r>
      <w:r w:rsidRPr="00DF7552">
        <w:rPr>
          <w:rFonts w:ascii="Times New Roman" w:eastAsia="Times New Roman" w:hAnsi="Times New Roman" w:cs="Times New Roman"/>
          <w:b/>
          <w:snapToGrid w:val="0"/>
          <w:sz w:val="24"/>
          <w:szCs w:val="20"/>
        </w:rPr>
        <w:tab/>
        <w:t>requiring respondents to retain records, other than health, medical, government contract, grant-in-aid, or tax records, for more than three years;</w:t>
      </w:r>
    </w:p>
    <w:p w:rsidR="00DF7552" w:rsidRPr="00DF7552" w:rsidP="00DF7552" w14:paraId="64004E9F"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7AD5186D" w14:textId="5D043D2A">
      <w:pPr>
        <w:tabs>
          <w:tab w:val="left" w:pos="-1080"/>
          <w:tab w:val="left" w:pos="-720"/>
          <w:tab w:val="left" w:pos="360"/>
          <w:tab w:val="left" w:pos="720"/>
        </w:tabs>
        <w:spacing w:after="0" w:line="240" w:lineRule="auto"/>
        <w:ind w:firstLine="45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 xml:space="preserve">RSFA section 4(f) requires that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oil and gas lessees maintain records for seven years after the obligation becomes due.</w:t>
      </w:r>
    </w:p>
    <w:p w:rsidR="00DF7552" w:rsidRPr="00DF7552" w:rsidP="00DF7552" w14:paraId="5C1718AA"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0"/>
        </w:rPr>
      </w:pPr>
    </w:p>
    <w:p w:rsidR="00DF7552" w:rsidRPr="00DF7552" w:rsidP="00DF7552" w14:paraId="7D1A1064" w14:textId="77777777">
      <w:pPr>
        <w:tabs>
          <w:tab w:val="left" w:pos="-1080"/>
          <w:tab w:val="left" w:pos="-720"/>
          <w:tab w:val="left" w:pos="360"/>
          <w:tab w:val="left" w:pos="720"/>
        </w:tabs>
        <w:spacing w:after="0" w:line="240" w:lineRule="auto"/>
        <w:ind w:left="720" w:hanging="72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ab/>
        <w:t>*</w:t>
      </w:r>
      <w:r w:rsidRPr="00DF7552">
        <w:rPr>
          <w:rFonts w:ascii="Times New Roman" w:eastAsia="Times New Roman" w:hAnsi="Times New Roman" w:cs="Times New Roman"/>
          <w:b/>
          <w:snapToGrid w:val="0"/>
          <w:sz w:val="24"/>
          <w:szCs w:val="20"/>
        </w:rPr>
        <w:tab/>
        <w:t>in connection with a statistical survey that is not designed to produce valid and reliable results that can be generalized to the universe of study;</w:t>
      </w:r>
    </w:p>
    <w:p w:rsidR="00DF7552" w:rsidRPr="00DF7552" w:rsidP="00DF7552" w14:paraId="6BF3B5FA"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7F991627" w14:textId="77777777">
      <w:pPr>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There are no special circumstances with respect to 5 CFR 1320.5(d)(2)(v).</w:t>
      </w:r>
    </w:p>
    <w:p w:rsidR="00DF7552" w:rsidRPr="00DF7552" w:rsidP="00DF7552" w14:paraId="2EF3CA62"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0"/>
        </w:rPr>
      </w:pPr>
    </w:p>
    <w:p w:rsidR="00DF7552" w:rsidRPr="00DF7552" w:rsidP="00DF7552" w14:paraId="59A7E0F3" w14:textId="77777777">
      <w:pPr>
        <w:tabs>
          <w:tab w:val="left" w:pos="-1080"/>
          <w:tab w:val="left" w:pos="-720"/>
          <w:tab w:val="left" w:pos="360"/>
          <w:tab w:val="left" w:pos="720"/>
        </w:tabs>
        <w:spacing w:after="0" w:line="240" w:lineRule="auto"/>
        <w:ind w:left="720" w:hanging="72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ab/>
        <w:t>*</w:t>
      </w:r>
      <w:r w:rsidRPr="00DF7552">
        <w:rPr>
          <w:rFonts w:ascii="Times New Roman" w:eastAsia="Times New Roman" w:hAnsi="Times New Roman" w:cs="Times New Roman"/>
          <w:b/>
          <w:snapToGrid w:val="0"/>
          <w:sz w:val="24"/>
          <w:szCs w:val="20"/>
        </w:rPr>
        <w:tab/>
        <w:t>requiring the use of a statistical data classification that has not been reviewed and approved by OMB;</w:t>
      </w:r>
    </w:p>
    <w:p w:rsidR="00DF7552" w:rsidRPr="00DF7552" w:rsidP="00DF7552" w14:paraId="186DB1D5"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434BECE7" w14:textId="77777777">
      <w:pPr>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There are no special circumstances with respect to 5 CFR 1320.5(d)(2)(vi) as this collection is not a statistical survey and does not use statistical data classification.</w:t>
      </w:r>
    </w:p>
    <w:p w:rsidR="00DF7552" w:rsidRPr="00DF7552" w:rsidP="00DF7552" w14:paraId="52CC406B"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0"/>
        </w:rPr>
      </w:pPr>
    </w:p>
    <w:p w:rsidR="00DF7552" w:rsidRPr="00DF7552" w:rsidP="00DF7552" w14:paraId="00D0354C" w14:textId="77777777">
      <w:pPr>
        <w:tabs>
          <w:tab w:val="left" w:pos="-1080"/>
          <w:tab w:val="left" w:pos="-720"/>
          <w:tab w:val="left" w:pos="360"/>
          <w:tab w:val="left" w:pos="720"/>
        </w:tabs>
        <w:spacing w:after="0" w:line="240" w:lineRule="auto"/>
        <w:ind w:left="720" w:hanging="72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ab/>
        <w:t>*</w:t>
      </w:r>
      <w:r w:rsidRPr="00DF7552">
        <w:rPr>
          <w:rFonts w:ascii="Times New Roman" w:eastAsia="Times New Roman" w:hAnsi="Times New Roman" w:cs="Times New Roman"/>
          <w:b/>
          <w:snapToGrid w:val="0"/>
          <w:sz w:val="24"/>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F7552" w:rsidRPr="00DF7552" w:rsidP="00DF7552" w14:paraId="4E9951B7"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6AE0C0A8" w14:textId="77777777">
      <w:pPr>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There are no special circumstances with respect to 5 CFR 1320.5(d)(2)(vii) as this collection does not include a pledge of confidentiality not supported by statute or regulation.</w:t>
      </w:r>
    </w:p>
    <w:p w:rsidR="00DF7552" w:rsidRPr="00DF7552" w:rsidP="00DF7552" w14:paraId="4B4BD6E8"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0"/>
        </w:rPr>
      </w:pPr>
    </w:p>
    <w:p w:rsidR="00DF7552" w:rsidRPr="00DF7552" w:rsidP="00DF7552" w14:paraId="37804F15" w14:textId="77777777">
      <w:pPr>
        <w:tabs>
          <w:tab w:val="left" w:pos="-1080"/>
          <w:tab w:val="left" w:pos="-720"/>
          <w:tab w:val="left" w:pos="360"/>
          <w:tab w:val="left" w:pos="720"/>
        </w:tabs>
        <w:spacing w:after="0" w:line="240" w:lineRule="auto"/>
        <w:ind w:left="720" w:hanging="720"/>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ab/>
        <w:t>*</w:t>
      </w:r>
      <w:r w:rsidRPr="00DF7552">
        <w:rPr>
          <w:rFonts w:ascii="Times New Roman" w:eastAsia="Times New Roman" w:hAnsi="Times New Roman" w:cs="Times New Roman"/>
          <w:b/>
          <w:snapToGrid w:val="0"/>
          <w:sz w:val="24"/>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DF7552" w:rsidRPr="00DF7552" w:rsidP="00DF7552" w14:paraId="5066B970"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0FE4CB3E" w14:textId="77777777">
      <w:pPr>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There are no special circumstances with respect to 5 CFR 1320.5(d)(2)(viii) as this collection does not require proprietary, trade secret, or other confidential information not protected by agency procedures. ONRR protects this information under the standards identified in Item 10 below.</w:t>
      </w:r>
    </w:p>
    <w:p w:rsidR="00DF7552" w:rsidRPr="00DF7552" w:rsidP="00DF7552" w14:paraId="5755BCEC" w14:textId="77777777">
      <w:pPr>
        <w:tabs>
          <w:tab w:val="left" w:pos="360"/>
          <w:tab w:val="left" w:pos="720"/>
          <w:tab w:val="left" w:pos="1080"/>
        </w:tabs>
        <w:spacing w:after="0" w:line="240" w:lineRule="auto"/>
        <w:rPr>
          <w:rFonts w:ascii="Times New Roman" w:eastAsia="Times New Roman" w:hAnsi="Times New Roman" w:cs="Times New Roman"/>
          <w:b/>
          <w:i/>
          <w:snapToGrid w:val="0"/>
          <w:sz w:val="24"/>
          <w:szCs w:val="20"/>
        </w:rPr>
      </w:pPr>
    </w:p>
    <w:p w:rsidR="00DF7552" w:rsidRPr="00DF7552" w:rsidP="00DF7552" w14:paraId="0F3D9ACE" w14:textId="7583BF61">
      <w:pPr>
        <w:widowControl w:val="0"/>
        <w:tabs>
          <w:tab w:val="left" w:pos="0"/>
          <w:tab w:val="left" w:pos="720"/>
          <w:tab w:val="left" w:pos="1080"/>
        </w:tabs>
        <w:spacing w:after="0" w:line="240" w:lineRule="auto"/>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 xml:space="preserve">8.  If applicable, provide a copy and identify the date and page number of publication in the </w:t>
      </w:r>
      <w:r w:rsidR="00F23149">
        <w:rPr>
          <w:rFonts w:ascii="Times New Roman" w:eastAsia="Times New Roman" w:hAnsi="Times New Roman" w:cs="Times New Roman"/>
          <w:b/>
          <w:i/>
          <w:snapToGrid w:val="0"/>
          <w:sz w:val="24"/>
          <w:szCs w:val="20"/>
        </w:rPr>
        <w:t>Federal</w:t>
      </w:r>
      <w:r w:rsidRPr="00DF7552">
        <w:rPr>
          <w:rFonts w:ascii="Times New Roman" w:eastAsia="Times New Roman" w:hAnsi="Times New Roman" w:cs="Times New Roman"/>
          <w:b/>
          <w:i/>
          <w:snapToGrid w:val="0"/>
          <w:sz w:val="24"/>
          <w:szCs w:val="20"/>
        </w:rPr>
        <w:t xml:space="preserve"> Register</w:t>
      </w:r>
      <w:r w:rsidRPr="00DF7552">
        <w:rPr>
          <w:rFonts w:ascii="Times New Roman" w:eastAsia="Times New Roman" w:hAnsi="Times New Roman" w:cs="Times New Roman"/>
          <w:b/>
          <w:snapToGrid w:val="0"/>
          <w:sz w:val="24"/>
          <w:szCs w:val="20"/>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F7552" w:rsidRPr="00DF7552" w:rsidP="00DF7552" w14:paraId="496887FC" w14:textId="77777777">
      <w:pPr>
        <w:widowControl w:val="0"/>
        <w:tabs>
          <w:tab w:val="left" w:pos="360"/>
          <w:tab w:val="left" w:pos="720"/>
          <w:tab w:val="left" w:pos="1080"/>
        </w:tabs>
        <w:spacing w:after="0" w:line="240" w:lineRule="auto"/>
        <w:ind w:left="360" w:hanging="360"/>
        <w:rPr>
          <w:rFonts w:ascii="Times New Roman" w:eastAsia="Times New Roman" w:hAnsi="Times New Roman" w:cs="Times New Roman"/>
          <w:b/>
          <w:snapToGrid w:val="0"/>
          <w:sz w:val="24"/>
          <w:szCs w:val="20"/>
        </w:rPr>
      </w:pPr>
    </w:p>
    <w:p w:rsidR="00DF7552" w:rsidRPr="00DF7552" w:rsidP="00DF7552" w14:paraId="4A359C66" w14:textId="77777777">
      <w:pPr>
        <w:tabs>
          <w:tab w:val="left" w:pos="0"/>
          <w:tab w:val="left" w:pos="720"/>
          <w:tab w:val="left" w:pos="1080"/>
        </w:tabs>
        <w:spacing w:after="0" w:line="240" w:lineRule="auto"/>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7552" w:rsidRPr="00DF7552" w:rsidP="00DF7552" w14:paraId="05BDC455" w14:textId="77777777">
      <w:pPr>
        <w:tabs>
          <w:tab w:val="left" w:pos="360"/>
          <w:tab w:val="left" w:pos="720"/>
          <w:tab w:val="left" w:pos="1080"/>
        </w:tabs>
        <w:spacing w:after="0" w:line="240" w:lineRule="auto"/>
        <w:ind w:left="360" w:hanging="360"/>
        <w:rPr>
          <w:rFonts w:ascii="Times New Roman" w:eastAsia="Times New Roman" w:hAnsi="Times New Roman" w:cs="Times New Roman"/>
          <w:b/>
          <w:snapToGrid w:val="0"/>
          <w:sz w:val="24"/>
          <w:szCs w:val="20"/>
        </w:rPr>
      </w:pPr>
    </w:p>
    <w:p w:rsidR="00DF7552" w:rsidRPr="00DF7552" w:rsidP="00DF7552" w14:paraId="5C21AB19" w14:textId="77777777">
      <w:pPr>
        <w:tabs>
          <w:tab w:val="left" w:pos="0"/>
          <w:tab w:val="left" w:pos="720"/>
          <w:tab w:val="left" w:pos="1080"/>
        </w:tabs>
        <w:spacing w:after="0" w:line="240" w:lineRule="auto"/>
        <w:rPr>
          <w:rFonts w:ascii="Times New Roman" w:eastAsia="Times New Roman" w:hAnsi="Times New Roman" w:cs="Times New Roman"/>
          <w:b/>
          <w:snapToGrid w:val="0"/>
          <w:sz w:val="24"/>
          <w:szCs w:val="20"/>
        </w:rPr>
      </w:pPr>
      <w:r w:rsidRPr="00DF7552">
        <w:rPr>
          <w:rFonts w:ascii="Times New Roman" w:eastAsia="Times New Roman" w:hAnsi="Times New Roman" w:cs="Times New Roman"/>
          <w:b/>
          <w:snapToGrid w:val="0"/>
          <w:sz w:val="24"/>
          <w:szCs w:val="20"/>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DF7552" w:rsidRPr="00DF7552" w:rsidP="00DF7552" w14:paraId="12ADBD18" w14:textId="77777777">
      <w:pPr>
        <w:tabs>
          <w:tab w:val="left" w:pos="360"/>
          <w:tab w:val="left" w:pos="720"/>
          <w:tab w:val="left" w:pos="1080"/>
        </w:tabs>
        <w:spacing w:after="0" w:line="240" w:lineRule="auto"/>
        <w:rPr>
          <w:rFonts w:ascii="Times New Roman" w:eastAsia="Times New Roman" w:hAnsi="Times New Roman" w:cs="Times New Roman"/>
          <w:b/>
          <w:snapToGrid w:val="0"/>
          <w:sz w:val="24"/>
          <w:szCs w:val="20"/>
        </w:rPr>
      </w:pPr>
    </w:p>
    <w:p w:rsidR="00DF7552" w:rsidRPr="00DF7552" w:rsidP="00DF7552" w14:paraId="2E3C017C" w14:textId="7323830B">
      <w:pPr>
        <w:tabs>
          <w:tab w:val="left" w:pos="360"/>
          <w:tab w:val="left" w:pos="450"/>
          <w:tab w:val="left" w:pos="720"/>
          <w:tab w:val="left" w:pos="108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 xml:space="preserve">As required under 5 CFR 1320.8(d), ONRR published a 60-day notice in the </w:t>
      </w:r>
      <w:r w:rsidR="00F23149">
        <w:rPr>
          <w:rFonts w:ascii="Times New Roman" w:eastAsia="Times New Roman" w:hAnsi="Times New Roman" w:cs="Times New Roman"/>
          <w:i/>
          <w:iCs/>
          <w:snapToGrid w:val="0"/>
          <w:sz w:val="24"/>
          <w:szCs w:val="20"/>
        </w:rPr>
        <w:t>Federal</w:t>
      </w:r>
      <w:r w:rsidRPr="00DF7552">
        <w:rPr>
          <w:rFonts w:ascii="Times New Roman" w:eastAsia="Times New Roman" w:hAnsi="Times New Roman" w:cs="Times New Roman"/>
          <w:i/>
          <w:iCs/>
          <w:snapToGrid w:val="0"/>
          <w:sz w:val="24"/>
          <w:szCs w:val="20"/>
        </w:rPr>
        <w:t xml:space="preserve"> Register </w:t>
      </w:r>
      <w:r w:rsidRPr="00DF7552">
        <w:rPr>
          <w:rFonts w:ascii="Times New Roman" w:eastAsia="Times New Roman" w:hAnsi="Times New Roman" w:cs="Times New Roman"/>
          <w:snapToGrid w:val="0"/>
          <w:sz w:val="24"/>
          <w:szCs w:val="20"/>
        </w:rPr>
        <w:t>on</w:t>
      </w:r>
      <w:r w:rsidR="00C327CC">
        <w:rPr>
          <w:rFonts w:ascii="Times New Roman" w:eastAsia="Times New Roman" w:hAnsi="Times New Roman" w:cs="Times New Roman"/>
          <w:snapToGrid w:val="0"/>
          <w:sz w:val="24"/>
          <w:szCs w:val="20"/>
        </w:rPr>
        <w:t xml:space="preserve"> January 26</w:t>
      </w:r>
      <w:r w:rsidRPr="00C327CC" w:rsidR="00C327CC">
        <w:rPr>
          <w:rFonts w:ascii="Times New Roman" w:eastAsia="Times New Roman" w:hAnsi="Times New Roman" w:cs="Times New Roman"/>
          <w:snapToGrid w:val="0"/>
          <w:sz w:val="24"/>
          <w:szCs w:val="20"/>
          <w:vertAlign w:val="superscript"/>
        </w:rPr>
        <w:t>th</w:t>
      </w:r>
      <w:r w:rsidR="00C327CC">
        <w:rPr>
          <w:rFonts w:ascii="Times New Roman" w:eastAsia="Times New Roman" w:hAnsi="Times New Roman" w:cs="Times New Roman"/>
          <w:snapToGrid w:val="0"/>
          <w:sz w:val="24"/>
          <w:szCs w:val="20"/>
        </w:rPr>
        <w:t xml:space="preserve">, 2023 </w:t>
      </w:r>
      <w:r w:rsidRPr="00DF7552">
        <w:rPr>
          <w:rFonts w:ascii="Times New Roman" w:eastAsia="Times New Roman" w:hAnsi="Times New Roman" w:cs="Times New Roman"/>
          <w:snapToGrid w:val="0"/>
          <w:sz w:val="24"/>
          <w:szCs w:val="20"/>
        </w:rPr>
        <w:t>(</w:t>
      </w:r>
      <w:r w:rsidR="00C327CC">
        <w:rPr>
          <w:rFonts w:ascii="Times New Roman" w:eastAsia="Times New Roman" w:hAnsi="Times New Roman" w:cs="Times New Roman"/>
          <w:snapToGrid w:val="0"/>
          <w:sz w:val="24"/>
          <w:szCs w:val="20"/>
        </w:rPr>
        <w:t>88 FR 5038</w:t>
      </w:r>
      <w:r w:rsidRPr="00DF7552">
        <w:rPr>
          <w:rFonts w:ascii="Times New Roman" w:eastAsia="Times New Roman" w:hAnsi="Times New Roman" w:cs="Times New Roman"/>
          <w:snapToGrid w:val="0"/>
          <w:sz w:val="24"/>
          <w:szCs w:val="20"/>
        </w:rPr>
        <w:t xml:space="preserve">). ONRR did not receive any comments in response to the </w:t>
      </w:r>
      <w:r w:rsidR="00F23149">
        <w:rPr>
          <w:rFonts w:ascii="Times New Roman" w:eastAsia="Times New Roman" w:hAnsi="Times New Roman" w:cs="Times New Roman"/>
          <w:i/>
          <w:iCs/>
          <w:snapToGrid w:val="0"/>
          <w:sz w:val="24"/>
          <w:szCs w:val="20"/>
        </w:rPr>
        <w:t>Federal</w:t>
      </w:r>
      <w:r w:rsidRPr="00DF7552">
        <w:rPr>
          <w:rFonts w:ascii="Times New Roman" w:eastAsia="Times New Roman" w:hAnsi="Times New Roman" w:cs="Times New Roman"/>
          <w:i/>
          <w:iCs/>
          <w:snapToGrid w:val="0"/>
          <w:sz w:val="24"/>
          <w:szCs w:val="20"/>
        </w:rPr>
        <w:t xml:space="preserve"> Register</w:t>
      </w:r>
      <w:r w:rsidRPr="00DF7552">
        <w:rPr>
          <w:rFonts w:ascii="Times New Roman" w:eastAsia="Times New Roman" w:hAnsi="Times New Roman" w:cs="Times New Roman"/>
          <w:snapToGrid w:val="0"/>
          <w:sz w:val="24"/>
          <w:szCs w:val="20"/>
        </w:rPr>
        <w:t xml:space="preserve"> notice available at </w:t>
      </w:r>
      <w:r w:rsidRPr="00DF7552">
        <w:rPr>
          <w:rFonts w:ascii="Times New Roman" w:eastAsia="Times New Roman" w:hAnsi="Times New Roman" w:cs="Times New Roman"/>
          <w:i/>
          <w:snapToGrid w:val="0"/>
          <w:sz w:val="24"/>
          <w:szCs w:val="20"/>
        </w:rPr>
        <w:t>www.regulations.gov.</w:t>
      </w:r>
    </w:p>
    <w:p w:rsidR="00DF7552" w:rsidRPr="00DF7552" w:rsidP="00DF7552" w14:paraId="4F11BBA0"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7657D133" w14:textId="70037BAE">
      <w:pPr>
        <w:spacing w:after="0" w:line="240" w:lineRule="auto"/>
        <w:ind w:firstLine="360"/>
        <w:rPr>
          <w:rFonts w:ascii="Times New Roman" w:eastAsia="Times New Roman" w:hAnsi="Times New Roman" w:cs="Times New Roman"/>
          <w:snapToGrid w:val="0"/>
          <w:sz w:val="24"/>
          <w:szCs w:val="24"/>
        </w:rPr>
      </w:pPr>
      <w:r w:rsidRPr="00DF7552">
        <w:rPr>
          <w:rFonts w:ascii="Times New Roman" w:eastAsia="Times New Roman" w:hAnsi="Times New Roman" w:cs="Times New Roman"/>
          <w:snapToGrid w:val="0"/>
          <w:sz w:val="24"/>
          <w:szCs w:val="20"/>
        </w:rPr>
        <w:t xml:space="preserve">ONRR reached out to members of industry soliciting comments for our information collection request renewal. </w:t>
      </w:r>
      <w:r w:rsidR="00045DD9">
        <w:rPr>
          <w:rFonts w:ascii="Times New Roman" w:eastAsia="Times New Roman" w:hAnsi="Times New Roman" w:cs="Times New Roman"/>
          <w:snapToGrid w:val="0"/>
          <w:sz w:val="24"/>
          <w:szCs w:val="20"/>
        </w:rPr>
        <w:t>Four</w:t>
      </w:r>
      <w:r w:rsidRPr="00DF7552">
        <w:rPr>
          <w:rFonts w:ascii="Times New Roman" w:eastAsia="Times New Roman" w:hAnsi="Times New Roman" w:cs="Times New Roman"/>
          <w:snapToGrid w:val="0"/>
          <w:sz w:val="24"/>
          <w:szCs w:val="20"/>
        </w:rPr>
        <w:t xml:space="preserve"> members of industry provided comments as follows:</w:t>
      </w:r>
    </w:p>
    <w:p w:rsidR="00DF7552" w:rsidRPr="00DF7552" w:rsidP="00DF7552" w14:paraId="220176D5" w14:textId="77777777">
      <w:pPr>
        <w:spacing w:after="0" w:line="240" w:lineRule="auto"/>
        <w:rPr>
          <w:rFonts w:ascii="Times New Roman" w:eastAsia="Times New Roman" w:hAnsi="Times New Roman" w:cs="Times New Roman"/>
          <w:snapToGrid w:val="0"/>
          <w:sz w:val="24"/>
          <w:szCs w:val="24"/>
        </w:rPr>
      </w:pPr>
    </w:p>
    <w:p w:rsidR="00DF7552" w:rsidRPr="00DF7552" w:rsidP="00DF7552" w14:paraId="2D38930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napToGrid w:val="0"/>
          <w:sz w:val="24"/>
          <w:szCs w:val="24"/>
        </w:rPr>
      </w:pPr>
      <w:r w:rsidRPr="00DF7552">
        <w:rPr>
          <w:rFonts w:ascii="Times New Roman" w:eastAsia="Times New Roman" w:hAnsi="Times New Roman" w:cs="Times New Roman"/>
          <w:b/>
          <w:snapToGrid w:val="0"/>
          <w:sz w:val="24"/>
          <w:szCs w:val="24"/>
          <w:u w:val="single"/>
        </w:rPr>
        <w:t>Contacts made / comments received</w:t>
      </w:r>
      <w:r w:rsidRPr="00DF7552">
        <w:rPr>
          <w:rFonts w:ascii="Times New Roman" w:eastAsia="Times New Roman" w:hAnsi="Times New Roman" w:cs="Times New Roman"/>
          <w:b/>
          <w:snapToGrid w:val="0"/>
          <w:sz w:val="24"/>
          <w:szCs w:val="24"/>
        </w:rPr>
        <w:t>:</w:t>
      </w:r>
    </w:p>
    <w:p w:rsidR="00DF7552" w:rsidRPr="00DF7552" w:rsidP="00DF7552" w14:paraId="6E6D88F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napToGrid w:val="0"/>
          <w:sz w:val="24"/>
          <w:szCs w:val="24"/>
        </w:rPr>
      </w:pPr>
    </w:p>
    <w:p w:rsidR="00DF7552" w:rsidRPr="00DF7552" w:rsidP="00DF7552" w14:paraId="7B2BB375" w14:textId="77777777">
      <w:pPr>
        <w:widowControl w:val="0"/>
        <w:numPr>
          <w:ilvl w:val="0"/>
          <w:numId w:val="19"/>
        </w:numPr>
        <w:autoSpaceDE w:val="0"/>
        <w:autoSpaceDN w:val="0"/>
        <w:adjustRightInd w:val="0"/>
        <w:spacing w:after="0" w:line="240" w:lineRule="auto"/>
        <w:ind w:left="270" w:hanging="270"/>
        <w:rPr>
          <w:rFonts w:ascii="Times New Roman" w:eastAsia="Times New Roman" w:hAnsi="Times New Roman" w:cs="Times New Roman"/>
          <w:sz w:val="24"/>
          <w:szCs w:val="24"/>
        </w:rPr>
      </w:pPr>
      <w:r w:rsidRPr="00DF7552">
        <w:rPr>
          <w:rFonts w:ascii="Times New Roman" w:eastAsia="Times New Roman" w:hAnsi="Times New Roman" w:cs="Times New Roman"/>
          <w:sz w:val="24"/>
          <w:szCs w:val="24"/>
        </w:rPr>
        <w:t>Company: Cox Operating LLC</w:t>
      </w:r>
    </w:p>
    <w:p w:rsidR="00DF7552" w:rsidRPr="00DF7552" w:rsidP="00DF7552" w14:paraId="56907FF8" w14:textId="77777777">
      <w:pPr>
        <w:autoSpaceDE w:val="0"/>
        <w:autoSpaceDN w:val="0"/>
        <w:adjustRightInd w:val="0"/>
        <w:spacing w:after="0" w:line="240" w:lineRule="auto"/>
        <w:rPr>
          <w:rFonts w:ascii="Times New Roman" w:eastAsia="Times New Roman" w:hAnsi="Times New Roman" w:cs="Times New Roman"/>
          <w:sz w:val="24"/>
          <w:szCs w:val="24"/>
        </w:rPr>
      </w:pPr>
    </w:p>
    <w:p w:rsidR="00DF7552" w:rsidRPr="00DF7552" w:rsidP="00DF7552" w14:paraId="008A3FAA" w14:textId="229230AC">
      <w:pPr>
        <w:autoSpaceDE w:val="0"/>
        <w:autoSpaceDN w:val="0"/>
        <w:adjustRightInd w:val="0"/>
        <w:spacing w:after="0" w:line="240" w:lineRule="auto"/>
        <w:rPr>
          <w:rFonts w:ascii="Times New Roman" w:eastAsia="Times New Roman" w:hAnsi="Times New Roman" w:cs="Times New Roman"/>
          <w:sz w:val="24"/>
          <w:szCs w:val="24"/>
        </w:rPr>
      </w:pPr>
      <w:r w:rsidRPr="00DF7552">
        <w:rPr>
          <w:rFonts w:ascii="Times New Roman" w:eastAsia="Times New Roman" w:hAnsi="Times New Roman" w:cs="Times New Roman"/>
          <w:i/>
          <w:sz w:val="24"/>
          <w:szCs w:val="24"/>
        </w:rPr>
        <w:t>Comment</w:t>
      </w:r>
      <w:r w:rsidRPr="00DF7552">
        <w:rPr>
          <w:rFonts w:ascii="Times New Roman" w:eastAsia="Times New Roman" w:hAnsi="Times New Roman" w:cs="Times New Roman"/>
          <w:sz w:val="24"/>
          <w:szCs w:val="24"/>
        </w:rPr>
        <w:t>: “</w:t>
      </w:r>
      <w:r w:rsidR="00045DD9">
        <w:rPr>
          <w:rFonts w:ascii="Times New Roman" w:eastAsia="Times New Roman" w:hAnsi="Times New Roman" w:cs="Times New Roman"/>
          <w:sz w:val="24"/>
          <w:szCs w:val="24"/>
        </w:rPr>
        <w:t>In general, I agree with current information requirements.</w:t>
      </w:r>
      <w:r w:rsidR="001F3020">
        <w:rPr>
          <w:rFonts w:ascii="Times New Roman" w:eastAsia="Times New Roman" w:hAnsi="Times New Roman" w:cs="Times New Roman"/>
          <w:sz w:val="24"/>
          <w:szCs w:val="24"/>
        </w:rPr>
        <w:t xml:space="preserve"> </w:t>
      </w:r>
      <w:r w:rsidR="00045DD9">
        <w:rPr>
          <w:rFonts w:ascii="Times New Roman" w:eastAsia="Times New Roman" w:hAnsi="Times New Roman" w:cs="Times New Roman"/>
          <w:sz w:val="24"/>
          <w:szCs w:val="24"/>
        </w:rPr>
        <w:t>My only comment would be a recommend change to information reporting for Net Profits leases that have not yet paid out, so no current payment is due the ONRR. I would recommend reporting either be changed to a quarterly, semi-annual, or annual report until such time as the lease pays out and payments are due to the ONRR.</w:t>
      </w:r>
      <w:r w:rsidRPr="00DF7552">
        <w:rPr>
          <w:rFonts w:ascii="Times New Roman" w:eastAsia="Times New Roman" w:hAnsi="Times New Roman" w:cs="Times New Roman"/>
          <w:sz w:val="24"/>
          <w:szCs w:val="24"/>
        </w:rPr>
        <w:t>”</w:t>
      </w:r>
    </w:p>
    <w:p w:rsidR="00DF7552" w:rsidRPr="00DF7552" w:rsidP="00DF7552" w14:paraId="52B905D1"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DF7552" w:rsidRPr="00DF7552" w:rsidP="00DF7552" w14:paraId="1F211173"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r w:rsidRPr="00DF7552">
        <w:rPr>
          <w:rFonts w:ascii="Times New Roman" w:eastAsia="Times New Roman" w:hAnsi="Times New Roman" w:cs="Times New Roman"/>
          <w:i/>
          <w:snapToGrid w:val="0"/>
          <w:sz w:val="24"/>
          <w:szCs w:val="24"/>
        </w:rPr>
        <w:t>ONRR Response</w:t>
      </w:r>
      <w:r w:rsidRPr="00DF7552">
        <w:rPr>
          <w:rFonts w:ascii="Times New Roman" w:eastAsia="Times New Roman" w:hAnsi="Times New Roman" w:cs="Times New Roman"/>
          <w:snapToGrid w:val="0"/>
          <w:sz w:val="24"/>
          <w:szCs w:val="24"/>
        </w:rPr>
        <w:t xml:space="preserve">:  </w:t>
      </w:r>
      <w:r w:rsidRPr="00DF7552">
        <w:rPr>
          <w:rFonts w:ascii="Times New Roman" w:eastAsia="Times New Roman" w:hAnsi="Times New Roman" w:cs="Times New Roman"/>
          <w:iCs/>
          <w:snapToGrid w:val="0"/>
          <w:sz w:val="24"/>
          <w:szCs w:val="24"/>
        </w:rPr>
        <w:t>Thank you</w:t>
      </w:r>
      <w:r w:rsidRPr="00DF7552">
        <w:rPr>
          <w:rFonts w:ascii="Times New Roman" w:eastAsia="Times New Roman" w:hAnsi="Times New Roman" w:cs="Times New Roman"/>
          <w:i/>
          <w:snapToGrid w:val="0"/>
          <w:sz w:val="24"/>
          <w:szCs w:val="24"/>
        </w:rPr>
        <w:t xml:space="preserve"> </w:t>
      </w:r>
      <w:r w:rsidRPr="00DF7552">
        <w:rPr>
          <w:rFonts w:ascii="Times New Roman" w:eastAsia="Times New Roman" w:hAnsi="Times New Roman" w:cs="Times New Roman"/>
          <w:iCs/>
          <w:snapToGrid w:val="0"/>
          <w:sz w:val="24"/>
          <w:szCs w:val="24"/>
        </w:rPr>
        <w:t xml:space="preserve">for taking the time to read and provide your feedback to ONRR’s Information Collection Request - </w:t>
      </w:r>
      <w:r w:rsidRPr="00DF7552">
        <w:rPr>
          <w:rFonts w:ascii="Times New Roman" w:eastAsia="Times New Roman" w:hAnsi="Times New Roman" w:cs="Times New Roman"/>
          <w:bCs/>
          <w:i/>
          <w:iCs/>
          <w:snapToGrid w:val="0"/>
          <w:sz w:val="24"/>
          <w:szCs w:val="24"/>
        </w:rPr>
        <w:t>OCS Net Profit Share Payment.</w:t>
      </w:r>
    </w:p>
    <w:p w:rsidR="00DF7552" w:rsidRPr="00DF7552" w:rsidP="00DF7552" w14:paraId="52A724A5"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DF7552" w:rsidP="00DF7552" w14:paraId="7135ACCC" w14:textId="445BE06E">
      <w:pPr>
        <w:widowControl w:val="0"/>
        <w:numPr>
          <w:ilvl w:val="0"/>
          <w:numId w:val="19"/>
        </w:numPr>
        <w:tabs>
          <w:tab w:val="left" w:pos="-1080"/>
          <w:tab w:val="left" w:pos="-720"/>
          <w:tab w:val="left" w:pos="270"/>
          <w:tab w:val="left" w:pos="360"/>
        </w:tabs>
        <w:spacing w:after="0" w:line="240" w:lineRule="auto"/>
        <w:ind w:hanging="720"/>
        <w:rPr>
          <w:rFonts w:ascii="Times New Roman" w:eastAsia="Times New Roman" w:hAnsi="Times New Roman" w:cs="Times New Roman"/>
          <w:snapToGrid w:val="0"/>
          <w:sz w:val="24"/>
          <w:szCs w:val="24"/>
        </w:rPr>
      </w:pPr>
      <w:r w:rsidRPr="00DF7552">
        <w:rPr>
          <w:rFonts w:ascii="Times New Roman" w:eastAsia="Times New Roman" w:hAnsi="Times New Roman" w:cs="Times New Roman"/>
          <w:snapToGrid w:val="0"/>
          <w:sz w:val="24"/>
          <w:szCs w:val="24"/>
        </w:rPr>
        <w:t>Company: McOffshore Petroleum</w:t>
      </w:r>
    </w:p>
    <w:p w:rsidR="001F3020" w:rsidRPr="00DF7552" w:rsidP="001F3020" w14:paraId="13BDAACA" w14:textId="77777777">
      <w:pPr>
        <w:widowControl w:val="0"/>
        <w:tabs>
          <w:tab w:val="left" w:pos="-1080"/>
          <w:tab w:val="left" w:pos="-720"/>
          <w:tab w:val="left" w:pos="270"/>
          <w:tab w:val="left" w:pos="360"/>
        </w:tabs>
        <w:spacing w:after="0" w:line="240" w:lineRule="auto"/>
        <w:ind w:left="720"/>
        <w:rPr>
          <w:rFonts w:ascii="Times New Roman" w:eastAsia="Times New Roman" w:hAnsi="Times New Roman" w:cs="Times New Roman"/>
          <w:snapToGrid w:val="0"/>
          <w:sz w:val="24"/>
          <w:szCs w:val="24"/>
        </w:rPr>
      </w:pPr>
    </w:p>
    <w:p w:rsidR="00DF7552" w:rsidRPr="001F3020" w:rsidP="00DF7552" w14:paraId="4879A7A7" w14:textId="48CEE60A">
      <w:pPr>
        <w:autoSpaceDE w:val="0"/>
        <w:autoSpaceDN w:val="0"/>
        <w:adjustRightInd w:val="0"/>
        <w:spacing w:after="0" w:line="240" w:lineRule="auto"/>
        <w:rPr>
          <w:rFonts w:ascii="Times New Roman" w:eastAsia="Times New Roman" w:hAnsi="Times New Roman" w:cs="Times New Roman"/>
          <w:color w:val="201F1E"/>
          <w:sz w:val="24"/>
          <w:szCs w:val="24"/>
        </w:rPr>
      </w:pPr>
      <w:r w:rsidRPr="001F3020">
        <w:rPr>
          <w:rFonts w:ascii="Times New Roman" w:eastAsia="Times New Roman" w:hAnsi="Times New Roman" w:cs="Times New Roman"/>
          <w:i/>
          <w:iCs/>
          <w:snapToGrid w:val="0"/>
          <w:sz w:val="24"/>
          <w:szCs w:val="24"/>
        </w:rPr>
        <w:t>Comment:</w:t>
      </w:r>
      <w:r w:rsidR="00DD616B">
        <w:rPr>
          <w:rFonts w:ascii="Times New Roman" w:eastAsia="Times New Roman" w:hAnsi="Times New Roman" w:cs="Times New Roman"/>
          <w:i/>
          <w:iCs/>
          <w:snapToGrid w:val="0"/>
          <w:sz w:val="24"/>
          <w:szCs w:val="24"/>
        </w:rPr>
        <w:t xml:space="preserve"> </w:t>
      </w:r>
      <w:r w:rsidRPr="00DF7552">
        <w:rPr>
          <w:rFonts w:ascii="Times New Roman" w:eastAsia="Times New Roman" w:hAnsi="Times New Roman" w:cs="Times New Roman"/>
          <w:snapToGrid w:val="0"/>
          <w:sz w:val="24"/>
          <w:szCs w:val="24"/>
        </w:rPr>
        <w:t>“</w:t>
      </w:r>
      <w:r w:rsidR="00BA4D35">
        <w:rPr>
          <w:rFonts w:ascii="Times New Roman" w:eastAsia="Times New Roman" w:hAnsi="Times New Roman" w:cs="Times New Roman"/>
          <w:color w:val="201F1E"/>
          <w:sz w:val="24"/>
          <w:szCs w:val="24"/>
        </w:rPr>
        <w:t>As confirmed by the ONRR audit, the collection of information is necessary for the proper performance of functions of the agency. Further, as confirmed by the ONRR audit, this information has practical utility and should continue to be reported</w:t>
      </w:r>
      <w:r>
        <w:rPr>
          <w:rFonts w:ascii="Times New Roman" w:eastAsia="Times New Roman" w:hAnsi="Times New Roman" w:cs="Times New Roman"/>
          <w:color w:val="201F1E"/>
          <w:sz w:val="24"/>
          <w:szCs w:val="24"/>
        </w:rPr>
        <w:t xml:space="preserve">; </w:t>
      </w:r>
      <w:r w:rsidR="00BA4D35">
        <w:rPr>
          <w:rFonts w:ascii="Times New Roman" w:eastAsia="Times New Roman" w:hAnsi="Times New Roman" w:cs="Times New Roman"/>
          <w:color w:val="201F1E"/>
          <w:sz w:val="24"/>
          <w:szCs w:val="24"/>
        </w:rPr>
        <w:t>The recent ONRR audit confirmed the estimate of the burden for collection information and validity of the methodology and assumptions used</w:t>
      </w:r>
      <w:r>
        <w:rPr>
          <w:rFonts w:ascii="Times New Roman" w:eastAsia="Times New Roman" w:hAnsi="Times New Roman" w:cs="Times New Roman"/>
          <w:color w:val="201F1E"/>
          <w:sz w:val="24"/>
          <w:szCs w:val="24"/>
        </w:rPr>
        <w:t xml:space="preserve">; </w:t>
      </w:r>
      <w:r w:rsidR="00BA4D35">
        <w:rPr>
          <w:rFonts w:ascii="Times New Roman" w:eastAsia="Times New Roman" w:hAnsi="Times New Roman" w:cs="Times New Roman"/>
          <w:color w:val="201F1E"/>
          <w:sz w:val="24"/>
          <w:szCs w:val="24"/>
        </w:rPr>
        <w:t>ONRR through this recent audit has confirmed that the information being collected is done using the highest quality, utility, and clarity</w:t>
      </w:r>
      <w:r>
        <w:rPr>
          <w:rFonts w:ascii="Times New Roman" w:eastAsia="Times New Roman" w:hAnsi="Times New Roman" w:cs="Times New Roman"/>
          <w:color w:val="201F1E"/>
          <w:sz w:val="24"/>
          <w:szCs w:val="24"/>
        </w:rPr>
        <w:t xml:space="preserve">; </w:t>
      </w:r>
      <w:r w:rsidR="00BA4D35">
        <w:rPr>
          <w:rFonts w:ascii="Times New Roman" w:eastAsia="Times New Roman" w:hAnsi="Times New Roman" w:cs="Times New Roman"/>
          <w:color w:val="201F1E"/>
          <w:sz w:val="24"/>
          <w:szCs w:val="24"/>
        </w:rPr>
        <w:t>ONRR through this recent audit has ordered us to report in the manner that is being utilized right now. This method as confirmed by ONRR is the least burdensone.</w:t>
      </w:r>
      <w:r>
        <w:rPr>
          <w:rFonts w:ascii="Times New Roman" w:eastAsia="Times New Roman" w:hAnsi="Times New Roman" w:cs="Times New Roman"/>
          <w:color w:val="201F1E"/>
          <w:sz w:val="24"/>
          <w:szCs w:val="24"/>
        </w:rPr>
        <w:t>”</w:t>
      </w:r>
    </w:p>
    <w:p w:rsidR="00DF7552" w:rsidRPr="00DF7552" w:rsidP="00DF7552" w14:paraId="7E219FF5"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DF7552" w:rsidRPr="00DF7552" w:rsidP="00DF7552" w14:paraId="6B028897"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r w:rsidRPr="00DF7552">
        <w:rPr>
          <w:rFonts w:ascii="Times New Roman" w:eastAsia="Times New Roman" w:hAnsi="Times New Roman" w:cs="Times New Roman"/>
          <w:i/>
          <w:snapToGrid w:val="0"/>
          <w:sz w:val="24"/>
          <w:szCs w:val="24"/>
        </w:rPr>
        <w:t>ONRR Response:</w:t>
      </w:r>
      <w:r w:rsidRPr="00DF7552">
        <w:rPr>
          <w:rFonts w:ascii="Times New Roman" w:eastAsia="Times New Roman" w:hAnsi="Times New Roman" w:cs="Times New Roman"/>
          <w:iCs/>
          <w:snapToGrid w:val="0"/>
          <w:sz w:val="24"/>
          <w:szCs w:val="24"/>
        </w:rPr>
        <w:t xml:space="preserve"> Thank you</w:t>
      </w:r>
      <w:r w:rsidRPr="00DF7552">
        <w:rPr>
          <w:rFonts w:ascii="Times New Roman" w:eastAsia="Times New Roman" w:hAnsi="Times New Roman" w:cs="Times New Roman"/>
          <w:i/>
          <w:snapToGrid w:val="0"/>
          <w:sz w:val="24"/>
          <w:szCs w:val="24"/>
        </w:rPr>
        <w:t xml:space="preserve"> </w:t>
      </w:r>
      <w:r w:rsidRPr="00DF7552">
        <w:rPr>
          <w:rFonts w:ascii="Times New Roman" w:eastAsia="Times New Roman" w:hAnsi="Times New Roman" w:cs="Times New Roman"/>
          <w:iCs/>
          <w:snapToGrid w:val="0"/>
          <w:sz w:val="24"/>
          <w:szCs w:val="24"/>
        </w:rPr>
        <w:t xml:space="preserve">for taking the time to read and provide your feedback to ONRR’s Information Collection Request - </w:t>
      </w:r>
      <w:r w:rsidRPr="00DF7552">
        <w:rPr>
          <w:rFonts w:ascii="Times New Roman" w:eastAsia="Times New Roman" w:hAnsi="Times New Roman" w:cs="Times New Roman"/>
          <w:bCs/>
          <w:i/>
          <w:iCs/>
          <w:snapToGrid w:val="0"/>
          <w:sz w:val="24"/>
          <w:szCs w:val="24"/>
        </w:rPr>
        <w:t>OCS Net Profit Share Payment.</w:t>
      </w:r>
      <w:r w:rsidRPr="00DF7552">
        <w:rPr>
          <w:rFonts w:ascii="Times New Roman" w:eastAsia="Times New Roman" w:hAnsi="Times New Roman" w:cs="Times New Roman"/>
          <w:iCs/>
          <w:snapToGrid w:val="0"/>
          <w:sz w:val="24"/>
          <w:szCs w:val="20"/>
        </w:rPr>
        <w:t xml:space="preserve"> </w:t>
      </w:r>
    </w:p>
    <w:p w:rsidR="00DF7552" w:rsidRPr="00DF7552" w:rsidP="00DF7552" w14:paraId="5B3EFC2B"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DF7552" w:rsidRPr="00DF7552" w:rsidP="00DF7552" w14:paraId="1A5CEC71" w14:textId="77777777">
      <w:pPr>
        <w:widowControl w:val="0"/>
        <w:numPr>
          <w:ilvl w:val="0"/>
          <w:numId w:val="19"/>
        </w:numPr>
        <w:tabs>
          <w:tab w:val="left" w:pos="-1080"/>
          <w:tab w:val="left" w:pos="-720"/>
          <w:tab w:val="left" w:pos="270"/>
          <w:tab w:val="left" w:pos="360"/>
        </w:tabs>
        <w:spacing w:after="0" w:line="240" w:lineRule="auto"/>
        <w:ind w:hanging="72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Company: Cox Oil</w:t>
      </w:r>
    </w:p>
    <w:p w:rsidR="00DF7552" w:rsidRPr="00DF7552" w:rsidP="00DF7552" w14:paraId="79E77753"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3FD9A7E9" w14:textId="2156DB3D">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i/>
          <w:snapToGrid w:val="0"/>
          <w:sz w:val="24"/>
          <w:szCs w:val="20"/>
        </w:rPr>
        <w:t>Comment:</w:t>
      </w:r>
      <w:r w:rsidR="00D82259">
        <w:rPr>
          <w:rFonts w:ascii="Times New Roman" w:eastAsia="Times New Roman" w:hAnsi="Times New Roman" w:cs="Times New Roman"/>
          <w:iCs/>
          <w:snapToGrid w:val="0"/>
          <w:sz w:val="24"/>
          <w:szCs w:val="20"/>
        </w:rPr>
        <w:t xml:space="preserve"> “I agree with the content of this Information Collection Request</w:t>
      </w:r>
      <w:r w:rsidRPr="00DF7552">
        <w:rPr>
          <w:rFonts w:ascii="Times New Roman" w:eastAsia="Times New Roman" w:hAnsi="Times New Roman" w:cs="Times New Roman"/>
          <w:snapToGrid w:val="0"/>
          <w:sz w:val="24"/>
          <w:szCs w:val="20"/>
        </w:rPr>
        <w:t>.”</w:t>
      </w:r>
    </w:p>
    <w:p w:rsidR="00DF7552" w:rsidRPr="00DF7552" w:rsidP="00DF7552" w14:paraId="1C0B59C2"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P="00DF7552" w14:paraId="7A7F1F38" w14:textId="740AB214">
      <w:pPr>
        <w:tabs>
          <w:tab w:val="left" w:pos="-1080"/>
          <w:tab w:val="left" w:pos="-720"/>
          <w:tab w:val="left" w:pos="360"/>
          <w:tab w:val="left" w:pos="720"/>
        </w:tabs>
        <w:spacing w:after="0" w:line="240" w:lineRule="auto"/>
        <w:rPr>
          <w:rFonts w:ascii="Times New Roman" w:eastAsia="Times New Roman" w:hAnsi="Times New Roman" w:cs="Times New Roman"/>
          <w:bCs/>
          <w:i/>
          <w:iCs/>
          <w:snapToGrid w:val="0"/>
          <w:sz w:val="24"/>
          <w:szCs w:val="24"/>
        </w:rPr>
      </w:pPr>
      <w:r w:rsidRPr="00DF7552">
        <w:rPr>
          <w:rFonts w:ascii="Times New Roman" w:eastAsia="Times New Roman" w:hAnsi="Times New Roman" w:cs="Times New Roman"/>
          <w:i/>
          <w:snapToGrid w:val="0"/>
          <w:sz w:val="24"/>
          <w:szCs w:val="20"/>
        </w:rPr>
        <w:t>ONRR Response:</w:t>
      </w:r>
      <w:r w:rsidRPr="00DF7552">
        <w:rPr>
          <w:rFonts w:ascii="Times New Roman" w:eastAsia="Times New Roman" w:hAnsi="Times New Roman" w:cs="Times New Roman"/>
          <w:iCs/>
          <w:snapToGrid w:val="0"/>
          <w:sz w:val="24"/>
          <w:szCs w:val="24"/>
        </w:rPr>
        <w:t xml:space="preserve"> Thank you</w:t>
      </w:r>
      <w:r w:rsidRPr="00DF7552">
        <w:rPr>
          <w:rFonts w:ascii="Times New Roman" w:eastAsia="Times New Roman" w:hAnsi="Times New Roman" w:cs="Times New Roman"/>
          <w:i/>
          <w:snapToGrid w:val="0"/>
          <w:sz w:val="24"/>
          <w:szCs w:val="24"/>
        </w:rPr>
        <w:t xml:space="preserve"> </w:t>
      </w:r>
      <w:r w:rsidRPr="00DF7552">
        <w:rPr>
          <w:rFonts w:ascii="Times New Roman" w:eastAsia="Times New Roman" w:hAnsi="Times New Roman" w:cs="Times New Roman"/>
          <w:iCs/>
          <w:snapToGrid w:val="0"/>
          <w:sz w:val="24"/>
          <w:szCs w:val="24"/>
        </w:rPr>
        <w:t xml:space="preserve">for taking the time to read and provide your feedback to ONRR’s Information Collection Request - </w:t>
      </w:r>
      <w:r w:rsidRPr="00DF7552">
        <w:rPr>
          <w:rFonts w:ascii="Times New Roman" w:eastAsia="Times New Roman" w:hAnsi="Times New Roman" w:cs="Times New Roman"/>
          <w:bCs/>
          <w:i/>
          <w:iCs/>
          <w:snapToGrid w:val="0"/>
          <w:sz w:val="24"/>
          <w:szCs w:val="24"/>
        </w:rPr>
        <w:t>OCS Net Profit Share Payment.</w:t>
      </w:r>
    </w:p>
    <w:p w:rsidR="00BA4D35" w:rsidRPr="00BA4D35" w:rsidP="00DF7552" w14:paraId="595E9D8E" w14:textId="1DCF26D5">
      <w:pPr>
        <w:tabs>
          <w:tab w:val="left" w:pos="-1080"/>
          <w:tab w:val="left" w:pos="-720"/>
          <w:tab w:val="left" w:pos="360"/>
          <w:tab w:val="left" w:pos="720"/>
        </w:tabs>
        <w:spacing w:after="0" w:line="240" w:lineRule="auto"/>
        <w:rPr>
          <w:rFonts w:ascii="Times New Roman" w:eastAsia="Times New Roman" w:hAnsi="Times New Roman" w:cs="Times New Roman"/>
          <w:bCs/>
          <w:snapToGrid w:val="0"/>
          <w:sz w:val="24"/>
          <w:szCs w:val="24"/>
        </w:rPr>
      </w:pPr>
    </w:p>
    <w:p w:rsidR="00BA4D35" w:rsidP="00BA4D35" w14:paraId="2F116F7A" w14:textId="7D3A5B3E">
      <w:pPr>
        <w:pStyle w:val="ListParagraph"/>
        <w:numPr>
          <w:ilvl w:val="0"/>
          <w:numId w:val="19"/>
        </w:numPr>
        <w:tabs>
          <w:tab w:val="left" w:pos="-1080"/>
          <w:tab w:val="left" w:pos="-720"/>
          <w:tab w:val="left" w:pos="360"/>
        </w:tabs>
        <w:spacing w:after="0" w:line="240" w:lineRule="auto"/>
        <w:ind w:left="360"/>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Company: </w:t>
      </w:r>
      <w:r>
        <w:rPr>
          <w:rFonts w:ascii="Times New Roman" w:eastAsia="Times New Roman" w:hAnsi="Times New Roman" w:cs="Times New Roman"/>
          <w:snapToGrid w:val="0"/>
          <w:sz w:val="24"/>
          <w:szCs w:val="20"/>
        </w:rPr>
        <w:t>Chevron</w:t>
      </w:r>
    </w:p>
    <w:p w:rsidR="00045DD9" w:rsidP="00045DD9" w14:paraId="25B8D8B6" w14:textId="77777777">
      <w:pPr>
        <w:pStyle w:val="ListParagraph"/>
        <w:tabs>
          <w:tab w:val="left" w:pos="-1080"/>
          <w:tab w:val="left" w:pos="-720"/>
          <w:tab w:val="left" w:pos="360"/>
        </w:tabs>
        <w:spacing w:after="0" w:line="240" w:lineRule="auto"/>
        <w:ind w:left="360"/>
        <w:rPr>
          <w:rFonts w:ascii="Times New Roman" w:eastAsia="Times New Roman" w:hAnsi="Times New Roman" w:cs="Times New Roman"/>
          <w:snapToGrid w:val="0"/>
          <w:sz w:val="24"/>
          <w:szCs w:val="20"/>
        </w:rPr>
      </w:pPr>
    </w:p>
    <w:p w:rsidR="00BA4D35" w:rsidP="00045DD9" w14:paraId="569B74CF" w14:textId="224D67F8">
      <w:pPr>
        <w:pStyle w:val="Default"/>
        <w:rPr>
          <w:rFonts w:ascii="Times New Roman" w:hAnsi="Times New Roman" w:cs="Times New Roman"/>
          <w:color w:val="242424"/>
        </w:rPr>
      </w:pPr>
      <w:r w:rsidRPr="00045DD9">
        <w:rPr>
          <w:rFonts w:ascii="Times New Roman" w:hAnsi="Times New Roman" w:cs="Times New Roman"/>
          <w:i/>
          <w:iCs/>
        </w:rPr>
        <w:t>Comment:</w:t>
      </w:r>
      <w:r>
        <w:rPr>
          <w:i/>
          <w:iCs/>
        </w:rPr>
        <w:t xml:space="preserve"> </w:t>
      </w:r>
      <w:r w:rsidRPr="00BA4D35">
        <w:rPr>
          <w:rFonts w:ascii="Times New Roman" w:hAnsi="Times New Roman" w:cs="Times New Roman"/>
        </w:rPr>
        <w:t xml:space="preserve"> I agree with the </w:t>
      </w:r>
      <w:r w:rsidRPr="00BA4D35">
        <w:rPr>
          <w:rFonts w:ascii="Times New Roman" w:hAnsi="Times New Roman" w:cs="Times New Roman"/>
          <w:color w:val="242424"/>
        </w:rPr>
        <w:t>content of this informa</w:t>
      </w:r>
      <w:r w:rsidRPr="00BA4D35">
        <w:rPr>
          <w:rFonts w:ascii="Times New Roman" w:hAnsi="Times New Roman" w:cs="Times New Roman"/>
        </w:rPr>
        <w:t>ti</w:t>
      </w:r>
      <w:r w:rsidRPr="00BA4D35">
        <w:rPr>
          <w:rFonts w:ascii="Times New Roman" w:hAnsi="Times New Roman" w:cs="Times New Roman"/>
          <w:color w:val="242424"/>
        </w:rPr>
        <w:t>on collec</w:t>
      </w:r>
      <w:r w:rsidRPr="00BA4D35">
        <w:rPr>
          <w:rFonts w:ascii="Times New Roman" w:hAnsi="Times New Roman" w:cs="Times New Roman"/>
        </w:rPr>
        <w:t>ti</w:t>
      </w:r>
      <w:r w:rsidRPr="00BA4D35">
        <w:rPr>
          <w:rFonts w:ascii="Times New Roman" w:hAnsi="Times New Roman" w:cs="Times New Roman"/>
          <w:color w:val="242424"/>
        </w:rPr>
        <w:t>on request.</w:t>
      </w:r>
    </w:p>
    <w:p w:rsidR="00045DD9" w:rsidP="00045DD9" w14:paraId="0E9A4F51" w14:textId="50E18F12">
      <w:pPr>
        <w:pStyle w:val="Default"/>
        <w:rPr>
          <w:rFonts w:ascii="Times New Roman" w:hAnsi="Times New Roman" w:cs="Times New Roman"/>
          <w:color w:val="242424"/>
        </w:rPr>
      </w:pPr>
    </w:p>
    <w:p w:rsidR="00045DD9" w:rsidRPr="00045DD9" w:rsidP="00045DD9" w14:paraId="783A8BAA" w14:textId="4EBB89DB">
      <w:pPr>
        <w:pStyle w:val="Default"/>
        <w:rPr>
          <w:rFonts w:ascii="Times New Roman" w:hAnsi="Times New Roman" w:cs="Times New Roman"/>
        </w:rPr>
      </w:pPr>
      <w:r w:rsidRPr="00045DD9">
        <w:rPr>
          <w:rFonts w:ascii="Times New Roman" w:hAnsi="Times New Roman" w:cs="Times New Roman"/>
          <w:i/>
          <w:iCs/>
        </w:rPr>
        <w:t>ONRR Response:</w:t>
      </w:r>
      <w:r w:rsidRPr="00045DD9">
        <w:rPr>
          <w:i/>
          <w:iCs/>
        </w:rPr>
        <w:t xml:space="preserve"> </w:t>
      </w:r>
      <w:r w:rsidRPr="00045DD9">
        <w:rPr>
          <w:rFonts w:ascii="Times New Roman" w:hAnsi="Times New Roman" w:cs="Times New Roman"/>
        </w:rPr>
        <w:t>Thank you for taking the time to read and provide your feedback to ONRR’s Information Collection Request - OCS Net Profit Share Payment.</w:t>
      </w:r>
    </w:p>
    <w:p w:rsidR="00DF7552" w:rsidRPr="00DF7552" w:rsidP="00DF7552" w14:paraId="79DDACF0"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48406E4B" w14:textId="77777777">
      <w:pPr>
        <w:spacing w:after="0" w:line="240" w:lineRule="auto"/>
        <w:ind w:firstLine="360"/>
        <w:rPr>
          <w:rFonts w:ascii="Times New Roman" w:eastAsia="Times New Roman" w:hAnsi="Times New Roman" w:cs="Times New Roman"/>
          <w:snapToGrid w:val="0"/>
          <w:color w:val="000000"/>
          <w:sz w:val="24"/>
          <w:szCs w:val="20"/>
        </w:rPr>
      </w:pPr>
      <w:r w:rsidRPr="00DF7552">
        <w:rPr>
          <w:rFonts w:ascii="Times New Roman" w:eastAsia="Times New Roman" w:hAnsi="Times New Roman" w:cs="Times New Roman"/>
          <w:snapToGrid w:val="0"/>
          <w:color w:val="000000"/>
          <w:sz w:val="24"/>
          <w:szCs w:val="20"/>
        </w:rPr>
        <w:t xml:space="preserve">ONRR and the respondents find it helpful to maintain regular and routine contact on these leases as the respondents file their reports.  In addition, ONRR provides toll-free telephone </w:t>
      </w:r>
      <w:r w:rsidRPr="00DF7552">
        <w:rPr>
          <w:rFonts w:ascii="Times New Roman" w:eastAsia="Times New Roman" w:hAnsi="Times New Roman" w:cs="Times New Roman"/>
          <w:snapToGrid w:val="0"/>
          <w:color w:val="000000"/>
          <w:sz w:val="24"/>
          <w:szCs w:val="20"/>
        </w:rPr>
        <w:t>assistance at 1-800-525-0309 to answer questions regarding NPSL regulations and any other concerns related to NPSLs. Since NPSL leases are ongoing and require constant monitoring, numerous contacts have been developed and maintained over many years, providing timely opportunities to discuss any concerns regarding the information collected.</w:t>
      </w:r>
    </w:p>
    <w:p w:rsidR="00DF7552" w:rsidRPr="00DF7552" w:rsidP="00DF7552" w14:paraId="6AD41DDE" w14:textId="77777777">
      <w:pPr>
        <w:spacing w:after="0" w:line="240" w:lineRule="auto"/>
        <w:rPr>
          <w:rFonts w:ascii="Times New Roman" w:eastAsia="Times New Roman" w:hAnsi="Times New Roman" w:cs="Times New Roman"/>
          <w:snapToGrid w:val="0"/>
          <w:color w:val="000000"/>
          <w:sz w:val="24"/>
          <w:szCs w:val="20"/>
        </w:rPr>
      </w:pPr>
    </w:p>
    <w:p w:rsidR="00DF7552" w:rsidRPr="00DF7552" w:rsidP="00DF7552" w14:paraId="668AB9B1" w14:textId="77777777">
      <w:pPr>
        <w:widowControl w:val="0"/>
        <w:tabs>
          <w:tab w:val="left" w:pos="0"/>
          <w:tab w:val="left" w:pos="72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9.  Explain any decision to provide any payment or gift to respondents, other than remuneration of contractors or grantees.</w:t>
      </w:r>
    </w:p>
    <w:p w:rsidR="00DF7552" w:rsidRPr="00DF7552" w:rsidP="00DF7552" w14:paraId="7302B8CE" w14:textId="77777777">
      <w:pPr>
        <w:widowControl w:val="0"/>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4A789A31" w14:textId="77777777">
      <w:pPr>
        <w:widowControl w:val="0"/>
        <w:tabs>
          <w:tab w:val="left" w:pos="-1080"/>
          <w:tab w:val="left" w:pos="-720"/>
          <w:tab w:val="left" w:pos="360"/>
          <w:tab w:val="left" w:pos="72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ONRR will not provide any payment or gift to respondents in this collection.</w:t>
      </w:r>
    </w:p>
    <w:p w:rsidR="00DF7552" w:rsidRPr="00DF7552" w:rsidP="00DF7552" w14:paraId="0FC01E40"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0"/>
        </w:rPr>
      </w:pPr>
    </w:p>
    <w:p w:rsidR="00DF7552" w:rsidRPr="00DF7552" w:rsidP="00DF7552" w14:paraId="5855258F" w14:textId="77777777">
      <w:pPr>
        <w:tabs>
          <w:tab w:val="left" w:pos="-1080"/>
          <w:tab w:val="left" w:pos="-720"/>
          <w:tab w:val="left" w:pos="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10.  Describe any assurance of confidentiality provided to respondents and the basis for the assurance in statute, regulation, or agency policy.</w:t>
      </w:r>
    </w:p>
    <w:p w:rsidR="00DF7552" w:rsidRPr="00DF7552" w:rsidP="00DF7552" w14:paraId="558ED483" w14:textId="77777777">
      <w:pPr>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637B7F34" w14:textId="77777777">
      <w:pPr>
        <w:tabs>
          <w:tab w:val="left" w:pos="-1080"/>
          <w:tab w:val="left" w:pos="-720"/>
          <w:tab w:val="left" w:pos="360"/>
          <w:tab w:val="left" w:pos="81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Respondents may provide proprietary, commercial, or financial information relating to minerals removed from the NPSLs. FOGRMA, as amended, (30 U.S.C. 1733), the Freedom of Information Act (5 U.S.C 552 (b)(4)), and their implementing regulations establish standards to protect trade secrets and other proprietary information. In addition, ONRR has strict security measures in place for storage and access of proprietary information.</w:t>
      </w:r>
    </w:p>
    <w:p w:rsidR="00DF7552" w:rsidRPr="00DF7552" w:rsidP="00DF7552" w14:paraId="13CBD106" w14:textId="77777777">
      <w:pPr>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0D1E9293" w14:textId="77777777">
      <w:pPr>
        <w:widowControl w:val="0"/>
        <w:tabs>
          <w:tab w:val="left" w:pos="-1080"/>
          <w:tab w:val="left" w:pos="-720"/>
          <w:tab w:val="left" w:pos="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7552" w:rsidRPr="00DF7552" w:rsidP="00DF7552" w14:paraId="68E9B823"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694A1365"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ab/>
        <w:t>This information collection does not include sensitive or private questions.</w:t>
      </w:r>
    </w:p>
    <w:p w:rsidR="00DF7552" w:rsidRPr="00DF7552" w:rsidP="00DF7552" w14:paraId="59D6ED1F"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b/>
          <w:i/>
          <w:snapToGrid w:val="0"/>
          <w:sz w:val="24"/>
          <w:szCs w:val="20"/>
        </w:rPr>
      </w:pPr>
    </w:p>
    <w:p w:rsidR="00DF7552" w:rsidRPr="00DF7552" w:rsidP="00DF7552" w14:paraId="25539987"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napToGrid w:val="0"/>
          <w:sz w:val="24"/>
          <w:szCs w:val="24"/>
        </w:rPr>
      </w:pPr>
      <w:r w:rsidRPr="00DF7552">
        <w:rPr>
          <w:rFonts w:ascii="Times New Roman" w:eastAsia="Times New Roman" w:hAnsi="Times New Roman" w:cs="Times New Roman"/>
          <w:b/>
          <w:snapToGrid w:val="0"/>
          <w:sz w:val="24"/>
          <w:szCs w:val="24"/>
        </w:rPr>
        <w:t>12.  Provide estimates of the hour burden of the collection of information.  The statement should:</w:t>
      </w:r>
    </w:p>
    <w:p w:rsidR="00DF7552" w:rsidRPr="00DF7552" w:rsidP="00DF7552" w14:paraId="13358CA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imes New Roman" w:eastAsia="Times New Roman" w:hAnsi="Times New Roman" w:cs="Times New Roman"/>
          <w:b/>
          <w:snapToGrid w:val="0"/>
          <w:sz w:val="24"/>
          <w:szCs w:val="24"/>
        </w:rPr>
      </w:pPr>
    </w:p>
    <w:p w:rsidR="00DF7552" w:rsidRPr="00DF7552" w:rsidP="00DF7552" w14:paraId="086207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snapToGrid w:val="0"/>
          <w:sz w:val="24"/>
          <w:szCs w:val="24"/>
        </w:rPr>
      </w:pPr>
      <w:r w:rsidRPr="00DF7552">
        <w:rPr>
          <w:rFonts w:ascii="Times New Roman" w:eastAsia="Times New Roman" w:hAnsi="Times New Roman" w:cs="Times New Roman"/>
          <w:b/>
          <w:snapToGrid w:val="0"/>
          <w:sz w:val="24"/>
          <w:szCs w:val="24"/>
        </w:rPr>
        <w:tab/>
        <w:t>*</w:t>
      </w:r>
      <w:r w:rsidRPr="00DF7552">
        <w:rPr>
          <w:rFonts w:ascii="Times New Roman" w:eastAsia="Times New Roman" w:hAnsi="Times New Roman" w:cs="Times New Roman"/>
          <w:b/>
          <w:snapToGrid w:val="0"/>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F7552" w:rsidRPr="00DF7552" w:rsidP="00DF7552" w14:paraId="33BB77F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snapToGrid w:val="0"/>
          <w:sz w:val="24"/>
          <w:szCs w:val="24"/>
        </w:rPr>
      </w:pPr>
    </w:p>
    <w:p w:rsidR="00DF7552" w:rsidRPr="00DF7552" w:rsidP="00DF7552" w14:paraId="39F5EDF0" w14:textId="276405C8">
      <w:pPr>
        <w:widowControl w:val="0"/>
        <w:spacing w:after="0" w:line="240" w:lineRule="auto"/>
        <w:ind w:firstLine="360"/>
        <w:rPr>
          <w:rFonts w:ascii="Times New Roman" w:eastAsia="Times New Roman" w:hAnsi="Times New Roman" w:cs="Times New Roman"/>
          <w:snapToGrid w:val="0"/>
          <w:sz w:val="24"/>
          <w:szCs w:val="24"/>
        </w:rPr>
      </w:pPr>
      <w:r w:rsidRPr="00DF7552">
        <w:rPr>
          <w:rFonts w:ascii="Times New Roman" w:eastAsia="Times New Roman" w:hAnsi="Times New Roman" w:cs="Times New Roman"/>
          <w:snapToGrid w:val="0"/>
          <w:sz w:val="24"/>
          <w:szCs w:val="20"/>
        </w:rPr>
        <w:t>There are two respondents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net profit share oil and gas OCS lessees). Based on current data, ONRR estimates the average number of annual responses is 180, and the total annual burden is 1,584 hours (1,575 reporting hours and 9 recordkeeping hours). </w:t>
      </w:r>
      <w:r w:rsidRPr="00DF7552">
        <w:rPr>
          <w:rFonts w:ascii="Times New Roman" w:eastAsia="Times New Roman" w:hAnsi="Times New Roman" w:cs="Times New Roman"/>
          <w:snapToGrid w:val="0"/>
          <w:sz w:val="24"/>
          <w:szCs w:val="24"/>
        </w:rPr>
        <w:t>ONRR did not include estimates for certain requirements performed in the normal course of business and considered usual and customary.</w:t>
      </w:r>
    </w:p>
    <w:p w:rsidR="00DF7552" w:rsidRPr="00DF7552" w:rsidP="00DF7552" w14:paraId="2AB5D44D" w14:textId="77777777">
      <w:pPr>
        <w:widowControl w:val="0"/>
        <w:spacing w:after="0" w:line="240" w:lineRule="auto"/>
        <w:rPr>
          <w:rFonts w:ascii="Times New Roman" w:eastAsia="Times New Roman" w:hAnsi="Times New Roman" w:cs="Times New Roman"/>
          <w:snapToGrid w:val="0"/>
          <w:sz w:val="24"/>
          <w:szCs w:val="24"/>
        </w:rPr>
      </w:pPr>
    </w:p>
    <w:p w:rsidR="00DF7552" w:rsidRPr="00DF7552" w:rsidP="00DF7552" w14:paraId="1C9E45B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snapToGrid w:val="0"/>
          <w:sz w:val="24"/>
          <w:szCs w:val="24"/>
        </w:rPr>
      </w:pPr>
      <w:r w:rsidRPr="00DF7552">
        <w:rPr>
          <w:rFonts w:ascii="Times New Roman" w:eastAsia="Times New Roman" w:hAnsi="Times New Roman" w:cs="Times New Roman"/>
          <w:b/>
          <w:snapToGrid w:val="0"/>
          <w:sz w:val="24"/>
          <w:szCs w:val="24"/>
        </w:rPr>
        <w:tab/>
        <w:t>*</w:t>
      </w:r>
      <w:r w:rsidRPr="00DF7552">
        <w:rPr>
          <w:rFonts w:ascii="Times New Roman" w:eastAsia="Times New Roman" w:hAnsi="Times New Roman" w:cs="Times New Roman"/>
          <w:b/>
          <w:snapToGrid w:val="0"/>
          <w:sz w:val="24"/>
          <w:szCs w:val="24"/>
        </w:rPr>
        <w:tab/>
        <w:t>If this request for approval covers more than one form, provide separate hour burden estimates for each form and aggregate the hour burdens.</w:t>
      </w:r>
    </w:p>
    <w:p w:rsidR="00DF7552" w:rsidRPr="00DF7552" w:rsidP="00DF7552" w14:paraId="7EE5831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b/>
          <w:snapToGrid w:val="0"/>
          <w:sz w:val="24"/>
          <w:szCs w:val="24"/>
        </w:rPr>
      </w:pPr>
    </w:p>
    <w:p w:rsidR="00DF7552" w:rsidRPr="00DF7552" w:rsidP="00DF7552" w14:paraId="45E26AE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rPr>
          <w:rFonts w:ascii="Times New Roman" w:eastAsia="Times New Roman" w:hAnsi="Times New Roman" w:cs="Times New Roman"/>
          <w:snapToGrid w:val="0"/>
          <w:sz w:val="24"/>
          <w:szCs w:val="24"/>
        </w:rPr>
      </w:pPr>
      <w:r w:rsidRPr="00DF7552">
        <w:rPr>
          <w:rFonts w:ascii="Times New Roman" w:eastAsia="Times New Roman" w:hAnsi="Times New Roman" w:cs="Times New Roman"/>
          <w:snapToGrid w:val="0"/>
          <w:sz w:val="24"/>
          <w:szCs w:val="24"/>
        </w:rPr>
        <w:t>There are no forms for this ICR.</w:t>
      </w:r>
    </w:p>
    <w:p w:rsidR="00DF7552" w:rsidRPr="00DF7552" w:rsidP="00DF7552" w14:paraId="1A2D368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Times New Roman" w:eastAsia="Times New Roman" w:hAnsi="Times New Roman" w:cs="Times New Roman"/>
          <w:snapToGrid w:val="0"/>
          <w:sz w:val="24"/>
          <w:szCs w:val="24"/>
        </w:rPr>
      </w:pPr>
    </w:p>
    <w:p w:rsidR="00DF7552" w:rsidP="001F3020" w14:paraId="65289606" w14:textId="482F7C9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napToGrid w:val="0"/>
          <w:sz w:val="24"/>
          <w:szCs w:val="24"/>
        </w:rPr>
      </w:pPr>
      <w:r w:rsidRPr="00DF7552">
        <w:rPr>
          <w:rFonts w:ascii="Times New Roman" w:eastAsia="Times New Roman" w:hAnsi="Times New Roman" w:cs="Times New Roman"/>
          <w:b/>
          <w:snapToGrid w:val="0"/>
          <w:sz w:val="24"/>
          <w:szCs w:val="24"/>
        </w:rPr>
        <w:t>*</w:t>
      </w:r>
      <w:r w:rsidRPr="00DF7552">
        <w:rPr>
          <w:rFonts w:ascii="Times New Roman" w:eastAsia="Times New Roman" w:hAnsi="Times New Roman" w:cs="Times New Roman"/>
          <w:b/>
          <w:snapToGrid w:val="0"/>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w:t>
      </w:r>
      <w:r w:rsidR="00F23149">
        <w:rPr>
          <w:rFonts w:ascii="Times New Roman" w:eastAsia="Times New Roman" w:hAnsi="Times New Roman" w:cs="Times New Roman"/>
          <w:b/>
          <w:snapToGrid w:val="0"/>
          <w:sz w:val="24"/>
          <w:szCs w:val="24"/>
        </w:rPr>
        <w:t>Federal</w:t>
      </w:r>
      <w:r w:rsidRPr="00DF7552">
        <w:rPr>
          <w:rFonts w:ascii="Times New Roman" w:eastAsia="Times New Roman" w:hAnsi="Times New Roman" w:cs="Times New Roman"/>
          <w:b/>
          <w:snapToGrid w:val="0"/>
          <w:sz w:val="24"/>
          <w:szCs w:val="24"/>
        </w:rPr>
        <w:t xml:space="preserve"> Government.</w:t>
      </w:r>
      <w:r w:rsidR="001F3020">
        <w:rPr>
          <w:rFonts w:ascii="Times New Roman" w:eastAsia="Times New Roman" w:hAnsi="Times New Roman" w:cs="Times New Roman"/>
          <w:b/>
          <w:snapToGrid w:val="0"/>
          <w:sz w:val="24"/>
          <w:szCs w:val="24"/>
        </w:rPr>
        <w:t>”</w:t>
      </w:r>
    </w:p>
    <w:p w:rsidR="001F3020" w:rsidRPr="001F3020" w:rsidP="001F3020" w14:paraId="065951E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napToGrid w:val="0"/>
          <w:sz w:val="24"/>
          <w:szCs w:val="24"/>
        </w:rPr>
      </w:pPr>
    </w:p>
    <w:p w:rsidR="00DF7552" w:rsidRPr="00DF7552" w:rsidP="00DF7552" w14:paraId="611043C9" w14:textId="77777777">
      <w:pPr>
        <w:widowControl w:val="0"/>
        <w:spacing w:after="0" w:line="240" w:lineRule="auto"/>
        <w:rPr>
          <w:rFonts w:ascii="Times New Roman" w:eastAsia="Times New Roman" w:hAnsi="Times New Roman" w:cs="Times New Roman"/>
          <w:snapToGrid w:val="0"/>
          <w:sz w:val="24"/>
          <w:szCs w:val="24"/>
        </w:rPr>
      </w:pPr>
    </w:p>
    <w:p w:rsidR="00DF7552" w:rsidRPr="00DF7552" w:rsidP="00DF7552" w14:paraId="48056D88" w14:textId="77777777">
      <w:pPr>
        <w:widowControl w:val="0"/>
        <w:spacing w:after="0" w:line="240" w:lineRule="auto"/>
        <w:jc w:val="center"/>
        <w:rPr>
          <w:rFonts w:ascii="Times New Roman" w:eastAsia="Times New Roman" w:hAnsi="Times New Roman" w:cs="Times New Roman"/>
          <w:b/>
          <w:snapToGrid w:val="0"/>
          <w:sz w:val="24"/>
          <w:szCs w:val="20"/>
        </w:rPr>
      </w:pPr>
      <w:r w:rsidRPr="00DF7552">
        <w:rPr>
          <w:rFonts w:ascii="Arial" w:eastAsia="Times New Roman" w:hAnsi="Arial" w:cs="Arial"/>
          <w:b/>
          <w:snapToGrid w:val="0"/>
          <w:sz w:val="24"/>
          <w:szCs w:val="20"/>
        </w:rPr>
        <w:t>Summary of Information Collections</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6"/>
        <w:gridCol w:w="1350"/>
        <w:gridCol w:w="1170"/>
        <w:gridCol w:w="1260"/>
        <w:gridCol w:w="990"/>
        <w:gridCol w:w="1105"/>
      </w:tblGrid>
      <w:tr w14:paraId="4DE3BBC9" w14:textId="77777777" w:rsidTr="00032D85">
        <w:tblPrEx>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jc w:val="center"/>
        </w:trPr>
        <w:tc>
          <w:tcPr>
            <w:tcW w:w="2636" w:type="dxa"/>
            <w:shd w:val="clear" w:color="auto" w:fill="auto"/>
            <w:vAlign w:val="center"/>
          </w:tcPr>
          <w:p w:rsidR="00DF7552" w:rsidRPr="00DF7552" w:rsidP="00DF7552" w14:paraId="1347C962"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 xml:space="preserve">Information Collections </w:t>
            </w:r>
          </w:p>
          <w:p w:rsidR="00DF7552" w:rsidRPr="00DF7552" w:rsidP="00DF7552" w14:paraId="44057950"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(and 30 CFR Reference*)</w:t>
            </w:r>
          </w:p>
        </w:tc>
        <w:tc>
          <w:tcPr>
            <w:tcW w:w="1350" w:type="dxa"/>
            <w:shd w:val="clear" w:color="auto" w:fill="auto"/>
          </w:tcPr>
          <w:p w:rsidR="00DF7552" w:rsidRPr="00DF7552" w:rsidP="00DF7552" w14:paraId="210BBB32"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Requirement to</w:t>
            </w:r>
          </w:p>
          <w:p w:rsidR="00DF7552" w:rsidRPr="00DF7552" w:rsidP="00DF7552" w14:paraId="5A192B6E"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Respond</w:t>
            </w:r>
          </w:p>
        </w:tc>
        <w:tc>
          <w:tcPr>
            <w:tcW w:w="1170" w:type="dxa"/>
            <w:shd w:val="clear" w:color="auto" w:fill="auto"/>
          </w:tcPr>
          <w:p w:rsidR="00DF7552" w:rsidRPr="00DF7552" w:rsidP="00DF7552" w14:paraId="12A3F2A1"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Frequency of Response</w:t>
            </w:r>
          </w:p>
        </w:tc>
        <w:tc>
          <w:tcPr>
            <w:tcW w:w="1260" w:type="dxa"/>
            <w:shd w:val="clear" w:color="auto" w:fill="auto"/>
          </w:tcPr>
          <w:p w:rsidR="00DF7552" w:rsidRPr="00DF7552" w:rsidP="00DF7552" w14:paraId="369FD1E5"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 xml:space="preserve">Number </w:t>
            </w:r>
          </w:p>
          <w:p w:rsidR="00DF7552" w:rsidRPr="00DF7552" w:rsidP="00DF7552" w14:paraId="2C441C01"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of Annual Responses</w:t>
            </w:r>
          </w:p>
        </w:tc>
        <w:tc>
          <w:tcPr>
            <w:tcW w:w="990" w:type="dxa"/>
            <w:shd w:val="clear" w:color="auto" w:fill="auto"/>
            <w:vAlign w:val="center"/>
          </w:tcPr>
          <w:p w:rsidR="00DF7552" w:rsidRPr="00DF7552" w:rsidP="00DF7552" w14:paraId="4BF315B9"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Annual Burden Hours</w:t>
            </w:r>
          </w:p>
        </w:tc>
        <w:tc>
          <w:tcPr>
            <w:tcW w:w="1105" w:type="dxa"/>
          </w:tcPr>
          <w:p w:rsidR="00DF7552" w:rsidRPr="00DF7552" w:rsidP="00DF7552" w14:paraId="47953F5C"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Annual Cost</w:t>
            </w:r>
          </w:p>
          <w:p w:rsidR="00DF7552" w:rsidRPr="00DF7552" w:rsidP="00DF7552" w14:paraId="43AC8E81" w14:textId="4510CB21">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($5</w:t>
            </w:r>
            <w:r w:rsidR="00FD3A1F">
              <w:rPr>
                <w:rFonts w:ascii="Arial" w:eastAsia="Times New Roman" w:hAnsi="Arial" w:cs="Arial"/>
                <w:b/>
                <w:snapToGrid w:val="0"/>
                <w:sz w:val="18"/>
                <w:szCs w:val="18"/>
              </w:rPr>
              <w:t>7</w:t>
            </w:r>
            <w:r w:rsidRPr="00DF7552">
              <w:rPr>
                <w:rFonts w:ascii="Arial" w:eastAsia="Times New Roman" w:hAnsi="Arial" w:cs="Arial"/>
                <w:b/>
                <w:snapToGrid w:val="0"/>
                <w:sz w:val="18"/>
                <w:szCs w:val="18"/>
              </w:rPr>
              <w:t>/hr.)</w:t>
            </w:r>
          </w:p>
        </w:tc>
      </w:tr>
      <w:tr w14:paraId="333D07C6" w14:textId="77777777" w:rsidTr="00032D85">
        <w:tblPrEx>
          <w:tblW w:w="8511" w:type="dxa"/>
          <w:jc w:val="center"/>
          <w:tblLayout w:type="fixed"/>
          <w:tblLook w:val="01E0"/>
        </w:tblPrEx>
        <w:trPr>
          <w:trHeight w:val="288"/>
          <w:jc w:val="center"/>
        </w:trPr>
        <w:tc>
          <w:tcPr>
            <w:tcW w:w="2636" w:type="dxa"/>
            <w:shd w:val="clear" w:color="auto" w:fill="auto"/>
          </w:tcPr>
          <w:p w:rsidR="00DF7552" w:rsidRPr="00DF7552" w:rsidP="00DF7552" w14:paraId="34A7EE74" w14:textId="77777777">
            <w:pPr>
              <w:keepNext/>
              <w:keepLines/>
              <w:spacing w:after="0" w:line="240" w:lineRule="auto"/>
              <w:rPr>
                <w:rFonts w:ascii="Arial" w:eastAsia="Times New Roman" w:hAnsi="Arial" w:cs="Arial"/>
                <w:b/>
                <w:snapToGrid w:val="0"/>
                <w:sz w:val="18"/>
                <w:szCs w:val="18"/>
              </w:rPr>
            </w:pPr>
            <w:r w:rsidRPr="00DF7552">
              <w:rPr>
                <w:rFonts w:ascii="Arial" w:eastAsia="Times New Roman" w:hAnsi="Arial" w:cs="Arial"/>
                <w:b/>
                <w:snapToGrid w:val="0"/>
                <w:sz w:val="18"/>
                <w:szCs w:val="18"/>
              </w:rPr>
              <w:t>1. Establish and maintain NPSL capital account</w:t>
            </w:r>
          </w:p>
          <w:p w:rsidR="00DF7552" w:rsidRPr="00DF7552" w:rsidP="00DF7552" w14:paraId="2973A937" w14:textId="77777777">
            <w:pPr>
              <w:keepNext/>
              <w:keepLines/>
              <w:spacing w:after="0" w:line="240" w:lineRule="auto"/>
              <w:rPr>
                <w:rFonts w:ascii="Arial" w:eastAsia="Times New Roman" w:hAnsi="Arial" w:cs="Arial"/>
                <w:snapToGrid w:val="0"/>
                <w:sz w:val="18"/>
                <w:szCs w:val="18"/>
              </w:rPr>
            </w:pPr>
          </w:p>
          <w:p w:rsidR="00DF7552" w:rsidRPr="00DF7552" w:rsidP="00DF7552" w14:paraId="552F6AFC"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 1220.010)(a)</w:t>
            </w:r>
          </w:p>
        </w:tc>
        <w:tc>
          <w:tcPr>
            <w:tcW w:w="1350" w:type="dxa"/>
            <w:shd w:val="clear" w:color="auto" w:fill="auto"/>
          </w:tcPr>
          <w:p w:rsidR="00DF7552" w:rsidRPr="00DF7552" w:rsidP="00DF7552" w14:paraId="172834BE"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Mandatory</w:t>
            </w:r>
          </w:p>
        </w:tc>
        <w:tc>
          <w:tcPr>
            <w:tcW w:w="1170" w:type="dxa"/>
            <w:shd w:val="clear" w:color="auto" w:fill="auto"/>
          </w:tcPr>
          <w:p w:rsidR="00DF7552" w:rsidRPr="00DF7552" w:rsidP="00DF7552" w14:paraId="7C7C25C7"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Annually</w:t>
            </w:r>
          </w:p>
        </w:tc>
        <w:tc>
          <w:tcPr>
            <w:tcW w:w="1260" w:type="dxa"/>
            <w:shd w:val="clear" w:color="auto" w:fill="auto"/>
          </w:tcPr>
          <w:p w:rsidR="00DF7552" w:rsidRPr="00DF7552" w:rsidP="00DF7552" w14:paraId="41C22B72"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9</w:t>
            </w:r>
          </w:p>
        </w:tc>
        <w:tc>
          <w:tcPr>
            <w:tcW w:w="990" w:type="dxa"/>
            <w:shd w:val="clear" w:color="auto" w:fill="auto"/>
          </w:tcPr>
          <w:p w:rsidR="00DF7552" w:rsidRPr="00DF7552" w:rsidP="00DF7552" w14:paraId="51097A79"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9</w:t>
            </w:r>
          </w:p>
        </w:tc>
        <w:tc>
          <w:tcPr>
            <w:tcW w:w="1105" w:type="dxa"/>
          </w:tcPr>
          <w:p w:rsidR="00DF7552" w:rsidRPr="00DF7552" w:rsidP="00DF7552" w14:paraId="73AC476D" w14:textId="659293E6">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w:t>
            </w:r>
            <w:r w:rsidR="00FD3A1F">
              <w:rPr>
                <w:rFonts w:ascii="Arial" w:eastAsia="Times New Roman" w:hAnsi="Arial" w:cs="Arial"/>
                <w:snapToGrid w:val="0"/>
                <w:sz w:val="18"/>
                <w:szCs w:val="18"/>
              </w:rPr>
              <w:t>513</w:t>
            </w:r>
          </w:p>
        </w:tc>
      </w:tr>
      <w:tr w14:paraId="44CD4F5F" w14:textId="77777777" w:rsidTr="00032D85">
        <w:tblPrEx>
          <w:tblW w:w="8511" w:type="dxa"/>
          <w:jc w:val="center"/>
          <w:tblLayout w:type="fixed"/>
          <w:tblLook w:val="01E0"/>
        </w:tblPrEx>
        <w:trPr>
          <w:trHeight w:val="1277"/>
          <w:jc w:val="center"/>
        </w:trPr>
        <w:tc>
          <w:tcPr>
            <w:tcW w:w="2636" w:type="dxa"/>
            <w:shd w:val="clear" w:color="auto" w:fill="auto"/>
          </w:tcPr>
          <w:p w:rsidR="00DF7552" w:rsidRPr="00DF7552" w:rsidP="00DF7552" w14:paraId="4760156A" w14:textId="77777777">
            <w:pPr>
              <w:keepNext/>
              <w:keepLines/>
              <w:spacing w:after="0" w:line="240" w:lineRule="auto"/>
              <w:rPr>
                <w:rFonts w:ascii="Arial" w:eastAsia="Times New Roman" w:hAnsi="Arial" w:cs="Arial"/>
                <w:b/>
                <w:snapToGrid w:val="0"/>
                <w:sz w:val="18"/>
                <w:szCs w:val="18"/>
              </w:rPr>
            </w:pPr>
            <w:r w:rsidRPr="00DF7552">
              <w:rPr>
                <w:rFonts w:ascii="Arial" w:eastAsia="Times New Roman" w:hAnsi="Arial" w:cs="Arial"/>
                <w:b/>
                <w:snapToGrid w:val="0"/>
                <w:sz w:val="18"/>
                <w:szCs w:val="18"/>
              </w:rPr>
              <w:t>2. Reporting and Payment requirements</w:t>
            </w:r>
          </w:p>
          <w:p w:rsidR="00DF7552" w:rsidRPr="00DF7552" w:rsidP="00DF7552" w14:paraId="4C225F38" w14:textId="77777777">
            <w:pPr>
              <w:keepNext/>
              <w:keepLines/>
              <w:tabs>
                <w:tab w:val="left" w:pos="263"/>
              </w:tab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 1220.031(a), (c), (d), &amp; (e))</w:t>
            </w:r>
          </w:p>
          <w:p w:rsidR="00DF7552" w:rsidRPr="00DF7552" w:rsidP="00DF7552" w14:paraId="5DABCDC5" w14:textId="77777777">
            <w:pPr>
              <w:keepNext/>
              <w:keepLines/>
              <w:tabs>
                <w:tab w:val="left" w:pos="263"/>
              </w:tabs>
              <w:spacing w:after="0" w:line="240" w:lineRule="auto"/>
              <w:rPr>
                <w:rFonts w:ascii="Arial" w:eastAsia="Times New Roman" w:hAnsi="Arial" w:cs="Arial"/>
                <w:snapToGrid w:val="0"/>
                <w:sz w:val="18"/>
                <w:szCs w:val="18"/>
              </w:rPr>
            </w:pPr>
          </w:p>
          <w:p w:rsidR="00DF7552" w:rsidRPr="00DF7552" w:rsidP="00DF7552" w14:paraId="2301E405" w14:textId="77777777">
            <w:pPr>
              <w:keepNext/>
              <w:keepLines/>
              <w:tabs>
                <w:tab w:val="left" w:pos="263"/>
              </w:tabs>
              <w:spacing w:after="0" w:line="240" w:lineRule="auto"/>
              <w:rPr>
                <w:rFonts w:ascii="Arial" w:eastAsia="Times New Roman" w:hAnsi="Arial" w:cs="Arial"/>
                <w:snapToGrid w:val="0"/>
                <w:sz w:val="18"/>
                <w:szCs w:val="18"/>
              </w:rPr>
            </w:pPr>
          </w:p>
          <w:p w:rsidR="00DF7552" w:rsidRPr="00DF7552" w:rsidP="00DF7552" w14:paraId="1A956B69" w14:textId="77777777">
            <w:pPr>
              <w:keepNext/>
              <w:keepLines/>
              <w:tabs>
                <w:tab w:val="left" w:pos="263"/>
              </w:tab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 1220.031(b))</w:t>
            </w:r>
          </w:p>
        </w:tc>
        <w:tc>
          <w:tcPr>
            <w:tcW w:w="1350" w:type="dxa"/>
            <w:shd w:val="clear" w:color="auto" w:fill="auto"/>
          </w:tcPr>
          <w:p w:rsidR="00DF7552" w:rsidRPr="00DF7552" w:rsidP="00DF7552" w14:paraId="71465B95" w14:textId="77777777">
            <w:pPr>
              <w:keepNext/>
              <w:keepLines/>
              <w:spacing w:after="0" w:line="240" w:lineRule="auto"/>
              <w:rPr>
                <w:rFonts w:ascii="Arial" w:eastAsia="Times New Roman" w:hAnsi="Arial" w:cs="Arial"/>
                <w:snapToGrid w:val="0"/>
                <w:sz w:val="18"/>
                <w:szCs w:val="18"/>
              </w:rPr>
            </w:pPr>
          </w:p>
          <w:p w:rsidR="00DF7552" w:rsidRPr="00DF7552" w:rsidP="00DF7552" w14:paraId="33344510" w14:textId="77777777">
            <w:pPr>
              <w:keepNext/>
              <w:keepLines/>
              <w:spacing w:after="0" w:line="240" w:lineRule="auto"/>
              <w:rPr>
                <w:rFonts w:ascii="Arial" w:eastAsia="Times New Roman" w:hAnsi="Arial" w:cs="Arial"/>
                <w:snapToGrid w:val="0"/>
                <w:sz w:val="18"/>
                <w:szCs w:val="18"/>
              </w:rPr>
            </w:pPr>
          </w:p>
          <w:p w:rsidR="00DF7552" w:rsidRPr="00DF7552" w:rsidP="00DF7552" w14:paraId="774A39DF"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Mandatory</w:t>
            </w:r>
          </w:p>
        </w:tc>
        <w:tc>
          <w:tcPr>
            <w:tcW w:w="1170" w:type="dxa"/>
            <w:shd w:val="clear" w:color="auto" w:fill="auto"/>
          </w:tcPr>
          <w:p w:rsidR="00DF7552" w:rsidRPr="00DF7552" w:rsidP="00DF7552" w14:paraId="759B0FA7" w14:textId="77777777">
            <w:pPr>
              <w:keepNext/>
              <w:keepLines/>
              <w:spacing w:after="0" w:line="240" w:lineRule="auto"/>
              <w:rPr>
                <w:rFonts w:ascii="Arial" w:eastAsia="Times New Roman" w:hAnsi="Arial" w:cs="Arial"/>
                <w:snapToGrid w:val="0"/>
                <w:sz w:val="18"/>
                <w:szCs w:val="18"/>
              </w:rPr>
            </w:pPr>
          </w:p>
          <w:p w:rsidR="00DF7552" w:rsidRPr="00DF7552" w:rsidP="00DF7552" w14:paraId="58B46C62" w14:textId="77777777">
            <w:pPr>
              <w:keepNext/>
              <w:keepLines/>
              <w:spacing w:after="0" w:line="240" w:lineRule="auto"/>
              <w:rPr>
                <w:rFonts w:ascii="Arial" w:eastAsia="Times New Roman" w:hAnsi="Arial" w:cs="Arial"/>
                <w:snapToGrid w:val="0"/>
                <w:sz w:val="18"/>
                <w:szCs w:val="18"/>
              </w:rPr>
            </w:pPr>
          </w:p>
          <w:p w:rsidR="00DF7552" w:rsidRPr="00DF7552" w:rsidP="00DF7552" w14:paraId="1CAEC90A"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Annually &amp; on occasion</w:t>
            </w:r>
          </w:p>
          <w:p w:rsidR="00DF7552" w:rsidRPr="00DF7552" w:rsidP="00DF7552" w14:paraId="78634B83"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Monthly</w:t>
            </w:r>
          </w:p>
        </w:tc>
        <w:tc>
          <w:tcPr>
            <w:tcW w:w="1260" w:type="dxa"/>
            <w:shd w:val="clear" w:color="auto" w:fill="auto"/>
          </w:tcPr>
          <w:p w:rsidR="00DF7552" w:rsidRPr="00DF7552" w:rsidP="00DF7552" w14:paraId="1454DA5A"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1649689E"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193F3889"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27</w:t>
            </w:r>
          </w:p>
          <w:p w:rsidR="00DF7552" w:rsidRPr="00DF7552" w:rsidP="00DF7552" w14:paraId="2968B005"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303577E6"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0E45825B"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108</w:t>
            </w:r>
          </w:p>
        </w:tc>
        <w:tc>
          <w:tcPr>
            <w:tcW w:w="990" w:type="dxa"/>
            <w:shd w:val="clear" w:color="auto" w:fill="auto"/>
          </w:tcPr>
          <w:p w:rsidR="00DF7552" w:rsidRPr="00DF7552" w:rsidP="00DF7552" w14:paraId="1BA6A1B2"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6295EBD3"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2C84E667"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117</w:t>
            </w:r>
          </w:p>
          <w:p w:rsidR="00DF7552" w:rsidRPr="00DF7552" w:rsidP="00DF7552" w14:paraId="0187D4B7"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52F8150B"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124C396A"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1404</w:t>
            </w:r>
          </w:p>
        </w:tc>
        <w:tc>
          <w:tcPr>
            <w:tcW w:w="1105" w:type="dxa"/>
          </w:tcPr>
          <w:p w:rsidR="00DF7552" w:rsidRPr="00DF7552" w:rsidP="00DF7552" w14:paraId="11436476"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6171CB3F"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658F1B8F" w14:textId="6538C1EF">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$6,</w:t>
            </w:r>
            <w:r w:rsidR="00FD3A1F">
              <w:rPr>
                <w:rFonts w:ascii="Arial" w:eastAsia="Times New Roman" w:hAnsi="Arial" w:cs="Arial"/>
                <w:snapToGrid w:val="0"/>
                <w:sz w:val="18"/>
                <w:szCs w:val="18"/>
              </w:rPr>
              <w:t>669</w:t>
            </w:r>
          </w:p>
          <w:p w:rsidR="00DF7552" w:rsidRPr="00DF7552" w:rsidP="00DF7552" w14:paraId="3E211777"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168DF3E5" w14:textId="77777777">
            <w:pPr>
              <w:keepNext/>
              <w:keepLines/>
              <w:spacing w:after="0" w:line="240" w:lineRule="auto"/>
              <w:jc w:val="right"/>
              <w:rPr>
                <w:rFonts w:ascii="Arial" w:eastAsia="Times New Roman" w:hAnsi="Arial" w:cs="Arial"/>
                <w:snapToGrid w:val="0"/>
                <w:sz w:val="18"/>
                <w:szCs w:val="18"/>
              </w:rPr>
            </w:pPr>
          </w:p>
          <w:p w:rsidR="00DF7552" w:rsidRPr="00DF7552" w:rsidP="00DF7552" w14:paraId="5ED24C7D" w14:textId="2A281713">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w:t>
            </w:r>
            <w:r w:rsidR="002C4876">
              <w:rPr>
                <w:rFonts w:ascii="Arial" w:eastAsia="Times New Roman" w:hAnsi="Arial" w:cs="Arial"/>
                <w:snapToGrid w:val="0"/>
                <w:sz w:val="18"/>
                <w:szCs w:val="18"/>
              </w:rPr>
              <w:t>8</w:t>
            </w:r>
            <w:r w:rsidR="00FD3A1F">
              <w:rPr>
                <w:rFonts w:ascii="Arial" w:eastAsia="Times New Roman" w:hAnsi="Arial" w:cs="Arial"/>
                <w:snapToGrid w:val="0"/>
                <w:sz w:val="18"/>
                <w:szCs w:val="18"/>
              </w:rPr>
              <w:t>0,028</w:t>
            </w:r>
          </w:p>
        </w:tc>
      </w:tr>
      <w:tr w14:paraId="6E61877F" w14:textId="77777777" w:rsidTr="00032D85">
        <w:tblPrEx>
          <w:tblW w:w="8511" w:type="dxa"/>
          <w:jc w:val="center"/>
          <w:tblLayout w:type="fixed"/>
          <w:tblLook w:val="01E0"/>
        </w:tblPrEx>
        <w:trPr>
          <w:trHeight w:val="288"/>
          <w:jc w:val="center"/>
        </w:trPr>
        <w:tc>
          <w:tcPr>
            <w:tcW w:w="2636" w:type="dxa"/>
            <w:shd w:val="clear" w:color="auto" w:fill="auto"/>
          </w:tcPr>
          <w:p w:rsidR="00DF7552" w:rsidRPr="00DF7552" w:rsidP="00DF7552" w14:paraId="136AC1F0" w14:textId="77777777">
            <w:pPr>
              <w:keepNext/>
              <w:keepLines/>
              <w:spacing w:after="0" w:line="240" w:lineRule="auto"/>
              <w:rPr>
                <w:rFonts w:ascii="Arial" w:eastAsia="Times New Roman" w:hAnsi="Arial" w:cs="Arial"/>
                <w:b/>
                <w:snapToGrid w:val="0"/>
                <w:sz w:val="18"/>
                <w:szCs w:val="18"/>
              </w:rPr>
            </w:pPr>
            <w:r w:rsidRPr="00DF7552">
              <w:rPr>
                <w:rFonts w:ascii="Arial" w:eastAsia="Times New Roman" w:hAnsi="Arial" w:cs="Arial"/>
                <w:b/>
                <w:snapToGrid w:val="0"/>
                <w:sz w:val="18"/>
                <w:szCs w:val="18"/>
              </w:rPr>
              <w:t>3. Inventorying controllable materials</w:t>
            </w:r>
          </w:p>
          <w:p w:rsidR="00DF7552" w:rsidRPr="00DF7552" w:rsidP="00DF7552" w14:paraId="019EC02D" w14:textId="77777777">
            <w:pPr>
              <w:keepNext/>
              <w:keepLines/>
              <w:spacing w:after="0" w:line="240" w:lineRule="auto"/>
              <w:rPr>
                <w:rFonts w:ascii="Arial" w:eastAsia="Times New Roman" w:hAnsi="Arial" w:cs="Arial"/>
                <w:b/>
                <w:snapToGrid w:val="0"/>
                <w:sz w:val="18"/>
                <w:szCs w:val="18"/>
              </w:rPr>
            </w:pPr>
            <w:r w:rsidRPr="00DF7552">
              <w:rPr>
                <w:rFonts w:ascii="Arial" w:eastAsia="Times New Roman" w:hAnsi="Arial" w:cs="Arial"/>
                <w:snapToGrid w:val="0"/>
                <w:sz w:val="18"/>
                <w:szCs w:val="18"/>
              </w:rPr>
              <w:t>(§ 1220.032(b))</w:t>
            </w:r>
          </w:p>
        </w:tc>
        <w:tc>
          <w:tcPr>
            <w:tcW w:w="1350" w:type="dxa"/>
            <w:shd w:val="clear" w:color="auto" w:fill="auto"/>
          </w:tcPr>
          <w:p w:rsidR="00DF7552" w:rsidRPr="00DF7552" w:rsidP="00DF7552" w14:paraId="423F235D"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Mandatory</w:t>
            </w:r>
          </w:p>
        </w:tc>
        <w:tc>
          <w:tcPr>
            <w:tcW w:w="1170" w:type="dxa"/>
            <w:shd w:val="clear" w:color="auto" w:fill="auto"/>
          </w:tcPr>
          <w:p w:rsidR="00DF7552" w:rsidRPr="00DF7552" w:rsidP="00DF7552" w14:paraId="0B3C764A"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On occasion</w:t>
            </w:r>
          </w:p>
        </w:tc>
        <w:tc>
          <w:tcPr>
            <w:tcW w:w="1260" w:type="dxa"/>
            <w:shd w:val="clear" w:color="auto" w:fill="auto"/>
          </w:tcPr>
          <w:p w:rsidR="00DF7552" w:rsidRPr="00DF7552" w:rsidP="00DF7552" w14:paraId="2992A91C"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9</w:t>
            </w:r>
          </w:p>
        </w:tc>
        <w:tc>
          <w:tcPr>
            <w:tcW w:w="990" w:type="dxa"/>
            <w:shd w:val="clear" w:color="auto" w:fill="auto"/>
          </w:tcPr>
          <w:p w:rsidR="00DF7552" w:rsidRPr="00DF7552" w:rsidP="00DF7552" w14:paraId="7A6E61CC"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9</w:t>
            </w:r>
          </w:p>
        </w:tc>
        <w:tc>
          <w:tcPr>
            <w:tcW w:w="1105" w:type="dxa"/>
          </w:tcPr>
          <w:p w:rsidR="00DF7552" w:rsidRPr="00DF7552" w:rsidP="00DF7552" w14:paraId="77AACC03" w14:textId="236DBF4F">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w:t>
            </w:r>
            <w:r w:rsidR="002C4876">
              <w:rPr>
                <w:rFonts w:ascii="Arial" w:eastAsia="Times New Roman" w:hAnsi="Arial" w:cs="Arial"/>
                <w:snapToGrid w:val="0"/>
                <w:sz w:val="18"/>
                <w:szCs w:val="18"/>
              </w:rPr>
              <w:t>5</w:t>
            </w:r>
            <w:r w:rsidR="00FD3A1F">
              <w:rPr>
                <w:rFonts w:ascii="Arial" w:eastAsia="Times New Roman" w:hAnsi="Arial" w:cs="Arial"/>
                <w:snapToGrid w:val="0"/>
                <w:sz w:val="18"/>
                <w:szCs w:val="18"/>
              </w:rPr>
              <w:t>13</w:t>
            </w:r>
          </w:p>
        </w:tc>
      </w:tr>
      <w:tr w14:paraId="74138CE5" w14:textId="77777777" w:rsidTr="00032D85">
        <w:tblPrEx>
          <w:tblW w:w="8511" w:type="dxa"/>
          <w:jc w:val="center"/>
          <w:tblLayout w:type="fixed"/>
          <w:tblLook w:val="01E0"/>
        </w:tblPrEx>
        <w:trPr>
          <w:trHeight w:val="288"/>
          <w:jc w:val="center"/>
        </w:trPr>
        <w:tc>
          <w:tcPr>
            <w:tcW w:w="2636" w:type="dxa"/>
            <w:shd w:val="clear" w:color="auto" w:fill="auto"/>
          </w:tcPr>
          <w:p w:rsidR="00DF7552" w:rsidRPr="00DF7552" w:rsidP="00DF7552" w14:paraId="2E980F72" w14:textId="77777777">
            <w:pPr>
              <w:keepNext/>
              <w:keepLines/>
              <w:spacing w:after="0" w:line="240" w:lineRule="auto"/>
              <w:rPr>
                <w:rFonts w:ascii="Arial" w:eastAsia="Times New Roman" w:hAnsi="Arial" w:cs="Arial"/>
                <w:b/>
                <w:snapToGrid w:val="0"/>
                <w:sz w:val="18"/>
                <w:szCs w:val="18"/>
              </w:rPr>
            </w:pPr>
            <w:r w:rsidRPr="00DF7552">
              <w:rPr>
                <w:rFonts w:ascii="Arial" w:eastAsia="Times New Roman" w:hAnsi="Arial" w:cs="Arial"/>
                <w:b/>
                <w:snapToGrid w:val="0"/>
                <w:sz w:val="18"/>
                <w:szCs w:val="18"/>
              </w:rPr>
              <w:t>4. Auditing NPSL lease</w:t>
            </w:r>
          </w:p>
          <w:p w:rsidR="00DF7552" w:rsidRPr="00DF7552" w:rsidP="00DF7552" w14:paraId="1A954914"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 1220.033(b)(1) &amp; (2)</w:t>
            </w:r>
          </w:p>
        </w:tc>
        <w:tc>
          <w:tcPr>
            <w:tcW w:w="1350" w:type="dxa"/>
            <w:shd w:val="clear" w:color="auto" w:fill="auto"/>
          </w:tcPr>
          <w:p w:rsidR="00DF7552" w:rsidRPr="00DF7552" w:rsidP="00DF7552" w14:paraId="6C2154BC"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Mandatory</w:t>
            </w:r>
          </w:p>
        </w:tc>
        <w:tc>
          <w:tcPr>
            <w:tcW w:w="1170" w:type="dxa"/>
            <w:shd w:val="clear" w:color="auto" w:fill="auto"/>
          </w:tcPr>
          <w:p w:rsidR="00DF7552" w:rsidRPr="00DF7552" w:rsidP="00DF7552" w14:paraId="55BCB3A5"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On occasion</w:t>
            </w:r>
          </w:p>
        </w:tc>
        <w:tc>
          <w:tcPr>
            <w:tcW w:w="1260" w:type="dxa"/>
            <w:shd w:val="clear" w:color="auto" w:fill="auto"/>
          </w:tcPr>
          <w:p w:rsidR="00DF7552" w:rsidRPr="00DF7552" w:rsidP="00DF7552" w14:paraId="4344AAD1"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18</w:t>
            </w:r>
          </w:p>
        </w:tc>
        <w:tc>
          <w:tcPr>
            <w:tcW w:w="990" w:type="dxa"/>
            <w:shd w:val="clear" w:color="auto" w:fill="auto"/>
          </w:tcPr>
          <w:p w:rsidR="00DF7552" w:rsidRPr="00DF7552" w:rsidP="00DF7552" w14:paraId="3C59E0A7"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36</w:t>
            </w:r>
          </w:p>
        </w:tc>
        <w:tc>
          <w:tcPr>
            <w:tcW w:w="1105" w:type="dxa"/>
          </w:tcPr>
          <w:p w:rsidR="00DF7552" w:rsidRPr="00DF7552" w:rsidP="00DF7552" w14:paraId="5F0C4081" w14:textId="47C7C4FC">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$2,</w:t>
            </w:r>
            <w:r w:rsidR="00FD3A1F">
              <w:rPr>
                <w:rFonts w:ascii="Arial" w:eastAsia="Times New Roman" w:hAnsi="Arial" w:cs="Arial"/>
                <w:snapToGrid w:val="0"/>
                <w:sz w:val="18"/>
                <w:szCs w:val="18"/>
              </w:rPr>
              <w:t>052</w:t>
            </w:r>
          </w:p>
        </w:tc>
      </w:tr>
      <w:tr w14:paraId="7EC54916" w14:textId="77777777" w:rsidTr="00032D85">
        <w:tblPrEx>
          <w:tblW w:w="8511" w:type="dxa"/>
          <w:jc w:val="center"/>
          <w:tblLayout w:type="fixed"/>
          <w:tblLook w:val="01E0"/>
        </w:tblPrEx>
        <w:trPr>
          <w:trHeight w:val="288"/>
          <w:jc w:val="center"/>
        </w:trPr>
        <w:tc>
          <w:tcPr>
            <w:tcW w:w="2636" w:type="dxa"/>
            <w:shd w:val="clear" w:color="auto" w:fill="auto"/>
          </w:tcPr>
          <w:p w:rsidR="00DF7552" w:rsidRPr="00DF7552" w:rsidP="00DF7552" w14:paraId="2D112CF2" w14:textId="77777777">
            <w:pPr>
              <w:keepNext/>
              <w:keepLines/>
              <w:spacing w:after="0" w:line="240" w:lineRule="auto"/>
              <w:jc w:val="right"/>
              <w:rPr>
                <w:rFonts w:ascii="Arial" w:eastAsia="Times New Roman" w:hAnsi="Arial" w:cs="Arial"/>
                <w:b/>
                <w:snapToGrid w:val="0"/>
                <w:sz w:val="18"/>
                <w:szCs w:val="18"/>
              </w:rPr>
            </w:pPr>
            <w:r w:rsidRPr="00DF7552">
              <w:rPr>
                <w:rFonts w:ascii="Arial" w:eastAsia="Times New Roman" w:hAnsi="Arial" w:cs="Arial"/>
                <w:b/>
                <w:snapToGrid w:val="0"/>
                <w:sz w:val="18"/>
                <w:szCs w:val="18"/>
              </w:rPr>
              <w:t>Subtotals</w:t>
            </w:r>
          </w:p>
        </w:tc>
        <w:tc>
          <w:tcPr>
            <w:tcW w:w="1350" w:type="dxa"/>
            <w:shd w:val="clear" w:color="auto" w:fill="auto"/>
          </w:tcPr>
          <w:p w:rsidR="00DF7552" w:rsidRPr="00DF7552" w:rsidP="00DF7552" w14:paraId="06F60E38" w14:textId="77777777">
            <w:pPr>
              <w:keepNext/>
              <w:keepLines/>
              <w:spacing w:after="0" w:line="240" w:lineRule="auto"/>
              <w:rPr>
                <w:rFonts w:ascii="Arial" w:eastAsia="Times New Roman" w:hAnsi="Arial" w:cs="Arial"/>
                <w:snapToGrid w:val="0"/>
                <w:sz w:val="18"/>
                <w:szCs w:val="18"/>
              </w:rPr>
            </w:pPr>
          </w:p>
        </w:tc>
        <w:tc>
          <w:tcPr>
            <w:tcW w:w="1170" w:type="dxa"/>
            <w:shd w:val="clear" w:color="auto" w:fill="auto"/>
          </w:tcPr>
          <w:p w:rsidR="00DF7552" w:rsidRPr="00DF7552" w:rsidP="00DF7552" w14:paraId="288C26B4" w14:textId="77777777">
            <w:pPr>
              <w:keepNext/>
              <w:keepLines/>
              <w:spacing w:after="0" w:line="240" w:lineRule="auto"/>
              <w:rPr>
                <w:rFonts w:ascii="Arial" w:eastAsia="Times New Roman" w:hAnsi="Arial" w:cs="Arial"/>
                <w:snapToGrid w:val="0"/>
                <w:sz w:val="18"/>
                <w:szCs w:val="18"/>
              </w:rPr>
            </w:pPr>
          </w:p>
        </w:tc>
        <w:tc>
          <w:tcPr>
            <w:tcW w:w="1260" w:type="dxa"/>
            <w:shd w:val="clear" w:color="auto" w:fill="auto"/>
          </w:tcPr>
          <w:p w:rsidR="00DF7552" w:rsidRPr="00DF7552" w:rsidP="00DF7552" w14:paraId="23B58F40" w14:textId="77777777">
            <w:pPr>
              <w:keepNext/>
              <w:keepLines/>
              <w:spacing w:after="0" w:line="240" w:lineRule="auto"/>
              <w:jc w:val="right"/>
              <w:rPr>
                <w:rFonts w:ascii="Arial" w:eastAsia="Times New Roman" w:hAnsi="Arial" w:cs="Arial"/>
                <w:b/>
                <w:snapToGrid w:val="0"/>
                <w:sz w:val="18"/>
                <w:szCs w:val="18"/>
              </w:rPr>
            </w:pPr>
            <w:r w:rsidRPr="00DF7552">
              <w:rPr>
                <w:rFonts w:ascii="Arial" w:eastAsia="Times New Roman" w:hAnsi="Arial" w:cs="Arial"/>
                <w:b/>
                <w:snapToGrid w:val="0"/>
                <w:sz w:val="18"/>
                <w:szCs w:val="18"/>
              </w:rPr>
              <w:t>171</w:t>
            </w:r>
          </w:p>
        </w:tc>
        <w:tc>
          <w:tcPr>
            <w:tcW w:w="990" w:type="dxa"/>
            <w:shd w:val="clear" w:color="auto" w:fill="auto"/>
          </w:tcPr>
          <w:p w:rsidR="00DF7552" w:rsidRPr="00DF7552" w:rsidP="00DF7552" w14:paraId="07454526" w14:textId="77777777">
            <w:pPr>
              <w:keepNext/>
              <w:keepLines/>
              <w:spacing w:after="0" w:line="240" w:lineRule="auto"/>
              <w:jc w:val="right"/>
              <w:rPr>
                <w:rFonts w:ascii="Arial" w:eastAsia="Times New Roman" w:hAnsi="Arial" w:cs="Arial"/>
                <w:b/>
                <w:snapToGrid w:val="0"/>
                <w:sz w:val="18"/>
                <w:szCs w:val="18"/>
              </w:rPr>
            </w:pPr>
            <w:r w:rsidRPr="00DF7552">
              <w:rPr>
                <w:rFonts w:ascii="Arial" w:eastAsia="Times New Roman" w:hAnsi="Arial" w:cs="Arial"/>
                <w:b/>
                <w:snapToGrid w:val="0"/>
                <w:sz w:val="18"/>
                <w:szCs w:val="18"/>
              </w:rPr>
              <w:t>1,575</w:t>
            </w:r>
          </w:p>
        </w:tc>
        <w:tc>
          <w:tcPr>
            <w:tcW w:w="1105" w:type="dxa"/>
          </w:tcPr>
          <w:p w:rsidR="00DF7552" w:rsidRPr="00DF7552" w:rsidP="00DF7552" w14:paraId="077A6D71" w14:textId="54C6CF60">
            <w:pPr>
              <w:keepNext/>
              <w:keepLines/>
              <w:spacing w:after="0" w:line="240" w:lineRule="auto"/>
              <w:jc w:val="right"/>
              <w:rPr>
                <w:rFonts w:ascii="Arial" w:eastAsia="Times New Roman" w:hAnsi="Arial" w:cs="Arial"/>
                <w:b/>
                <w:snapToGrid w:val="0"/>
                <w:sz w:val="18"/>
                <w:szCs w:val="18"/>
              </w:rPr>
            </w:pPr>
            <w:r w:rsidRPr="00DF7552">
              <w:rPr>
                <w:rFonts w:ascii="Arial" w:eastAsia="Times New Roman" w:hAnsi="Arial" w:cs="Arial"/>
                <w:b/>
                <w:snapToGrid w:val="0"/>
                <w:sz w:val="18"/>
                <w:szCs w:val="18"/>
              </w:rPr>
              <w:t>$</w:t>
            </w:r>
            <w:r w:rsidR="00FD3A1F">
              <w:rPr>
                <w:rFonts w:ascii="Arial" w:eastAsia="Times New Roman" w:hAnsi="Arial" w:cs="Arial"/>
                <w:b/>
                <w:snapToGrid w:val="0"/>
                <w:sz w:val="18"/>
                <w:szCs w:val="18"/>
              </w:rPr>
              <w:t>89,775</w:t>
            </w:r>
          </w:p>
        </w:tc>
      </w:tr>
      <w:tr w14:paraId="01ED097E" w14:textId="77777777" w:rsidTr="00032D85">
        <w:tblPrEx>
          <w:tblW w:w="8511" w:type="dxa"/>
          <w:jc w:val="center"/>
          <w:tblLayout w:type="fixed"/>
          <w:tblLook w:val="01E0"/>
        </w:tblPrEx>
        <w:trPr>
          <w:trHeight w:val="288"/>
          <w:jc w:val="center"/>
        </w:trPr>
        <w:tc>
          <w:tcPr>
            <w:tcW w:w="2636" w:type="dxa"/>
            <w:shd w:val="clear" w:color="auto" w:fill="auto"/>
          </w:tcPr>
          <w:p w:rsidR="00DF7552" w:rsidRPr="00DF7552" w:rsidP="00DF7552" w14:paraId="7191C44E" w14:textId="77777777">
            <w:pPr>
              <w:keepNext/>
              <w:keepLines/>
              <w:spacing w:after="0" w:line="240" w:lineRule="auto"/>
              <w:rPr>
                <w:rFonts w:ascii="Arial" w:eastAsia="Times New Roman" w:hAnsi="Arial" w:cs="Arial"/>
                <w:b/>
                <w:snapToGrid w:val="0"/>
                <w:sz w:val="18"/>
                <w:szCs w:val="18"/>
              </w:rPr>
            </w:pPr>
            <w:r w:rsidRPr="00DF7552">
              <w:rPr>
                <w:rFonts w:ascii="Arial" w:eastAsia="Times New Roman" w:hAnsi="Arial" w:cs="Arial"/>
                <w:b/>
                <w:snapToGrid w:val="0"/>
                <w:sz w:val="18"/>
                <w:szCs w:val="18"/>
              </w:rPr>
              <w:t>5. Recordkeeping</w:t>
            </w:r>
          </w:p>
          <w:p w:rsidR="00DF7552" w:rsidRPr="00DF7552" w:rsidP="00DF7552" w14:paraId="0024D329" w14:textId="77777777">
            <w:pPr>
              <w:keepNext/>
              <w:keepLines/>
              <w:spacing w:after="0" w:line="240" w:lineRule="auto"/>
              <w:rPr>
                <w:rFonts w:ascii="Arial" w:eastAsia="Times New Roman" w:hAnsi="Arial" w:cs="Arial"/>
                <w:b/>
                <w:snapToGrid w:val="0"/>
                <w:sz w:val="18"/>
                <w:szCs w:val="18"/>
              </w:rPr>
            </w:pPr>
            <w:r w:rsidRPr="00DF7552">
              <w:rPr>
                <w:rFonts w:ascii="Arial" w:eastAsia="Times New Roman" w:hAnsi="Arial" w:cs="Arial"/>
                <w:snapToGrid w:val="0"/>
                <w:sz w:val="18"/>
                <w:szCs w:val="18"/>
              </w:rPr>
              <w:t>(§ 1220.030)</w:t>
            </w:r>
          </w:p>
        </w:tc>
        <w:tc>
          <w:tcPr>
            <w:tcW w:w="1350" w:type="dxa"/>
            <w:shd w:val="clear" w:color="auto" w:fill="auto"/>
          </w:tcPr>
          <w:p w:rsidR="00DF7552" w:rsidRPr="00DF7552" w:rsidP="00DF7552" w14:paraId="1FC571E3"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Mandatory</w:t>
            </w:r>
          </w:p>
        </w:tc>
        <w:tc>
          <w:tcPr>
            <w:tcW w:w="1170" w:type="dxa"/>
            <w:shd w:val="clear" w:color="auto" w:fill="auto"/>
          </w:tcPr>
          <w:p w:rsidR="00DF7552" w:rsidRPr="00DF7552" w:rsidP="00DF7552" w14:paraId="74AEC876" w14:textId="77777777">
            <w:pPr>
              <w:keepNext/>
              <w:keepLines/>
              <w:spacing w:after="0" w:line="240" w:lineRule="auto"/>
              <w:rPr>
                <w:rFonts w:ascii="Arial" w:eastAsia="Times New Roman" w:hAnsi="Arial" w:cs="Arial"/>
                <w:snapToGrid w:val="0"/>
                <w:sz w:val="18"/>
                <w:szCs w:val="18"/>
              </w:rPr>
            </w:pPr>
            <w:r w:rsidRPr="00DF7552">
              <w:rPr>
                <w:rFonts w:ascii="Arial" w:eastAsia="Times New Roman" w:hAnsi="Arial" w:cs="Arial"/>
                <w:snapToGrid w:val="0"/>
                <w:sz w:val="18"/>
                <w:szCs w:val="18"/>
              </w:rPr>
              <w:t>As requested</w:t>
            </w:r>
          </w:p>
        </w:tc>
        <w:tc>
          <w:tcPr>
            <w:tcW w:w="1260" w:type="dxa"/>
            <w:shd w:val="clear" w:color="auto" w:fill="auto"/>
          </w:tcPr>
          <w:p w:rsidR="00DF7552" w:rsidRPr="00DF7552" w:rsidP="00DF7552" w14:paraId="704D4B87"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9</w:t>
            </w:r>
          </w:p>
        </w:tc>
        <w:tc>
          <w:tcPr>
            <w:tcW w:w="990" w:type="dxa"/>
            <w:shd w:val="clear" w:color="auto" w:fill="auto"/>
          </w:tcPr>
          <w:p w:rsidR="00DF7552" w:rsidRPr="00DF7552" w:rsidP="00DF7552" w14:paraId="60577333"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9</w:t>
            </w:r>
          </w:p>
        </w:tc>
        <w:tc>
          <w:tcPr>
            <w:tcW w:w="1105" w:type="dxa"/>
          </w:tcPr>
          <w:p w:rsidR="00DF7552" w:rsidRPr="00DF7552" w:rsidP="00DF7552" w14:paraId="15EB60CB" w14:textId="0A2A0DB5">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snapToGrid w:val="0"/>
                <w:sz w:val="18"/>
                <w:szCs w:val="18"/>
              </w:rPr>
              <w:t>$5</w:t>
            </w:r>
            <w:r w:rsidR="00FD3A1F">
              <w:rPr>
                <w:rFonts w:ascii="Arial" w:eastAsia="Times New Roman" w:hAnsi="Arial" w:cs="Arial"/>
                <w:snapToGrid w:val="0"/>
                <w:sz w:val="18"/>
                <w:szCs w:val="18"/>
              </w:rPr>
              <w:t>13</w:t>
            </w:r>
          </w:p>
        </w:tc>
      </w:tr>
      <w:tr w14:paraId="0E614D49" w14:textId="77777777" w:rsidTr="00032D85">
        <w:tblPrEx>
          <w:tblW w:w="8511" w:type="dxa"/>
          <w:jc w:val="center"/>
          <w:tblLayout w:type="fixed"/>
          <w:tblLook w:val="01E0"/>
        </w:tblPrEx>
        <w:trPr>
          <w:trHeight w:val="288"/>
          <w:jc w:val="center"/>
        </w:trPr>
        <w:tc>
          <w:tcPr>
            <w:tcW w:w="5156" w:type="dxa"/>
            <w:gridSpan w:val="3"/>
            <w:shd w:val="clear" w:color="auto" w:fill="auto"/>
            <w:vAlign w:val="center"/>
          </w:tcPr>
          <w:p w:rsidR="00DF7552" w:rsidRPr="00DF7552" w:rsidP="00DF7552" w14:paraId="7D91CDA8" w14:textId="77777777">
            <w:pPr>
              <w:keepNext/>
              <w:keepLines/>
              <w:spacing w:after="0" w:line="240" w:lineRule="auto"/>
              <w:jc w:val="right"/>
              <w:rPr>
                <w:rFonts w:ascii="Arial" w:eastAsia="Times New Roman" w:hAnsi="Arial" w:cs="Arial"/>
                <w:snapToGrid w:val="0"/>
                <w:sz w:val="18"/>
                <w:szCs w:val="18"/>
              </w:rPr>
            </w:pPr>
            <w:r w:rsidRPr="00DF7552">
              <w:rPr>
                <w:rFonts w:ascii="Arial" w:eastAsia="Times New Roman" w:hAnsi="Arial" w:cs="Arial"/>
                <w:b/>
                <w:snapToGrid w:val="0"/>
                <w:sz w:val="18"/>
                <w:szCs w:val="18"/>
              </w:rPr>
              <w:t>TOTAL</w:t>
            </w:r>
          </w:p>
        </w:tc>
        <w:tc>
          <w:tcPr>
            <w:tcW w:w="1260" w:type="dxa"/>
            <w:shd w:val="clear" w:color="auto" w:fill="auto"/>
            <w:vAlign w:val="center"/>
          </w:tcPr>
          <w:p w:rsidR="00DF7552" w:rsidRPr="00DF7552" w:rsidP="00DF7552" w14:paraId="5D8BB0A6" w14:textId="77777777">
            <w:pPr>
              <w:keepNext/>
              <w:keepLines/>
              <w:spacing w:after="0" w:line="240" w:lineRule="auto"/>
              <w:jc w:val="right"/>
              <w:rPr>
                <w:rFonts w:ascii="Arial" w:eastAsia="Times New Roman" w:hAnsi="Arial" w:cs="Arial"/>
                <w:b/>
                <w:snapToGrid w:val="0"/>
                <w:sz w:val="18"/>
                <w:szCs w:val="18"/>
              </w:rPr>
            </w:pPr>
            <w:r w:rsidRPr="00DF7552">
              <w:rPr>
                <w:rFonts w:ascii="Arial" w:eastAsia="Times New Roman" w:hAnsi="Arial" w:cs="Arial"/>
                <w:b/>
                <w:snapToGrid w:val="0"/>
                <w:sz w:val="18"/>
                <w:szCs w:val="18"/>
              </w:rPr>
              <w:t>180</w:t>
            </w:r>
          </w:p>
        </w:tc>
        <w:tc>
          <w:tcPr>
            <w:tcW w:w="990" w:type="dxa"/>
            <w:shd w:val="clear" w:color="auto" w:fill="auto"/>
            <w:vAlign w:val="center"/>
          </w:tcPr>
          <w:p w:rsidR="00DF7552" w:rsidRPr="00DF7552" w:rsidP="00DF7552" w14:paraId="5304C292" w14:textId="77777777">
            <w:pPr>
              <w:keepNext/>
              <w:keepLines/>
              <w:spacing w:after="0" w:line="240" w:lineRule="auto"/>
              <w:jc w:val="right"/>
              <w:rPr>
                <w:rFonts w:ascii="Arial" w:eastAsia="Times New Roman" w:hAnsi="Arial" w:cs="Arial"/>
                <w:b/>
                <w:snapToGrid w:val="0"/>
                <w:sz w:val="18"/>
                <w:szCs w:val="18"/>
              </w:rPr>
            </w:pPr>
            <w:r w:rsidRPr="00DF7552">
              <w:rPr>
                <w:rFonts w:ascii="Arial" w:eastAsia="Times New Roman" w:hAnsi="Arial" w:cs="Arial"/>
                <w:b/>
                <w:snapToGrid w:val="0"/>
                <w:sz w:val="18"/>
                <w:szCs w:val="18"/>
              </w:rPr>
              <w:t>1,584</w:t>
            </w:r>
          </w:p>
        </w:tc>
        <w:tc>
          <w:tcPr>
            <w:tcW w:w="1105" w:type="dxa"/>
            <w:vAlign w:val="center"/>
          </w:tcPr>
          <w:p w:rsidR="00DF7552" w:rsidRPr="00DF7552" w:rsidP="00DF7552" w14:paraId="78A934F3" w14:textId="61AFBA88">
            <w:pPr>
              <w:keepNext/>
              <w:keepLines/>
              <w:spacing w:after="0" w:line="240" w:lineRule="auto"/>
              <w:jc w:val="right"/>
              <w:rPr>
                <w:rFonts w:ascii="Arial" w:eastAsia="Times New Roman" w:hAnsi="Arial" w:cs="Arial"/>
                <w:b/>
                <w:snapToGrid w:val="0"/>
                <w:sz w:val="18"/>
                <w:szCs w:val="18"/>
              </w:rPr>
            </w:pPr>
            <w:r w:rsidRPr="00DF7552">
              <w:rPr>
                <w:rFonts w:ascii="Arial" w:eastAsia="Times New Roman" w:hAnsi="Arial" w:cs="Arial"/>
                <w:b/>
                <w:snapToGrid w:val="0"/>
                <w:sz w:val="18"/>
                <w:szCs w:val="18"/>
              </w:rPr>
              <w:t>$</w:t>
            </w:r>
            <w:r w:rsidR="002C4876">
              <w:rPr>
                <w:rFonts w:ascii="Arial" w:eastAsia="Times New Roman" w:hAnsi="Arial" w:cs="Arial"/>
                <w:b/>
                <w:snapToGrid w:val="0"/>
                <w:sz w:val="18"/>
                <w:szCs w:val="18"/>
              </w:rPr>
              <w:t>9</w:t>
            </w:r>
            <w:r w:rsidR="00FD3A1F">
              <w:rPr>
                <w:rFonts w:ascii="Arial" w:eastAsia="Times New Roman" w:hAnsi="Arial" w:cs="Arial"/>
                <w:b/>
                <w:snapToGrid w:val="0"/>
                <w:sz w:val="18"/>
                <w:szCs w:val="18"/>
              </w:rPr>
              <w:t>0,288</w:t>
            </w:r>
          </w:p>
        </w:tc>
      </w:tr>
    </w:tbl>
    <w:p w:rsidR="00DF7552" w:rsidRPr="00DF7552" w:rsidP="00DF7552" w14:paraId="45DE9880" w14:textId="77777777">
      <w:pPr>
        <w:keepNext/>
        <w:keepLines/>
        <w:spacing w:after="0" w:line="240" w:lineRule="auto"/>
        <w:ind w:left="1033" w:firstLine="407"/>
        <w:jc w:val="both"/>
        <w:rPr>
          <w:rFonts w:ascii="Arial" w:eastAsia="Times New Roman" w:hAnsi="Arial" w:cs="Arial"/>
          <w:snapToGrid w:val="0"/>
          <w:sz w:val="18"/>
          <w:szCs w:val="18"/>
        </w:rPr>
      </w:pPr>
      <w:r w:rsidRPr="00DF7552">
        <w:rPr>
          <w:rFonts w:ascii="Arial" w:eastAsia="Times New Roman" w:hAnsi="Arial" w:cs="Arial"/>
          <w:snapToGrid w:val="0"/>
          <w:sz w:val="18"/>
          <w:szCs w:val="18"/>
        </w:rPr>
        <w:t>*See Burden Breakdown table for complete citation.</w:t>
      </w:r>
    </w:p>
    <w:p w:rsidR="00DF7552" w:rsidRPr="00DF7552" w:rsidP="00DF7552" w14:paraId="078D3C12" w14:textId="77777777">
      <w:pPr>
        <w:widowControl w:val="0"/>
        <w:spacing w:after="0" w:line="240" w:lineRule="auto"/>
        <w:rPr>
          <w:rFonts w:ascii="Times New Roman" w:eastAsia="Times New Roman" w:hAnsi="Times New Roman" w:cs="Times New Roman"/>
          <w:snapToGrid w:val="0"/>
          <w:sz w:val="24"/>
          <w:szCs w:val="24"/>
        </w:rPr>
      </w:pPr>
    </w:p>
    <w:p w:rsidR="00FD3A1F" w:rsidRPr="00FD3A1F" w:rsidP="00FD3A1F" w14:paraId="510B2626" w14:textId="105A567B">
      <w:pPr>
        <w:widowControl w:val="0"/>
        <w:tabs>
          <w:tab w:val="left" w:pos="-1080"/>
          <w:tab w:val="left" w:pos="-720"/>
          <w:tab w:val="left" w:pos="360"/>
          <w:tab w:val="left" w:pos="810"/>
        </w:tabs>
        <w:spacing w:line="240" w:lineRule="auto"/>
        <w:rPr>
          <w:rFonts w:ascii="Times New Roman" w:hAnsi="Times New Roman" w:cs="Times New Roman"/>
          <w:bCs/>
          <w:sz w:val="24"/>
          <w:szCs w:val="24"/>
        </w:rPr>
      </w:pPr>
      <w:r w:rsidRPr="00FD3A1F">
        <w:rPr>
          <w:rFonts w:ascii="Times New Roman" w:hAnsi="Times New Roman" w:cs="Times New Roman"/>
          <w:bCs/>
          <w:sz w:val="24"/>
          <w:szCs w:val="24"/>
        </w:rPr>
        <w:t xml:space="preserve">ONRR expects that an industry accountant will perform all the work. ONRR estimates the total annual reporting burden is </w:t>
      </w:r>
      <w:r>
        <w:rPr>
          <w:rFonts w:ascii="Times New Roman" w:hAnsi="Times New Roman" w:cs="Times New Roman"/>
          <w:bCs/>
          <w:sz w:val="24"/>
          <w:szCs w:val="24"/>
        </w:rPr>
        <w:t>1,584</w:t>
      </w:r>
      <w:r w:rsidRPr="00FD3A1F">
        <w:rPr>
          <w:rFonts w:ascii="Times New Roman" w:hAnsi="Times New Roman" w:cs="Times New Roman"/>
          <w:bCs/>
          <w:sz w:val="24"/>
          <w:szCs w:val="24"/>
        </w:rPr>
        <w:t xml:space="preserve"> hours. ONRR used the Bureau of Labor Statistics (BLS) National Occupational Employment and Wage Estimates (available at </w:t>
      </w:r>
      <w:r w:rsidRPr="00FD3A1F">
        <w:rPr>
          <w:rFonts w:ascii="Times New Roman" w:hAnsi="Times New Roman" w:cs="Times New Roman"/>
          <w:bCs/>
          <w:i/>
          <w:sz w:val="24"/>
          <w:szCs w:val="24"/>
        </w:rPr>
        <w:t>http://www.bls.gov/oes/current/oes132011.htm</w:t>
      </w:r>
      <w:r w:rsidRPr="00FD3A1F">
        <w:rPr>
          <w:rFonts w:ascii="Times New Roman" w:hAnsi="Times New Roman" w:cs="Times New Roman"/>
          <w:bCs/>
          <w:sz w:val="24"/>
          <w:szCs w:val="24"/>
        </w:rPr>
        <w:t>)</w:t>
      </w:r>
      <w:r w:rsidRPr="00FD3A1F">
        <w:rPr>
          <w:rFonts w:ascii="Times New Roman" w:hAnsi="Times New Roman" w:cs="Times New Roman"/>
          <w:bCs/>
          <w:i/>
          <w:sz w:val="24"/>
          <w:szCs w:val="24"/>
        </w:rPr>
        <w:t xml:space="preserve"> </w:t>
      </w:r>
      <w:r w:rsidRPr="00FD3A1F">
        <w:rPr>
          <w:rFonts w:ascii="Times New Roman" w:hAnsi="Times New Roman" w:cs="Times New Roman"/>
          <w:bCs/>
          <w:sz w:val="24"/>
          <w:szCs w:val="24"/>
        </w:rPr>
        <w:t xml:space="preserve">to estimate the hourly cost for industry accountants in various United States locations. ONRR used a multiplier of 1.4 for benefits, based on this information; ONRR estimates the hourly cost for an industry accountant would be $57, calculated as follows: </w:t>
      </w:r>
    </w:p>
    <w:p w:rsidR="00FD3A1F" w:rsidRPr="00FD3A1F" w:rsidP="00FD3A1F" w14:paraId="2A764649" w14:textId="77777777">
      <w:pPr>
        <w:widowControl w:val="0"/>
        <w:tabs>
          <w:tab w:val="left" w:pos="-1080"/>
          <w:tab w:val="left" w:pos="-720"/>
          <w:tab w:val="left" w:pos="360"/>
          <w:tab w:val="left" w:pos="810"/>
        </w:tabs>
        <w:spacing w:line="240" w:lineRule="auto"/>
        <w:rPr>
          <w:rFonts w:ascii="Times New Roman" w:hAnsi="Times New Roman" w:cs="Times New Roman"/>
          <w:bCs/>
          <w:sz w:val="24"/>
          <w:szCs w:val="24"/>
        </w:rPr>
      </w:pPr>
      <w:r w:rsidRPr="00FD3A1F">
        <w:rPr>
          <w:rFonts w:ascii="Times New Roman" w:hAnsi="Times New Roman" w:cs="Times New Roman"/>
          <w:bCs/>
          <w:sz w:val="24"/>
          <w:szCs w:val="24"/>
        </w:rPr>
        <w:t>$40.37 [mean hourly wage] x 1.4 [benefits cost factor] = $56.52 [rounded to $57/hr.]</w:t>
      </w:r>
    </w:p>
    <w:p w:rsidR="00FD3A1F" w:rsidRPr="00FD3A1F" w:rsidP="00FD3A1F" w14:paraId="5CAABA13" w14:textId="5B5D82EA">
      <w:pPr>
        <w:widowControl w:val="0"/>
        <w:tabs>
          <w:tab w:val="left" w:pos="-1080"/>
          <w:tab w:val="left" w:pos="-720"/>
          <w:tab w:val="left" w:pos="360"/>
          <w:tab w:val="left" w:pos="810"/>
        </w:tabs>
        <w:spacing w:line="240" w:lineRule="auto"/>
        <w:rPr>
          <w:rFonts w:ascii="Times New Roman" w:hAnsi="Times New Roman" w:cs="Times New Roman"/>
          <w:bCs/>
          <w:sz w:val="24"/>
          <w:szCs w:val="24"/>
        </w:rPr>
      </w:pPr>
      <w:r w:rsidRPr="00FD3A1F">
        <w:rPr>
          <w:rFonts w:ascii="Times New Roman" w:hAnsi="Times New Roman" w:cs="Times New Roman"/>
          <w:bCs/>
          <w:sz w:val="24"/>
          <w:szCs w:val="24"/>
        </w:rPr>
        <w:t>ONRR estimate the total annual cost to industry is $</w:t>
      </w:r>
      <w:r>
        <w:rPr>
          <w:rFonts w:ascii="Times New Roman" w:hAnsi="Times New Roman" w:cs="Times New Roman"/>
          <w:bCs/>
          <w:sz w:val="24"/>
          <w:szCs w:val="24"/>
        </w:rPr>
        <w:t>90,288</w:t>
      </w:r>
      <w:r w:rsidRPr="00FD3A1F">
        <w:rPr>
          <w:rFonts w:ascii="Times New Roman" w:hAnsi="Times New Roman" w:cs="Times New Roman"/>
          <w:bCs/>
          <w:sz w:val="24"/>
          <w:szCs w:val="24"/>
        </w:rPr>
        <w:t xml:space="preserve"> as follows:</w:t>
      </w:r>
    </w:p>
    <w:p w:rsidR="00FD3A1F" w:rsidP="00FD3A1F" w14:paraId="62F1AF45" w14:textId="0A96E2CF">
      <w:pPr>
        <w:ind w:firstLine="360"/>
        <w:rPr>
          <w:rFonts w:ascii="Times New Roman" w:hAnsi="Times New Roman"/>
          <w:sz w:val="24"/>
          <w:szCs w:val="28"/>
        </w:rPr>
      </w:pPr>
      <w:r w:rsidRPr="00FD3A1F">
        <w:rPr>
          <w:rFonts w:ascii="Times New Roman" w:hAnsi="Times New Roman"/>
          <w:sz w:val="24"/>
          <w:szCs w:val="28"/>
        </w:rPr>
        <w:t>ONRR estimates the total annual reporting burden are 1,584 hours. Based on a cost factor of $5</w:t>
      </w:r>
      <w:r>
        <w:rPr>
          <w:rFonts w:ascii="Times New Roman" w:hAnsi="Times New Roman"/>
          <w:sz w:val="24"/>
          <w:szCs w:val="28"/>
        </w:rPr>
        <w:t>7</w:t>
      </w:r>
      <w:r w:rsidRPr="00FD3A1F">
        <w:rPr>
          <w:rFonts w:ascii="Times New Roman" w:hAnsi="Times New Roman"/>
          <w:sz w:val="24"/>
          <w:szCs w:val="28"/>
        </w:rPr>
        <w:t xml:space="preserve"> per hour for industry accountants, ONRR estimates the total annual cost to industry is </w:t>
      </w:r>
      <w:r w:rsidRPr="00FD3A1F">
        <w:rPr>
          <w:rFonts w:ascii="Times New Roman" w:hAnsi="Times New Roman"/>
          <w:sz w:val="24"/>
          <w:szCs w:val="28"/>
        </w:rPr>
        <w:t>$9</w:t>
      </w:r>
      <w:r>
        <w:rPr>
          <w:rFonts w:ascii="Times New Roman" w:hAnsi="Times New Roman"/>
          <w:sz w:val="24"/>
          <w:szCs w:val="28"/>
        </w:rPr>
        <w:t>0,288</w:t>
      </w:r>
      <w:r w:rsidRPr="00FD3A1F">
        <w:rPr>
          <w:rFonts w:ascii="Times New Roman" w:hAnsi="Times New Roman"/>
          <w:sz w:val="24"/>
          <w:szCs w:val="28"/>
        </w:rPr>
        <w:t xml:space="preserve"> [$5</w:t>
      </w:r>
      <w:r>
        <w:rPr>
          <w:rFonts w:ascii="Times New Roman" w:hAnsi="Times New Roman"/>
          <w:sz w:val="24"/>
          <w:szCs w:val="28"/>
        </w:rPr>
        <w:t>7</w:t>
      </w:r>
      <w:r w:rsidRPr="00FD3A1F">
        <w:rPr>
          <w:rFonts w:ascii="Times New Roman" w:hAnsi="Times New Roman"/>
          <w:sz w:val="24"/>
          <w:szCs w:val="28"/>
        </w:rPr>
        <w:t xml:space="preserve"> x 1,584 hours = $</w:t>
      </w:r>
      <w:r>
        <w:rPr>
          <w:rFonts w:ascii="Times New Roman" w:hAnsi="Times New Roman"/>
          <w:sz w:val="24"/>
          <w:szCs w:val="28"/>
        </w:rPr>
        <w:t>90,288</w:t>
      </w:r>
      <w:r w:rsidRPr="00FD3A1F">
        <w:rPr>
          <w:rFonts w:ascii="Times New Roman" w:hAnsi="Times New Roman"/>
          <w:sz w:val="24"/>
          <w:szCs w:val="28"/>
        </w:rPr>
        <w:t xml:space="preserve">]. The respondents submit their responses </w:t>
      </w:r>
      <w:r w:rsidRPr="00FD3A1F">
        <w:rPr>
          <w:rFonts w:ascii="Times New Roman" w:hAnsi="Times New Roman"/>
          <w:sz w:val="24"/>
          <w:szCs w:val="24"/>
        </w:rPr>
        <w:t>annually, monthly, and o</w:t>
      </w:r>
      <w:r w:rsidRPr="00FD3A1F">
        <w:rPr>
          <w:rFonts w:ascii="Times New Roman" w:hAnsi="Times New Roman"/>
          <w:sz w:val="24"/>
          <w:szCs w:val="28"/>
        </w:rPr>
        <w:t>n occasion.</w:t>
      </w:r>
    </w:p>
    <w:p w:rsidR="00824212" w:rsidRPr="00FD3A1F" w:rsidP="00824212" w14:paraId="5987D1C6" w14:textId="3F8F496F">
      <w:pPr>
        <w:rPr>
          <w:rFonts w:ascii="Times New Roman" w:hAnsi="Times New Roman"/>
          <w:sz w:val="24"/>
          <w:szCs w:val="28"/>
        </w:rPr>
      </w:pPr>
      <w:r w:rsidRPr="00824212">
        <w:rPr>
          <w:rFonts w:ascii="Times New Roman" w:hAnsi="Times New Roman"/>
          <w:sz w:val="24"/>
          <w:szCs w:val="28"/>
        </w:rPr>
        <w:t>1,584 hours [reporting hours] x $57 [for industry accountants] = $90,288</w:t>
      </w:r>
    </w:p>
    <w:p w:rsidR="00DF7552" w:rsidRPr="00DF7552" w:rsidP="00DF7552" w14:paraId="0418E2B2" w14:textId="77777777">
      <w:pPr>
        <w:widowControl w:val="0"/>
        <w:spacing w:after="0" w:line="240" w:lineRule="auto"/>
        <w:ind w:firstLine="360"/>
        <w:rPr>
          <w:rFonts w:ascii="Times New Roman" w:eastAsia="Times New Roman" w:hAnsi="Times New Roman" w:cs="Times New Roman"/>
          <w:snapToGrid w:val="0"/>
          <w:sz w:val="24"/>
          <w:szCs w:val="24"/>
        </w:rPr>
      </w:pPr>
    </w:p>
    <w:p w:rsidR="00DF7552" w:rsidRPr="00DF7552" w:rsidP="00DF7552" w14:paraId="49BD83E1" w14:textId="77777777">
      <w:pPr>
        <w:widowControl w:val="0"/>
        <w:spacing w:after="0" w:line="240" w:lineRule="auto"/>
        <w:ind w:firstLine="360"/>
        <w:rPr>
          <w:rFonts w:ascii="Times New Roman" w:eastAsia="Times New Roman" w:hAnsi="Times New Roman" w:cs="Times New Roman"/>
          <w:snapToGrid w:val="0"/>
          <w:sz w:val="24"/>
          <w:szCs w:val="24"/>
        </w:rPr>
      </w:pPr>
      <w:r w:rsidRPr="00DF7552">
        <w:rPr>
          <w:rFonts w:ascii="Times New Roman" w:eastAsia="Times New Roman" w:hAnsi="Times New Roman" w:cs="Times New Roman"/>
          <w:snapToGrid w:val="0"/>
          <w:sz w:val="24"/>
          <w:szCs w:val="24"/>
        </w:rPr>
        <w:t>The following table shows the estimated burden hours by CFR section and paragraph.</w:t>
      </w:r>
    </w:p>
    <w:p w:rsidR="00DF7552" w:rsidRPr="00DF7552" w:rsidP="00DF7552" w14:paraId="067937F1" w14:textId="77777777">
      <w:pPr>
        <w:keepNext/>
        <w:keepLines/>
        <w:tabs>
          <w:tab w:val="left" w:pos="-1080"/>
          <w:tab w:val="left" w:pos="-720"/>
          <w:tab w:val="left" w:pos="0"/>
          <w:tab w:val="left" w:pos="360"/>
          <w:tab w:val="left" w:pos="810"/>
          <w:tab w:val="left" w:pos="2160"/>
        </w:tabs>
        <w:spacing w:after="0" w:line="240" w:lineRule="auto"/>
        <w:jc w:val="center"/>
        <w:rPr>
          <w:rFonts w:ascii="Times New Roman" w:eastAsia="Times New Roman" w:hAnsi="Times New Roman" w:cs="Times New Roman"/>
          <w:b/>
          <w:snapToGrid w:val="0"/>
        </w:rPr>
      </w:pPr>
    </w:p>
    <w:p w:rsidR="00DF7552" w:rsidRPr="00DF7552" w:rsidP="00DF7552" w14:paraId="7363CCEC" w14:textId="77777777">
      <w:pPr>
        <w:keepNext/>
        <w:keepLines/>
        <w:tabs>
          <w:tab w:val="left" w:pos="-1080"/>
          <w:tab w:val="left" w:pos="-720"/>
          <w:tab w:val="left" w:pos="0"/>
          <w:tab w:val="left" w:pos="360"/>
          <w:tab w:val="left" w:pos="810"/>
          <w:tab w:val="left" w:pos="2160"/>
        </w:tab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SECTION A.12 BURDEN HOUR DETAIL</w:t>
      </w:r>
    </w:p>
    <w:p w:rsidR="00DF7552" w:rsidRPr="00DF7552" w:rsidP="00DF7552" w14:paraId="56B978A9" w14:textId="77777777">
      <w:pPr>
        <w:keepNext/>
        <w:keepLines/>
        <w:tabs>
          <w:tab w:val="left" w:pos="-1080"/>
          <w:tab w:val="left" w:pos="-720"/>
          <w:tab w:val="left" w:pos="0"/>
          <w:tab w:val="left" w:pos="360"/>
          <w:tab w:val="left" w:pos="810"/>
          <w:tab w:val="left" w:pos="2160"/>
        </w:tabs>
        <w:spacing w:after="0" w:line="240" w:lineRule="auto"/>
        <w:jc w:val="center"/>
        <w:rPr>
          <w:rFonts w:ascii="Arial" w:eastAsia="Times New Roman" w:hAnsi="Arial" w:cs="Arial"/>
          <w:b/>
          <w:snapToGrid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36" w:type="dxa"/>
          <w:right w:w="136" w:type="dxa"/>
        </w:tblCellMar>
        <w:tblLook w:val="0000"/>
      </w:tblPr>
      <w:tblGrid>
        <w:gridCol w:w="1520"/>
        <w:gridCol w:w="64"/>
        <w:gridCol w:w="3441"/>
        <w:gridCol w:w="972"/>
        <w:gridCol w:w="1829"/>
        <w:gridCol w:w="1524"/>
      </w:tblGrid>
      <w:tr w14:paraId="74136A28" w14:textId="77777777" w:rsidTr="00032D85">
        <w:tblPrEx>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36" w:type="dxa"/>
            <w:right w:w="136" w:type="dxa"/>
          </w:tblCellMar>
          <w:tblLook w:val="0000"/>
        </w:tblPrEx>
        <w:trPr>
          <w:trHeight w:val="146"/>
          <w:tblHeader/>
        </w:trPr>
        <w:tc>
          <w:tcPr>
            <w:tcW w:w="847" w:type="pct"/>
            <w:gridSpan w:val="2"/>
            <w:tcBorders>
              <w:top w:val="single" w:sz="4" w:space="0" w:color="auto"/>
              <w:left w:val="single" w:sz="4" w:space="0" w:color="auto"/>
              <w:bottom w:val="single" w:sz="4" w:space="0" w:color="000000"/>
            </w:tcBorders>
            <w:shd w:val="pct10" w:color="000000" w:fill="FFFFFF"/>
            <w:vAlign w:val="center"/>
          </w:tcPr>
          <w:p w:rsidR="00DF7552" w:rsidRPr="00DF7552" w:rsidP="00DF7552" w14:paraId="2456E036"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Citation</w:t>
            </w:r>
          </w:p>
          <w:p w:rsidR="00DF7552" w:rsidRPr="00DF7552" w:rsidP="00DF7552" w14:paraId="33E431EA"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30 CFR 1220</w:t>
            </w:r>
          </w:p>
        </w:tc>
        <w:tc>
          <w:tcPr>
            <w:tcW w:w="1840" w:type="pct"/>
            <w:tcBorders>
              <w:top w:val="single" w:sz="4" w:space="0" w:color="auto"/>
              <w:bottom w:val="single" w:sz="4" w:space="0" w:color="000000"/>
            </w:tcBorders>
            <w:shd w:val="pct10" w:color="000000" w:fill="FFFFFF"/>
            <w:vAlign w:val="center"/>
          </w:tcPr>
          <w:p w:rsidR="00DF7552" w:rsidRPr="00DF7552" w:rsidP="00DF7552" w14:paraId="545B9D9F"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Reporting &amp; Recordkeeping</w:t>
            </w:r>
          </w:p>
          <w:p w:rsidR="00DF7552" w:rsidRPr="00DF7552" w:rsidP="00DF7552" w14:paraId="59BABEC4"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Requirement</w:t>
            </w:r>
          </w:p>
        </w:tc>
        <w:tc>
          <w:tcPr>
            <w:tcW w:w="520" w:type="pct"/>
            <w:tcBorders>
              <w:top w:val="single" w:sz="4" w:space="0" w:color="auto"/>
              <w:bottom w:val="single" w:sz="4" w:space="0" w:color="000000"/>
            </w:tcBorders>
            <w:shd w:val="pct10" w:color="000000" w:fill="FFFFFF"/>
            <w:vAlign w:val="center"/>
          </w:tcPr>
          <w:p w:rsidR="00DF7552" w:rsidRPr="00DF7552" w:rsidP="00DF7552" w14:paraId="6C355585"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Hour Burden</w:t>
            </w:r>
          </w:p>
        </w:tc>
        <w:tc>
          <w:tcPr>
            <w:tcW w:w="978" w:type="pct"/>
            <w:tcBorders>
              <w:top w:val="single" w:sz="4" w:space="0" w:color="auto"/>
              <w:bottom w:val="single" w:sz="4" w:space="0" w:color="000000"/>
            </w:tcBorders>
            <w:shd w:val="pct10" w:color="000000" w:fill="FFFFFF"/>
            <w:vAlign w:val="center"/>
          </w:tcPr>
          <w:p w:rsidR="00DF7552" w:rsidRPr="00DF7552" w:rsidP="00DF7552" w14:paraId="551EB3DF"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Number of Annual Responses</w:t>
            </w:r>
          </w:p>
        </w:tc>
        <w:tc>
          <w:tcPr>
            <w:tcW w:w="815" w:type="pct"/>
            <w:tcBorders>
              <w:top w:val="single" w:sz="4" w:space="0" w:color="auto"/>
              <w:bottom w:val="single" w:sz="4" w:space="0" w:color="000000"/>
              <w:right w:val="single" w:sz="4" w:space="0" w:color="auto"/>
            </w:tcBorders>
            <w:shd w:val="pct10" w:color="000000" w:fill="FFFFFF"/>
            <w:vAlign w:val="center"/>
          </w:tcPr>
          <w:p w:rsidR="00DF7552" w:rsidRPr="00DF7552" w:rsidP="00DF7552" w14:paraId="15E742DD"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Annual</w:t>
            </w:r>
          </w:p>
          <w:p w:rsidR="00DF7552" w:rsidRPr="00DF7552" w:rsidP="00DF7552" w14:paraId="63FCCB62" w14:textId="77777777">
            <w:pPr>
              <w:keepNext/>
              <w:keepLines/>
              <w:spacing w:after="0" w:line="240" w:lineRule="auto"/>
              <w:jc w:val="center"/>
              <w:rPr>
                <w:rFonts w:ascii="Arial" w:eastAsia="Times New Roman" w:hAnsi="Arial" w:cs="Arial"/>
                <w:b/>
                <w:snapToGrid w:val="0"/>
                <w:sz w:val="18"/>
                <w:szCs w:val="18"/>
              </w:rPr>
            </w:pPr>
            <w:r w:rsidRPr="00DF7552">
              <w:rPr>
                <w:rFonts w:ascii="Arial" w:eastAsia="Times New Roman" w:hAnsi="Arial" w:cs="Arial"/>
                <w:b/>
                <w:snapToGrid w:val="0"/>
                <w:sz w:val="18"/>
                <w:szCs w:val="18"/>
              </w:rPr>
              <w:t>Burden Hours</w:t>
            </w:r>
          </w:p>
        </w:tc>
      </w:tr>
      <w:tr w14:paraId="786DE90D" w14:textId="77777777" w:rsidTr="00032D85">
        <w:tblPrEx>
          <w:tblW w:w="5000" w:type="pct"/>
          <w:tblLayout w:type="fixed"/>
          <w:tblCellMar>
            <w:left w:w="136" w:type="dxa"/>
            <w:right w:w="136" w:type="dxa"/>
          </w:tblCellMar>
          <w:tblLook w:val="0000"/>
        </w:tblPrEx>
        <w:trPr>
          <w:trHeight w:val="576"/>
        </w:trPr>
        <w:tc>
          <w:tcPr>
            <w:tcW w:w="5000" w:type="pct"/>
            <w:gridSpan w:val="6"/>
            <w:tcBorders>
              <w:top w:val="nil"/>
              <w:left w:val="single" w:sz="4" w:space="0" w:color="auto"/>
              <w:right w:val="single" w:sz="4" w:space="0" w:color="auto"/>
            </w:tcBorders>
            <w:vAlign w:val="center"/>
          </w:tcPr>
          <w:p w:rsidR="00DF7552" w:rsidRPr="00DF7552" w:rsidP="00DF7552" w14:paraId="27DC6E87" w14:textId="77777777">
            <w:pPr>
              <w:spacing w:after="0" w:line="240" w:lineRule="auto"/>
              <w:jc w:val="center"/>
              <w:rPr>
                <w:rFonts w:ascii="Times New Roman" w:eastAsia="Times New Roman" w:hAnsi="Times New Roman" w:cs="Times New Roman"/>
                <w:b/>
                <w:smallCaps/>
                <w:snapToGrid w:val="0"/>
                <w:sz w:val="20"/>
                <w:szCs w:val="20"/>
              </w:rPr>
            </w:pPr>
            <w:r w:rsidRPr="00DF7552">
              <w:rPr>
                <w:rFonts w:ascii="Times New Roman" w:eastAsia="Times New Roman" w:hAnsi="Times New Roman" w:cs="Times New Roman"/>
                <w:b/>
                <w:snapToGrid w:val="0"/>
                <w:sz w:val="20"/>
                <w:szCs w:val="20"/>
              </w:rPr>
              <w:t>PART 1220—</w:t>
            </w:r>
            <w:r w:rsidRPr="00DF7552">
              <w:rPr>
                <w:rFonts w:ascii="Times New Roman" w:eastAsia="Times New Roman" w:hAnsi="Times New Roman" w:cs="Times New Roman"/>
                <w:b/>
                <w:smallCaps/>
                <w:snapToGrid w:val="0"/>
                <w:sz w:val="20"/>
                <w:szCs w:val="20"/>
              </w:rPr>
              <w:t xml:space="preserve">accounting procedures for determining net profit share payment </w:t>
            </w:r>
          </w:p>
          <w:p w:rsidR="00DF7552" w:rsidRPr="00DF7552" w:rsidP="00DF7552" w14:paraId="4E88FD65" w14:textId="77777777">
            <w:pPr>
              <w:spacing w:after="0" w:line="240" w:lineRule="auto"/>
              <w:jc w:val="center"/>
              <w:rPr>
                <w:rFonts w:ascii="Times New Roman" w:eastAsia="Times New Roman" w:hAnsi="Times New Roman" w:cs="Times New Roman"/>
                <w:b/>
                <w:smallCaps/>
                <w:snapToGrid w:val="0"/>
                <w:sz w:val="20"/>
                <w:szCs w:val="20"/>
              </w:rPr>
            </w:pPr>
            <w:r w:rsidRPr="00DF7552">
              <w:rPr>
                <w:rFonts w:ascii="Times New Roman" w:eastAsia="Times New Roman" w:hAnsi="Times New Roman" w:cs="Times New Roman"/>
                <w:b/>
                <w:smallCaps/>
                <w:snapToGrid w:val="0"/>
                <w:sz w:val="20"/>
                <w:szCs w:val="20"/>
              </w:rPr>
              <w:t>for outer continental shelf oil and gas leases</w:t>
            </w:r>
          </w:p>
        </w:tc>
      </w:tr>
      <w:tr w14:paraId="2DF89D98" w14:textId="77777777" w:rsidTr="00032D85">
        <w:tblPrEx>
          <w:tblW w:w="5000" w:type="pct"/>
          <w:tblLayout w:type="fixed"/>
          <w:tblCellMar>
            <w:left w:w="136" w:type="dxa"/>
            <w:right w:w="136" w:type="dxa"/>
          </w:tblCellMar>
          <w:tblLook w:val="0000"/>
        </w:tblPrEx>
        <w:trPr>
          <w:trHeight w:val="360"/>
        </w:trPr>
        <w:tc>
          <w:tcPr>
            <w:tcW w:w="5000" w:type="pct"/>
            <w:gridSpan w:val="6"/>
            <w:tcBorders>
              <w:top w:val="nil"/>
              <w:left w:val="single" w:sz="4" w:space="0" w:color="auto"/>
              <w:right w:val="single" w:sz="4" w:space="0" w:color="auto"/>
            </w:tcBorders>
            <w:vAlign w:val="center"/>
          </w:tcPr>
          <w:p w:rsidR="00DF7552" w:rsidRPr="00DF7552" w:rsidP="00DF7552" w14:paraId="2B927E00" w14:textId="77777777">
            <w:pPr>
              <w:spacing w:after="0" w:line="240" w:lineRule="auto"/>
              <w:jc w:val="center"/>
              <w:rPr>
                <w:rFonts w:ascii="Arial" w:eastAsia="Times New Roman" w:hAnsi="Arial" w:cs="Arial"/>
                <w:b/>
                <w:snapToGrid w:val="0"/>
                <w:sz w:val="20"/>
                <w:szCs w:val="20"/>
              </w:rPr>
            </w:pPr>
            <w:r w:rsidRPr="00DF7552">
              <w:rPr>
                <w:rFonts w:ascii="Arial" w:eastAsia="Times New Roman" w:hAnsi="Arial" w:cs="Arial"/>
                <w:b/>
                <w:snapToGrid w:val="0"/>
                <w:sz w:val="20"/>
                <w:szCs w:val="20"/>
              </w:rPr>
              <w:t>§ 1220.010</w:t>
            </w:r>
            <w:r w:rsidRPr="00DF7552">
              <w:rPr>
                <w:rFonts w:ascii="Arial" w:eastAsia="Times New Roman" w:hAnsi="Arial" w:cs="Arial"/>
                <w:snapToGrid w:val="0"/>
                <w:sz w:val="20"/>
                <w:szCs w:val="20"/>
              </w:rPr>
              <w:t xml:space="preserve"> </w:t>
            </w:r>
            <w:r w:rsidRPr="00DF7552">
              <w:rPr>
                <w:rFonts w:ascii="Arial" w:eastAsia="Times New Roman" w:hAnsi="Arial" w:cs="Arial"/>
                <w:b/>
                <w:snapToGrid w:val="0"/>
                <w:sz w:val="20"/>
                <w:szCs w:val="20"/>
              </w:rPr>
              <w:t>NPSL capital account.</w:t>
            </w:r>
          </w:p>
        </w:tc>
      </w:tr>
      <w:tr w14:paraId="1D3DCF9C" w14:textId="77777777" w:rsidTr="00032D85">
        <w:tblPrEx>
          <w:tblW w:w="5000" w:type="pct"/>
          <w:tblLayout w:type="fixed"/>
          <w:tblCellMar>
            <w:left w:w="136" w:type="dxa"/>
            <w:right w:w="136" w:type="dxa"/>
          </w:tblCellMar>
          <w:tblLook w:val="0000"/>
        </w:tblPrEx>
        <w:trPr>
          <w:trHeight w:val="146"/>
        </w:trPr>
        <w:tc>
          <w:tcPr>
            <w:tcW w:w="847" w:type="pct"/>
            <w:gridSpan w:val="2"/>
            <w:tcBorders>
              <w:top w:val="nil"/>
              <w:left w:val="single" w:sz="4" w:space="0" w:color="auto"/>
            </w:tcBorders>
          </w:tcPr>
          <w:p w:rsidR="00DF7552" w:rsidRPr="00DF7552" w:rsidP="00DF7552" w14:paraId="35C290A8"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1220.010(a)</w:t>
            </w:r>
          </w:p>
        </w:tc>
        <w:tc>
          <w:tcPr>
            <w:tcW w:w="1840" w:type="pct"/>
            <w:tcBorders>
              <w:top w:val="nil"/>
            </w:tcBorders>
          </w:tcPr>
          <w:p w:rsidR="00DF7552" w:rsidRPr="00DF7552" w:rsidP="00DF7552" w14:paraId="04345EF7"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(a) For each NPSL tract, an NPSL capital account shall be established and maintained by the lessee for NPSL operations . . .</w:t>
            </w:r>
          </w:p>
        </w:tc>
        <w:tc>
          <w:tcPr>
            <w:tcW w:w="520" w:type="pct"/>
            <w:tcBorders>
              <w:top w:val="nil"/>
            </w:tcBorders>
          </w:tcPr>
          <w:p w:rsidR="00DF7552" w:rsidRPr="00DF7552" w:rsidP="00DF7552" w14:paraId="682BECB7"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w:t>
            </w:r>
          </w:p>
        </w:tc>
        <w:tc>
          <w:tcPr>
            <w:tcW w:w="978" w:type="pct"/>
            <w:tcBorders>
              <w:top w:val="nil"/>
            </w:tcBorders>
          </w:tcPr>
          <w:p w:rsidR="00DF7552" w:rsidRPr="00DF7552" w:rsidP="00DF7552" w14:paraId="78251127"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nil"/>
              <w:right w:val="single" w:sz="4" w:space="0" w:color="auto"/>
            </w:tcBorders>
          </w:tcPr>
          <w:p w:rsidR="00DF7552" w:rsidRPr="00DF7552" w:rsidP="00DF7552" w14:paraId="410FFBDB"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r>
      <w:tr w14:paraId="5E20C4B4" w14:textId="77777777" w:rsidTr="00032D85">
        <w:tblPrEx>
          <w:tblW w:w="5000" w:type="pct"/>
          <w:tblLayout w:type="fixed"/>
          <w:tblCellMar>
            <w:left w:w="136" w:type="dxa"/>
            <w:right w:w="136" w:type="dxa"/>
          </w:tblCellMar>
          <w:tblLook w:val="0000"/>
        </w:tblPrEx>
        <w:trPr>
          <w:trHeight w:val="360"/>
        </w:trPr>
        <w:tc>
          <w:tcPr>
            <w:tcW w:w="5000" w:type="pct"/>
            <w:gridSpan w:val="6"/>
            <w:tcBorders>
              <w:top w:val="nil"/>
              <w:left w:val="single" w:sz="4" w:space="0" w:color="auto"/>
              <w:right w:val="single" w:sz="4" w:space="0" w:color="auto"/>
            </w:tcBorders>
            <w:vAlign w:val="center"/>
          </w:tcPr>
          <w:p w:rsidR="00DF7552" w:rsidRPr="00DF7552" w:rsidP="00DF7552" w14:paraId="67525F59" w14:textId="77777777">
            <w:pPr>
              <w:spacing w:after="0" w:line="240" w:lineRule="auto"/>
              <w:jc w:val="center"/>
              <w:rPr>
                <w:rFonts w:ascii="Arial" w:eastAsia="Times New Roman" w:hAnsi="Arial" w:cs="Arial"/>
                <w:snapToGrid w:val="0"/>
                <w:sz w:val="20"/>
                <w:szCs w:val="20"/>
              </w:rPr>
            </w:pPr>
            <w:r w:rsidRPr="00DF7552">
              <w:rPr>
                <w:rFonts w:ascii="Arial" w:eastAsia="Times New Roman" w:hAnsi="Arial" w:cs="Arial"/>
                <w:b/>
                <w:snapToGrid w:val="0"/>
                <w:sz w:val="20"/>
                <w:szCs w:val="20"/>
              </w:rPr>
              <w:t>§ 1220.030</w:t>
            </w:r>
            <w:r w:rsidRPr="00DF7552">
              <w:rPr>
                <w:rFonts w:ascii="Arial" w:eastAsia="Times New Roman" w:hAnsi="Arial" w:cs="Arial"/>
                <w:snapToGrid w:val="0"/>
                <w:sz w:val="20"/>
                <w:szCs w:val="20"/>
              </w:rPr>
              <w:t xml:space="preserve"> </w:t>
            </w:r>
            <w:r w:rsidRPr="00DF7552">
              <w:rPr>
                <w:rFonts w:ascii="Arial" w:eastAsia="Times New Roman" w:hAnsi="Arial" w:cs="Arial"/>
                <w:b/>
                <w:snapToGrid w:val="0"/>
                <w:sz w:val="20"/>
                <w:szCs w:val="20"/>
              </w:rPr>
              <w:t>Maintenance of records.</w:t>
            </w:r>
          </w:p>
        </w:tc>
      </w:tr>
      <w:tr w14:paraId="156ECB8F" w14:textId="77777777" w:rsidTr="00032D85">
        <w:tblPrEx>
          <w:tblW w:w="5000" w:type="pct"/>
          <w:tblLayout w:type="fixed"/>
          <w:tblCellMar>
            <w:left w:w="136" w:type="dxa"/>
            <w:right w:w="136" w:type="dxa"/>
          </w:tblCellMar>
          <w:tblLook w:val="0000"/>
        </w:tblPrEx>
        <w:trPr>
          <w:trHeight w:val="146"/>
        </w:trPr>
        <w:tc>
          <w:tcPr>
            <w:tcW w:w="847" w:type="pct"/>
            <w:gridSpan w:val="2"/>
            <w:tcBorders>
              <w:top w:val="nil"/>
              <w:left w:val="single" w:sz="4" w:space="0" w:color="auto"/>
            </w:tcBorders>
          </w:tcPr>
          <w:p w:rsidR="00DF7552" w:rsidRPr="00DF7552" w:rsidP="00DF7552" w14:paraId="2A271265"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1220.030(a) and (b)</w:t>
            </w:r>
          </w:p>
        </w:tc>
        <w:tc>
          <w:tcPr>
            <w:tcW w:w="1840" w:type="pct"/>
            <w:tcBorders>
              <w:top w:val="nil"/>
            </w:tcBorders>
          </w:tcPr>
          <w:p w:rsidR="00DF7552" w:rsidRPr="00DF7552" w:rsidP="00DF7552" w14:paraId="37F980D6" w14:textId="77777777">
            <w:pPr>
              <w:spacing w:after="0" w:line="240" w:lineRule="auto"/>
              <w:rPr>
                <w:rFonts w:ascii="Arial" w:eastAsia="Times New Roman" w:hAnsi="Arial" w:cs="Arial"/>
                <w:b/>
                <w:snapToGrid w:val="0"/>
                <w:sz w:val="20"/>
                <w:szCs w:val="20"/>
              </w:rPr>
            </w:pPr>
            <w:r w:rsidRPr="00DF7552">
              <w:rPr>
                <w:rFonts w:ascii="Arial" w:eastAsia="Times New Roman" w:hAnsi="Arial" w:cs="Arial"/>
                <w:snapToGrid w:val="0"/>
                <w:sz w:val="20"/>
                <w:szCs w:val="20"/>
              </w:rPr>
              <w:t>(a) Each lessee . . .shall establish and maintain such records as are necessary . . .</w:t>
            </w:r>
          </w:p>
        </w:tc>
        <w:tc>
          <w:tcPr>
            <w:tcW w:w="520" w:type="pct"/>
            <w:tcBorders>
              <w:top w:val="nil"/>
            </w:tcBorders>
          </w:tcPr>
          <w:p w:rsidR="00DF7552" w:rsidRPr="00DF7552" w:rsidP="00DF7552" w14:paraId="79D06AE7"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w:t>
            </w:r>
          </w:p>
        </w:tc>
        <w:tc>
          <w:tcPr>
            <w:tcW w:w="978" w:type="pct"/>
            <w:tcBorders>
              <w:top w:val="nil"/>
            </w:tcBorders>
          </w:tcPr>
          <w:p w:rsidR="00DF7552" w:rsidRPr="00DF7552" w:rsidP="00DF7552" w14:paraId="4BA225F7"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nil"/>
              <w:right w:val="single" w:sz="4" w:space="0" w:color="auto"/>
            </w:tcBorders>
          </w:tcPr>
          <w:p w:rsidR="00DF7552" w:rsidRPr="00DF7552" w:rsidP="00DF7552" w14:paraId="26974CEC"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r>
      <w:tr w14:paraId="1E4AEFFE" w14:textId="77777777" w:rsidTr="00032D85">
        <w:tblPrEx>
          <w:tblW w:w="5000" w:type="pct"/>
          <w:tblLayout w:type="fixed"/>
          <w:tblCellMar>
            <w:left w:w="136" w:type="dxa"/>
            <w:right w:w="136" w:type="dxa"/>
          </w:tblCellMar>
          <w:tblLook w:val="0000"/>
        </w:tblPrEx>
        <w:trPr>
          <w:trHeight w:val="360"/>
        </w:trPr>
        <w:tc>
          <w:tcPr>
            <w:tcW w:w="5000" w:type="pct"/>
            <w:gridSpan w:val="6"/>
            <w:tcBorders>
              <w:top w:val="nil"/>
              <w:left w:val="single" w:sz="4" w:space="0" w:color="auto"/>
              <w:right w:val="single" w:sz="4" w:space="0" w:color="auto"/>
            </w:tcBorders>
            <w:vAlign w:val="center"/>
          </w:tcPr>
          <w:p w:rsidR="00DF7552" w:rsidRPr="00DF7552" w:rsidP="00DF7552" w14:paraId="5683EDE9" w14:textId="77777777">
            <w:pPr>
              <w:widowControl w:val="0"/>
              <w:spacing w:after="0" w:line="240" w:lineRule="auto"/>
              <w:jc w:val="center"/>
              <w:rPr>
                <w:rFonts w:ascii="Arial" w:eastAsia="Times New Roman" w:hAnsi="Arial" w:cs="Arial"/>
                <w:snapToGrid w:val="0"/>
                <w:sz w:val="20"/>
                <w:szCs w:val="20"/>
              </w:rPr>
            </w:pPr>
            <w:r w:rsidRPr="00DF7552">
              <w:rPr>
                <w:rFonts w:ascii="Arial" w:eastAsia="Times New Roman" w:hAnsi="Arial" w:cs="Arial"/>
                <w:b/>
                <w:snapToGrid w:val="0"/>
                <w:sz w:val="20"/>
                <w:szCs w:val="20"/>
              </w:rPr>
              <w:t>§ 1220.031</w:t>
            </w:r>
            <w:r w:rsidRPr="00DF7552">
              <w:rPr>
                <w:rFonts w:ascii="Arial" w:eastAsia="Times New Roman" w:hAnsi="Arial" w:cs="Arial"/>
                <w:snapToGrid w:val="0"/>
                <w:sz w:val="20"/>
                <w:szCs w:val="20"/>
              </w:rPr>
              <w:t xml:space="preserve"> </w:t>
            </w:r>
            <w:r w:rsidRPr="00DF7552">
              <w:rPr>
                <w:rFonts w:ascii="Arial" w:eastAsia="Times New Roman" w:hAnsi="Arial" w:cs="Arial"/>
                <w:b/>
                <w:snapToGrid w:val="0"/>
                <w:sz w:val="20"/>
                <w:szCs w:val="20"/>
              </w:rPr>
              <w:t>Reporting and payment requirements</w:t>
            </w:r>
            <w:r w:rsidRPr="00DF7552">
              <w:rPr>
                <w:rFonts w:ascii="Arial" w:eastAsia="Times New Roman" w:hAnsi="Arial" w:cs="Arial"/>
                <w:snapToGrid w:val="0"/>
                <w:sz w:val="20"/>
                <w:szCs w:val="20"/>
              </w:rPr>
              <w:t>.</w:t>
            </w:r>
          </w:p>
        </w:tc>
      </w:tr>
      <w:tr w14:paraId="05D21959" w14:textId="77777777" w:rsidTr="00032D85">
        <w:tblPrEx>
          <w:tblW w:w="5000" w:type="pct"/>
          <w:tblLayout w:type="fixed"/>
          <w:tblCellMar>
            <w:left w:w="136" w:type="dxa"/>
            <w:right w:w="136" w:type="dxa"/>
          </w:tblCellMar>
          <w:tblLook w:val="0000"/>
        </w:tblPrEx>
        <w:trPr>
          <w:trHeight w:val="146"/>
        </w:trPr>
        <w:tc>
          <w:tcPr>
            <w:tcW w:w="847" w:type="pct"/>
            <w:gridSpan w:val="2"/>
            <w:tcBorders>
              <w:top w:val="nil"/>
              <w:left w:val="single" w:sz="4" w:space="0" w:color="auto"/>
            </w:tcBorders>
          </w:tcPr>
          <w:p w:rsidR="00DF7552" w:rsidRPr="00DF7552" w:rsidP="00DF7552" w14:paraId="3BE5AFC7" w14:textId="77777777">
            <w:pPr>
              <w:widowControl w:val="0"/>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1220.031(a)</w:t>
            </w:r>
          </w:p>
        </w:tc>
        <w:tc>
          <w:tcPr>
            <w:tcW w:w="1840" w:type="pct"/>
            <w:tcBorders>
              <w:top w:val="nil"/>
            </w:tcBorders>
          </w:tcPr>
          <w:p w:rsidR="00DF7552" w:rsidRPr="00DF7552" w:rsidP="00DF7552" w14:paraId="75952A39" w14:textId="77777777">
            <w:pPr>
              <w:widowControl w:val="0"/>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(a) Each lessee subject to this part shall file an annual report during the period from issuance of the NPSL until the first month in which production revenues are credited to the NPSL capital account . . .</w:t>
            </w:r>
          </w:p>
        </w:tc>
        <w:tc>
          <w:tcPr>
            <w:tcW w:w="520" w:type="pct"/>
            <w:tcBorders>
              <w:top w:val="nil"/>
            </w:tcBorders>
          </w:tcPr>
          <w:p w:rsidR="00DF7552" w:rsidRPr="00DF7552" w:rsidP="00DF7552" w14:paraId="7681D11A" w14:textId="77777777">
            <w:pPr>
              <w:widowControl w:val="0"/>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w:t>
            </w:r>
          </w:p>
        </w:tc>
        <w:tc>
          <w:tcPr>
            <w:tcW w:w="978" w:type="pct"/>
            <w:tcBorders>
              <w:top w:val="nil"/>
            </w:tcBorders>
          </w:tcPr>
          <w:p w:rsidR="00DF7552" w:rsidRPr="00DF7552" w:rsidP="00DF7552" w14:paraId="6D3FD126" w14:textId="77777777">
            <w:pPr>
              <w:widowControl w:val="0"/>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nil"/>
              <w:right w:val="single" w:sz="4" w:space="0" w:color="auto"/>
            </w:tcBorders>
          </w:tcPr>
          <w:p w:rsidR="00DF7552" w:rsidRPr="00DF7552" w:rsidP="00DF7552" w14:paraId="44477EA3" w14:textId="77777777">
            <w:pPr>
              <w:widowControl w:val="0"/>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r>
      <w:tr w14:paraId="3182C7F2" w14:textId="77777777" w:rsidTr="00032D85">
        <w:tblPrEx>
          <w:tblW w:w="5000" w:type="pct"/>
          <w:tblLayout w:type="fixed"/>
          <w:tblCellMar>
            <w:left w:w="136" w:type="dxa"/>
            <w:right w:w="136" w:type="dxa"/>
          </w:tblCellMar>
          <w:tblLook w:val="0000"/>
        </w:tblPrEx>
        <w:trPr>
          <w:trHeight w:val="146"/>
        </w:trPr>
        <w:tc>
          <w:tcPr>
            <w:tcW w:w="847" w:type="pct"/>
            <w:gridSpan w:val="2"/>
            <w:tcBorders>
              <w:top w:val="nil"/>
              <w:left w:val="single" w:sz="4" w:space="0" w:color="auto"/>
            </w:tcBorders>
          </w:tcPr>
          <w:p w:rsidR="00DF7552" w:rsidRPr="00DF7552" w:rsidP="00DF7552" w14:paraId="68230E8C"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1220.031(b)</w:t>
            </w:r>
          </w:p>
        </w:tc>
        <w:tc>
          <w:tcPr>
            <w:tcW w:w="1840" w:type="pct"/>
            <w:tcBorders>
              <w:top w:val="nil"/>
            </w:tcBorders>
          </w:tcPr>
          <w:p w:rsidR="00DF7552" w:rsidRPr="00DF7552" w:rsidP="00DF7552" w14:paraId="23F1F8F0"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(b) Beginning with the first month in which production revenues are credited to the NPSL capital account, each lessee . . .shall file a report for each NPSL, not later than 60 days following the end of each month . . .</w:t>
            </w:r>
          </w:p>
        </w:tc>
        <w:tc>
          <w:tcPr>
            <w:tcW w:w="520" w:type="pct"/>
            <w:tcBorders>
              <w:top w:val="nil"/>
            </w:tcBorders>
          </w:tcPr>
          <w:p w:rsidR="00DF7552" w:rsidRPr="00DF7552" w:rsidP="00DF7552" w14:paraId="14E7CE21"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13</w:t>
            </w:r>
          </w:p>
        </w:tc>
        <w:tc>
          <w:tcPr>
            <w:tcW w:w="978" w:type="pct"/>
            <w:tcBorders>
              <w:top w:val="nil"/>
            </w:tcBorders>
          </w:tcPr>
          <w:p w:rsidR="00DF7552" w:rsidRPr="00DF7552" w:rsidP="00DF7552" w14:paraId="1BDB91A5"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108</w:t>
            </w:r>
          </w:p>
        </w:tc>
        <w:tc>
          <w:tcPr>
            <w:tcW w:w="815" w:type="pct"/>
            <w:tcBorders>
              <w:top w:val="nil"/>
              <w:right w:val="single" w:sz="4" w:space="0" w:color="auto"/>
            </w:tcBorders>
          </w:tcPr>
          <w:p w:rsidR="00DF7552" w:rsidRPr="00DF7552" w:rsidP="00DF7552" w14:paraId="516F2F9F"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1,404</w:t>
            </w:r>
          </w:p>
        </w:tc>
      </w:tr>
      <w:tr w14:paraId="7464348D" w14:textId="77777777" w:rsidTr="00032D85">
        <w:tblPrEx>
          <w:tblW w:w="5000" w:type="pct"/>
          <w:tblLayout w:type="fixed"/>
          <w:tblCellMar>
            <w:left w:w="136" w:type="dxa"/>
            <w:right w:w="136" w:type="dxa"/>
          </w:tblCellMar>
          <w:tblLook w:val="0000"/>
        </w:tblPrEx>
        <w:trPr>
          <w:trHeight w:val="146"/>
        </w:trPr>
        <w:tc>
          <w:tcPr>
            <w:tcW w:w="847" w:type="pct"/>
            <w:gridSpan w:val="2"/>
            <w:tcBorders>
              <w:top w:val="nil"/>
              <w:left w:val="single" w:sz="4" w:space="0" w:color="auto"/>
            </w:tcBorders>
          </w:tcPr>
          <w:p w:rsidR="00DF7552" w:rsidRPr="00DF7552" w:rsidP="00DF7552" w14:paraId="013D58F3"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 xml:space="preserve">1220.031(c) </w:t>
            </w:r>
          </w:p>
        </w:tc>
        <w:tc>
          <w:tcPr>
            <w:tcW w:w="1840" w:type="pct"/>
            <w:tcBorders>
              <w:top w:val="nil"/>
            </w:tcBorders>
          </w:tcPr>
          <w:p w:rsidR="00DF7552" w:rsidRPr="00DF7552" w:rsidP="00DF7552" w14:paraId="298A0113"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(c) Each lessee subject to this Part 1220 shall submit, together with the report required . . .any net profit share payment due . . .</w:t>
            </w:r>
          </w:p>
        </w:tc>
        <w:tc>
          <w:tcPr>
            <w:tcW w:w="2313" w:type="pct"/>
            <w:gridSpan w:val="3"/>
            <w:tcBorders>
              <w:top w:val="nil"/>
              <w:right w:val="single" w:sz="4" w:space="0" w:color="auto"/>
            </w:tcBorders>
          </w:tcPr>
          <w:p w:rsidR="00DF7552" w:rsidRPr="00DF7552" w:rsidP="00DF7552" w14:paraId="2E58027B"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Burden hours covered under § 1220.031(b).</w:t>
            </w:r>
          </w:p>
          <w:p w:rsidR="00DF7552" w:rsidRPr="00DF7552" w:rsidP="00DF7552" w14:paraId="01640017" w14:textId="77777777">
            <w:pPr>
              <w:spacing w:after="0" w:line="240" w:lineRule="auto"/>
              <w:jc w:val="right"/>
              <w:rPr>
                <w:rFonts w:ascii="Arial" w:eastAsia="Times New Roman" w:hAnsi="Arial" w:cs="Arial"/>
                <w:snapToGrid w:val="0"/>
                <w:sz w:val="20"/>
                <w:szCs w:val="20"/>
              </w:rPr>
            </w:pPr>
          </w:p>
        </w:tc>
      </w:tr>
      <w:tr w14:paraId="3EDF6B8A" w14:textId="77777777" w:rsidTr="00032D85">
        <w:tblPrEx>
          <w:tblW w:w="5000" w:type="pct"/>
          <w:tblLayout w:type="fixed"/>
          <w:tblCellMar>
            <w:left w:w="136" w:type="dxa"/>
            <w:right w:w="136" w:type="dxa"/>
          </w:tblCellMar>
          <w:tblLook w:val="0000"/>
        </w:tblPrEx>
        <w:trPr>
          <w:trHeight w:val="146"/>
        </w:trPr>
        <w:tc>
          <w:tcPr>
            <w:tcW w:w="847" w:type="pct"/>
            <w:gridSpan w:val="2"/>
            <w:tcBorders>
              <w:top w:val="nil"/>
              <w:left w:val="single" w:sz="4" w:space="0" w:color="auto"/>
            </w:tcBorders>
          </w:tcPr>
          <w:p w:rsidR="00DF7552" w:rsidRPr="00DF7552" w:rsidP="00DF7552" w14:paraId="434104A4"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1220.031(d)</w:t>
            </w:r>
          </w:p>
        </w:tc>
        <w:tc>
          <w:tcPr>
            <w:tcW w:w="1840" w:type="pct"/>
            <w:tcBorders>
              <w:top w:val="nil"/>
            </w:tcBorders>
          </w:tcPr>
          <w:p w:rsidR="00DF7552" w:rsidRPr="00DF7552" w:rsidP="00DF7552" w14:paraId="305BD521"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(d) Each lessee . . .shall file a report not later than 90 days after each inventory is taken . . .</w:t>
            </w:r>
          </w:p>
        </w:tc>
        <w:tc>
          <w:tcPr>
            <w:tcW w:w="520" w:type="pct"/>
            <w:tcBorders>
              <w:top w:val="nil"/>
            </w:tcBorders>
          </w:tcPr>
          <w:p w:rsidR="00DF7552" w:rsidRPr="00DF7552" w:rsidP="00DF7552" w14:paraId="4E0C2CC0"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8</w:t>
            </w:r>
          </w:p>
        </w:tc>
        <w:tc>
          <w:tcPr>
            <w:tcW w:w="978" w:type="pct"/>
            <w:tcBorders>
              <w:top w:val="nil"/>
            </w:tcBorders>
          </w:tcPr>
          <w:p w:rsidR="00DF7552" w:rsidRPr="00DF7552" w:rsidP="00DF7552" w14:paraId="441DB2D1"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nil"/>
              <w:right w:val="single" w:sz="4" w:space="0" w:color="auto"/>
            </w:tcBorders>
          </w:tcPr>
          <w:p w:rsidR="00DF7552" w:rsidRPr="00DF7552" w:rsidP="00DF7552" w14:paraId="4261D970"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72</w:t>
            </w:r>
          </w:p>
        </w:tc>
      </w:tr>
      <w:tr w14:paraId="20F12B97" w14:textId="77777777" w:rsidTr="00032D85">
        <w:tblPrEx>
          <w:tblW w:w="5000" w:type="pct"/>
          <w:tblLayout w:type="fixed"/>
          <w:tblCellMar>
            <w:left w:w="136" w:type="dxa"/>
            <w:right w:w="136" w:type="dxa"/>
          </w:tblCellMar>
          <w:tblLook w:val="0000"/>
        </w:tblPrEx>
        <w:trPr>
          <w:trHeight w:val="146"/>
        </w:trPr>
        <w:tc>
          <w:tcPr>
            <w:tcW w:w="847" w:type="pct"/>
            <w:gridSpan w:val="2"/>
            <w:tcBorders>
              <w:top w:val="nil"/>
              <w:left w:val="single" w:sz="4" w:space="0" w:color="auto"/>
            </w:tcBorders>
          </w:tcPr>
          <w:p w:rsidR="00DF7552" w:rsidRPr="00DF7552" w:rsidP="00DF7552" w14:paraId="1C2D5C69"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1220.031(e)</w:t>
            </w:r>
          </w:p>
        </w:tc>
        <w:tc>
          <w:tcPr>
            <w:tcW w:w="1840" w:type="pct"/>
            <w:tcBorders>
              <w:top w:val="nil"/>
            </w:tcBorders>
          </w:tcPr>
          <w:p w:rsidR="00DF7552" w:rsidRPr="00DF7552" w:rsidP="00DF7552" w14:paraId="133EE25E"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(e) Each lessee . . .shall file a final report, not later than 60 days following the cessation of production . . .</w:t>
            </w:r>
          </w:p>
        </w:tc>
        <w:tc>
          <w:tcPr>
            <w:tcW w:w="520" w:type="pct"/>
            <w:tcBorders>
              <w:top w:val="nil"/>
            </w:tcBorders>
          </w:tcPr>
          <w:p w:rsidR="00DF7552" w:rsidRPr="00DF7552" w:rsidP="00DF7552" w14:paraId="6E7EE8CB"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4</w:t>
            </w:r>
          </w:p>
        </w:tc>
        <w:tc>
          <w:tcPr>
            <w:tcW w:w="978" w:type="pct"/>
            <w:tcBorders>
              <w:top w:val="nil"/>
            </w:tcBorders>
          </w:tcPr>
          <w:p w:rsidR="00DF7552" w:rsidRPr="00DF7552" w:rsidP="00DF7552" w14:paraId="15B599E0"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nil"/>
              <w:right w:val="single" w:sz="4" w:space="0" w:color="auto"/>
            </w:tcBorders>
          </w:tcPr>
          <w:p w:rsidR="00DF7552" w:rsidRPr="00DF7552" w:rsidP="00DF7552" w14:paraId="72DCF007"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36</w:t>
            </w:r>
          </w:p>
        </w:tc>
      </w:tr>
      <w:tr w14:paraId="35A0489E" w14:textId="77777777" w:rsidTr="00032D85">
        <w:tblPrEx>
          <w:tblW w:w="5000" w:type="pct"/>
          <w:tblLayout w:type="fixed"/>
          <w:tblCellMar>
            <w:left w:w="136" w:type="dxa"/>
            <w:right w:w="136" w:type="dxa"/>
          </w:tblCellMar>
          <w:tblLook w:val="0000"/>
        </w:tblPrEx>
        <w:trPr>
          <w:trHeight w:val="360"/>
        </w:trPr>
        <w:tc>
          <w:tcPr>
            <w:tcW w:w="5000" w:type="pct"/>
            <w:gridSpan w:val="6"/>
            <w:tcBorders>
              <w:top w:val="nil"/>
              <w:left w:val="single" w:sz="4" w:space="0" w:color="auto"/>
              <w:bottom w:val="single" w:sz="4" w:space="0" w:color="auto"/>
              <w:right w:val="single" w:sz="4" w:space="0" w:color="auto"/>
            </w:tcBorders>
            <w:vAlign w:val="center"/>
          </w:tcPr>
          <w:p w:rsidR="00DF7552" w:rsidRPr="00DF7552" w:rsidP="00DF7552" w14:paraId="5F21FAD3" w14:textId="77777777">
            <w:pPr>
              <w:spacing w:after="0" w:line="240" w:lineRule="auto"/>
              <w:jc w:val="center"/>
              <w:rPr>
                <w:rFonts w:ascii="Arial" w:eastAsia="Times New Roman" w:hAnsi="Arial" w:cs="Arial"/>
                <w:b/>
                <w:snapToGrid w:val="0"/>
                <w:sz w:val="20"/>
                <w:szCs w:val="20"/>
              </w:rPr>
            </w:pPr>
            <w:r w:rsidRPr="00DF7552">
              <w:rPr>
                <w:rFonts w:ascii="Arial" w:eastAsia="Times New Roman" w:hAnsi="Arial" w:cs="Arial"/>
                <w:b/>
                <w:snapToGrid w:val="0"/>
                <w:sz w:val="20"/>
                <w:szCs w:val="20"/>
              </w:rPr>
              <w:t>§ 1220.032</w:t>
            </w:r>
            <w:r w:rsidRPr="00DF7552">
              <w:rPr>
                <w:rFonts w:ascii="Arial" w:eastAsia="Times New Roman" w:hAnsi="Arial" w:cs="Arial"/>
                <w:snapToGrid w:val="0"/>
                <w:sz w:val="20"/>
                <w:szCs w:val="20"/>
              </w:rPr>
              <w:t xml:space="preserve"> </w:t>
            </w:r>
            <w:r w:rsidRPr="00DF7552">
              <w:rPr>
                <w:rFonts w:ascii="Arial" w:eastAsia="Times New Roman" w:hAnsi="Arial" w:cs="Arial"/>
                <w:b/>
                <w:snapToGrid w:val="0"/>
                <w:sz w:val="20"/>
                <w:szCs w:val="20"/>
              </w:rPr>
              <w:t>Inventories.</w:t>
            </w:r>
          </w:p>
        </w:tc>
      </w:tr>
      <w:tr w14:paraId="3B6FEAB0" w14:textId="77777777" w:rsidTr="00032D85">
        <w:tblPrEx>
          <w:tblW w:w="5000" w:type="pct"/>
          <w:tblLayout w:type="fixed"/>
          <w:tblCellMar>
            <w:left w:w="136" w:type="dxa"/>
            <w:right w:w="136" w:type="dxa"/>
          </w:tblCellMar>
          <w:tblLook w:val="0000"/>
        </w:tblPrEx>
        <w:trPr>
          <w:trHeight w:val="146"/>
        </w:trPr>
        <w:tc>
          <w:tcPr>
            <w:tcW w:w="813" w:type="pct"/>
            <w:tcBorders>
              <w:top w:val="nil"/>
              <w:left w:val="single" w:sz="4" w:space="0" w:color="auto"/>
              <w:bottom w:val="single" w:sz="4" w:space="0" w:color="auto"/>
              <w:right w:val="single" w:sz="4" w:space="0" w:color="auto"/>
            </w:tcBorders>
          </w:tcPr>
          <w:p w:rsidR="00DF7552" w:rsidRPr="00DF7552" w:rsidP="00DF7552" w14:paraId="610EB8AD"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1220.032(b)</w:t>
            </w:r>
          </w:p>
        </w:tc>
        <w:tc>
          <w:tcPr>
            <w:tcW w:w="1873" w:type="pct"/>
            <w:gridSpan w:val="2"/>
            <w:tcBorders>
              <w:top w:val="nil"/>
              <w:left w:val="single" w:sz="4" w:space="0" w:color="auto"/>
              <w:bottom w:val="single" w:sz="4" w:space="0" w:color="auto"/>
              <w:right w:val="single" w:sz="4" w:space="0" w:color="auto"/>
            </w:tcBorders>
          </w:tcPr>
          <w:p w:rsidR="00DF7552" w:rsidRPr="00DF7552" w:rsidP="00DF7552" w14:paraId="0CCFB88A"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 xml:space="preserve">(b) At reasonable intervals, but at least once every three years, </w:t>
            </w:r>
            <w:r w:rsidRPr="00DF7552">
              <w:rPr>
                <w:rFonts w:ascii="Arial" w:eastAsia="Times New Roman" w:hAnsi="Arial" w:cs="Arial"/>
                <w:snapToGrid w:val="0"/>
                <w:sz w:val="20"/>
                <w:szCs w:val="20"/>
              </w:rPr>
              <w:t>inventories of controllable materiel shall be taken by the lessee.  Written notice of intention to take inventory shall be given by the lessee at least 30 days before any inventory is to be taken so that the Director may be represented at the taking of inventory . . .</w:t>
            </w:r>
          </w:p>
        </w:tc>
        <w:tc>
          <w:tcPr>
            <w:tcW w:w="520" w:type="pct"/>
            <w:tcBorders>
              <w:top w:val="nil"/>
              <w:left w:val="single" w:sz="4" w:space="0" w:color="auto"/>
              <w:bottom w:val="single" w:sz="4" w:space="0" w:color="auto"/>
              <w:right w:val="single" w:sz="4" w:space="0" w:color="auto"/>
            </w:tcBorders>
          </w:tcPr>
          <w:p w:rsidR="00DF7552" w:rsidRPr="00DF7552" w:rsidP="00DF7552" w14:paraId="17E74AFF"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w:t>
            </w:r>
          </w:p>
        </w:tc>
        <w:tc>
          <w:tcPr>
            <w:tcW w:w="978" w:type="pct"/>
            <w:tcBorders>
              <w:top w:val="nil"/>
              <w:left w:val="single" w:sz="4" w:space="0" w:color="auto"/>
              <w:bottom w:val="single" w:sz="4" w:space="0" w:color="auto"/>
              <w:right w:val="single" w:sz="4" w:space="0" w:color="auto"/>
            </w:tcBorders>
          </w:tcPr>
          <w:p w:rsidR="00DF7552" w:rsidRPr="00DF7552" w:rsidP="00DF7552" w14:paraId="1F34C958"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nil"/>
              <w:left w:val="single" w:sz="4" w:space="0" w:color="auto"/>
              <w:bottom w:val="single" w:sz="4" w:space="0" w:color="auto"/>
              <w:right w:val="single" w:sz="4" w:space="0" w:color="auto"/>
            </w:tcBorders>
          </w:tcPr>
          <w:p w:rsidR="00DF7552" w:rsidRPr="00DF7552" w:rsidP="00DF7552" w14:paraId="471CEAFE"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r>
      <w:tr w14:paraId="2D6F7CB9" w14:textId="77777777" w:rsidTr="00032D85">
        <w:tblPrEx>
          <w:tblW w:w="5000" w:type="pct"/>
          <w:tblLayout w:type="fixed"/>
          <w:tblCellMar>
            <w:left w:w="136" w:type="dxa"/>
            <w:right w:w="136" w:type="dxa"/>
          </w:tblCellMar>
          <w:tblLook w:val="0000"/>
        </w:tblPrEx>
        <w:trPr>
          <w:trHeight w:val="360"/>
        </w:trPr>
        <w:tc>
          <w:tcPr>
            <w:tcW w:w="5000" w:type="pct"/>
            <w:gridSpan w:val="6"/>
            <w:tcBorders>
              <w:top w:val="nil"/>
              <w:left w:val="single" w:sz="4" w:space="0" w:color="auto"/>
              <w:bottom w:val="single" w:sz="4" w:space="0" w:color="auto"/>
              <w:right w:val="single" w:sz="4" w:space="0" w:color="auto"/>
            </w:tcBorders>
            <w:vAlign w:val="center"/>
          </w:tcPr>
          <w:p w:rsidR="00DF7552" w:rsidRPr="00DF7552" w:rsidP="00DF7552" w14:paraId="4F8B48AA" w14:textId="77777777">
            <w:pPr>
              <w:spacing w:after="0" w:line="240" w:lineRule="auto"/>
              <w:jc w:val="center"/>
              <w:rPr>
                <w:rFonts w:ascii="Arial" w:eastAsia="Times New Roman" w:hAnsi="Arial" w:cs="Arial"/>
                <w:b/>
                <w:snapToGrid w:val="0"/>
                <w:sz w:val="20"/>
                <w:szCs w:val="20"/>
              </w:rPr>
            </w:pPr>
            <w:r w:rsidRPr="00DF7552">
              <w:rPr>
                <w:rFonts w:ascii="Arial" w:eastAsia="Times New Roman" w:hAnsi="Arial" w:cs="Arial"/>
                <w:b/>
                <w:snapToGrid w:val="0"/>
                <w:sz w:val="20"/>
                <w:szCs w:val="20"/>
              </w:rPr>
              <w:t>§ 1220.033</w:t>
            </w:r>
            <w:r w:rsidRPr="00DF7552">
              <w:rPr>
                <w:rFonts w:ascii="Arial" w:eastAsia="Times New Roman" w:hAnsi="Arial" w:cs="Arial"/>
                <w:snapToGrid w:val="0"/>
                <w:sz w:val="20"/>
                <w:szCs w:val="20"/>
              </w:rPr>
              <w:t xml:space="preserve"> </w:t>
            </w:r>
            <w:r w:rsidRPr="00DF7552">
              <w:rPr>
                <w:rFonts w:ascii="Arial" w:eastAsia="Times New Roman" w:hAnsi="Arial" w:cs="Arial"/>
                <w:b/>
                <w:snapToGrid w:val="0"/>
                <w:sz w:val="20"/>
                <w:szCs w:val="20"/>
              </w:rPr>
              <w:t>Audits.</w:t>
            </w:r>
          </w:p>
        </w:tc>
      </w:tr>
      <w:tr w14:paraId="771D1664" w14:textId="77777777" w:rsidTr="00032D85">
        <w:tblPrEx>
          <w:tblW w:w="5000" w:type="pct"/>
          <w:tblLayout w:type="fixed"/>
          <w:tblCellMar>
            <w:left w:w="136" w:type="dxa"/>
            <w:right w:w="136" w:type="dxa"/>
          </w:tblCellMar>
          <w:tblLook w:val="0000"/>
        </w:tblPrEx>
        <w:trPr>
          <w:trHeight w:val="146"/>
        </w:trPr>
        <w:tc>
          <w:tcPr>
            <w:tcW w:w="847" w:type="pct"/>
            <w:gridSpan w:val="2"/>
            <w:tcBorders>
              <w:top w:val="single" w:sz="4" w:space="0" w:color="auto"/>
              <w:left w:val="single" w:sz="4" w:space="0" w:color="auto"/>
              <w:bottom w:val="single" w:sz="4" w:space="0" w:color="auto"/>
              <w:right w:val="single" w:sz="4" w:space="0" w:color="auto"/>
            </w:tcBorders>
          </w:tcPr>
          <w:p w:rsidR="00DF7552" w:rsidRPr="00DF7552" w:rsidP="00DF7552" w14:paraId="29108C51"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1220.033(b)(1)</w:t>
            </w:r>
          </w:p>
        </w:tc>
        <w:tc>
          <w:tcPr>
            <w:tcW w:w="1840" w:type="pct"/>
            <w:tcBorders>
              <w:top w:val="single" w:sz="4" w:space="0" w:color="auto"/>
              <w:left w:val="single" w:sz="4" w:space="0" w:color="auto"/>
              <w:bottom w:val="single" w:sz="4" w:space="0" w:color="auto"/>
              <w:right w:val="single" w:sz="4" w:space="0" w:color="auto"/>
            </w:tcBorders>
          </w:tcPr>
          <w:p w:rsidR="00DF7552" w:rsidRPr="00DF7552" w:rsidP="00DF7552" w14:paraId="7AE3C15C"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(b)(1) When nonoperators of an NPSL lease call an audit in accordance with the terms of their operating agreement, the Director shall be notified of the audit call . . .</w:t>
            </w:r>
          </w:p>
        </w:tc>
        <w:tc>
          <w:tcPr>
            <w:tcW w:w="520" w:type="pct"/>
            <w:tcBorders>
              <w:top w:val="single" w:sz="4" w:space="0" w:color="auto"/>
              <w:left w:val="single" w:sz="4" w:space="0" w:color="auto"/>
              <w:bottom w:val="single" w:sz="4" w:space="0" w:color="auto"/>
              <w:right w:val="single" w:sz="4" w:space="0" w:color="auto"/>
            </w:tcBorders>
          </w:tcPr>
          <w:p w:rsidR="00DF7552" w:rsidRPr="00DF7552" w:rsidP="00DF7552" w14:paraId="0E7DE0A2"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2</w:t>
            </w:r>
          </w:p>
        </w:tc>
        <w:tc>
          <w:tcPr>
            <w:tcW w:w="978" w:type="pct"/>
            <w:tcBorders>
              <w:top w:val="single" w:sz="4" w:space="0" w:color="auto"/>
              <w:left w:val="single" w:sz="4" w:space="0" w:color="auto"/>
              <w:bottom w:val="single" w:sz="4" w:space="0" w:color="auto"/>
              <w:right w:val="single" w:sz="4" w:space="0" w:color="auto"/>
            </w:tcBorders>
          </w:tcPr>
          <w:p w:rsidR="00DF7552" w:rsidRPr="00DF7552" w:rsidP="00DF7552" w14:paraId="0E1F6439"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single" w:sz="4" w:space="0" w:color="auto"/>
              <w:left w:val="single" w:sz="4" w:space="0" w:color="auto"/>
              <w:bottom w:val="single" w:sz="4" w:space="0" w:color="auto"/>
              <w:right w:val="single" w:sz="4" w:space="0" w:color="auto"/>
            </w:tcBorders>
          </w:tcPr>
          <w:p w:rsidR="00DF7552" w:rsidRPr="00DF7552" w:rsidP="00DF7552" w14:paraId="6554891D"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18</w:t>
            </w:r>
          </w:p>
        </w:tc>
      </w:tr>
      <w:tr w14:paraId="6713F090" w14:textId="77777777" w:rsidTr="00032D85">
        <w:tblPrEx>
          <w:tblW w:w="5000" w:type="pct"/>
          <w:tblLayout w:type="fixed"/>
          <w:tblCellMar>
            <w:left w:w="136" w:type="dxa"/>
            <w:right w:w="136" w:type="dxa"/>
          </w:tblCellMar>
          <w:tblLook w:val="0000"/>
        </w:tblPrEx>
        <w:trPr>
          <w:trHeight w:val="146"/>
        </w:trPr>
        <w:tc>
          <w:tcPr>
            <w:tcW w:w="847" w:type="pct"/>
            <w:gridSpan w:val="2"/>
            <w:tcBorders>
              <w:top w:val="single" w:sz="4" w:space="0" w:color="auto"/>
              <w:left w:val="single" w:sz="4" w:space="0" w:color="auto"/>
              <w:bottom w:val="single" w:sz="4" w:space="0" w:color="auto"/>
              <w:right w:val="single" w:sz="4" w:space="0" w:color="auto"/>
            </w:tcBorders>
          </w:tcPr>
          <w:p w:rsidR="00DF7552" w:rsidRPr="00DF7552" w:rsidP="00DF7552" w14:paraId="31F0FA02"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1220.033(b)(2)</w:t>
            </w:r>
          </w:p>
        </w:tc>
        <w:tc>
          <w:tcPr>
            <w:tcW w:w="1840" w:type="pct"/>
            <w:tcBorders>
              <w:top w:val="single" w:sz="4" w:space="0" w:color="auto"/>
              <w:left w:val="single" w:sz="4" w:space="0" w:color="auto"/>
              <w:bottom w:val="single" w:sz="4" w:space="0" w:color="auto"/>
              <w:right w:val="single" w:sz="4" w:space="0" w:color="auto"/>
            </w:tcBorders>
          </w:tcPr>
          <w:p w:rsidR="00DF7552" w:rsidRPr="00DF7552" w:rsidP="00DF7552" w14:paraId="04B3E5FD" w14:textId="77777777">
            <w:pPr>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(b)(2) If DOI determines to call for an audit, DOI shall notify the lessee of its audit call and set a time and place for the audit . . .The lessee shall send copies of the notice to the nonoperators on the lease . . .</w:t>
            </w:r>
          </w:p>
        </w:tc>
        <w:tc>
          <w:tcPr>
            <w:tcW w:w="520" w:type="pct"/>
            <w:tcBorders>
              <w:top w:val="single" w:sz="4" w:space="0" w:color="auto"/>
              <w:left w:val="single" w:sz="4" w:space="0" w:color="auto"/>
              <w:bottom w:val="single" w:sz="4" w:space="0" w:color="auto"/>
              <w:right w:val="single" w:sz="4" w:space="0" w:color="auto"/>
            </w:tcBorders>
          </w:tcPr>
          <w:p w:rsidR="00DF7552" w:rsidRPr="00DF7552" w:rsidP="00DF7552" w14:paraId="048AC46D"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2</w:t>
            </w:r>
          </w:p>
        </w:tc>
        <w:tc>
          <w:tcPr>
            <w:tcW w:w="978" w:type="pct"/>
            <w:tcBorders>
              <w:top w:val="single" w:sz="4" w:space="0" w:color="auto"/>
              <w:left w:val="single" w:sz="4" w:space="0" w:color="auto"/>
              <w:bottom w:val="single" w:sz="4" w:space="0" w:color="auto"/>
              <w:right w:val="single" w:sz="4" w:space="0" w:color="auto"/>
            </w:tcBorders>
          </w:tcPr>
          <w:p w:rsidR="00DF7552" w:rsidRPr="00DF7552" w:rsidP="00DF7552" w14:paraId="5A9E2ED6"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9</w:t>
            </w:r>
          </w:p>
        </w:tc>
        <w:tc>
          <w:tcPr>
            <w:tcW w:w="815" w:type="pct"/>
            <w:tcBorders>
              <w:top w:val="single" w:sz="4" w:space="0" w:color="auto"/>
              <w:left w:val="single" w:sz="4" w:space="0" w:color="auto"/>
              <w:bottom w:val="single" w:sz="4" w:space="0" w:color="auto"/>
              <w:right w:val="single" w:sz="4" w:space="0" w:color="auto"/>
            </w:tcBorders>
          </w:tcPr>
          <w:p w:rsidR="00DF7552" w:rsidRPr="00DF7552" w:rsidP="00DF7552" w14:paraId="0177AC26" w14:textId="77777777">
            <w:pPr>
              <w:spacing w:after="0" w:line="240" w:lineRule="auto"/>
              <w:jc w:val="right"/>
              <w:rPr>
                <w:rFonts w:ascii="Arial" w:eastAsia="Times New Roman" w:hAnsi="Arial" w:cs="Arial"/>
                <w:snapToGrid w:val="0"/>
                <w:sz w:val="20"/>
                <w:szCs w:val="20"/>
              </w:rPr>
            </w:pPr>
            <w:r w:rsidRPr="00DF7552">
              <w:rPr>
                <w:rFonts w:ascii="Arial" w:eastAsia="Times New Roman" w:hAnsi="Arial" w:cs="Arial"/>
                <w:snapToGrid w:val="0"/>
                <w:sz w:val="20"/>
                <w:szCs w:val="20"/>
              </w:rPr>
              <w:t>18</w:t>
            </w:r>
          </w:p>
        </w:tc>
      </w:tr>
      <w:tr w14:paraId="04743208" w14:textId="77777777" w:rsidTr="00032D85">
        <w:tblPrEx>
          <w:tblW w:w="5000" w:type="pct"/>
          <w:tblLayout w:type="fixed"/>
          <w:tblCellMar>
            <w:left w:w="136" w:type="dxa"/>
            <w:right w:w="136" w:type="dxa"/>
          </w:tblCellMar>
          <w:tblLook w:val="0000"/>
        </w:tblPrEx>
        <w:trPr>
          <w:trHeight w:val="146"/>
        </w:trPr>
        <w:tc>
          <w:tcPr>
            <w:tcW w:w="847" w:type="pct"/>
            <w:gridSpan w:val="2"/>
            <w:tcBorders>
              <w:top w:val="single" w:sz="4" w:space="0" w:color="auto"/>
              <w:left w:val="single" w:sz="4" w:space="0" w:color="auto"/>
              <w:bottom w:val="single" w:sz="4" w:space="0" w:color="auto"/>
              <w:right w:val="single" w:sz="4" w:space="0" w:color="auto"/>
            </w:tcBorders>
          </w:tcPr>
          <w:p w:rsidR="00DF7552" w:rsidRPr="00DF7552" w:rsidP="00DF7552" w14:paraId="0300BE73" w14:textId="77777777">
            <w:pPr>
              <w:widowControl w:val="0"/>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1220.033(e)</w:t>
            </w:r>
          </w:p>
        </w:tc>
        <w:tc>
          <w:tcPr>
            <w:tcW w:w="1840" w:type="pct"/>
            <w:tcBorders>
              <w:top w:val="single" w:sz="4" w:space="0" w:color="auto"/>
              <w:left w:val="single" w:sz="4" w:space="0" w:color="auto"/>
              <w:bottom w:val="single" w:sz="4" w:space="0" w:color="auto"/>
              <w:right w:val="single" w:sz="4" w:space="0" w:color="auto"/>
            </w:tcBorders>
          </w:tcPr>
          <w:p w:rsidR="00DF7552" w:rsidRPr="00DF7552" w:rsidP="00DF7552" w14:paraId="4E970390" w14:textId="77777777">
            <w:pPr>
              <w:widowControl w:val="0"/>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(e) Records required to be kept under § 1220.030(a) shall be made available for inspection by any authorized agent of DOI . . .</w:t>
            </w:r>
          </w:p>
        </w:tc>
        <w:tc>
          <w:tcPr>
            <w:tcW w:w="2313" w:type="pct"/>
            <w:gridSpan w:val="3"/>
            <w:tcBorders>
              <w:top w:val="single" w:sz="4" w:space="0" w:color="auto"/>
              <w:left w:val="single" w:sz="4" w:space="0" w:color="auto"/>
              <w:bottom w:val="single" w:sz="4" w:space="0" w:color="auto"/>
              <w:right w:val="single" w:sz="4" w:space="0" w:color="auto"/>
            </w:tcBorders>
          </w:tcPr>
          <w:p w:rsidR="00DF7552" w:rsidRPr="00DF7552" w:rsidP="00DF7552" w14:paraId="12709797" w14:textId="77777777">
            <w:pPr>
              <w:widowControl w:val="0"/>
              <w:spacing w:after="0" w:line="240" w:lineRule="auto"/>
              <w:rPr>
                <w:rFonts w:ascii="Arial" w:eastAsia="Times New Roman" w:hAnsi="Arial" w:cs="Arial"/>
                <w:snapToGrid w:val="0"/>
                <w:sz w:val="20"/>
                <w:szCs w:val="20"/>
              </w:rPr>
            </w:pPr>
            <w:r w:rsidRPr="00DF7552">
              <w:rPr>
                <w:rFonts w:ascii="Arial" w:eastAsia="Times New Roman" w:hAnsi="Arial" w:cs="Arial"/>
                <w:snapToGrid w:val="0"/>
                <w:sz w:val="20"/>
                <w:szCs w:val="20"/>
              </w:rPr>
              <w:t>The Office of Regulatory Affairs determined that</w:t>
            </w:r>
            <w:r w:rsidRPr="00DF7552">
              <w:rPr>
                <w:rFonts w:ascii="Arial" w:eastAsia="Times New Roman" w:hAnsi="Arial" w:cs="Arial"/>
                <w:i/>
                <w:snapToGrid w:val="0"/>
                <w:sz w:val="20"/>
                <w:szCs w:val="20"/>
              </w:rPr>
              <w:t xml:space="preserve"> </w:t>
            </w:r>
            <w:r w:rsidRPr="00DF7552">
              <w:rPr>
                <w:rFonts w:ascii="Arial" w:eastAsia="Times New Roman" w:hAnsi="Arial" w:cs="Arial"/>
                <w:snapToGrid w:val="0"/>
                <w:sz w:val="20"/>
                <w:szCs w:val="20"/>
              </w:rPr>
              <w:t>the audit process is exempt from the Paperwork Reduction Act of 1995 because ONRR staff asks non-standard questions to resolve exceptions.</w:t>
            </w:r>
          </w:p>
        </w:tc>
      </w:tr>
      <w:tr w14:paraId="7DFB4F3E" w14:textId="77777777" w:rsidTr="00032D85">
        <w:tblPrEx>
          <w:tblW w:w="5000" w:type="pct"/>
          <w:tblLayout w:type="fixed"/>
          <w:tblCellMar>
            <w:left w:w="136" w:type="dxa"/>
            <w:right w:w="136" w:type="dxa"/>
          </w:tblCellMar>
          <w:tblLook w:val="0000"/>
        </w:tblPrEx>
        <w:trPr>
          <w:trHeight w:val="360"/>
        </w:trPr>
        <w:tc>
          <w:tcPr>
            <w:tcW w:w="3207" w:type="pct"/>
            <w:gridSpan w:val="4"/>
            <w:tcBorders>
              <w:top w:val="single" w:sz="4" w:space="0" w:color="auto"/>
              <w:left w:val="single" w:sz="4" w:space="0" w:color="auto"/>
              <w:bottom w:val="single" w:sz="4" w:space="0" w:color="auto"/>
              <w:right w:val="single" w:sz="4" w:space="0" w:color="auto"/>
            </w:tcBorders>
            <w:vAlign w:val="center"/>
          </w:tcPr>
          <w:p w:rsidR="00DF7552" w:rsidRPr="00DF7552" w:rsidP="00DF7552" w14:paraId="78B01CE4" w14:textId="77777777">
            <w:pPr>
              <w:spacing w:after="0" w:line="240" w:lineRule="auto"/>
              <w:rPr>
                <w:rFonts w:ascii="Arial" w:eastAsia="Times New Roman" w:hAnsi="Arial" w:cs="Arial"/>
                <w:snapToGrid w:val="0"/>
                <w:sz w:val="20"/>
                <w:szCs w:val="20"/>
              </w:rPr>
            </w:pPr>
            <w:r w:rsidRPr="00DF7552">
              <w:rPr>
                <w:rFonts w:ascii="Arial" w:eastAsia="Times New Roman" w:hAnsi="Arial" w:cs="Arial"/>
                <w:b/>
                <w:snapToGrid w:val="0"/>
                <w:sz w:val="20"/>
                <w:szCs w:val="20"/>
              </w:rPr>
              <w:t>TOTAL BURDEN</w:t>
            </w:r>
          </w:p>
        </w:tc>
        <w:tc>
          <w:tcPr>
            <w:tcW w:w="978" w:type="pct"/>
            <w:tcBorders>
              <w:top w:val="single" w:sz="4" w:space="0" w:color="auto"/>
              <w:left w:val="single" w:sz="4" w:space="0" w:color="auto"/>
              <w:bottom w:val="single" w:sz="4" w:space="0" w:color="auto"/>
              <w:right w:val="single" w:sz="4" w:space="0" w:color="auto"/>
            </w:tcBorders>
            <w:vAlign w:val="center"/>
          </w:tcPr>
          <w:p w:rsidR="00DF7552" w:rsidRPr="00DF7552" w:rsidP="00DF7552" w14:paraId="17515BAE" w14:textId="77777777">
            <w:pPr>
              <w:spacing w:after="0" w:line="240" w:lineRule="auto"/>
              <w:jc w:val="right"/>
              <w:rPr>
                <w:rFonts w:ascii="Arial" w:eastAsia="Times New Roman" w:hAnsi="Arial" w:cs="Arial"/>
                <w:b/>
                <w:snapToGrid w:val="0"/>
                <w:sz w:val="20"/>
                <w:szCs w:val="20"/>
              </w:rPr>
            </w:pPr>
            <w:r w:rsidRPr="00DF7552">
              <w:rPr>
                <w:rFonts w:ascii="Arial" w:eastAsia="Times New Roman" w:hAnsi="Arial" w:cs="Arial"/>
                <w:b/>
                <w:snapToGrid w:val="0"/>
                <w:sz w:val="20"/>
                <w:szCs w:val="20"/>
              </w:rPr>
              <w:t>180</w:t>
            </w:r>
          </w:p>
        </w:tc>
        <w:tc>
          <w:tcPr>
            <w:tcW w:w="815" w:type="pct"/>
            <w:tcBorders>
              <w:top w:val="single" w:sz="4" w:space="0" w:color="auto"/>
              <w:left w:val="single" w:sz="4" w:space="0" w:color="auto"/>
              <w:bottom w:val="single" w:sz="4" w:space="0" w:color="auto"/>
              <w:right w:val="single" w:sz="4" w:space="0" w:color="auto"/>
            </w:tcBorders>
            <w:vAlign w:val="center"/>
          </w:tcPr>
          <w:p w:rsidR="00DF7552" w:rsidRPr="00DF7552" w:rsidP="00DF7552" w14:paraId="2736D7A3" w14:textId="77777777">
            <w:pPr>
              <w:spacing w:after="0" w:line="240" w:lineRule="auto"/>
              <w:jc w:val="right"/>
              <w:rPr>
                <w:rFonts w:ascii="Arial" w:eastAsia="Times New Roman" w:hAnsi="Arial" w:cs="Arial"/>
                <w:b/>
                <w:snapToGrid w:val="0"/>
                <w:sz w:val="20"/>
                <w:szCs w:val="20"/>
              </w:rPr>
            </w:pPr>
            <w:r w:rsidRPr="00DF7552">
              <w:rPr>
                <w:rFonts w:ascii="Arial" w:eastAsia="Times New Roman" w:hAnsi="Arial" w:cs="Arial"/>
                <w:b/>
                <w:snapToGrid w:val="0"/>
                <w:sz w:val="20"/>
                <w:szCs w:val="20"/>
              </w:rPr>
              <w:t>1,584</w:t>
            </w:r>
          </w:p>
        </w:tc>
      </w:tr>
    </w:tbl>
    <w:p w:rsidR="00DF7552" w:rsidRPr="00DF7552" w:rsidP="00DF7552" w14:paraId="2D1C0538" w14:textId="77777777">
      <w:pPr>
        <w:tabs>
          <w:tab w:val="left" w:pos="-1080"/>
          <w:tab w:val="left" w:pos="-720"/>
          <w:tab w:val="left" w:pos="360"/>
          <w:tab w:val="left" w:pos="810"/>
        </w:tabs>
        <w:spacing w:after="0" w:line="240" w:lineRule="auto"/>
        <w:rPr>
          <w:rFonts w:ascii="Arial" w:eastAsia="Times New Roman" w:hAnsi="Arial" w:cs="Arial"/>
          <w:snapToGrid w:val="0"/>
          <w:sz w:val="18"/>
          <w:szCs w:val="18"/>
        </w:rPr>
      </w:pPr>
    </w:p>
    <w:p w:rsidR="00DF7552" w:rsidRPr="00DF7552" w:rsidP="00DF7552" w14:paraId="27010D63" w14:textId="77777777">
      <w:pPr>
        <w:tabs>
          <w:tab w:val="left" w:pos="-1080"/>
          <w:tab w:val="left" w:pos="-720"/>
          <w:tab w:val="left" w:pos="360"/>
          <w:tab w:val="left" w:pos="810"/>
        </w:tabs>
        <w:spacing w:after="0" w:line="240" w:lineRule="auto"/>
        <w:rPr>
          <w:rFonts w:ascii="Arial" w:eastAsia="Times New Roman" w:hAnsi="Arial" w:cs="Arial"/>
          <w:snapToGrid w:val="0"/>
          <w:sz w:val="20"/>
          <w:szCs w:val="20"/>
        </w:rPr>
      </w:pPr>
    </w:p>
    <w:p w:rsidR="00DF7552" w:rsidRPr="00DF7552" w:rsidP="00DF7552" w14:paraId="6E6B52D9"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napToGrid w:val="0"/>
          <w:sz w:val="24"/>
          <w:szCs w:val="24"/>
        </w:rPr>
      </w:pPr>
      <w:r w:rsidRPr="00DF7552">
        <w:rPr>
          <w:rFonts w:ascii="Times New Roman" w:eastAsia="Times New Roman" w:hAnsi="Times New Roman" w:cs="Times New Roman"/>
          <w:b/>
          <w:snapToGrid w:val="0"/>
          <w:sz w:val="24"/>
          <w:szCs w:val="24"/>
        </w:rPr>
        <w:t>13.  Provide an estimate of the total annual non-hour cost burden to respondents or recordkeepers resulting from the collection of information.  (Do not include the cost of any hour burden already reflected in item 12.)</w:t>
      </w:r>
    </w:p>
    <w:p w:rsidR="00DF7552" w:rsidRPr="00DF7552" w:rsidP="00DF7552" w14:paraId="26563E6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imes New Roman" w:eastAsia="Times New Roman" w:hAnsi="Times New Roman" w:cs="Times New Roman"/>
          <w:snapToGrid w:val="0"/>
          <w:sz w:val="24"/>
          <w:szCs w:val="24"/>
        </w:rPr>
      </w:pPr>
    </w:p>
    <w:p w:rsidR="00DF7552" w:rsidRPr="00DF7552" w:rsidP="00DF7552" w14:paraId="55A4BAB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rPr>
          <w:rFonts w:ascii="Times New Roman" w:eastAsia="Times New Roman" w:hAnsi="Times New Roman" w:cs="Times New Roman"/>
          <w:b/>
          <w:snapToGrid w:val="0"/>
          <w:sz w:val="24"/>
          <w:szCs w:val="24"/>
        </w:rPr>
      </w:pPr>
      <w:r w:rsidRPr="00DF7552">
        <w:rPr>
          <w:rFonts w:ascii="Times New Roman" w:eastAsia="Times New Roman" w:hAnsi="Times New Roman" w:cs="Times New Roman"/>
          <w:snapToGrid w:val="0"/>
          <w:sz w:val="24"/>
          <w:szCs w:val="24"/>
        </w:rPr>
        <w:t>*</w:t>
      </w:r>
      <w:r w:rsidRPr="00DF7552">
        <w:rPr>
          <w:rFonts w:ascii="Times New Roman" w:eastAsia="Times New Roman" w:hAnsi="Times New Roman" w:cs="Times New Roman"/>
          <w:snapToGrid w:val="0"/>
          <w:sz w:val="24"/>
          <w:szCs w:val="24"/>
        </w:rPr>
        <w:tab/>
      </w:r>
      <w:r w:rsidRPr="00DF7552">
        <w:rPr>
          <w:rFonts w:ascii="Times New Roman" w:eastAsia="Times New Roman" w:hAnsi="Times New Roman" w:cs="Times New Roman"/>
          <w:b/>
          <w:snapToGrid w:val="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F7552" w:rsidRPr="00DF7552" w:rsidP="00DF7552" w14:paraId="2B9C4C16" w14:textId="77777777">
      <w:pPr>
        <w:tabs>
          <w:tab w:val="left" w:pos="-1080"/>
          <w:tab w:val="left" w:pos="-720"/>
          <w:tab w:val="left" w:pos="360"/>
          <w:tab w:val="left" w:pos="810"/>
        </w:tabs>
        <w:spacing w:after="0" w:line="240" w:lineRule="auto"/>
        <w:rPr>
          <w:rFonts w:ascii="Times New Roman" w:eastAsia="Times New Roman" w:hAnsi="Times New Roman" w:cs="Times New Roman"/>
          <w:b/>
          <w:i/>
          <w:snapToGrid w:val="0"/>
          <w:sz w:val="24"/>
          <w:szCs w:val="20"/>
        </w:rPr>
      </w:pPr>
    </w:p>
    <w:p w:rsidR="00DF7552" w:rsidRPr="00DF7552" w:rsidP="00DF7552" w14:paraId="261FA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rPr>
          <w:rFonts w:ascii="Times New Roman" w:eastAsia="Times New Roman" w:hAnsi="Times New Roman" w:cs="Times New Roman"/>
          <w:b/>
          <w:snapToGrid w:val="0"/>
          <w:sz w:val="24"/>
          <w:szCs w:val="24"/>
        </w:rPr>
      </w:pPr>
      <w:r w:rsidRPr="00DF7552">
        <w:rPr>
          <w:rFonts w:ascii="Times New Roman" w:eastAsia="Times New Roman" w:hAnsi="Times New Roman" w:cs="Times New Roman"/>
          <w:b/>
          <w:snapToGrid w:val="0"/>
          <w:sz w:val="24"/>
          <w:szCs w:val="20"/>
        </w:rPr>
        <w:t>*</w:t>
      </w:r>
      <w:r w:rsidRPr="00DF7552">
        <w:rPr>
          <w:rFonts w:ascii="Times New Roman" w:eastAsia="Times New Roman" w:hAnsi="Times New Roman" w:cs="Times New Roman"/>
          <w:b/>
          <w:i/>
          <w:snapToGrid w:val="0"/>
          <w:sz w:val="24"/>
          <w:szCs w:val="20"/>
        </w:rPr>
        <w:tab/>
      </w:r>
      <w:r w:rsidRPr="00DF7552">
        <w:rPr>
          <w:rFonts w:ascii="Times New Roman" w:eastAsia="Times New Roman" w:hAnsi="Times New Roman" w:cs="Times New Roman"/>
          <w:b/>
          <w:snapToGrid w:val="0"/>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DF7552">
        <w:rPr>
          <w:rFonts w:ascii="Times New Roman" w:eastAsia="Times New Roman" w:hAnsi="Times New Roman" w:cs="Times New Roman"/>
          <w:b/>
          <w:snapToGrid w:val="0"/>
          <w:sz w:val="24"/>
          <w:szCs w:val="24"/>
        </w:rPr>
        <w:t>of respondents (fewer than 10), utilize the 60-day pre-OMB submission public comment process and use existing economic or regulatory impact analysis associated with the rulemaking containing the information collection, as appropriate.</w:t>
      </w:r>
    </w:p>
    <w:p w:rsidR="00DF7552" w:rsidRPr="00DF7552" w:rsidP="00DF7552" w14:paraId="2809005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rPr>
          <w:rFonts w:ascii="Times New Roman" w:eastAsia="Times New Roman" w:hAnsi="Times New Roman" w:cs="Times New Roman"/>
          <w:snapToGrid w:val="0"/>
          <w:sz w:val="24"/>
          <w:szCs w:val="24"/>
        </w:rPr>
      </w:pPr>
    </w:p>
    <w:p w:rsidR="00DF7552" w:rsidRPr="00DF7552" w:rsidP="00824212" w14:paraId="7C5E8E79" w14:textId="6DB8A2B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snapToGrid w:val="0"/>
          <w:sz w:val="24"/>
          <w:szCs w:val="24"/>
        </w:rPr>
        <w:tab/>
      </w:r>
      <w:r w:rsidRPr="00DF7552">
        <w:rPr>
          <w:rFonts w:ascii="Times New Roman" w:eastAsia="Times New Roman" w:hAnsi="Times New Roman" w:cs="Times New Roman"/>
          <w:snapToGrid w:val="0"/>
          <w:sz w:val="24"/>
          <w:szCs w:val="24"/>
        </w:rPr>
        <w:t>*</w:t>
      </w:r>
      <w:r w:rsidRPr="00DF7552">
        <w:rPr>
          <w:rFonts w:ascii="Times New Roman" w:eastAsia="Times New Roman" w:hAnsi="Times New Roman" w:cs="Times New Roman"/>
          <w:b/>
          <w:snapToGrid w:val="0"/>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F7552" w:rsidRPr="00DF7552" w:rsidP="00DF7552" w14:paraId="528CB0BE"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7A653B5E"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ONRR has identified no non-hour cost burdens for this information collection.</w:t>
      </w:r>
    </w:p>
    <w:p w:rsidR="00DF7552" w:rsidRPr="00DF7552" w:rsidP="00DF7552" w14:paraId="18A376E4" w14:textId="77777777">
      <w:pPr>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5214D87A" w14:textId="1CE4DED9">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napToGrid w:val="0"/>
          <w:sz w:val="24"/>
          <w:szCs w:val="24"/>
        </w:rPr>
      </w:pPr>
      <w:r w:rsidRPr="00DF7552">
        <w:rPr>
          <w:rFonts w:ascii="Times New Roman" w:eastAsia="Times New Roman" w:hAnsi="Times New Roman" w:cs="Times New Roman"/>
          <w:b/>
          <w:snapToGrid w:val="0"/>
          <w:sz w:val="24"/>
          <w:szCs w:val="24"/>
        </w:rPr>
        <w:t xml:space="preserve">14.  Provide estimates of annualized cost to the </w:t>
      </w:r>
      <w:r w:rsidR="00F23149">
        <w:rPr>
          <w:rFonts w:ascii="Times New Roman" w:eastAsia="Times New Roman" w:hAnsi="Times New Roman" w:cs="Times New Roman"/>
          <w:b/>
          <w:snapToGrid w:val="0"/>
          <w:sz w:val="24"/>
          <w:szCs w:val="24"/>
        </w:rPr>
        <w:t>Federal</w:t>
      </w:r>
      <w:r w:rsidRPr="00DF7552">
        <w:rPr>
          <w:rFonts w:ascii="Times New Roman" w:eastAsia="Times New Roman" w:hAnsi="Times New Roman" w:cs="Times New Roman"/>
          <w:b/>
          <w:snapToGrid w:val="0"/>
          <w:sz w:val="24"/>
          <w:szCs w:val="24"/>
        </w:rPr>
        <w:t xml:space="preserve">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F7552" w:rsidRPr="00DF7552" w:rsidP="00DF7552" w14:paraId="04C19D63" w14:textId="77777777">
      <w:pPr>
        <w:tabs>
          <w:tab w:val="left" w:pos="-1080"/>
          <w:tab w:val="left" w:pos="-720"/>
          <w:tab w:val="left" w:pos="360"/>
          <w:tab w:val="left" w:pos="810"/>
        </w:tabs>
        <w:spacing w:after="0" w:line="240" w:lineRule="auto"/>
        <w:rPr>
          <w:rFonts w:ascii="Times New Roman" w:eastAsia="Times New Roman" w:hAnsi="Times New Roman" w:cs="Times New Roman"/>
          <w:b/>
          <w:snapToGrid w:val="0"/>
          <w:sz w:val="24"/>
          <w:szCs w:val="20"/>
        </w:rPr>
      </w:pPr>
    </w:p>
    <w:p w:rsidR="00824212" w:rsidP="00824212" w14:paraId="610EDA1B" w14:textId="2C02875A">
      <w:pPr>
        <w:tabs>
          <w:tab w:val="left" w:pos="-1080"/>
          <w:tab w:val="left" w:pos="-720"/>
          <w:tab w:val="left" w:pos="360"/>
          <w:tab w:val="left" w:pos="720"/>
        </w:tabs>
        <w:rPr>
          <w:snapToGrid w:val="0"/>
          <w:sz w:val="24"/>
        </w:rPr>
      </w:pPr>
      <w:r w:rsidRPr="00DF7552">
        <w:rPr>
          <w:rFonts w:ascii="Times New Roman" w:eastAsia="Times New Roman" w:hAnsi="Times New Roman" w:cs="Times New Roman"/>
          <w:snapToGrid w:val="0"/>
          <w:sz w:val="24"/>
          <w:szCs w:val="20"/>
        </w:rPr>
        <w:t xml:space="preserve">To analyze, review, and process the information, the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government spends an average of ½ hour for each reporting burden hour spent by respondents. The total estimated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government time burden is 792</w:t>
      </w:r>
      <w:r w:rsidRPr="00DF7552">
        <w:rPr>
          <w:rFonts w:ascii="Times New Roman" w:eastAsia="Times New Roman" w:hAnsi="Times New Roman" w:cs="Times New Roman"/>
          <w:snapToGrid w:val="0"/>
          <w:color w:val="0000FF"/>
          <w:sz w:val="24"/>
          <w:szCs w:val="20"/>
        </w:rPr>
        <w:t xml:space="preserve"> </w:t>
      </w:r>
      <w:r w:rsidRPr="00DF7552">
        <w:rPr>
          <w:rFonts w:ascii="Times New Roman" w:eastAsia="Times New Roman" w:hAnsi="Times New Roman" w:cs="Times New Roman"/>
          <w:snapToGrid w:val="0"/>
          <w:sz w:val="24"/>
          <w:szCs w:val="20"/>
        </w:rPr>
        <w:t xml:space="preserve">hours [1,584 respondent burden hours x ½ hour = 792]. This is based on time or effort needed to verify costs, revenues or credits, and net profit share payments due. Most of the requirements are performed by a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government auditor paid at the Grade 12, step 5 level. Based on the United States Office of Personnel Management 202</w:t>
      </w:r>
      <w:r w:rsidR="005844C4">
        <w:rPr>
          <w:rFonts w:ascii="Times New Roman" w:eastAsia="Times New Roman" w:hAnsi="Times New Roman" w:cs="Times New Roman"/>
          <w:snapToGrid w:val="0"/>
          <w:sz w:val="24"/>
          <w:szCs w:val="20"/>
        </w:rPr>
        <w:t>3</w:t>
      </w:r>
      <w:r w:rsidRPr="00DF7552">
        <w:rPr>
          <w:rFonts w:ascii="Times New Roman" w:eastAsia="Times New Roman" w:hAnsi="Times New Roman" w:cs="Times New Roman"/>
          <w:snapToGrid w:val="0"/>
          <w:sz w:val="24"/>
          <w:szCs w:val="20"/>
        </w:rPr>
        <w:t xml:space="preserve"> General Schedule, Grade 12, Step 5, pay scale for a </w:t>
      </w:r>
      <w:r w:rsidRPr="00824212">
        <w:rPr>
          <w:rFonts w:ascii="Times New Roman" w:eastAsia="Times New Roman" w:hAnsi="Times New Roman" w:cs="Times New Roman"/>
          <w:snapToGrid w:val="0"/>
          <w:sz w:val="24"/>
          <w:szCs w:val="20"/>
        </w:rPr>
        <w:t>government auditor in the Denver, Colorado metropolitan</w:t>
      </w:r>
      <w:r w:rsidRPr="00824212">
        <w:rPr>
          <w:rFonts w:ascii="Times New Roman" w:eastAsia="Times New Roman" w:hAnsi="Times New Roman" w:cs="Times New Roman"/>
          <w:snapToGrid w:val="0"/>
          <w:sz w:val="24"/>
          <w:szCs w:val="20"/>
        </w:rPr>
        <w:t xml:space="preserve"> </w:t>
      </w:r>
      <w:r w:rsidRPr="00824212">
        <w:rPr>
          <w:rFonts w:ascii="Times New Roman" w:hAnsi="Times New Roman" w:cs="Times New Roman"/>
          <w:snapToGrid w:val="0"/>
          <w:sz w:val="24"/>
        </w:rPr>
        <w:t>located at </w:t>
      </w:r>
      <w:r w:rsidRPr="00824212">
        <w:rPr>
          <w:rFonts w:ascii="Times New Roman" w:hAnsi="Times New Roman" w:cs="Times New Roman"/>
          <w:i/>
          <w:iCs/>
          <w:snapToGrid w:val="0"/>
          <w:sz w:val="24"/>
        </w:rPr>
        <w:t>https://www.opm.gov/policy-data-oversight/pay-leave/salaries-wages/salary-tables/pdf/2023/DEN.pdf</w:t>
      </w:r>
      <w:r w:rsidRPr="00824212">
        <w:rPr>
          <w:rFonts w:ascii="Times New Roman" w:eastAsia="Times New Roman" w:hAnsi="Times New Roman" w:cs="Times New Roman"/>
          <w:snapToGrid w:val="0"/>
          <w:sz w:val="24"/>
          <w:szCs w:val="20"/>
        </w:rPr>
        <w:t>, the estimated hourly labor cost is</w:t>
      </w:r>
      <w:r w:rsidRPr="00824212">
        <w:rPr>
          <w:rFonts w:ascii="Times New Roman" w:eastAsia="Times New Roman" w:hAnsi="Times New Roman" w:cs="Times New Roman"/>
          <w:snapToGrid w:val="0"/>
          <w:sz w:val="24"/>
          <w:szCs w:val="20"/>
        </w:rPr>
        <w:t xml:space="preserve"> </w:t>
      </w:r>
      <w:r w:rsidRPr="00824212">
        <w:rPr>
          <w:rFonts w:ascii="Times New Roman" w:hAnsi="Times New Roman" w:cs="Times New Roman"/>
          <w:snapToGrid w:val="0"/>
          <w:sz w:val="24"/>
        </w:rPr>
        <w:t>$</w:t>
      </w:r>
      <w:r>
        <w:rPr>
          <w:rFonts w:ascii="Times New Roman" w:hAnsi="Times New Roman" w:cs="Times New Roman"/>
          <w:snapToGrid w:val="0"/>
          <w:sz w:val="24"/>
        </w:rPr>
        <w:t>80</w:t>
      </w:r>
      <w:r w:rsidRPr="00824212">
        <w:rPr>
          <w:rFonts w:ascii="Times New Roman" w:hAnsi="Times New Roman" w:cs="Times New Roman"/>
          <w:snapToGrid w:val="0"/>
          <w:sz w:val="24"/>
        </w:rPr>
        <w:t>, calculated as follows: ONRR used a multiplier of 1.6</w:t>
      </w:r>
      <w:r w:rsidRPr="00824212">
        <w:rPr>
          <w:rFonts w:ascii="Times New Roman" w:hAnsi="Times New Roman" w:cs="Times New Roman"/>
          <w:bCs/>
          <w:snapToGrid w:val="0"/>
          <w:sz w:val="24"/>
        </w:rPr>
        <w:t xml:space="preserve"> </w:t>
      </w:r>
      <w:r w:rsidRPr="00824212">
        <w:rPr>
          <w:rFonts w:ascii="Times New Roman" w:hAnsi="Times New Roman" w:cs="Times New Roman"/>
          <w:snapToGrid w:val="0"/>
          <w:sz w:val="24"/>
        </w:rPr>
        <w:t>for benefits. ONRR estimates the hourly labor cost is $</w:t>
      </w:r>
      <w:r>
        <w:rPr>
          <w:rFonts w:ascii="Times New Roman" w:hAnsi="Times New Roman" w:cs="Times New Roman"/>
          <w:snapToGrid w:val="0"/>
          <w:sz w:val="24"/>
        </w:rPr>
        <w:t>80</w:t>
      </w:r>
      <w:r w:rsidRPr="00824212">
        <w:rPr>
          <w:rFonts w:ascii="Times New Roman" w:hAnsi="Times New Roman" w:cs="Times New Roman"/>
          <w:snapToGrid w:val="0"/>
          <w:sz w:val="24"/>
        </w:rPr>
        <w:t xml:space="preserve"> ($49.83 per hour x 1.</w:t>
      </w:r>
      <w:r>
        <w:rPr>
          <w:rFonts w:ascii="Times New Roman" w:hAnsi="Times New Roman" w:cs="Times New Roman"/>
          <w:snapToGrid w:val="0"/>
          <w:sz w:val="24"/>
        </w:rPr>
        <w:t>6</w:t>
      </w:r>
      <w:r w:rsidRPr="00824212">
        <w:rPr>
          <w:rFonts w:ascii="Times New Roman" w:hAnsi="Times New Roman" w:cs="Times New Roman"/>
          <w:snapToGrid w:val="0"/>
          <w:sz w:val="24"/>
        </w:rPr>
        <w:t xml:space="preserve"> benefit cost factor = $</w:t>
      </w:r>
      <w:r>
        <w:rPr>
          <w:rFonts w:ascii="Times New Roman" w:hAnsi="Times New Roman" w:cs="Times New Roman"/>
          <w:snapToGrid w:val="0"/>
          <w:sz w:val="24"/>
        </w:rPr>
        <w:t>79.72</w:t>
      </w:r>
      <w:r w:rsidRPr="00824212">
        <w:rPr>
          <w:rFonts w:ascii="Times New Roman" w:hAnsi="Times New Roman" w:cs="Times New Roman"/>
          <w:snapToGrid w:val="0"/>
          <w:sz w:val="24"/>
        </w:rPr>
        <w:t>, rounded to $</w:t>
      </w:r>
      <w:r>
        <w:rPr>
          <w:rFonts w:ascii="Times New Roman" w:hAnsi="Times New Roman" w:cs="Times New Roman"/>
          <w:snapToGrid w:val="0"/>
          <w:sz w:val="24"/>
        </w:rPr>
        <w:t>80</w:t>
      </w:r>
      <w:r w:rsidRPr="00824212">
        <w:rPr>
          <w:rFonts w:ascii="Times New Roman" w:hAnsi="Times New Roman" w:cs="Times New Roman"/>
          <w:snapToGrid w:val="0"/>
          <w:sz w:val="24"/>
        </w:rPr>
        <w:t>).</w:t>
      </w:r>
    </w:p>
    <w:p w:rsidR="00DF7552" w:rsidRPr="00DF7552" w:rsidP="00824212" w14:paraId="3801BF1F" w14:textId="6AEA04BA">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 xml:space="preserve">The annual cost to the </w:t>
      </w:r>
      <w:r w:rsidR="00F23149">
        <w:rPr>
          <w:rFonts w:ascii="Times New Roman" w:eastAsia="Times New Roman" w:hAnsi="Times New Roman" w:cs="Times New Roman"/>
          <w:snapToGrid w:val="0"/>
          <w:sz w:val="24"/>
          <w:szCs w:val="20"/>
        </w:rPr>
        <w:t>Federal</w:t>
      </w:r>
      <w:r w:rsidRPr="00DF7552">
        <w:rPr>
          <w:rFonts w:ascii="Times New Roman" w:eastAsia="Times New Roman" w:hAnsi="Times New Roman" w:cs="Times New Roman"/>
          <w:snapToGrid w:val="0"/>
          <w:sz w:val="24"/>
          <w:szCs w:val="20"/>
        </w:rPr>
        <w:t xml:space="preserve"> government for verification and reporting of NPSL leases is calculated as follows:</w:t>
      </w:r>
    </w:p>
    <w:p w:rsidR="00DF7552" w:rsidRPr="00DF7552" w:rsidP="00DF7552" w14:paraId="360DD60A"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824212" w14:paraId="4BD905F0" w14:textId="63F55D0E">
      <w:pPr>
        <w:widowControl w:val="0"/>
        <w:tabs>
          <w:tab w:val="left" w:pos="-1080"/>
          <w:tab w:val="left" w:pos="-720"/>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0"/>
        </w:rPr>
        <w:tab/>
      </w:r>
      <w:r>
        <w:rPr>
          <w:rFonts w:ascii="Times New Roman" w:eastAsia="Times New Roman" w:hAnsi="Times New Roman" w:cs="Times New Roman"/>
          <w:snapToGrid w:val="0"/>
          <w:sz w:val="24"/>
          <w:szCs w:val="20"/>
        </w:rPr>
        <w:tab/>
      </w:r>
      <w:r>
        <w:rPr>
          <w:rFonts w:ascii="Times New Roman" w:eastAsia="Times New Roman" w:hAnsi="Times New Roman" w:cs="Times New Roman"/>
          <w:snapToGrid w:val="0"/>
          <w:sz w:val="24"/>
          <w:szCs w:val="20"/>
        </w:rPr>
        <w:tab/>
      </w:r>
      <w:r w:rsidRPr="00DF7552">
        <w:rPr>
          <w:rFonts w:ascii="Times New Roman" w:eastAsia="Times New Roman" w:hAnsi="Times New Roman" w:cs="Times New Roman"/>
          <w:snapToGrid w:val="0"/>
          <w:sz w:val="24"/>
          <w:szCs w:val="20"/>
        </w:rPr>
        <w:t>1,584 hours x ½ hour = 792 hours x $</w:t>
      </w:r>
      <w:r>
        <w:rPr>
          <w:rFonts w:ascii="Times New Roman" w:eastAsia="Times New Roman" w:hAnsi="Times New Roman" w:cs="Times New Roman"/>
          <w:snapToGrid w:val="0"/>
          <w:sz w:val="24"/>
          <w:szCs w:val="20"/>
        </w:rPr>
        <w:t>80</w:t>
      </w:r>
      <w:r w:rsidRPr="00DF7552">
        <w:rPr>
          <w:rFonts w:ascii="Times New Roman" w:eastAsia="Times New Roman" w:hAnsi="Times New Roman" w:cs="Times New Roman"/>
          <w:snapToGrid w:val="0"/>
          <w:sz w:val="24"/>
          <w:szCs w:val="20"/>
        </w:rPr>
        <w:t xml:space="preserve"> per hour = $</w:t>
      </w:r>
      <w:r>
        <w:rPr>
          <w:rFonts w:ascii="Times New Roman" w:eastAsia="Times New Roman" w:hAnsi="Times New Roman" w:cs="Times New Roman"/>
          <w:snapToGrid w:val="0"/>
          <w:sz w:val="24"/>
          <w:szCs w:val="20"/>
        </w:rPr>
        <w:t>63,360</w:t>
      </w:r>
    </w:p>
    <w:p w:rsidR="00DF7552" w:rsidRPr="00DF7552" w:rsidP="00DF7552" w14:paraId="5FC5ACE4"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3D868577"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15.</w:t>
      </w:r>
      <w:r w:rsidRPr="00DF7552">
        <w:rPr>
          <w:rFonts w:ascii="Times New Roman" w:eastAsia="Times New Roman" w:hAnsi="Times New Roman" w:cs="Times New Roman"/>
          <w:b/>
          <w:snapToGrid w:val="0"/>
          <w:sz w:val="24"/>
          <w:szCs w:val="20"/>
        </w:rPr>
        <w:tab/>
        <w:t>Explain the reasons for any program changes or adjustments in hour or cost burden.</w:t>
      </w:r>
    </w:p>
    <w:p w:rsidR="00DF7552" w:rsidRPr="00DF7552" w:rsidP="00DF7552" w14:paraId="6CBAE984"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1400DECB" w14:textId="66298E81">
      <w:pPr>
        <w:spacing w:after="0" w:line="240" w:lineRule="auto"/>
        <w:ind w:firstLine="36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There are no program changes or adjustments in hour or cost burden. </w:t>
      </w:r>
    </w:p>
    <w:p w:rsidR="00DF7552" w:rsidRPr="00DF7552" w:rsidP="00DF7552" w14:paraId="006FCB39" w14:textId="77777777">
      <w:pPr>
        <w:spacing w:after="0" w:line="240" w:lineRule="auto"/>
        <w:rPr>
          <w:rFonts w:ascii="Times New Roman" w:eastAsia="Times New Roman" w:hAnsi="Times New Roman" w:cs="Times New Roman"/>
          <w:snapToGrid w:val="0"/>
          <w:sz w:val="24"/>
          <w:szCs w:val="24"/>
        </w:rPr>
      </w:pPr>
    </w:p>
    <w:p w:rsidR="00DF7552" w:rsidRPr="00DF7552" w:rsidP="00DF7552" w14:paraId="5BD3FA09" w14:textId="77777777">
      <w:pPr>
        <w:widowControl w:val="0"/>
        <w:tabs>
          <w:tab w:val="left" w:pos="-1080"/>
          <w:tab w:val="left" w:pos="-720"/>
          <w:tab w:val="left" w:pos="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7552" w:rsidRPr="00DF7552" w:rsidP="00DF7552" w14:paraId="6E2C0B2D"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2AB5B5D5" w14:textId="77777777">
      <w:pPr>
        <w:widowControl w:val="0"/>
        <w:tabs>
          <w:tab w:val="left" w:pos="-1080"/>
          <w:tab w:val="left" w:pos="-720"/>
          <w:tab w:val="left" w:pos="360"/>
          <w:tab w:val="left" w:pos="81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ONRR will not publish the data.</w:t>
      </w:r>
    </w:p>
    <w:p w:rsidR="00DF7552" w:rsidRPr="00DF7552" w:rsidP="00DF7552" w14:paraId="180D8938"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5A55DED7" w14:textId="77777777">
      <w:pPr>
        <w:widowControl w:val="0"/>
        <w:tabs>
          <w:tab w:val="left" w:pos="-1080"/>
          <w:tab w:val="left" w:pos="-720"/>
          <w:tab w:val="left" w:pos="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br w:type="page"/>
      </w:r>
      <w:r w:rsidRPr="00DF7552">
        <w:rPr>
          <w:rFonts w:ascii="Times New Roman" w:eastAsia="Times New Roman" w:hAnsi="Times New Roman" w:cs="Times New Roman"/>
          <w:b/>
          <w:snapToGrid w:val="0"/>
          <w:sz w:val="24"/>
          <w:szCs w:val="20"/>
        </w:rPr>
        <w:t>17.  If seeking approval not to display the expiration date for OMB approval of the information collection, explain the reasons that display would be inappropriate.</w:t>
      </w:r>
    </w:p>
    <w:p w:rsidR="00DF7552" w:rsidRPr="00DF7552" w:rsidP="00DF7552" w14:paraId="2B52D278"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236122CE" w14:textId="77777777">
      <w:pPr>
        <w:widowControl w:val="0"/>
        <w:tabs>
          <w:tab w:val="left" w:pos="-1080"/>
          <w:tab w:val="left" w:pos="-720"/>
          <w:tab w:val="left" w:pos="360"/>
          <w:tab w:val="left" w:pos="81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This collection concerns regulatory requirements. There is no form associated with this ICR. ONRR will display the OMB approval expiration date on all appropriate material.</w:t>
      </w:r>
    </w:p>
    <w:p w:rsidR="00DF7552" w:rsidRPr="00DF7552" w:rsidP="00DF7552" w14:paraId="6081112D"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527CCB1B" w14:textId="77777777">
      <w:pPr>
        <w:widowControl w:val="0"/>
        <w:tabs>
          <w:tab w:val="left" w:pos="-1080"/>
          <w:tab w:val="left" w:pos="-720"/>
          <w:tab w:val="left" w:pos="0"/>
          <w:tab w:val="left" w:pos="810"/>
        </w:tabs>
        <w:spacing w:after="0" w:line="240" w:lineRule="auto"/>
        <w:rPr>
          <w:rFonts w:ascii="Times New Roman" w:eastAsia="Times New Roman" w:hAnsi="Times New Roman" w:cs="Times New Roman"/>
          <w:snapToGrid w:val="0"/>
          <w:sz w:val="24"/>
          <w:szCs w:val="20"/>
        </w:rPr>
      </w:pPr>
      <w:r w:rsidRPr="00DF7552">
        <w:rPr>
          <w:rFonts w:ascii="Times New Roman" w:eastAsia="Times New Roman" w:hAnsi="Times New Roman" w:cs="Times New Roman"/>
          <w:b/>
          <w:snapToGrid w:val="0"/>
          <w:sz w:val="24"/>
          <w:szCs w:val="20"/>
        </w:rPr>
        <w:t>18.  Explain each exception to the topics of the certification statement identified in “Certification for Paperwork Reduction Act Submissions.”</w:t>
      </w:r>
    </w:p>
    <w:p w:rsidR="00DF7552" w:rsidRPr="00DF7552" w:rsidP="00DF7552" w14:paraId="1888A9E5" w14:textId="77777777">
      <w:pPr>
        <w:widowControl w:val="0"/>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DF7552" w:rsidRPr="00DF7552" w:rsidP="00DF7552" w14:paraId="4DEA7CEC" w14:textId="77777777">
      <w:pPr>
        <w:tabs>
          <w:tab w:val="left" w:pos="-1080"/>
          <w:tab w:val="left" w:pos="-720"/>
          <w:tab w:val="left" w:pos="360"/>
          <w:tab w:val="left" w:pos="810"/>
        </w:tabs>
        <w:spacing w:after="0" w:line="240" w:lineRule="auto"/>
        <w:ind w:firstLine="360"/>
        <w:rPr>
          <w:rFonts w:ascii="Times New Roman" w:eastAsia="Times New Roman" w:hAnsi="Times New Roman" w:cs="Times New Roman"/>
          <w:snapToGrid w:val="0"/>
          <w:sz w:val="24"/>
          <w:szCs w:val="20"/>
        </w:rPr>
      </w:pPr>
      <w:r w:rsidRPr="00DF7552">
        <w:rPr>
          <w:rFonts w:ascii="Times New Roman" w:eastAsia="Times New Roman" w:hAnsi="Times New Roman" w:cs="Times New Roman"/>
          <w:snapToGrid w:val="0"/>
          <w:sz w:val="24"/>
          <w:szCs w:val="20"/>
        </w:rPr>
        <w:t>To the extent that the topics apply to this information collection, ONRR is not making any exceptions to the “Certification for Paperwork Reduction Act Submissions.”</w:t>
      </w:r>
    </w:p>
    <w:p w:rsidR="002202E3" w14:paraId="4CF2DBA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73F6FFC4"/>
    <w:lvl w:ilvl="0">
      <w:start w:va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3266889"/>
    <w:multiLevelType w:val="hybridMultilevel"/>
    <w:tmpl w:val="3642D0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306F9E"/>
    <w:multiLevelType w:val="hybridMultilevel"/>
    <w:tmpl w:val="A12EED72"/>
    <w:lvl w:ilvl="0">
      <w:start w:val="1"/>
      <w:numFmt w:val="bullet"/>
      <w:lvlText w:val=""/>
      <w:lvlJc w:val="left"/>
      <w:pPr>
        <w:tabs>
          <w:tab w:val="num" w:pos="1140"/>
        </w:tabs>
        <w:ind w:left="114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0D0B19E2"/>
    <w:multiLevelType w:val="hybridMultilevel"/>
    <w:tmpl w:val="DD28C53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8D11D9"/>
    <w:multiLevelType w:val="hybridMultilevel"/>
    <w:tmpl w:val="12E656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504056"/>
    <w:multiLevelType w:val="hybridMultilevel"/>
    <w:tmpl w:val="67AEFD0E"/>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E54D8B"/>
    <w:multiLevelType w:val="hybridMultilevel"/>
    <w:tmpl w:val="A6965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ED2D02"/>
    <w:multiLevelType w:val="hybridMultilevel"/>
    <w:tmpl w:val="4D589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302449"/>
    <w:multiLevelType w:val="hybridMultilevel"/>
    <w:tmpl w:val="BF1894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681AD1"/>
    <w:multiLevelType w:val="multilevel"/>
    <w:tmpl w:val="A12EED72"/>
    <w:lvl w:ilvl="0">
      <w:start w:val="1"/>
      <w:numFmt w:val="bullet"/>
      <w:lvlText w:val=""/>
      <w:lvlJc w:val="left"/>
      <w:pPr>
        <w:tabs>
          <w:tab w:val="num" w:pos="1140"/>
        </w:tabs>
        <w:ind w:left="114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1">
    <w:nsid w:val="24660BD5"/>
    <w:multiLevelType w:val="hybridMultilevel"/>
    <w:tmpl w:val="3EF476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BA3E0B"/>
    <w:multiLevelType w:val="hybridMultilevel"/>
    <w:tmpl w:val="E32224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AB3C8F"/>
    <w:multiLevelType w:val="hybridMultilevel"/>
    <w:tmpl w:val="9AFAD5B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EA8788D"/>
    <w:multiLevelType w:val="hybridMultilevel"/>
    <w:tmpl w:val="D8AA8A6E"/>
    <w:lvl w:ilvl="0">
      <w:start w:val="1"/>
      <w:numFmt w:val="bullet"/>
      <w:lvlText w:val=""/>
      <w:lvlJc w:val="left"/>
      <w:pPr>
        <w:tabs>
          <w:tab w:val="num" w:pos="313"/>
        </w:tabs>
        <w:ind w:left="673" w:hanging="360"/>
      </w:pPr>
      <w:rPr>
        <w:rFonts w:ascii="Symbol" w:hAnsi="Symbol" w:hint="default"/>
        <w:color w:val="auto"/>
      </w:rPr>
    </w:lvl>
    <w:lvl w:ilvl="1">
      <w:start w:val="1"/>
      <w:numFmt w:val="bullet"/>
      <w:lvlText w:val="o"/>
      <w:lvlJc w:val="left"/>
      <w:pPr>
        <w:tabs>
          <w:tab w:val="num" w:pos="1393"/>
        </w:tabs>
        <w:ind w:left="1393" w:hanging="360"/>
      </w:pPr>
      <w:rPr>
        <w:rFonts w:ascii="Courier New" w:hAnsi="Courier New" w:cs="Courier New" w:hint="default"/>
        <w:color w:val="auto"/>
      </w:rPr>
    </w:lvl>
    <w:lvl w:ilvl="2" w:tentative="1">
      <w:start w:val="1"/>
      <w:numFmt w:val="bullet"/>
      <w:lvlText w:val=""/>
      <w:lvlJc w:val="left"/>
      <w:pPr>
        <w:tabs>
          <w:tab w:val="num" w:pos="2113"/>
        </w:tabs>
        <w:ind w:left="2113" w:hanging="360"/>
      </w:pPr>
      <w:rPr>
        <w:rFonts w:ascii="Wingdings" w:hAnsi="Wingdings" w:hint="default"/>
      </w:rPr>
    </w:lvl>
    <w:lvl w:ilvl="3" w:tentative="1">
      <w:start w:val="1"/>
      <w:numFmt w:val="bullet"/>
      <w:lvlText w:val=""/>
      <w:lvlJc w:val="left"/>
      <w:pPr>
        <w:tabs>
          <w:tab w:val="num" w:pos="2833"/>
        </w:tabs>
        <w:ind w:left="2833" w:hanging="360"/>
      </w:pPr>
      <w:rPr>
        <w:rFonts w:ascii="Symbol" w:hAnsi="Symbol" w:hint="default"/>
      </w:rPr>
    </w:lvl>
    <w:lvl w:ilvl="4" w:tentative="1">
      <w:start w:val="1"/>
      <w:numFmt w:val="bullet"/>
      <w:lvlText w:val="o"/>
      <w:lvlJc w:val="left"/>
      <w:pPr>
        <w:tabs>
          <w:tab w:val="num" w:pos="3553"/>
        </w:tabs>
        <w:ind w:left="3553" w:hanging="360"/>
      </w:pPr>
      <w:rPr>
        <w:rFonts w:ascii="Courier New" w:hAnsi="Courier New" w:cs="Courier New" w:hint="default"/>
      </w:rPr>
    </w:lvl>
    <w:lvl w:ilvl="5" w:tentative="1">
      <w:start w:val="1"/>
      <w:numFmt w:val="bullet"/>
      <w:lvlText w:val=""/>
      <w:lvlJc w:val="left"/>
      <w:pPr>
        <w:tabs>
          <w:tab w:val="num" w:pos="4273"/>
        </w:tabs>
        <w:ind w:left="4273" w:hanging="360"/>
      </w:pPr>
      <w:rPr>
        <w:rFonts w:ascii="Wingdings" w:hAnsi="Wingdings" w:hint="default"/>
      </w:rPr>
    </w:lvl>
    <w:lvl w:ilvl="6" w:tentative="1">
      <w:start w:val="1"/>
      <w:numFmt w:val="bullet"/>
      <w:lvlText w:val=""/>
      <w:lvlJc w:val="left"/>
      <w:pPr>
        <w:tabs>
          <w:tab w:val="num" w:pos="4993"/>
        </w:tabs>
        <w:ind w:left="4993" w:hanging="360"/>
      </w:pPr>
      <w:rPr>
        <w:rFonts w:ascii="Symbol" w:hAnsi="Symbol" w:hint="default"/>
      </w:rPr>
    </w:lvl>
    <w:lvl w:ilvl="7" w:tentative="1">
      <w:start w:val="1"/>
      <w:numFmt w:val="bullet"/>
      <w:lvlText w:val="o"/>
      <w:lvlJc w:val="left"/>
      <w:pPr>
        <w:tabs>
          <w:tab w:val="num" w:pos="5713"/>
        </w:tabs>
        <w:ind w:left="5713" w:hanging="360"/>
      </w:pPr>
      <w:rPr>
        <w:rFonts w:ascii="Courier New" w:hAnsi="Courier New" w:cs="Courier New" w:hint="default"/>
      </w:rPr>
    </w:lvl>
    <w:lvl w:ilvl="8" w:tentative="1">
      <w:start w:val="1"/>
      <w:numFmt w:val="bullet"/>
      <w:lvlText w:val=""/>
      <w:lvlJc w:val="left"/>
      <w:pPr>
        <w:tabs>
          <w:tab w:val="num" w:pos="6433"/>
        </w:tabs>
        <w:ind w:left="6433" w:hanging="360"/>
      </w:pPr>
      <w:rPr>
        <w:rFonts w:ascii="Wingdings" w:hAnsi="Wingdings" w:hint="default"/>
      </w:rPr>
    </w:lvl>
  </w:abstractNum>
  <w:abstractNum w:abstractNumId="15">
    <w:nsid w:val="49754575"/>
    <w:multiLevelType w:val="hybridMultilevel"/>
    <w:tmpl w:val="9978010C"/>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BEA56C2"/>
    <w:multiLevelType w:val="multilevel"/>
    <w:tmpl w:val="1B12C5F8"/>
    <w:lvl w:ilvl="0">
      <w:start w:val="1"/>
      <w:numFmt w:val="bullet"/>
      <w:lvlText w:val=""/>
      <w:lvlJc w:val="left"/>
      <w:pPr>
        <w:tabs>
          <w:tab w:val="num" w:pos="1500"/>
        </w:tabs>
        <w:ind w:left="1500" w:hanging="360"/>
      </w:pPr>
      <w:rPr>
        <w:rFonts w:ascii="Wingdings" w:hAnsi="Wingdings" w:hint="default"/>
      </w:rPr>
    </w:lvl>
    <w:lvl w:ilvl="1">
      <w:start w:val="1"/>
      <w:numFmt w:val="bullet"/>
      <w:lvlText w:val="­"/>
      <w:lvlJc w:val="left"/>
      <w:pPr>
        <w:tabs>
          <w:tab w:val="num" w:pos="2220"/>
        </w:tabs>
        <w:ind w:left="2220" w:hanging="360"/>
      </w:pPr>
      <w:rPr>
        <w:rFonts w:ascii="Courier New" w:hAnsi="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7">
    <w:nsid w:val="796A2307"/>
    <w:multiLevelType w:val="hybridMultilevel"/>
    <w:tmpl w:val="7EA63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F67577F"/>
    <w:multiLevelType w:val="multilevel"/>
    <w:tmpl w:val="1B12C5F8"/>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08615011">
    <w:abstractNumId w:val="1"/>
    <w:lvlOverride w:ilvl="0">
      <w:startOverride w:val="2"/>
      <w:lvl w:ilvl="0">
        <w:start w:val="2"/>
        <w:numFmt w:val="decimal"/>
        <w:pStyle w:val="QuickA"/>
        <w:lvlText w:val="%1."/>
        <w:lvlJc w:val="left"/>
      </w:lvl>
    </w:lvlOverride>
  </w:num>
  <w:num w:numId="2" w16cid:durableId="572080240">
    <w:abstractNumId w:val="0"/>
    <w:lvlOverride w:ilvl="0">
      <w:lvl w:ilvl="0">
        <w:start w:val="0"/>
        <w:numFmt w:val="bullet"/>
        <w:lvlText w:val=""/>
        <w:legacy w:legacy="1" w:legacySpace="0" w:legacyIndent="0"/>
        <w:lvlJc w:val="left"/>
        <w:rPr>
          <w:rFonts w:ascii="Symbol" w:hAnsi="Symbol" w:hint="default"/>
        </w:rPr>
      </w:lvl>
    </w:lvlOverride>
  </w:num>
  <w:num w:numId="3" w16cid:durableId="1503546648">
    <w:abstractNumId w:val="8"/>
  </w:num>
  <w:num w:numId="4" w16cid:durableId="474375177">
    <w:abstractNumId w:val="13"/>
  </w:num>
  <w:num w:numId="5" w16cid:durableId="70544546">
    <w:abstractNumId w:val="3"/>
  </w:num>
  <w:num w:numId="6" w16cid:durableId="615333942">
    <w:abstractNumId w:val="10"/>
  </w:num>
  <w:num w:numId="7" w16cid:durableId="1152790358">
    <w:abstractNumId w:val="18"/>
  </w:num>
  <w:num w:numId="8" w16cid:durableId="1656836036">
    <w:abstractNumId w:val="16"/>
  </w:num>
  <w:num w:numId="9" w16cid:durableId="1540699632">
    <w:abstractNumId w:val="11"/>
  </w:num>
  <w:num w:numId="10" w16cid:durableId="1689523466">
    <w:abstractNumId w:val="4"/>
  </w:num>
  <w:num w:numId="11" w16cid:durableId="659384003">
    <w:abstractNumId w:val="15"/>
  </w:num>
  <w:num w:numId="12" w16cid:durableId="1329947421">
    <w:abstractNumId w:val="14"/>
  </w:num>
  <w:num w:numId="13" w16cid:durableId="265814691">
    <w:abstractNumId w:val="5"/>
  </w:num>
  <w:num w:numId="14" w16cid:durableId="380397546">
    <w:abstractNumId w:val="12"/>
  </w:num>
  <w:num w:numId="15" w16cid:durableId="1845824923">
    <w:abstractNumId w:val="2"/>
  </w:num>
  <w:num w:numId="16" w16cid:durableId="1585214737">
    <w:abstractNumId w:val="17"/>
  </w:num>
  <w:num w:numId="17" w16cid:durableId="143471297">
    <w:abstractNumId w:val="9"/>
  </w:num>
  <w:num w:numId="18" w16cid:durableId="1281500003">
    <w:abstractNumId w:val="6"/>
  </w:num>
  <w:num w:numId="19" w16cid:durableId="1251232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52"/>
    <w:rsid w:val="00045DD9"/>
    <w:rsid w:val="000E647C"/>
    <w:rsid w:val="0013150E"/>
    <w:rsid w:val="001F3020"/>
    <w:rsid w:val="002202E3"/>
    <w:rsid w:val="00234138"/>
    <w:rsid w:val="002C4876"/>
    <w:rsid w:val="004415FA"/>
    <w:rsid w:val="004D533D"/>
    <w:rsid w:val="005844C4"/>
    <w:rsid w:val="006B08C2"/>
    <w:rsid w:val="00714253"/>
    <w:rsid w:val="00824212"/>
    <w:rsid w:val="00957A6C"/>
    <w:rsid w:val="00B25D26"/>
    <w:rsid w:val="00BA4D35"/>
    <w:rsid w:val="00C327CC"/>
    <w:rsid w:val="00C475AA"/>
    <w:rsid w:val="00CE0839"/>
    <w:rsid w:val="00D82259"/>
    <w:rsid w:val="00DD616B"/>
    <w:rsid w:val="00DE4CDE"/>
    <w:rsid w:val="00DF7552"/>
    <w:rsid w:val="00F23149"/>
    <w:rsid w:val="00FD3A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6C0356"/>
  <w15:chartTrackingRefBased/>
  <w15:docId w15:val="{D26C2946-066E-4AB8-A06C-30BB36DB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DF7552"/>
    <w:pPr>
      <w:widowControl w:val="0"/>
      <w:numPr>
        <w:numId w:val="1"/>
      </w:numPr>
      <w:spacing w:after="0" w:line="240" w:lineRule="auto"/>
      <w:ind w:left="360" w:hanging="360"/>
    </w:pPr>
    <w:rPr>
      <w:rFonts w:ascii="Courier New" w:eastAsia="Times New Roman" w:hAnsi="Courier New" w:cs="Times New Roman"/>
      <w:snapToGrid w:val="0"/>
      <w:sz w:val="24"/>
      <w:szCs w:val="20"/>
    </w:rPr>
  </w:style>
  <w:style w:type="paragraph" w:styleId="BalloonText">
    <w:name w:val="Balloon Text"/>
    <w:basedOn w:val="Normal"/>
    <w:link w:val="BalloonTextChar"/>
    <w:semiHidden/>
    <w:rsid w:val="00DF7552"/>
    <w:pPr>
      <w:widowControl w:val="0"/>
      <w:spacing w:after="0" w:line="240" w:lineRule="auto"/>
    </w:pPr>
    <w:rPr>
      <w:rFonts w:ascii="MS Shell Dlg" w:eastAsia="Times New Roman" w:hAnsi="MS Shell Dlg" w:cs="MS Shell Dlg"/>
      <w:snapToGrid w:val="0"/>
      <w:sz w:val="16"/>
      <w:szCs w:val="16"/>
    </w:rPr>
  </w:style>
  <w:style w:type="character" w:customStyle="1" w:styleId="BalloonTextChar">
    <w:name w:val="Balloon Text Char"/>
    <w:basedOn w:val="DefaultParagraphFont"/>
    <w:link w:val="BalloonText"/>
    <w:semiHidden/>
    <w:rsid w:val="00DF7552"/>
    <w:rPr>
      <w:rFonts w:ascii="MS Shell Dlg" w:eastAsia="Times New Roman" w:hAnsi="MS Shell Dlg" w:cs="MS Shell Dlg"/>
      <w:snapToGrid w:val="0"/>
      <w:sz w:val="16"/>
      <w:szCs w:val="16"/>
    </w:rPr>
  </w:style>
  <w:style w:type="paragraph" w:styleId="Header">
    <w:name w:val="header"/>
    <w:basedOn w:val="Normal"/>
    <w:link w:val="HeaderChar"/>
    <w:rsid w:val="00DF7552"/>
    <w:pPr>
      <w:widowControl w:val="0"/>
      <w:tabs>
        <w:tab w:val="center" w:pos="4320"/>
        <w:tab w:val="right" w:pos="864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rsid w:val="00DF7552"/>
    <w:rPr>
      <w:rFonts w:ascii="Courier New" w:eastAsia="Times New Roman" w:hAnsi="Courier New" w:cs="Times New Roman"/>
      <w:snapToGrid w:val="0"/>
      <w:sz w:val="24"/>
      <w:szCs w:val="20"/>
    </w:rPr>
  </w:style>
  <w:style w:type="paragraph" w:styleId="Footer">
    <w:name w:val="footer"/>
    <w:basedOn w:val="Normal"/>
    <w:link w:val="FooterChar"/>
    <w:rsid w:val="00DF7552"/>
    <w:pPr>
      <w:widowControl w:val="0"/>
      <w:tabs>
        <w:tab w:val="center" w:pos="4320"/>
        <w:tab w:val="right" w:pos="864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rsid w:val="00DF7552"/>
    <w:rPr>
      <w:rFonts w:ascii="Courier New" w:eastAsia="Times New Roman" w:hAnsi="Courier New" w:cs="Times New Roman"/>
      <w:snapToGrid w:val="0"/>
      <w:sz w:val="24"/>
      <w:szCs w:val="20"/>
    </w:rPr>
  </w:style>
  <w:style w:type="paragraph" w:styleId="PlainText">
    <w:name w:val="Plain Text"/>
    <w:basedOn w:val="Normal"/>
    <w:link w:val="PlainTextChar"/>
    <w:rsid w:val="00DF755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F7552"/>
    <w:rPr>
      <w:rFonts w:ascii="Courier New" w:eastAsia="Times New Roman" w:hAnsi="Courier New" w:cs="Times New Roman"/>
      <w:sz w:val="20"/>
      <w:szCs w:val="20"/>
    </w:rPr>
  </w:style>
  <w:style w:type="character" w:styleId="CommentReference">
    <w:name w:val="annotation reference"/>
    <w:semiHidden/>
    <w:rsid w:val="00DF7552"/>
    <w:rPr>
      <w:sz w:val="16"/>
      <w:szCs w:val="16"/>
    </w:rPr>
  </w:style>
  <w:style w:type="paragraph" w:styleId="CommentText">
    <w:name w:val="annotation text"/>
    <w:basedOn w:val="Normal"/>
    <w:link w:val="CommentTextChar"/>
    <w:semiHidden/>
    <w:rsid w:val="00DF7552"/>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DF7552"/>
    <w:rPr>
      <w:rFonts w:ascii="Times New Roman" w:eastAsia="Times New Roman" w:hAnsi="Times New Roman" w:cs="Times New Roman"/>
      <w:snapToGrid w:val="0"/>
      <w:sz w:val="20"/>
      <w:szCs w:val="20"/>
    </w:rPr>
  </w:style>
  <w:style w:type="character" w:styleId="Hyperlink">
    <w:name w:val="Hyperlink"/>
    <w:rsid w:val="00DF7552"/>
    <w:rPr>
      <w:color w:val="0000FF"/>
      <w:u w:val="single"/>
    </w:rPr>
  </w:style>
  <w:style w:type="character" w:styleId="PageNumber">
    <w:name w:val="page number"/>
    <w:basedOn w:val="DefaultParagraphFont"/>
    <w:rsid w:val="00DF7552"/>
  </w:style>
  <w:style w:type="table" w:styleId="TableGrid">
    <w:name w:val="Table Grid"/>
    <w:basedOn w:val="TableNormal"/>
    <w:rsid w:val="00DF7552"/>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DF7552"/>
    <w:rPr>
      <w:rFonts w:ascii="Courier New" w:hAnsi="Courier New"/>
      <w:b/>
      <w:bCs/>
    </w:rPr>
  </w:style>
  <w:style w:type="character" w:customStyle="1" w:styleId="CommentSubjectChar">
    <w:name w:val="Comment Subject Char"/>
    <w:basedOn w:val="CommentTextChar"/>
    <w:link w:val="CommentSubject"/>
    <w:semiHidden/>
    <w:rsid w:val="00DF7552"/>
    <w:rPr>
      <w:rFonts w:ascii="Courier New" w:eastAsia="Times New Roman" w:hAnsi="Courier New" w:cs="Times New Roman"/>
      <w:b/>
      <w:bCs/>
      <w:snapToGrid w:val="0"/>
      <w:sz w:val="20"/>
      <w:szCs w:val="20"/>
    </w:rPr>
  </w:style>
  <w:style w:type="character" w:styleId="FollowedHyperlink">
    <w:name w:val="FollowedHyperlink"/>
    <w:rsid w:val="00DF7552"/>
    <w:rPr>
      <w:color w:val="606420"/>
      <w:u w:val="single"/>
    </w:rPr>
  </w:style>
  <w:style w:type="character" w:styleId="UnresolvedMention">
    <w:name w:val="Unresolved Mention"/>
    <w:uiPriority w:val="99"/>
    <w:semiHidden/>
    <w:unhideWhenUsed/>
    <w:rsid w:val="00DF7552"/>
    <w:rPr>
      <w:color w:val="605E5C"/>
      <w:shd w:val="clear" w:color="auto" w:fill="E1DFDD"/>
    </w:rPr>
  </w:style>
  <w:style w:type="paragraph" w:styleId="FootnoteText">
    <w:name w:val="footnote text"/>
    <w:basedOn w:val="Normal"/>
    <w:link w:val="FootnoteTextChar"/>
    <w:rsid w:val="00DF7552"/>
    <w:pPr>
      <w:widowControl w:val="0"/>
      <w:spacing w:after="0" w:line="240" w:lineRule="auto"/>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DF7552"/>
    <w:rPr>
      <w:rFonts w:ascii="Courier New" w:eastAsia="Times New Roman" w:hAnsi="Courier New" w:cs="Times New Roman"/>
      <w:snapToGrid w:val="0"/>
      <w:sz w:val="20"/>
      <w:szCs w:val="20"/>
    </w:rPr>
  </w:style>
  <w:style w:type="character" w:styleId="FootnoteReference">
    <w:name w:val="footnote reference"/>
    <w:rsid w:val="00DF7552"/>
    <w:rPr>
      <w:vertAlign w:val="superscript"/>
    </w:rPr>
  </w:style>
  <w:style w:type="paragraph" w:styleId="ListParagraph">
    <w:name w:val="List Paragraph"/>
    <w:basedOn w:val="Normal"/>
    <w:uiPriority w:val="34"/>
    <w:qFormat/>
    <w:rsid w:val="00BA4D35"/>
    <w:pPr>
      <w:ind w:left="720"/>
      <w:contextualSpacing/>
    </w:pPr>
  </w:style>
  <w:style w:type="paragraph" w:customStyle="1" w:styleId="Default">
    <w:name w:val="Default"/>
    <w:rsid w:val="00BA4D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13</Pages>
  <Words>4733</Words>
  <Characters>26980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Hensley, Ginger J</dc:creator>
  <cp:lastModifiedBy>Hensley, Ginger J</cp:lastModifiedBy>
  <cp:revision>7</cp:revision>
  <dcterms:created xsi:type="dcterms:W3CDTF">2023-02-17T19:00:00Z</dcterms:created>
  <dcterms:modified xsi:type="dcterms:W3CDTF">2023-08-18T16:08:00Z</dcterms:modified>
</cp:coreProperties>
</file>