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269F" w:rsidRPr="00E67EC4" w:rsidP="00DA6E86" w14:paraId="68DE2CE4" w14:textId="7601994E">
      <w:pPr>
        <w:tabs>
          <w:tab w:val="left" w:pos="360"/>
        </w:tabs>
        <w:jc w:val="center"/>
        <w:rPr>
          <w:b/>
        </w:rPr>
      </w:pPr>
      <w:r w:rsidRPr="00E67EC4">
        <w:rPr>
          <w:b/>
          <w:lang w:val="en-CA"/>
        </w:rPr>
        <w:fldChar w:fldCharType="begin"/>
      </w:r>
      <w:r w:rsidRPr="00E67EC4">
        <w:rPr>
          <w:b/>
          <w:lang w:val="en-CA"/>
        </w:rPr>
        <w:instrText xml:space="preserve"> SEQ CHAPTER \h \r 1</w:instrText>
      </w:r>
      <w:r>
        <w:rPr>
          <w:b/>
          <w:lang w:val="en-CA"/>
        </w:rPr>
        <w:fldChar w:fldCharType="separate"/>
      </w:r>
      <w:r w:rsidRPr="00E67EC4">
        <w:rPr>
          <w:b/>
          <w:lang w:val="en-CA"/>
        </w:rPr>
        <w:fldChar w:fldCharType="end"/>
      </w:r>
      <w:r w:rsidRPr="00E67EC4">
        <w:rPr>
          <w:b/>
        </w:rPr>
        <w:t xml:space="preserve">SUPPORTING </w:t>
      </w:r>
      <w:r w:rsidRPr="00E67EC4">
        <w:rPr>
          <w:b/>
        </w:rPr>
        <w:t>STATEMENT</w:t>
      </w:r>
      <w:r w:rsidRPr="00E67EC4">
        <w:rPr>
          <w:b/>
        </w:rPr>
        <w:t xml:space="preserve"> A</w:t>
      </w:r>
    </w:p>
    <w:p w:rsidR="00ED269F" w:rsidRPr="00E67EC4" w:rsidP="00AB2879" w14:paraId="2E6D1B0B" w14:textId="430A0736">
      <w:pPr>
        <w:tabs>
          <w:tab w:val="left" w:pos="360"/>
        </w:tabs>
        <w:jc w:val="center"/>
        <w:rPr>
          <w:b/>
        </w:rPr>
      </w:pPr>
      <w:r w:rsidRPr="00E67EC4">
        <w:rPr>
          <w:b/>
        </w:rPr>
        <w:t>FOR PAPERWO</w:t>
      </w:r>
      <w:r w:rsidRPr="00E67EC4" w:rsidR="0090678B">
        <w:rPr>
          <w:b/>
        </w:rPr>
        <w:t>R</w:t>
      </w:r>
      <w:r w:rsidRPr="00E67EC4">
        <w:rPr>
          <w:b/>
        </w:rPr>
        <w:t>K REDUCTION ACT SUBMISSION</w:t>
      </w:r>
    </w:p>
    <w:p w:rsidR="00ED269F" w:rsidRPr="00E67EC4" w:rsidP="00AB2879" w14:paraId="2AB34446" w14:textId="77777777">
      <w:pPr>
        <w:tabs>
          <w:tab w:val="left" w:pos="360"/>
        </w:tabs>
        <w:rPr>
          <w:b/>
        </w:rPr>
      </w:pPr>
    </w:p>
    <w:p w:rsidR="00ED269F" w:rsidRPr="00E67EC4" w:rsidP="00B63896" w14:paraId="00B31E51" w14:textId="154AE0AE">
      <w:pPr>
        <w:jc w:val="center"/>
        <w:rPr>
          <w:b/>
          <w:bCs/>
        </w:rPr>
      </w:pPr>
      <w:r w:rsidRPr="00E67EC4">
        <w:rPr>
          <w:b/>
          <w:lang w:val="en-CA"/>
        </w:rPr>
        <w:fldChar w:fldCharType="begin"/>
      </w:r>
      <w:r w:rsidRPr="00E67EC4">
        <w:rPr>
          <w:b/>
          <w:lang w:val="en-CA"/>
        </w:rPr>
        <w:instrText xml:space="preserve"> SEQ CHAPTER \h \r 1</w:instrText>
      </w:r>
      <w:r>
        <w:rPr>
          <w:b/>
        </w:rPr>
        <w:fldChar w:fldCharType="separate"/>
      </w:r>
      <w:r w:rsidRPr="00E67EC4">
        <w:rPr>
          <w:b/>
        </w:rPr>
        <w:fldChar w:fldCharType="end"/>
      </w:r>
      <w:r w:rsidRPr="00E67EC4">
        <w:rPr>
          <w:b/>
          <w:lang w:val="en-CA"/>
        </w:rPr>
        <w:t xml:space="preserve">Programmatic Clearance </w:t>
      </w:r>
      <w:r w:rsidRPr="00E67EC4">
        <w:rPr>
          <w:b/>
          <w:bCs/>
        </w:rPr>
        <w:t>for NPS-Sponsored Public Surveys</w:t>
      </w:r>
      <w:r w:rsidRPr="00E67EC4">
        <w:rPr>
          <w:b/>
        </w:rPr>
        <w:t xml:space="preserve"> </w:t>
      </w:r>
    </w:p>
    <w:p w:rsidR="00ED269F" w:rsidRPr="00E67EC4" w:rsidP="00E8797C" w14:paraId="50992661" w14:textId="1AFD80B7">
      <w:pPr>
        <w:jc w:val="center"/>
        <w:rPr>
          <w:b/>
        </w:rPr>
      </w:pPr>
      <w:r w:rsidRPr="00E67EC4">
        <w:rPr>
          <w:b/>
        </w:rPr>
        <w:t>OMB Control Number 1024-</w:t>
      </w:r>
      <w:r w:rsidRPr="00E67EC4" w:rsidR="00B63896">
        <w:rPr>
          <w:b/>
        </w:rPr>
        <w:t>0224</w:t>
      </w:r>
    </w:p>
    <w:p w:rsidR="00DC5885" w:rsidRPr="00E67EC4" w:rsidP="00761810" w14:paraId="726FCFB5" w14:textId="77777777">
      <w:pPr>
        <w:tabs>
          <w:tab w:val="clear" w:pos="0"/>
          <w:tab w:val="clear" w:pos="9360"/>
        </w:tabs>
        <w:ind w:left="540" w:right="720"/>
        <w:jc w:val="both"/>
        <w:rPr>
          <w:i/>
        </w:rPr>
      </w:pPr>
    </w:p>
    <w:p w:rsidR="00DA6E86" w:rsidRPr="00E67EC4" w:rsidP="00BF1B75" w14:paraId="43408C37" w14:textId="77777777">
      <w:pPr>
        <w:tabs>
          <w:tab w:val="clear" w:pos="0"/>
          <w:tab w:val="left" w:pos="360"/>
        </w:tabs>
        <w:rPr>
          <w:b/>
        </w:rPr>
      </w:pPr>
    </w:p>
    <w:p w:rsidR="00DA6E86" w:rsidRPr="00E67EC4" w:rsidP="00BF1B75" w14:paraId="7A66A6AF" w14:textId="04667F4E">
      <w:pPr>
        <w:tabs>
          <w:tab w:val="clear" w:pos="0"/>
          <w:tab w:val="left" w:pos="360"/>
        </w:tabs>
        <w:rPr>
          <w:b/>
        </w:rPr>
      </w:pPr>
      <w:r w:rsidRPr="00E67EC4">
        <w:rPr>
          <w:b/>
        </w:rPr>
        <w:t>Terms of Clearance</w:t>
      </w:r>
      <w:r w:rsidRPr="00E67EC4" w:rsidR="00620251">
        <w:rPr>
          <w:b/>
        </w:rPr>
        <w:t xml:space="preserve">. </w:t>
      </w:r>
      <w:r w:rsidRPr="00C60D5C" w:rsidR="00620251">
        <w:rPr>
          <w:bCs/>
        </w:rPr>
        <w:t>None</w:t>
      </w:r>
    </w:p>
    <w:p w:rsidR="00DA6E86" w:rsidRPr="00E67EC4" w:rsidP="00BF1B75" w14:paraId="083A6CB7" w14:textId="77777777">
      <w:pPr>
        <w:tabs>
          <w:tab w:val="clear" w:pos="0"/>
          <w:tab w:val="left" w:pos="360"/>
        </w:tabs>
        <w:rPr>
          <w:b/>
        </w:rPr>
      </w:pPr>
    </w:p>
    <w:p w:rsidR="00523AA9" w:rsidRPr="00E67EC4" w:rsidP="00C60D5C" w14:paraId="09ACEE1E" w14:textId="78054C29">
      <w:pPr>
        <w:tabs>
          <w:tab w:val="clear" w:pos="0"/>
          <w:tab w:val="left" w:pos="360"/>
        </w:tabs>
        <w:spacing w:line="276" w:lineRule="auto"/>
        <w:rPr>
          <w:b/>
        </w:rPr>
      </w:pPr>
      <w:r w:rsidRPr="00E67EC4">
        <w:rPr>
          <w:b/>
        </w:rPr>
        <w:t>Introduction</w:t>
      </w:r>
    </w:p>
    <w:p w:rsidR="00BE1B4F" w:rsidP="06357F52" w14:paraId="199144D6" w14:textId="5C110858">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E67EC4">
        <w:t xml:space="preserve">The </w:t>
      </w:r>
      <w:r w:rsidRPr="00E67EC4">
        <w:t>National Park Service (NPS) is requesting a three-year extension of its Programmatic Clearance for NPS-Sponsored Public Surveys (OMB Control Number 1024-0224)</w:t>
      </w:r>
      <w:r w:rsidR="00FF7F68">
        <w:t>. O</w:t>
      </w:r>
      <w:r w:rsidRPr="00E67EC4">
        <w:t>riginally approved by the Office of Management and Budget (OMB) in August 1998</w:t>
      </w:r>
      <w:r w:rsidR="00FF7F68">
        <w:t>, t</w:t>
      </w:r>
      <w:r w:rsidRPr="00E67EC4">
        <w:t>he Programmati</w:t>
      </w:r>
      <w:r w:rsidRPr="00E67EC4">
        <w:t xml:space="preserve">c Clearance </w:t>
      </w:r>
      <w:r w:rsidR="00FF7F68">
        <w:t xml:space="preserve">process </w:t>
      </w:r>
      <w:r w:rsidRPr="00E67EC4">
        <w:t>enables the NPS to co</w:t>
      </w:r>
      <w:r w:rsidR="00A1706B">
        <w:t>llect</w:t>
      </w:r>
      <w:r w:rsidRPr="00E67EC4">
        <w:t xml:space="preserve"> </w:t>
      </w:r>
      <w:r w:rsidR="36FD8270">
        <w:t>non</w:t>
      </w:r>
      <w:r>
        <w:t>controversial</w:t>
      </w:r>
      <w:r w:rsidRPr="00E67EC4">
        <w:t>, high-quality social science</w:t>
      </w:r>
      <w:r w:rsidR="00A1706B">
        <w:t xml:space="preserve"> information</w:t>
      </w:r>
      <w:r w:rsidRPr="00E67EC4">
        <w:t xml:space="preserve">. This clearance </w:t>
      </w:r>
      <w:r w:rsidR="005061FD">
        <w:t>continues to</w:t>
      </w:r>
      <w:r w:rsidRPr="00E67EC4" w:rsidR="005061FD">
        <w:t xml:space="preserve"> </w:t>
      </w:r>
      <w:r w:rsidRPr="00E67EC4">
        <w:t>inform and improve</w:t>
      </w:r>
      <w:r w:rsidR="005061FD">
        <w:t xml:space="preserve"> </w:t>
      </w:r>
      <w:r w:rsidRPr="00E67EC4">
        <w:t xml:space="preserve">the management and </w:t>
      </w:r>
      <w:r w:rsidRPr="00E67EC4" w:rsidR="00CA4F1D">
        <w:t>operation</w:t>
      </w:r>
      <w:r w:rsidR="00A87E95">
        <w:t xml:space="preserve">s </w:t>
      </w:r>
      <w:r w:rsidRPr="00E67EC4">
        <w:t xml:space="preserve">necessary for the NPS to successfully execute its statutory </w:t>
      </w:r>
      <w:r w:rsidRPr="00E67EC4">
        <w:t>mission</w:t>
      </w:r>
      <w:r w:rsidRPr="00E67EC4">
        <w:rPr>
          <w:i/>
        </w:rPr>
        <w:t xml:space="preserve">.  </w:t>
      </w:r>
    </w:p>
    <w:p w:rsidR="00523AA9" w:rsidP="008C4A0B" w14:paraId="5393E46F" w14:textId="36E082A0">
      <w:pPr>
        <w:pBdr>
          <w:bottom w:val="single" w:sz="4" w:space="1" w:color="auto"/>
        </w:pBdr>
        <w:tabs>
          <w:tab w:val="clear" w:pos="0"/>
          <w:tab w:val="left" w:pos="360"/>
        </w:tabs>
        <w:rPr>
          <w:b/>
        </w:rPr>
      </w:pPr>
    </w:p>
    <w:p w:rsidR="00667A1F" w:rsidRPr="00E67EC4" w:rsidP="00BF1B75" w14:paraId="5E00098B" w14:textId="77777777">
      <w:pPr>
        <w:tabs>
          <w:tab w:val="clear" w:pos="0"/>
          <w:tab w:val="left" w:pos="360"/>
        </w:tabs>
        <w:rPr>
          <w:b/>
        </w:rPr>
      </w:pPr>
    </w:p>
    <w:p w:rsidR="00FA2C37" w:rsidRPr="00E67EC4" w:rsidP="00BF1B75" w14:paraId="4D2F8CA6" w14:textId="44696506">
      <w:pPr>
        <w:tabs>
          <w:tab w:val="clear" w:pos="0"/>
          <w:tab w:val="left" w:pos="360"/>
        </w:tabs>
      </w:pPr>
      <w:r w:rsidRPr="00E67EC4">
        <w:rPr>
          <w:b/>
        </w:rPr>
        <w:t>1.</w:t>
      </w:r>
      <w:r w:rsidRPr="00E67EC4">
        <w:rPr>
          <w:b/>
        </w:rPr>
        <w:tab/>
      </w:r>
      <w:r w:rsidRPr="00E67EC4" w:rsidR="000521B5">
        <w:rPr>
          <w:b/>
        </w:rPr>
        <w:t>Explain the circumstances that make the collection of information necessary.  Identify any legal or administrative requirements that necessitate the collection</w:t>
      </w:r>
      <w:r w:rsidRPr="00E67EC4">
        <w:rPr>
          <w:b/>
        </w:rPr>
        <w:t>.</w:t>
      </w:r>
    </w:p>
    <w:p w:rsidR="00FA2C37" w:rsidRPr="00E67EC4" w:rsidP="00FA2C37" w14:paraId="640D99A1" w14:textId="7777777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E1037" w:rsidRPr="002F66E5" w:rsidP="06357F52" w14:paraId="2D282EA2" w14:textId="5ABB48A3">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2F66E5">
        <w:t xml:space="preserve">Social science research in support of park planning and management is </w:t>
      </w:r>
      <w:r w:rsidRPr="002F66E5">
        <w:t>established in NPS Management Policies 20</w:t>
      </w:r>
      <w:r w:rsidR="00BE1ADD">
        <w:t>06</w:t>
      </w:r>
      <w:r w:rsidRPr="002F66E5">
        <w:t xml:space="preserve"> (Section 8.11.1, “Social Science Studies”). The policy mandates that social science research</w:t>
      </w:r>
      <w:r w:rsidR="00BB0EDF">
        <w:t xml:space="preserve"> </w:t>
      </w:r>
      <w:r w:rsidR="008C0430">
        <w:t>is</w:t>
      </w:r>
      <w:r w:rsidRPr="002F66E5" w:rsidR="008C0430">
        <w:t xml:space="preserve"> </w:t>
      </w:r>
      <w:r w:rsidRPr="002F66E5">
        <w:t>used to provide an understanding of park visitors, the non-visiting public, gateway communities</w:t>
      </w:r>
      <w:r>
        <w:t>,</w:t>
      </w:r>
      <w:r w:rsidRPr="002F66E5">
        <w:t xml:space="preserve"> and </w:t>
      </w:r>
      <w:r w:rsidR="7EECA4C5">
        <w:t>individual</w:t>
      </w:r>
      <w:r w:rsidRPr="002F66E5">
        <w:t xml:space="preserve"> inte</w:t>
      </w:r>
      <w:r w:rsidRPr="002F66E5">
        <w:t>ractions with park resources</w:t>
      </w:r>
      <w:r w:rsidR="008362A8">
        <w:t xml:space="preserve">. </w:t>
      </w:r>
      <w:r w:rsidRPr="002F66E5">
        <w:t>Such studies are needed to provide a scientific basis for park planning</w:t>
      </w:r>
      <w:r w:rsidR="005A617D">
        <w:t xml:space="preserve"> and management</w:t>
      </w:r>
      <w:r w:rsidRPr="002F66E5">
        <w:t xml:space="preserve">. </w:t>
      </w:r>
    </w:p>
    <w:p w:rsidR="002E1037" w:rsidRPr="008C0430" w:rsidP="008C0430" w14:paraId="4EE85902" w14:textId="77777777"/>
    <w:p w:rsidR="00301D62" w:rsidP="007D6587" w14:paraId="77B47522" w14:textId="0B74D98F">
      <w:pPr>
        <w:tabs>
          <w:tab w:val="left" w:pos="-1440"/>
          <w:tab w:val="clear" w:pos="-1080"/>
          <w:tab w:val="clear" w:pos="0"/>
          <w:tab w:val="clear" w:pos="1080"/>
          <w:tab w:val="left" w:pos="2160"/>
          <w:tab w:val="left" w:pos="2880"/>
        </w:tabs>
        <w:spacing w:line="360" w:lineRule="auto"/>
        <w:rPr>
          <w:color w:val="000000"/>
          <w:shd w:val="clear" w:color="auto" w:fill="FFFFFF"/>
        </w:rPr>
      </w:pPr>
      <w:r w:rsidRPr="002F66E5">
        <w:rPr>
          <w:bCs/>
          <w:iCs/>
        </w:rPr>
        <w:t>Further,</w:t>
      </w:r>
      <w:r w:rsidR="00797213">
        <w:rPr>
          <w:bCs/>
          <w:iCs/>
        </w:rPr>
        <w:t xml:space="preserve"> </w:t>
      </w:r>
      <w:r>
        <w:rPr>
          <w:bCs/>
          <w:iCs/>
        </w:rPr>
        <w:t>54</w:t>
      </w:r>
      <w:r w:rsidRPr="002F66E5" w:rsidR="00911382">
        <w:rPr>
          <w:bCs/>
          <w:iCs/>
        </w:rPr>
        <w:t xml:space="preserve"> U.S.C. §</w:t>
      </w:r>
      <w:r w:rsidR="007132FE">
        <w:rPr>
          <w:bCs/>
          <w:iCs/>
        </w:rPr>
        <w:t>100701</w:t>
      </w:r>
      <w:r w:rsidR="00797213">
        <w:rPr>
          <w:bCs/>
          <w:iCs/>
        </w:rPr>
        <w:t xml:space="preserve"> and </w:t>
      </w:r>
      <w:r w:rsidRPr="002F66E5" w:rsidR="00797213">
        <w:rPr>
          <w:bCs/>
          <w:iCs/>
        </w:rPr>
        <w:t>§</w:t>
      </w:r>
      <w:r w:rsidR="00063D7C">
        <w:rPr>
          <w:bCs/>
          <w:iCs/>
        </w:rPr>
        <w:t>100702</w:t>
      </w:r>
      <w:r w:rsidRPr="002F66E5" w:rsidR="00D6453B">
        <w:rPr>
          <w:bCs/>
          <w:iCs/>
        </w:rPr>
        <w:t xml:space="preserve"> </w:t>
      </w:r>
      <w:r w:rsidR="00E55F7C">
        <w:rPr>
          <w:bCs/>
          <w:iCs/>
        </w:rPr>
        <w:t>call for</w:t>
      </w:r>
      <w:r w:rsidR="00DD7A1D">
        <w:rPr>
          <w:bCs/>
          <w:iCs/>
        </w:rPr>
        <w:t xml:space="preserve"> </w:t>
      </w:r>
      <w:r w:rsidR="00E55F7C">
        <w:rPr>
          <w:bCs/>
          <w:iCs/>
        </w:rPr>
        <w:t xml:space="preserve">continually improving the ability of the </w:t>
      </w:r>
      <w:r w:rsidR="008132DF">
        <w:rPr>
          <w:bCs/>
          <w:iCs/>
        </w:rPr>
        <w:t>NPS to</w:t>
      </w:r>
      <w:r w:rsidR="00DD7A1D">
        <w:rPr>
          <w:bCs/>
          <w:iCs/>
        </w:rPr>
        <w:t xml:space="preserve"> </w:t>
      </w:r>
      <w:r w:rsidR="009B79D9">
        <w:rPr>
          <w:bCs/>
          <w:iCs/>
        </w:rPr>
        <w:t xml:space="preserve">provide </w:t>
      </w:r>
      <w:r w:rsidR="00B82EF9">
        <w:rPr>
          <w:bCs/>
          <w:iCs/>
        </w:rPr>
        <w:t xml:space="preserve">“state-of-the-art” research </w:t>
      </w:r>
      <w:r w:rsidR="007A5FD3">
        <w:rPr>
          <w:bCs/>
          <w:iCs/>
        </w:rPr>
        <w:t>and “</w:t>
      </w:r>
      <w:r w:rsidR="00D24679">
        <w:rPr>
          <w:bCs/>
          <w:iCs/>
        </w:rPr>
        <w:t xml:space="preserve">a broad program of the highest quality science and information” to enhance the overall management </w:t>
      </w:r>
      <w:r w:rsidR="00C528B9">
        <w:rPr>
          <w:bCs/>
          <w:iCs/>
        </w:rPr>
        <w:t>of NPS units.</w:t>
      </w:r>
      <w:r w:rsidR="008132DF">
        <w:rPr>
          <w:bCs/>
          <w:iCs/>
        </w:rPr>
        <w:t xml:space="preserve"> </w:t>
      </w:r>
      <w:r w:rsidRPr="002F66E5" w:rsidR="00AE3303">
        <w:rPr>
          <w:color w:val="000000"/>
          <w:shd w:val="clear" w:color="auto" w:fill="FFFFFF"/>
        </w:rPr>
        <w:t xml:space="preserve">At park </w:t>
      </w:r>
      <w:r w:rsidRPr="002F66E5" w:rsidR="00DA1190">
        <w:rPr>
          <w:color w:val="000000"/>
          <w:shd w:val="clear" w:color="auto" w:fill="FFFFFF"/>
        </w:rPr>
        <w:t xml:space="preserve">and program levels, this includes the combination of natural and social science </w:t>
      </w:r>
      <w:r w:rsidRPr="002F66E5" w:rsidR="00F2594E">
        <w:rPr>
          <w:color w:val="000000"/>
          <w:shd w:val="clear" w:color="auto" w:fill="FFFFFF"/>
        </w:rPr>
        <w:t>research</w:t>
      </w:r>
      <w:r w:rsidRPr="002F66E5" w:rsidR="002870C5">
        <w:rPr>
          <w:color w:val="000000"/>
          <w:shd w:val="clear" w:color="auto" w:fill="FFFFFF"/>
        </w:rPr>
        <w:t xml:space="preserve">. Relative to social science information collections, </w:t>
      </w:r>
      <w:r w:rsidRPr="002F66E5" w:rsidR="00DD5048">
        <w:rPr>
          <w:color w:val="000000"/>
          <w:shd w:val="clear" w:color="auto" w:fill="FFFFFF"/>
        </w:rPr>
        <w:t>the needs of the NPS</w:t>
      </w:r>
      <w:r w:rsidRPr="002F66E5" w:rsidR="00DD7811">
        <w:rPr>
          <w:color w:val="000000"/>
          <w:shd w:val="clear" w:color="auto" w:fill="FFFFFF"/>
        </w:rPr>
        <w:t xml:space="preserve"> are as diverse as the resources it</w:t>
      </w:r>
      <w:r w:rsidR="00DD0A21">
        <w:rPr>
          <w:color w:val="000000"/>
          <w:shd w:val="clear" w:color="auto" w:fill="FFFFFF"/>
        </w:rPr>
        <w:t xml:space="preserve"> </w:t>
      </w:r>
      <w:r w:rsidRPr="002F66E5" w:rsidR="00DD7811">
        <w:rPr>
          <w:color w:val="000000"/>
          <w:shd w:val="clear" w:color="auto" w:fill="FFFFFF"/>
        </w:rPr>
        <w:t>manage</w:t>
      </w:r>
      <w:r w:rsidRPr="002F66E5">
        <w:rPr>
          <w:color w:val="000000"/>
          <w:shd w:val="clear" w:color="auto" w:fill="FFFFFF"/>
        </w:rPr>
        <w:t>s</w:t>
      </w:r>
      <w:r w:rsidRPr="002F66E5" w:rsidR="00DD7811">
        <w:rPr>
          <w:color w:val="000000"/>
          <w:shd w:val="clear" w:color="auto" w:fill="FFFFFF"/>
        </w:rPr>
        <w:t>. For example</w:t>
      </w:r>
      <w:r w:rsidRPr="002F66E5">
        <w:rPr>
          <w:color w:val="000000"/>
          <w:shd w:val="clear" w:color="auto" w:fill="FFFFFF"/>
        </w:rPr>
        <w:t>,</w:t>
      </w:r>
      <w:r w:rsidRPr="002F66E5" w:rsidR="00DD7811">
        <w:rPr>
          <w:color w:val="000000"/>
          <w:shd w:val="clear" w:color="auto" w:fill="FFFFFF"/>
        </w:rPr>
        <w:t xml:space="preserve"> stu</w:t>
      </w:r>
      <w:r w:rsidR="000618E9">
        <w:rPr>
          <w:color w:val="000000"/>
          <w:shd w:val="clear" w:color="auto" w:fill="FFFFFF"/>
        </w:rPr>
        <w:t xml:space="preserve">dies </w:t>
      </w:r>
      <w:r w:rsidR="00417AA1">
        <w:rPr>
          <w:color w:val="000000"/>
          <w:shd w:val="clear" w:color="auto" w:fill="FFFFFF"/>
        </w:rPr>
        <w:t>may include</w:t>
      </w:r>
      <w:r w:rsidRPr="002F66E5" w:rsidR="002870C5">
        <w:rPr>
          <w:color w:val="000000"/>
          <w:shd w:val="clear" w:color="auto" w:fill="FFFFFF"/>
        </w:rPr>
        <w:t xml:space="preserve"> </w:t>
      </w:r>
      <w:r w:rsidRPr="002F66E5" w:rsidR="000242C5">
        <w:rPr>
          <w:color w:val="000000"/>
          <w:shd w:val="clear" w:color="auto" w:fill="FFFFFF"/>
        </w:rPr>
        <w:t>ethnographic</w:t>
      </w:r>
      <w:r w:rsidRPr="002F66E5" w:rsidR="002870C5">
        <w:rPr>
          <w:color w:val="000000"/>
          <w:shd w:val="clear" w:color="auto" w:fill="FFFFFF"/>
        </w:rPr>
        <w:t xml:space="preserve"> interviews with </w:t>
      </w:r>
      <w:r w:rsidRPr="002F66E5" w:rsidR="00D64FD8">
        <w:rPr>
          <w:color w:val="000000"/>
          <w:shd w:val="clear" w:color="auto" w:fill="FFFFFF"/>
        </w:rPr>
        <w:t xml:space="preserve">indigenous </w:t>
      </w:r>
      <w:r w:rsidRPr="002F66E5" w:rsidR="006B11F5">
        <w:rPr>
          <w:color w:val="000000"/>
          <w:shd w:val="clear" w:color="auto" w:fill="FFFFFF"/>
        </w:rPr>
        <w:t xml:space="preserve">tribes </w:t>
      </w:r>
      <w:r w:rsidR="00A92DCF">
        <w:rPr>
          <w:color w:val="000000"/>
          <w:shd w:val="clear" w:color="auto" w:fill="FFFFFF"/>
        </w:rPr>
        <w:t xml:space="preserve">near </w:t>
      </w:r>
      <w:r w:rsidR="00417AA1">
        <w:rPr>
          <w:color w:val="000000"/>
          <w:shd w:val="clear" w:color="auto" w:fill="FFFFFF"/>
        </w:rPr>
        <w:t xml:space="preserve">a park </w:t>
      </w:r>
      <w:r w:rsidRPr="002F66E5" w:rsidR="006B11F5">
        <w:rPr>
          <w:color w:val="000000"/>
          <w:shd w:val="clear" w:color="auto" w:fill="FFFFFF"/>
        </w:rPr>
        <w:t xml:space="preserve">to understand </w:t>
      </w:r>
      <w:r w:rsidR="00A92DCF">
        <w:rPr>
          <w:color w:val="000000"/>
          <w:shd w:val="clear" w:color="auto" w:fill="FFFFFF"/>
        </w:rPr>
        <w:t xml:space="preserve">traditional ecological knowledge relative to </w:t>
      </w:r>
      <w:r w:rsidR="00587207">
        <w:rPr>
          <w:color w:val="000000"/>
          <w:shd w:val="clear" w:color="auto" w:fill="FFFFFF"/>
        </w:rPr>
        <w:t xml:space="preserve">the conditions of </w:t>
      </w:r>
      <w:r w:rsidR="00E53D1F">
        <w:rPr>
          <w:color w:val="000000"/>
          <w:shd w:val="clear" w:color="auto" w:fill="FFFFFF"/>
        </w:rPr>
        <w:t xml:space="preserve">changing resources </w:t>
      </w:r>
      <w:r w:rsidRPr="002F66E5" w:rsidR="003865F1">
        <w:rPr>
          <w:color w:val="000000"/>
          <w:shd w:val="clear" w:color="auto" w:fill="FFFFFF"/>
        </w:rPr>
        <w:t>to inform inclusive access strategies</w:t>
      </w:r>
      <w:r w:rsidR="003865F1">
        <w:rPr>
          <w:color w:val="000000"/>
          <w:shd w:val="clear" w:color="auto" w:fill="FFFFFF"/>
        </w:rPr>
        <w:t xml:space="preserve"> </w:t>
      </w:r>
      <w:r w:rsidRPr="002F66E5" w:rsidR="00CF686B">
        <w:rPr>
          <w:color w:val="000000"/>
          <w:shd w:val="clear" w:color="auto" w:fill="FFFFFF"/>
        </w:rPr>
        <w:t xml:space="preserve">or a </w:t>
      </w:r>
      <w:r w:rsidR="007861CD">
        <w:rPr>
          <w:color w:val="000000"/>
          <w:shd w:val="clear" w:color="auto" w:fill="FFFFFF"/>
        </w:rPr>
        <w:t>quantitative</w:t>
      </w:r>
      <w:r w:rsidR="00622611">
        <w:rPr>
          <w:color w:val="000000"/>
          <w:shd w:val="clear" w:color="auto" w:fill="FFFFFF"/>
        </w:rPr>
        <w:t xml:space="preserve"> survey</w:t>
      </w:r>
      <w:r w:rsidR="00400730">
        <w:rPr>
          <w:color w:val="000000"/>
          <w:shd w:val="clear" w:color="auto" w:fill="FFFFFF"/>
        </w:rPr>
        <w:t xml:space="preserve"> </w:t>
      </w:r>
      <w:r w:rsidR="00587207">
        <w:rPr>
          <w:color w:val="000000"/>
          <w:shd w:val="clear" w:color="auto" w:fill="FFFFFF"/>
        </w:rPr>
        <w:t>at</w:t>
      </w:r>
      <w:r w:rsidR="00200376">
        <w:rPr>
          <w:color w:val="000000"/>
          <w:shd w:val="clear" w:color="auto" w:fill="FFFFFF"/>
        </w:rPr>
        <w:t xml:space="preserve"> </w:t>
      </w:r>
      <w:r w:rsidR="00417AA1">
        <w:rPr>
          <w:color w:val="000000"/>
          <w:shd w:val="clear" w:color="auto" w:fill="FFFFFF"/>
        </w:rPr>
        <w:t>a national battlefield</w:t>
      </w:r>
      <w:r w:rsidR="00200376">
        <w:rPr>
          <w:color w:val="000000"/>
          <w:shd w:val="clear" w:color="auto" w:fill="FFFFFF"/>
        </w:rPr>
        <w:t xml:space="preserve"> to capture</w:t>
      </w:r>
      <w:r w:rsidRPr="002F66E5" w:rsidR="00CD7AB1">
        <w:rPr>
          <w:color w:val="000000"/>
          <w:shd w:val="clear" w:color="auto" w:fill="FFFFFF"/>
        </w:rPr>
        <w:t xml:space="preserve"> </w:t>
      </w:r>
      <w:r w:rsidR="00C200E1">
        <w:rPr>
          <w:color w:val="000000"/>
          <w:shd w:val="clear" w:color="auto" w:fill="FFFFFF"/>
        </w:rPr>
        <w:t xml:space="preserve">visitor experiences and </w:t>
      </w:r>
      <w:r w:rsidRPr="002F66E5" w:rsidR="0093402D">
        <w:rPr>
          <w:color w:val="000000"/>
          <w:shd w:val="clear" w:color="auto" w:fill="FFFFFF"/>
        </w:rPr>
        <w:t xml:space="preserve">opinions regarding interpretive offerings to </w:t>
      </w:r>
      <w:r w:rsidRPr="002F66E5">
        <w:rPr>
          <w:color w:val="000000"/>
          <w:shd w:val="clear" w:color="auto" w:fill="FFFFFF"/>
        </w:rPr>
        <w:t xml:space="preserve">inform </w:t>
      </w:r>
      <w:r w:rsidR="00DE13CD">
        <w:rPr>
          <w:color w:val="000000"/>
          <w:shd w:val="clear" w:color="auto" w:fill="FFFFFF"/>
        </w:rPr>
        <w:t xml:space="preserve">the </w:t>
      </w:r>
      <w:r w:rsidR="007861CD">
        <w:rPr>
          <w:color w:val="000000"/>
          <w:shd w:val="clear" w:color="auto" w:fill="FFFFFF"/>
        </w:rPr>
        <w:t>development of new</w:t>
      </w:r>
      <w:r w:rsidR="0042296F">
        <w:rPr>
          <w:color w:val="000000"/>
          <w:shd w:val="clear" w:color="auto" w:fill="FFFFFF"/>
        </w:rPr>
        <w:t xml:space="preserve"> media</w:t>
      </w:r>
      <w:r w:rsidR="00E3488C">
        <w:rPr>
          <w:color w:val="000000"/>
          <w:shd w:val="clear" w:color="auto" w:fill="FFFFFF"/>
        </w:rPr>
        <w:t>.</w:t>
      </w:r>
    </w:p>
    <w:p w:rsidR="0014376A" w:rsidRPr="002F66E5" w:rsidP="007D6587" w14:paraId="19B6E8E6" w14:textId="77777777">
      <w:pPr>
        <w:tabs>
          <w:tab w:val="left" w:pos="-1440"/>
          <w:tab w:val="clear" w:pos="-1080"/>
          <w:tab w:val="clear" w:pos="0"/>
          <w:tab w:val="clear" w:pos="1080"/>
          <w:tab w:val="left" w:pos="2160"/>
          <w:tab w:val="left" w:pos="2880"/>
        </w:tabs>
        <w:spacing w:line="360" w:lineRule="auto"/>
        <w:rPr>
          <w:color w:val="000000"/>
          <w:shd w:val="clear" w:color="auto" w:fill="FFFFFF"/>
        </w:rPr>
      </w:pPr>
    </w:p>
    <w:p w:rsidR="00456409" w:rsidRPr="002F66E5" w:rsidP="007D6587" w14:paraId="35B58D39" w14:textId="42D3B868">
      <w:pPr>
        <w:tabs>
          <w:tab w:val="left" w:pos="-1440"/>
          <w:tab w:val="clear" w:pos="-1080"/>
          <w:tab w:val="clear" w:pos="0"/>
          <w:tab w:val="clear" w:pos="1080"/>
          <w:tab w:val="left" w:pos="2160"/>
          <w:tab w:val="left" w:pos="2880"/>
        </w:tabs>
        <w:spacing w:line="360" w:lineRule="auto"/>
        <w:rPr>
          <w:iCs/>
        </w:rPr>
      </w:pPr>
      <w:r>
        <w:rPr>
          <w:rFonts w:eastAsia="Calibri"/>
        </w:rPr>
        <w:t xml:space="preserve">The </w:t>
      </w:r>
      <w:r w:rsidRPr="002F66E5" w:rsidR="00BD1667">
        <w:rPr>
          <w:rFonts w:eastAsia="Calibri"/>
        </w:rPr>
        <w:t>National Environmental Policy Act</w:t>
      </w:r>
      <w:r>
        <w:rPr>
          <w:rFonts w:eastAsia="Calibri"/>
        </w:rPr>
        <w:t xml:space="preserve"> of </w:t>
      </w:r>
      <w:r w:rsidRPr="002F66E5" w:rsidR="00BD1667">
        <w:rPr>
          <w:rFonts w:eastAsia="Calibri"/>
        </w:rPr>
        <w:t>1969</w:t>
      </w:r>
      <w:r>
        <w:rPr>
          <w:rFonts w:eastAsia="Calibri"/>
        </w:rPr>
        <w:t xml:space="preserve"> require</w:t>
      </w:r>
      <w:r w:rsidR="000D1E65">
        <w:rPr>
          <w:rFonts w:eastAsia="Calibri"/>
        </w:rPr>
        <w:t>s</w:t>
      </w:r>
      <w:r w:rsidRPr="002F66E5" w:rsidR="00765A39">
        <w:rPr>
          <w:rFonts w:eastAsia="Calibri"/>
        </w:rPr>
        <w:t xml:space="preserve"> periodic social science information collections </w:t>
      </w:r>
      <w:r w:rsidRPr="002F66E5" w:rsidR="00BD1667">
        <w:rPr>
          <w:rFonts w:eastAsia="Calibri"/>
        </w:rPr>
        <w:t xml:space="preserve">when assessing the impact of development on users, potential users, and residents </w:t>
      </w:r>
      <w:r w:rsidRPr="002F66E5" w:rsidR="00BD1667">
        <w:rPr>
          <w:rFonts w:eastAsia="Calibri"/>
        </w:rPr>
        <w:t>near park</w:t>
      </w:r>
      <w:r w:rsidRPr="002F66E5" w:rsidR="00346AE5">
        <w:rPr>
          <w:rFonts w:eastAsia="Calibri"/>
        </w:rPr>
        <w:t>s</w:t>
      </w:r>
      <w:r w:rsidRPr="002F66E5" w:rsidR="00BD1667">
        <w:rPr>
          <w:rFonts w:eastAsia="Calibri"/>
        </w:rPr>
        <w:t xml:space="preserve"> as part of General Management </w:t>
      </w:r>
      <w:r w:rsidR="00110516">
        <w:rPr>
          <w:rFonts w:eastAsia="Calibri"/>
        </w:rPr>
        <w:t>and site-specific plans (e.g., River Management Plan)</w:t>
      </w:r>
      <w:r w:rsidRPr="002F66E5" w:rsidR="00BD1667">
        <w:rPr>
          <w:rFonts w:eastAsia="Calibri"/>
        </w:rPr>
        <w:t xml:space="preserve">. </w:t>
      </w:r>
      <w:r w:rsidR="00C2594E">
        <w:t>Further, under the direction of the laws and policies</w:t>
      </w:r>
      <w:r w:rsidR="009A1F16">
        <w:t>,</w:t>
      </w:r>
      <w:r w:rsidR="00C2594E">
        <w:t xml:space="preserve"> as well as recent executive orders (13985 and 14008) </w:t>
      </w:r>
      <w:r w:rsidR="00B21BF0">
        <w:t xml:space="preserve">that </w:t>
      </w:r>
      <w:r w:rsidR="00C2594E">
        <w:t>focus on equity, environmental justice, and climate change, federal and NPS-specific legislation mandate</w:t>
      </w:r>
      <w:r w:rsidR="004C70CB">
        <w:t>s</w:t>
      </w:r>
      <w:r w:rsidR="00C2594E">
        <w:t xml:space="preserve"> the use </w:t>
      </w:r>
      <w:r w:rsidR="00D47B59">
        <w:t xml:space="preserve">of </w:t>
      </w:r>
      <w:r w:rsidR="00026D9E">
        <w:t xml:space="preserve">social </w:t>
      </w:r>
      <w:r w:rsidR="00C2594E">
        <w:t>science</w:t>
      </w:r>
      <w:r w:rsidR="00026D9E">
        <w:t xml:space="preserve"> </w:t>
      </w:r>
      <w:r w:rsidR="00C3012F">
        <w:t>research</w:t>
      </w:r>
      <w:r w:rsidR="00026D9E">
        <w:t xml:space="preserve"> </w:t>
      </w:r>
      <w:r w:rsidR="00354BB2">
        <w:t>to tackle on-going and emerging issues</w:t>
      </w:r>
      <w:r w:rsidR="000E1488">
        <w:t xml:space="preserve"> relative to visitor and non-visitor experience</w:t>
      </w:r>
      <w:r w:rsidR="00C2594E">
        <w:t>.</w:t>
      </w:r>
    </w:p>
    <w:p w:rsidR="006740A6" w:rsidRPr="002F66E5" w:rsidP="007D6587" w14:paraId="5FA751A6" w14:textId="77777777">
      <w:pPr>
        <w:widowControl/>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
        </w:rPr>
      </w:pPr>
    </w:p>
    <w:p w:rsidR="0067156E" w:rsidP="007D6587" w14:paraId="45A1B4AE" w14:textId="5A057A1C">
      <w:pPr>
        <w:tabs>
          <w:tab w:val="left" w:pos="-1440"/>
          <w:tab w:val="clear" w:pos="-1080"/>
          <w:tab w:val="clear" w:pos="0"/>
          <w:tab w:val="clear" w:pos="1080"/>
          <w:tab w:val="left" w:pos="2160"/>
          <w:tab w:val="left" w:pos="2880"/>
        </w:tabs>
        <w:spacing w:line="360" w:lineRule="auto"/>
      </w:pPr>
      <w:r w:rsidRPr="002F66E5">
        <w:t>In conjunction with the legal requirements</w:t>
      </w:r>
      <w:r w:rsidRPr="002F66E5" w:rsidR="00D3467C">
        <w:t xml:space="preserve"> </w:t>
      </w:r>
      <w:r w:rsidRPr="002F66E5">
        <w:t xml:space="preserve">mandating social science research to inform park planning and management, </w:t>
      </w:r>
      <w:r w:rsidR="008B0E20">
        <w:t xml:space="preserve">the </w:t>
      </w:r>
      <w:r w:rsidRPr="00E97FBE" w:rsidR="00E97FBE">
        <w:t xml:space="preserve">Programmatic Clearance for NPS-Sponsored Public Surveys </w:t>
      </w:r>
      <w:r w:rsidRPr="002F66E5" w:rsidR="00C55579">
        <w:t xml:space="preserve">is necessary because it </w:t>
      </w:r>
      <w:r w:rsidR="00F11BA1">
        <w:t>allows</w:t>
      </w:r>
      <w:r w:rsidRPr="002F66E5" w:rsidR="00C55579">
        <w:t xml:space="preserve"> the </w:t>
      </w:r>
      <w:r w:rsidRPr="002F66E5" w:rsidR="004576F6">
        <w:t>NPS</w:t>
      </w:r>
      <w:r w:rsidRPr="002F66E5" w:rsidR="00C55579">
        <w:t xml:space="preserve"> t</w:t>
      </w:r>
      <w:r w:rsidRPr="002F66E5" w:rsidR="00EC714B">
        <w:t xml:space="preserve">o </w:t>
      </w:r>
      <w:r w:rsidRPr="002F66E5" w:rsidR="00C60195">
        <w:t>collect information</w:t>
      </w:r>
      <w:r w:rsidRPr="002F66E5" w:rsidR="00EC714B">
        <w:t xml:space="preserve"> </w:t>
      </w:r>
      <w:r w:rsidRPr="002F66E5" w:rsidR="00593A03">
        <w:t xml:space="preserve">that is </w:t>
      </w:r>
      <w:r w:rsidRPr="002F66E5" w:rsidR="004576F6">
        <w:t>low-burden, noncontroversial</w:t>
      </w:r>
      <w:r w:rsidRPr="002F66E5" w:rsidR="00D3467C">
        <w:t>,</w:t>
      </w:r>
      <w:r w:rsidRPr="002F66E5" w:rsidR="004576F6">
        <w:t xml:space="preserve"> and </w:t>
      </w:r>
      <w:r w:rsidRPr="002F66E5" w:rsidR="00065643">
        <w:t>specific</w:t>
      </w:r>
      <w:r w:rsidRPr="002F66E5" w:rsidR="004576F6">
        <w:t xml:space="preserve">ally tailored </w:t>
      </w:r>
      <w:r w:rsidRPr="002F66E5" w:rsidR="00987087">
        <w:t xml:space="preserve">to the </w:t>
      </w:r>
      <w:r w:rsidRPr="002F66E5" w:rsidR="004576F6">
        <w:t xml:space="preserve">needs of the </w:t>
      </w:r>
      <w:r w:rsidR="00F11BA1">
        <w:t>agency</w:t>
      </w:r>
      <w:r w:rsidRPr="002F66E5" w:rsidR="00D3467C">
        <w:t xml:space="preserve"> </w:t>
      </w:r>
      <w:r w:rsidRPr="002F66E5" w:rsidR="004576F6">
        <w:t>in an expedited manner</w:t>
      </w:r>
      <w:r w:rsidRPr="002F66E5" w:rsidR="00CE1F65">
        <w:t xml:space="preserve">. </w:t>
      </w:r>
      <w:r w:rsidRPr="002F66E5" w:rsidR="00456409">
        <w:t xml:space="preserve"> </w:t>
      </w:r>
      <w:r w:rsidRPr="002F66E5" w:rsidR="00B94803">
        <w:t xml:space="preserve">Many parks and programs require </w:t>
      </w:r>
      <w:r w:rsidRPr="002F66E5" w:rsidR="000216D2">
        <w:t xml:space="preserve">one-time or </w:t>
      </w:r>
      <w:r w:rsidRPr="002F66E5" w:rsidR="00563EC0">
        <w:t>seasonal information</w:t>
      </w:r>
      <w:r w:rsidRPr="002F66E5" w:rsidR="000216D2">
        <w:t xml:space="preserve"> collections that</w:t>
      </w:r>
      <w:r w:rsidR="00896562">
        <w:t xml:space="preserve"> use common methodologies</w:t>
      </w:r>
      <w:r w:rsidR="00570663">
        <w:t>,</w:t>
      </w:r>
      <w:r w:rsidR="00896562">
        <w:t xml:space="preserve"> and share general characteristics (</w:t>
      </w:r>
      <w:r w:rsidR="00754C84">
        <w:t xml:space="preserve">e.g., </w:t>
      </w:r>
      <w:r w:rsidR="008C13A7">
        <w:t xml:space="preserve">applied research, low burden, uncontroversial, </w:t>
      </w:r>
      <w:r w:rsidR="00570663">
        <w:t>specific areas of inquiry)</w:t>
      </w:r>
      <w:r w:rsidRPr="002F66E5" w:rsidR="00CB7DC9">
        <w:t>.</w:t>
      </w:r>
      <w:r w:rsidRPr="002F66E5" w:rsidR="00D3467C">
        <w:t xml:space="preserve"> </w:t>
      </w:r>
      <w:r w:rsidR="00C66046">
        <w:t xml:space="preserve">Leveraging this expedited </w:t>
      </w:r>
      <w:r w:rsidR="00AF26CE">
        <w:t>clearance</w:t>
      </w:r>
      <w:r w:rsidR="004B792A">
        <w:t xml:space="preserve"> </w:t>
      </w:r>
      <w:r w:rsidR="00E6624B">
        <w:t xml:space="preserve">allows the </w:t>
      </w:r>
      <w:r w:rsidR="00336E52">
        <w:t xml:space="preserve">NPS to </w:t>
      </w:r>
      <w:r w:rsidR="003E2D35">
        <w:t>collect</w:t>
      </w:r>
      <w:r w:rsidR="00336E52">
        <w:t xml:space="preserve"> </w:t>
      </w:r>
      <w:r w:rsidR="00E37332">
        <w:t xml:space="preserve">timely </w:t>
      </w:r>
      <w:r w:rsidR="00AF7FF0">
        <w:t xml:space="preserve">information </w:t>
      </w:r>
      <w:r w:rsidR="00336E52">
        <w:t>from the public</w:t>
      </w:r>
      <w:r w:rsidR="003E2D35">
        <w:t xml:space="preserve"> used to</w:t>
      </w:r>
      <w:r w:rsidRPr="003E2D35" w:rsidR="003E2D35">
        <w:rPr>
          <w:bCs/>
          <w:iCs/>
        </w:rPr>
        <w:t xml:space="preserve"> enhance the overall management of NPS units</w:t>
      </w:r>
      <w:r w:rsidR="003E2D35">
        <w:t xml:space="preserve">. This process </w:t>
      </w:r>
      <w:r w:rsidR="00896562">
        <w:t>afford</w:t>
      </w:r>
      <w:r w:rsidR="00F4072D">
        <w:t>s</w:t>
      </w:r>
      <w:r w:rsidR="00896562">
        <w:t xml:space="preserve"> </w:t>
      </w:r>
      <w:r w:rsidRPr="002F66E5" w:rsidR="002F3074">
        <w:t xml:space="preserve">the NPS </w:t>
      </w:r>
      <w:r w:rsidR="00896562">
        <w:t xml:space="preserve">the ability </w:t>
      </w:r>
      <w:r w:rsidRPr="002F66E5" w:rsidR="002F3074">
        <w:t xml:space="preserve">to </w:t>
      </w:r>
      <w:r w:rsidRPr="002F66E5" w:rsidR="005C3EBB">
        <w:t xml:space="preserve">conduct more than 25 </w:t>
      </w:r>
      <w:r w:rsidR="009D7C9E">
        <w:t xml:space="preserve">new </w:t>
      </w:r>
      <w:r w:rsidRPr="002F66E5" w:rsidR="005C3EBB">
        <w:t xml:space="preserve">collections per year versus </w:t>
      </w:r>
      <w:r w:rsidRPr="002F66E5" w:rsidR="00A86010">
        <w:t xml:space="preserve">the approval of </w:t>
      </w:r>
      <w:r w:rsidR="003E2D35">
        <w:t>one or two</w:t>
      </w:r>
      <w:r w:rsidRPr="002F66E5" w:rsidR="003E2D35">
        <w:t xml:space="preserve"> </w:t>
      </w:r>
      <w:r w:rsidRPr="002F66E5" w:rsidR="00701DC9">
        <w:t>new collection</w:t>
      </w:r>
      <w:r w:rsidR="00222799">
        <w:t>s</w:t>
      </w:r>
      <w:r w:rsidRPr="002F66E5" w:rsidR="00701DC9">
        <w:t xml:space="preserve"> per</w:t>
      </w:r>
      <w:r w:rsidRPr="002F66E5" w:rsidR="007F4BAB">
        <w:t xml:space="preserve"> </w:t>
      </w:r>
      <w:r w:rsidRPr="002F66E5" w:rsidR="00A86010">
        <w:t xml:space="preserve">year using the full review process. </w:t>
      </w:r>
    </w:p>
    <w:p w:rsidR="0067156E" w:rsidP="007D6587" w14:paraId="60021BB6" w14:textId="77777777">
      <w:pPr>
        <w:tabs>
          <w:tab w:val="left" w:pos="-1440"/>
          <w:tab w:val="clear" w:pos="-1080"/>
          <w:tab w:val="clear" w:pos="0"/>
          <w:tab w:val="clear" w:pos="1080"/>
          <w:tab w:val="left" w:pos="2160"/>
          <w:tab w:val="left" w:pos="2880"/>
        </w:tabs>
        <w:spacing w:line="360" w:lineRule="auto"/>
      </w:pPr>
    </w:p>
    <w:p w:rsidR="00014C43" w:rsidP="27B093C2" w14:paraId="330ADA04" w14:textId="2EAC7172">
      <w:pPr>
        <w:tabs>
          <w:tab w:val="clear" w:pos="1080"/>
          <w:tab w:val="left" w:pos="2160"/>
          <w:tab w:val="left" w:pos="2880"/>
        </w:tabs>
        <w:spacing w:line="360" w:lineRule="auto"/>
      </w:pPr>
      <w:r>
        <w:t>The NPS Programmatic Process</w:t>
      </w:r>
      <w:r>
        <w:t xml:space="preserve"> </w:t>
      </w:r>
      <w:r w:rsidR="0098402B">
        <w:t>goes b</w:t>
      </w:r>
      <w:r w:rsidR="00ED0E05">
        <w:t xml:space="preserve">eyond the existing Department of </w:t>
      </w:r>
      <w:r w:rsidR="00340506">
        <w:t xml:space="preserve">the </w:t>
      </w:r>
      <w:r w:rsidR="00ED0E05">
        <w:t xml:space="preserve">Interior </w:t>
      </w:r>
      <w:r w:rsidR="62744B13">
        <w:t xml:space="preserve">(DOI) </w:t>
      </w:r>
      <w:r w:rsidR="00217E5F">
        <w:t xml:space="preserve">Generic </w:t>
      </w:r>
      <w:r w:rsidR="00970DCF">
        <w:t>C</w:t>
      </w:r>
      <w:r w:rsidR="00ED0E05">
        <w:t>learances</w:t>
      </w:r>
      <w:r w:rsidR="002A4751">
        <w:t xml:space="preserve"> (1090-0011 </w:t>
      </w:r>
      <w:r w:rsidR="009A4071">
        <w:t>- “</w:t>
      </w:r>
      <w:r w:rsidRPr="5A498324" w:rsidR="009A4071">
        <w:rPr>
          <w:i/>
          <w:iCs/>
        </w:rPr>
        <w:t xml:space="preserve">DOI Generic Clearance for the Collection of Qualitative Feedback </w:t>
      </w:r>
      <w:r w:rsidRPr="5A498324" w:rsidR="00CA6432">
        <w:rPr>
          <w:i/>
          <w:iCs/>
        </w:rPr>
        <w:t>o</w:t>
      </w:r>
      <w:r w:rsidRPr="5A498324" w:rsidR="009A4071">
        <w:rPr>
          <w:i/>
          <w:iCs/>
        </w:rPr>
        <w:t>n Agency Service Delivery</w:t>
      </w:r>
      <w:r w:rsidR="009A4071">
        <w:t xml:space="preserve"> </w:t>
      </w:r>
      <w:r w:rsidR="002A4751">
        <w:t>and 1040-0001</w:t>
      </w:r>
      <w:r w:rsidR="00CA6432">
        <w:t xml:space="preserve"> </w:t>
      </w:r>
      <w:r w:rsidRPr="5A498324" w:rsidR="00CA6432">
        <w:rPr>
          <w:i/>
          <w:iCs/>
        </w:rPr>
        <w:t>DOI Programmatic Clearance for Customer Satisfaction Surveys</w:t>
      </w:r>
      <w:r w:rsidR="002A4751">
        <w:t>)</w:t>
      </w:r>
      <w:r w:rsidR="00511073">
        <w:t xml:space="preserve"> </w:t>
      </w:r>
      <w:r w:rsidR="00F11C52">
        <w:t>whose</w:t>
      </w:r>
      <w:r w:rsidR="0061699F">
        <w:t xml:space="preserve"> primary </w:t>
      </w:r>
      <w:r w:rsidR="00511073">
        <w:t>focus</w:t>
      </w:r>
      <w:r w:rsidR="0061699F">
        <w:t xml:space="preserve"> is </w:t>
      </w:r>
      <w:r w:rsidR="00511073">
        <w:t xml:space="preserve">on customer </w:t>
      </w:r>
      <w:r w:rsidR="00391CA8">
        <w:t xml:space="preserve">feedback and </w:t>
      </w:r>
      <w:r w:rsidR="00511073">
        <w:t>satisfaction</w:t>
      </w:r>
      <w:r w:rsidR="00391CA8">
        <w:t xml:space="preserve">.  </w:t>
      </w:r>
      <w:r w:rsidR="00A170F2">
        <w:t>T</w:t>
      </w:r>
      <w:r w:rsidR="00391CA8">
        <w:t>he</w:t>
      </w:r>
      <w:r w:rsidR="00ED0E05">
        <w:t xml:space="preserve"> NPS</w:t>
      </w:r>
      <w:r w:rsidR="004C70CB">
        <w:t xml:space="preserve"> </w:t>
      </w:r>
      <w:r w:rsidR="00391CA8">
        <w:t xml:space="preserve">Programmatic </w:t>
      </w:r>
      <w:r w:rsidR="00ED0E05">
        <w:t>clearance</w:t>
      </w:r>
      <w:r w:rsidR="00A854A1">
        <w:t xml:space="preserve"> is unique in that it</w:t>
      </w:r>
      <w:r w:rsidR="00BF0317">
        <w:t xml:space="preserve"> allows</w:t>
      </w:r>
      <w:r w:rsidR="00A50685">
        <w:t xml:space="preserve"> the agency</w:t>
      </w:r>
      <w:r w:rsidR="00BF0317">
        <w:t xml:space="preserve"> to obtain social science </w:t>
      </w:r>
      <w:r w:rsidR="00A53227">
        <w:t>and</w:t>
      </w:r>
      <w:r w:rsidR="00BF0317">
        <w:t xml:space="preserve"> visitor use information</w:t>
      </w:r>
      <w:r w:rsidR="00A854A1">
        <w:t>, w</w:t>
      </w:r>
      <w:r w:rsidR="00BF0317">
        <w:t xml:space="preserve">hereas </w:t>
      </w:r>
      <w:r w:rsidR="00E10E88">
        <w:t xml:space="preserve">the scope </w:t>
      </w:r>
      <w:r w:rsidR="00641884">
        <w:t xml:space="preserve">of </w:t>
      </w:r>
      <w:r w:rsidR="00DA4C05">
        <w:t>both</w:t>
      </w:r>
      <w:r w:rsidR="00BF0317">
        <w:t xml:space="preserve"> DOI </w:t>
      </w:r>
      <w:r w:rsidR="007B281E">
        <w:t>Generic Clearances</w:t>
      </w:r>
      <w:r w:rsidR="00DA4C05">
        <w:t xml:space="preserve"> </w:t>
      </w:r>
      <w:r w:rsidR="00DF27A6">
        <w:t xml:space="preserve">specifically </w:t>
      </w:r>
      <w:r w:rsidR="00212541">
        <w:t>disallows</w:t>
      </w:r>
      <w:r w:rsidR="00B0631C">
        <w:t>,</w:t>
      </w:r>
      <w:r w:rsidR="00B8371A">
        <w:t xml:space="preserve"> and bureaus are </w:t>
      </w:r>
      <w:r w:rsidR="00473FFC">
        <w:t>instructed</w:t>
      </w:r>
      <w:r w:rsidR="00FD5BA4">
        <w:t xml:space="preserve"> </w:t>
      </w:r>
      <w:r w:rsidR="00611AAF">
        <w:t xml:space="preserve">not </w:t>
      </w:r>
      <w:r w:rsidR="00B8371A">
        <w:t>to submit</w:t>
      </w:r>
      <w:r w:rsidR="00E83CED">
        <w:t>,</w:t>
      </w:r>
      <w:r w:rsidR="00720E9F">
        <w:t xml:space="preserve"> information</w:t>
      </w:r>
      <w:r w:rsidR="00A53227">
        <w:t xml:space="preserve"> collection</w:t>
      </w:r>
      <w:r w:rsidR="00720E9F">
        <w:t xml:space="preserve"> instruments</w:t>
      </w:r>
      <w:r w:rsidR="00DF27A6">
        <w:t xml:space="preserve"> designed to “</w:t>
      </w:r>
      <w:r w:rsidRPr="5A498324" w:rsidR="00DF27A6">
        <w:rPr>
          <w:i/>
          <w:iCs/>
        </w:rPr>
        <w:t>obtain social science or</w:t>
      </w:r>
      <w:r w:rsidRPr="5A498324" w:rsidR="00A53227">
        <w:rPr>
          <w:i/>
          <w:iCs/>
        </w:rPr>
        <w:t xml:space="preserve"> visitor use</w:t>
      </w:r>
      <w:r w:rsidRPr="5A498324" w:rsidR="00DF27A6">
        <w:rPr>
          <w:i/>
          <w:iCs/>
        </w:rPr>
        <w:t xml:space="preserve"> information</w:t>
      </w:r>
      <w:r w:rsidRPr="5A498324" w:rsidR="0041414E">
        <w:rPr>
          <w:i/>
          <w:iCs/>
        </w:rPr>
        <w:t>.</w:t>
      </w:r>
      <w:r w:rsidR="00DF27A6">
        <w:t>”</w:t>
      </w:r>
      <w:r w:rsidR="00927B0E">
        <w:t xml:space="preserve"> </w:t>
      </w:r>
      <w:r w:rsidR="00A50685">
        <w:t xml:space="preserve"> </w:t>
      </w:r>
      <w:r w:rsidR="00382429">
        <w:t>T</w:t>
      </w:r>
      <w:r w:rsidR="00A50685">
        <w:t>he ability to</w:t>
      </w:r>
      <w:r w:rsidR="009E4AD7">
        <w:t xml:space="preserve"> collect </w:t>
      </w:r>
      <w:r w:rsidR="00945F80">
        <w:t xml:space="preserve">noncontroversial visitor use and </w:t>
      </w:r>
      <w:r w:rsidR="004C70CB">
        <w:t>park</w:t>
      </w:r>
      <w:r w:rsidR="00945F80">
        <w:t>/program</w:t>
      </w:r>
      <w:r w:rsidR="00382429">
        <w:t>-specific</w:t>
      </w:r>
      <w:r w:rsidR="00945F80">
        <w:t xml:space="preserve"> </w:t>
      </w:r>
      <w:r w:rsidR="009E4AD7">
        <w:t xml:space="preserve">social science information </w:t>
      </w:r>
      <w:r w:rsidR="00382429">
        <w:t>is the cornerstone of the NPS Programmatic Clearance process</w:t>
      </w:r>
      <w:r w:rsidR="00511073">
        <w:t xml:space="preserve"> </w:t>
      </w:r>
      <w:r w:rsidR="00473FFC">
        <w:t xml:space="preserve">and allows </w:t>
      </w:r>
      <w:r w:rsidR="00430106">
        <w:t xml:space="preserve">the </w:t>
      </w:r>
      <w:r w:rsidR="006C077C">
        <w:t xml:space="preserve">agency </w:t>
      </w:r>
      <w:r w:rsidR="00430106">
        <w:t>to make deliberate</w:t>
      </w:r>
      <w:r w:rsidR="00216021">
        <w:t xml:space="preserve"> decision</w:t>
      </w:r>
      <w:r w:rsidR="006C077C">
        <w:t>s</w:t>
      </w:r>
      <w:r w:rsidR="00216021">
        <w:t xml:space="preserve"> </w:t>
      </w:r>
      <w:r w:rsidR="00571B1E">
        <w:t xml:space="preserve">based on </w:t>
      </w:r>
      <w:r w:rsidR="00216021">
        <w:t>stud</w:t>
      </w:r>
      <w:r w:rsidR="006C1F90">
        <w:t>ies</w:t>
      </w:r>
      <w:r w:rsidR="00216021">
        <w:t xml:space="preserve"> design</w:t>
      </w:r>
      <w:r w:rsidR="006C1F90">
        <w:t>ed</w:t>
      </w:r>
      <w:r w:rsidR="00216021">
        <w:t xml:space="preserve"> to meet agency-specific needs. </w:t>
      </w:r>
      <w:r w:rsidR="008A7063">
        <w:t>This includes quantitative information collections that are valid, reliable, and generalizable to the target population and qualitative information collections that provide rich and descriptive data.</w:t>
      </w:r>
    </w:p>
    <w:p w:rsidR="00D01307" w:rsidP="000409DE" w14:paraId="77F3BF70" w14:textId="77777777">
      <w:pPr>
        <w:tabs>
          <w:tab w:val="left" w:pos="-1440"/>
          <w:tab w:val="clear" w:pos="-1080"/>
          <w:tab w:val="clear" w:pos="0"/>
          <w:tab w:val="clear" w:pos="1080"/>
          <w:tab w:val="left" w:pos="2160"/>
          <w:tab w:val="left" w:pos="2880"/>
        </w:tabs>
        <w:spacing w:line="360" w:lineRule="auto"/>
      </w:pPr>
    </w:p>
    <w:p w:rsidR="00A323A1" w:rsidP="00434F3D" w14:paraId="229E8473" w14:textId="798AD550">
      <w:pPr>
        <w:tabs>
          <w:tab w:val="left" w:pos="-1440"/>
          <w:tab w:val="clear" w:pos="-1080"/>
          <w:tab w:val="clear" w:pos="0"/>
          <w:tab w:val="clear" w:pos="1080"/>
          <w:tab w:val="left" w:pos="2160"/>
          <w:tab w:val="left" w:pos="2880"/>
        </w:tabs>
        <w:spacing w:line="360" w:lineRule="auto"/>
      </w:pPr>
      <w:r w:rsidRPr="00E67EC4">
        <w:t>The r</w:t>
      </w:r>
      <w:r w:rsidRPr="00E67EC4" w:rsidR="00A31324">
        <w:t xml:space="preserve">enewal of </w:t>
      </w:r>
      <w:r w:rsidR="00301D62">
        <w:t>this clearance</w:t>
      </w:r>
      <w:r w:rsidRPr="00E67EC4" w:rsidR="00A31324">
        <w:t xml:space="preserve"> </w:t>
      </w:r>
      <w:r w:rsidRPr="00E67EC4" w:rsidR="00C11B7A">
        <w:t xml:space="preserve">will </w:t>
      </w:r>
      <w:r w:rsidRPr="00E67EC4" w:rsidR="00D814DD">
        <w:t xml:space="preserve">allow </w:t>
      </w:r>
      <w:r w:rsidRPr="00E67EC4" w:rsidR="008E5983">
        <w:t xml:space="preserve">the NPS </w:t>
      </w:r>
      <w:r w:rsidRPr="00E67EC4" w:rsidR="00D814DD">
        <w:t xml:space="preserve">to continue </w:t>
      </w:r>
      <w:r w:rsidRPr="00E67EC4" w:rsidR="00C11B7A">
        <w:t>using an efficient and systematic process to</w:t>
      </w:r>
      <w:r w:rsidRPr="00E67EC4" w:rsidR="002153A3">
        <w:t xml:space="preserve"> m</w:t>
      </w:r>
      <w:r w:rsidRPr="00E67EC4" w:rsidR="00E942F1">
        <w:t xml:space="preserve">eet the </w:t>
      </w:r>
      <w:r w:rsidRPr="00E67EC4" w:rsidR="00723915">
        <w:t xml:space="preserve">diverse </w:t>
      </w:r>
      <w:r w:rsidRPr="00E67EC4" w:rsidR="00E942F1">
        <w:t>needs of park</w:t>
      </w:r>
      <w:r w:rsidRPr="00E67EC4" w:rsidR="000F0B80">
        <w:t xml:space="preserve"> units</w:t>
      </w:r>
      <w:r w:rsidRPr="00E67EC4" w:rsidR="00E942F1">
        <w:t xml:space="preserve"> </w:t>
      </w:r>
      <w:r w:rsidRPr="00E67EC4" w:rsidR="00E474BA">
        <w:t>whose resources</w:t>
      </w:r>
      <w:r w:rsidRPr="00E67EC4" w:rsidR="00EE19B5">
        <w:t>, use, and visitation vary</w:t>
      </w:r>
      <w:r w:rsidRPr="00E67EC4" w:rsidR="00705C30">
        <w:t>.</w:t>
      </w:r>
      <w:r w:rsidR="009960A2">
        <w:t xml:space="preserve"> </w:t>
      </w:r>
      <w:r w:rsidRPr="00E67EC4" w:rsidR="00C81D8E">
        <w:t>The NPS has a 24-year history of managing th</w:t>
      </w:r>
      <w:r w:rsidRPr="00E67EC4" w:rsidR="004B376A">
        <w:t>e</w:t>
      </w:r>
      <w:r w:rsidRPr="00E67EC4" w:rsidR="00C81D8E">
        <w:t xml:space="preserve"> Programmatic Process</w:t>
      </w:r>
      <w:r w:rsidRPr="00E67EC4" w:rsidR="004B376A">
        <w:t>. The</w:t>
      </w:r>
      <w:r w:rsidRPr="00E67EC4" w:rsidR="00C81D8E">
        <w:t xml:space="preserve"> </w:t>
      </w:r>
      <w:r w:rsidRPr="00E67EC4" w:rsidR="00217881">
        <w:t xml:space="preserve">NPS </w:t>
      </w:r>
      <w:r w:rsidRPr="00E67EC4" w:rsidR="007D7C54">
        <w:t xml:space="preserve">Social Science </w:t>
      </w:r>
      <w:r w:rsidR="00723915">
        <w:t>Program</w:t>
      </w:r>
      <w:r w:rsidRPr="00E67EC4" w:rsidR="00723915">
        <w:t xml:space="preserve"> </w:t>
      </w:r>
      <w:r w:rsidRPr="00E67EC4" w:rsidR="007D7C54">
        <w:t xml:space="preserve">will continue </w:t>
      </w:r>
      <w:r w:rsidR="00301D62">
        <w:t xml:space="preserve">to </w:t>
      </w:r>
      <w:r w:rsidRPr="00E67EC4" w:rsidR="00431E6A">
        <w:t>serve as the primary point of contact</w:t>
      </w:r>
      <w:r w:rsidR="00E83CED">
        <w:t>,</w:t>
      </w:r>
      <w:r w:rsidRPr="00E67EC4" w:rsidR="00431E6A">
        <w:t xml:space="preserve"> </w:t>
      </w:r>
      <w:r w:rsidR="00723915">
        <w:t>providing</w:t>
      </w:r>
      <w:r w:rsidRPr="00E67EC4" w:rsidR="00217881">
        <w:t xml:space="preserve"> technical and </w:t>
      </w:r>
      <w:r w:rsidRPr="00E67EC4" w:rsidR="00217881">
        <w:t>administrative reviews</w:t>
      </w:r>
      <w:r w:rsidR="00301D62">
        <w:t>,</w:t>
      </w:r>
      <w:r w:rsidRPr="00E67EC4" w:rsidR="00217881">
        <w:t xml:space="preserve"> </w:t>
      </w:r>
      <w:r w:rsidR="008202A5">
        <w:t>as well as</w:t>
      </w:r>
      <w:r w:rsidRPr="00E67EC4" w:rsidR="008202A5">
        <w:t xml:space="preserve"> </w:t>
      </w:r>
      <w:r w:rsidRPr="00E67EC4" w:rsidR="007D7C54">
        <w:t>the necessary quality control</w:t>
      </w:r>
      <w:r w:rsidRPr="00E67EC4" w:rsidR="005D6331">
        <w:t xml:space="preserve"> before collection</w:t>
      </w:r>
      <w:r w:rsidRPr="00E67EC4" w:rsidR="00EA4BC1">
        <w:t>s</w:t>
      </w:r>
      <w:r w:rsidRPr="00E67EC4" w:rsidR="005D6331">
        <w:t xml:space="preserve"> </w:t>
      </w:r>
      <w:r w:rsidRPr="00E67EC4" w:rsidR="00EA4BC1">
        <w:t>are</w:t>
      </w:r>
      <w:r w:rsidRPr="00E67EC4" w:rsidR="005D6331">
        <w:t xml:space="preserve"> submitted to the Office of </w:t>
      </w:r>
      <w:r w:rsidRPr="00E67EC4" w:rsidR="005045F1">
        <w:t xml:space="preserve">Information and </w:t>
      </w:r>
      <w:r w:rsidRPr="00E67EC4" w:rsidR="005D6331">
        <w:t>Regu</w:t>
      </w:r>
      <w:r w:rsidRPr="00E67EC4" w:rsidR="005045F1">
        <w:t>l</w:t>
      </w:r>
      <w:r w:rsidRPr="00E67EC4" w:rsidR="00EA4BC1">
        <w:t>atory Affairs (OIRA)</w:t>
      </w:r>
      <w:r w:rsidRPr="00E67EC4" w:rsidR="007D7C54">
        <w:t xml:space="preserve">.  </w:t>
      </w:r>
    </w:p>
    <w:p w:rsidR="00A323A1" w:rsidRPr="00E67EC4" w:rsidP="00A23653" w14:paraId="64B5DE42" w14:textId="6B879DC4">
      <w:pPr>
        <w:widowControl/>
        <w:pBdr>
          <w:top w:val="single" w:sz="4" w:space="1" w:color="auto"/>
        </w:pBd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u w:val="single"/>
        </w:rPr>
      </w:pPr>
      <w:r w:rsidRPr="00E67EC4">
        <w:rPr>
          <w:u w:val="single"/>
        </w:rPr>
        <w:t>Legal Justificat</w:t>
      </w:r>
      <w:r w:rsidRPr="00E67EC4">
        <w:rPr>
          <w:u w:val="single"/>
        </w:rPr>
        <w:t xml:space="preserve">ion: </w:t>
      </w:r>
    </w:p>
    <w:p w:rsidR="00A323A1" w:rsidRPr="00C74F98" w:rsidP="003E7DFA" w14:paraId="4EFCBA44" w14:textId="7905DB5C">
      <w:pPr>
        <w:widowControl/>
        <w:numPr>
          <w:ilvl w:val="0"/>
          <w:numId w:val="1"/>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bCs/>
          <w:i/>
          <w:iCs/>
        </w:rPr>
      </w:pPr>
      <w:r>
        <w:rPr>
          <w:bCs/>
          <w:i/>
          <w:iCs/>
        </w:rPr>
        <w:t>54</w:t>
      </w:r>
      <w:r w:rsidRPr="00C74F98">
        <w:rPr>
          <w:bCs/>
          <w:i/>
          <w:iCs/>
        </w:rPr>
        <w:t xml:space="preserve"> U.S.C. §100701 and §100702</w:t>
      </w:r>
      <w:r>
        <w:rPr>
          <w:bCs/>
          <w:i/>
          <w:iCs/>
        </w:rPr>
        <w:t xml:space="preserve"> - </w:t>
      </w:r>
      <w:r w:rsidRPr="00C74F98">
        <w:rPr>
          <w:bCs/>
          <w:i/>
          <w:iCs/>
        </w:rPr>
        <w:t>The National Park Service Act of 1916</w:t>
      </w:r>
      <w:r w:rsidRPr="00C74F98">
        <w:rPr>
          <w:bCs/>
          <w:i/>
          <w:iCs/>
        </w:rPr>
        <w:t xml:space="preserve"> </w:t>
      </w:r>
    </w:p>
    <w:p w:rsidR="00EA3EF0" w:rsidRPr="00C74F98" w:rsidP="003E7DFA" w14:paraId="1AE5788D" w14:textId="4A6DF5F8">
      <w:pPr>
        <w:numPr>
          <w:ilvl w:val="0"/>
          <w:numId w:val="1"/>
        </w:numPr>
        <w:tabs>
          <w:tab w:val="clear" w:pos="-1080"/>
          <w:tab w:val="clear" w:pos="-720"/>
          <w:tab w:val="clear" w:pos="0"/>
          <w:tab w:val="clear" w:pos="720"/>
          <w:tab w:val="left" w:pos="81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bCs/>
          <w:i/>
          <w:iCs/>
        </w:rPr>
      </w:pPr>
      <w:r w:rsidRPr="00C74F98">
        <w:rPr>
          <w:bCs/>
          <w:i/>
          <w:iCs/>
        </w:rPr>
        <w:t xml:space="preserve">42 U.S.C. § 4332A </w:t>
      </w:r>
      <w:r>
        <w:rPr>
          <w:bCs/>
          <w:i/>
          <w:iCs/>
        </w:rPr>
        <w:t xml:space="preserve">- </w:t>
      </w:r>
      <w:r w:rsidRPr="00C74F98">
        <w:rPr>
          <w:bCs/>
          <w:i/>
          <w:iCs/>
        </w:rPr>
        <w:t xml:space="preserve">National Environmental Policy Act of as amended in 1982 </w:t>
      </w:r>
    </w:p>
    <w:p w:rsidR="005F4A3A" w:rsidRPr="00C74F98" w:rsidP="003E7DFA" w14:paraId="6C339B7F" w14:textId="79550FAD">
      <w:pPr>
        <w:widowControl/>
        <w:numPr>
          <w:ilvl w:val="0"/>
          <w:numId w:val="1"/>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bCs/>
          <w:i/>
          <w:iCs/>
        </w:rPr>
      </w:pPr>
      <w:r w:rsidRPr="00C74F98">
        <w:rPr>
          <w:bCs/>
          <w:i/>
          <w:iCs/>
        </w:rPr>
        <w:t>The NPS Management Policies</w:t>
      </w:r>
      <w:r w:rsidRPr="00C74F98" w:rsidR="0092538A">
        <w:rPr>
          <w:bCs/>
          <w:i/>
          <w:iCs/>
        </w:rPr>
        <w:t xml:space="preserve"> </w:t>
      </w:r>
      <w:r w:rsidRPr="00C74F98" w:rsidR="005315E0">
        <w:rPr>
          <w:bCs/>
          <w:i/>
          <w:iCs/>
        </w:rPr>
        <w:t>2006</w:t>
      </w:r>
      <w:r w:rsidRPr="00C74F98" w:rsidR="004776DD">
        <w:rPr>
          <w:bCs/>
          <w:i/>
          <w:iCs/>
        </w:rPr>
        <w:t xml:space="preserve"> (8.11 Social Science Studies)</w:t>
      </w:r>
    </w:p>
    <w:p w:rsidR="14A0B8C8" w:rsidRPr="00C74F98" w:rsidP="003E7DFA" w14:paraId="4611AD05" w14:textId="4867247D">
      <w:pPr>
        <w:pStyle w:val="ListParagraph"/>
        <w:numPr>
          <w:ilvl w:val="0"/>
          <w:numId w:val="4"/>
        </w:numPr>
        <w:tabs>
          <w:tab w:val="left" w:pos="360"/>
          <w:tab w:val="left" w:pos="450"/>
          <w:tab w:val="clear" w:pos="1080"/>
        </w:tabs>
        <w:spacing w:line="276" w:lineRule="auto"/>
        <w:jc w:val="both"/>
        <w:rPr>
          <w:bCs/>
          <w:i/>
          <w:iCs/>
        </w:rPr>
      </w:pPr>
      <w:r w:rsidRPr="00C74F98">
        <w:rPr>
          <w:bCs/>
          <w:i/>
          <w:iCs/>
        </w:rPr>
        <w:t>Executive Order 13</w:t>
      </w:r>
      <w:r w:rsidRPr="00C74F98" w:rsidR="397B0236">
        <w:rPr>
          <w:bCs/>
          <w:i/>
          <w:iCs/>
        </w:rPr>
        <w:t>985</w:t>
      </w:r>
      <w:r w:rsidRPr="00C74F98" w:rsidR="6BD6ECC1">
        <w:rPr>
          <w:bCs/>
          <w:i/>
          <w:iCs/>
        </w:rPr>
        <w:t xml:space="preserve"> – </w:t>
      </w:r>
      <w:r w:rsidRPr="00C74F98">
        <w:rPr>
          <w:bCs/>
          <w:i/>
          <w:iCs/>
        </w:rPr>
        <w:t>“</w:t>
      </w:r>
      <w:r w:rsidRPr="00C74F98" w:rsidR="30316D7C">
        <w:rPr>
          <w:bCs/>
          <w:i/>
          <w:iCs/>
        </w:rPr>
        <w:t>Advancing Racial Equity and Support for Underserved Communities Through the Federal Government</w:t>
      </w:r>
      <w:r w:rsidRPr="00C74F98" w:rsidR="63372284">
        <w:rPr>
          <w:bCs/>
          <w:i/>
          <w:iCs/>
        </w:rPr>
        <w:t xml:space="preserve">” </w:t>
      </w:r>
    </w:p>
    <w:p w:rsidR="6DC36034" w:rsidRPr="00C74F98" w:rsidP="003E7DFA" w14:paraId="4587915B" w14:textId="03C85866">
      <w:pPr>
        <w:pStyle w:val="ListParagraph"/>
        <w:numPr>
          <w:ilvl w:val="0"/>
          <w:numId w:val="4"/>
        </w:numPr>
        <w:tabs>
          <w:tab w:val="left" w:pos="360"/>
          <w:tab w:val="left" w:pos="450"/>
          <w:tab w:val="clear" w:pos="1080"/>
        </w:tabs>
        <w:spacing w:line="276" w:lineRule="auto"/>
        <w:jc w:val="both"/>
        <w:rPr>
          <w:bCs/>
          <w:i/>
          <w:iCs/>
        </w:rPr>
      </w:pPr>
      <w:r w:rsidRPr="00C74F98">
        <w:rPr>
          <w:bCs/>
          <w:i/>
          <w:iCs/>
        </w:rPr>
        <w:t>Executive Order 14008</w:t>
      </w:r>
      <w:r w:rsidRPr="00C74F98" w:rsidR="02C2355E">
        <w:rPr>
          <w:bCs/>
          <w:i/>
          <w:iCs/>
        </w:rPr>
        <w:t xml:space="preserve"> – </w:t>
      </w:r>
      <w:r w:rsidRPr="00C74F98">
        <w:rPr>
          <w:bCs/>
          <w:i/>
          <w:iCs/>
        </w:rPr>
        <w:t xml:space="preserve">“Tackling the </w:t>
      </w:r>
      <w:r w:rsidRPr="00C74F98" w:rsidR="7AE99617">
        <w:rPr>
          <w:bCs/>
          <w:i/>
          <w:iCs/>
        </w:rPr>
        <w:t>Climate Crisis at Home and Abroad”</w:t>
      </w:r>
      <w:r w:rsidRPr="00C74F98" w:rsidR="4467795F">
        <w:rPr>
          <w:bCs/>
          <w:i/>
          <w:iCs/>
        </w:rPr>
        <w:t>.</w:t>
      </w:r>
    </w:p>
    <w:p w:rsidR="00A323A1" w:rsidRPr="00E67EC4" w:rsidP="00D85EF1" w14:paraId="59F96492" w14:textId="77777777"/>
    <w:p w:rsidR="00ED269F" w:rsidRPr="00E67EC4" w:rsidP="00AE14AE" w14:paraId="660BC65A" w14:textId="02AA4C97">
      <w:pPr>
        <w:tabs>
          <w:tab w:val="clear" w:pos="0"/>
          <w:tab w:val="left" w:pos="360"/>
        </w:tabs>
        <w:rPr>
          <w:b/>
        </w:rPr>
      </w:pPr>
      <w:r w:rsidRPr="00E67EC4">
        <w:rPr>
          <w:b/>
        </w:rPr>
        <w:t>2.</w:t>
      </w:r>
      <w:r w:rsidRPr="00E67EC4">
        <w:rPr>
          <w:b/>
        </w:rPr>
        <w:tab/>
      </w:r>
      <w:r w:rsidRPr="002A4842" w:rsidR="00536446">
        <w:rPr>
          <w:b/>
        </w:rPr>
        <w:t>Indicate how, by whom, and for what purpose the information is to be used.</w:t>
      </w:r>
      <w:r w:rsidRPr="00E67EC4" w:rsidR="00536446">
        <w:rPr>
          <w:b/>
        </w:rPr>
        <w:t xml:space="preserve">  Except for a new collection, indicate the actual use the age</w:t>
      </w:r>
      <w:r w:rsidRPr="00E67EC4" w:rsidR="00EB22C6">
        <w:rPr>
          <w:b/>
        </w:rPr>
        <w:t xml:space="preserve">ncy has made of the information </w:t>
      </w:r>
      <w:r w:rsidRPr="00E67EC4" w:rsidR="00536446">
        <w:rPr>
          <w:b/>
        </w:rPr>
        <w:t>received from the current collection.  Be specific.  If this collection is a form or a questionnaire, every question needs to be justified</w:t>
      </w:r>
      <w:r w:rsidRPr="00E67EC4">
        <w:rPr>
          <w:b/>
        </w:rPr>
        <w:t>.</w:t>
      </w:r>
    </w:p>
    <w:p w:rsidR="00FA2C37" w:rsidRPr="00E67EC4" w:rsidP="00AE14AE" w14:paraId="2D450DCF" w14:textId="77777777">
      <w:pPr>
        <w:tabs>
          <w:tab w:val="clear" w:pos="0"/>
          <w:tab w:val="left" w:pos="360"/>
        </w:tabs>
        <w:rPr>
          <w:b/>
        </w:rPr>
      </w:pPr>
    </w:p>
    <w:p w:rsidR="005716B0" w:rsidP="0043023E" w14:paraId="7FBC77C1" w14:textId="3A5BDF08">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E67EC4">
        <w:t xml:space="preserve">Information </w:t>
      </w:r>
      <w:r w:rsidRPr="00E67EC4" w:rsidR="00650E25">
        <w:t xml:space="preserve">collected under this </w:t>
      </w:r>
      <w:r w:rsidR="00632348">
        <w:t>clearance</w:t>
      </w:r>
      <w:r w:rsidRPr="00E67EC4" w:rsidR="00650E25">
        <w:t xml:space="preserve"> </w:t>
      </w:r>
      <w:r w:rsidR="00383521">
        <w:t>is</w:t>
      </w:r>
      <w:r w:rsidRPr="00E67EC4" w:rsidR="00383521">
        <w:t xml:space="preserve"> </w:t>
      </w:r>
      <w:r w:rsidRPr="00E67EC4" w:rsidR="00CB6DDD">
        <w:t xml:space="preserve">used </w:t>
      </w:r>
      <w:r w:rsidR="00126A68">
        <w:t>system-wide</w:t>
      </w:r>
      <w:r w:rsidRPr="00E67EC4" w:rsidR="00126A68">
        <w:t xml:space="preserve"> </w:t>
      </w:r>
      <w:r w:rsidRPr="00E67EC4" w:rsidR="00CB6DDD">
        <w:t xml:space="preserve">by </w:t>
      </w:r>
      <w:r w:rsidR="006B5454">
        <w:t xml:space="preserve">park </w:t>
      </w:r>
      <w:r w:rsidR="000C5AB1">
        <w:t>managers</w:t>
      </w:r>
      <w:r w:rsidR="006B5454">
        <w:t xml:space="preserve"> and program</w:t>
      </w:r>
      <w:r w:rsidR="000C5AB1">
        <w:t xml:space="preserve"> staff </w:t>
      </w:r>
      <w:r w:rsidRPr="00E67EC4" w:rsidR="00650E25">
        <w:t xml:space="preserve">to </w:t>
      </w:r>
      <w:r w:rsidRPr="00E67EC4" w:rsidR="009A7151">
        <w:t xml:space="preserve">make </w:t>
      </w:r>
      <w:r w:rsidR="00924383">
        <w:t>time-sensitive d</w:t>
      </w:r>
      <w:r w:rsidRPr="00E67EC4" w:rsidR="009A7151">
        <w:t xml:space="preserve">ecisions </w:t>
      </w:r>
      <w:r w:rsidRPr="00E67EC4" w:rsidR="007B3F2E">
        <w:t>about</w:t>
      </w:r>
      <w:r w:rsidRPr="00E67EC4" w:rsidR="009A7151">
        <w:t xml:space="preserve"> all aspects of visitor and no</w:t>
      </w:r>
      <w:r w:rsidRPr="00E67EC4" w:rsidR="00BE1D96">
        <w:t>n-visitor</w:t>
      </w:r>
      <w:r w:rsidR="009C7694">
        <w:t xml:space="preserve"> </w:t>
      </w:r>
      <w:r w:rsidR="00095713">
        <w:t xml:space="preserve">use, </w:t>
      </w:r>
      <w:r w:rsidR="009C7694">
        <w:t>behaviors,</w:t>
      </w:r>
      <w:r w:rsidR="00EE34DC">
        <w:t xml:space="preserve"> </w:t>
      </w:r>
      <w:r w:rsidR="00095713">
        <w:t>expectations, perceptions</w:t>
      </w:r>
      <w:r w:rsidR="00D4098E">
        <w:t>,</w:t>
      </w:r>
      <w:r w:rsidR="00095713">
        <w:t xml:space="preserve"> and </w:t>
      </w:r>
      <w:r w:rsidR="00EE34DC">
        <w:t>preferences</w:t>
      </w:r>
      <w:r w:rsidR="00095713">
        <w:t>.</w:t>
      </w:r>
      <w:r w:rsidR="00EE34DC">
        <w:t xml:space="preserve"> </w:t>
      </w:r>
      <w:r w:rsidR="00F57240">
        <w:t xml:space="preserve"> </w:t>
      </w:r>
      <w:r w:rsidR="002278D0">
        <w:t xml:space="preserve">The </w:t>
      </w:r>
      <w:r w:rsidRPr="0043023E" w:rsidR="0043023E">
        <w:t>NPS</w:t>
      </w:r>
      <w:r w:rsidR="002278D0">
        <w:t>,</w:t>
      </w:r>
      <w:r w:rsidRPr="0043023E" w:rsidR="0043023E">
        <w:t xml:space="preserve"> </w:t>
      </w:r>
      <w:r w:rsidR="00FA1ABE">
        <w:t>s</w:t>
      </w:r>
      <w:r w:rsidRPr="0043023E" w:rsidR="002278D0">
        <w:t>cientific communities</w:t>
      </w:r>
      <w:r w:rsidR="002278D0">
        <w:t xml:space="preserve">, </w:t>
      </w:r>
      <w:r w:rsidR="00FA1ABE">
        <w:t>p</w:t>
      </w:r>
      <w:r w:rsidR="002278D0">
        <w:t xml:space="preserve">ark </w:t>
      </w:r>
      <w:r w:rsidR="00FA1ABE">
        <w:t>u</w:t>
      </w:r>
      <w:r w:rsidR="002278D0">
        <w:t xml:space="preserve">nits, </w:t>
      </w:r>
      <w:r w:rsidR="00FA1ABE">
        <w:rPr>
          <w:iCs/>
        </w:rPr>
        <w:t>m</w:t>
      </w:r>
      <w:r w:rsidRPr="0043023E" w:rsidR="002278D0">
        <w:rPr>
          <w:iCs/>
        </w:rPr>
        <w:t xml:space="preserve">anagers and program specialists </w:t>
      </w:r>
      <w:r>
        <w:rPr>
          <w:iCs/>
        </w:rPr>
        <w:t>use this collection to:</w:t>
      </w:r>
    </w:p>
    <w:p w:rsidR="0043023E" w:rsidRPr="0043023E" w:rsidP="0043023E" w14:paraId="121E2533" w14:textId="4F039EC6">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211FAC">
        <w:rPr>
          <w:b/>
          <w:bCs/>
          <w:iCs/>
        </w:rPr>
        <w:t>Understand</w:t>
      </w:r>
      <w:r>
        <w:t>:</w:t>
      </w:r>
    </w:p>
    <w:p w:rsidR="0043023E" w:rsidRPr="0043023E" w:rsidP="003E7DFA" w14:paraId="2985C2A3" w14:textId="4769654F">
      <w:pPr>
        <w:widowControl/>
        <w:numPr>
          <w:ilvl w:val="0"/>
          <w:numId w:val="7"/>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t>v</w:t>
      </w:r>
      <w:r w:rsidR="00E24719">
        <w:t xml:space="preserve">isitor </w:t>
      </w:r>
      <w:r w:rsidRPr="0043023E">
        <w:t>needs</w:t>
      </w:r>
      <w:r w:rsidR="00E40677">
        <w:t xml:space="preserve">, </w:t>
      </w:r>
      <w:r w:rsidR="00A36417">
        <w:t>experiences</w:t>
      </w:r>
      <w:r w:rsidR="00FA1ABE">
        <w:t>,</w:t>
      </w:r>
      <w:r w:rsidR="00A36417">
        <w:t xml:space="preserve"> and use</w:t>
      </w:r>
      <w:r w:rsidR="00E40677">
        <w:t>s</w:t>
      </w:r>
    </w:p>
    <w:p w:rsidR="0043023E" w:rsidRPr="0043023E" w:rsidP="003E7DFA" w14:paraId="14A2F2F5" w14:textId="65EA07F0">
      <w:pPr>
        <w:widowControl/>
        <w:numPr>
          <w:ilvl w:val="0"/>
          <w:numId w:val="7"/>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t>b</w:t>
      </w:r>
      <w:r w:rsidRPr="0043023E">
        <w:t xml:space="preserve">arriers and constraints </w:t>
      </w:r>
      <w:r w:rsidR="002F5487">
        <w:t xml:space="preserve">of </w:t>
      </w:r>
      <w:r w:rsidR="00A36417">
        <w:t>visit</w:t>
      </w:r>
      <w:r w:rsidR="002F5487">
        <w:t>ation to National Parks</w:t>
      </w:r>
    </w:p>
    <w:p w:rsidR="00E24719" w:rsidP="003E7DFA" w14:paraId="3EDC4408" w14:textId="43D93AC1">
      <w:pPr>
        <w:widowControl/>
        <w:numPr>
          <w:ilvl w:val="0"/>
          <w:numId w:val="7"/>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t>v</w:t>
      </w:r>
      <w:r w:rsidRPr="00E24719">
        <w:t xml:space="preserve">isitor </w:t>
      </w:r>
      <w:r w:rsidR="0018700F">
        <w:t xml:space="preserve">attitudes and </w:t>
      </w:r>
      <w:r w:rsidRPr="00E24719">
        <w:t>behaviors related to recreation</w:t>
      </w:r>
      <w:r w:rsidRPr="00E24719" w:rsidR="0018700F">
        <w:t xml:space="preserve"> use</w:t>
      </w:r>
      <w:r w:rsidRPr="00E24719">
        <w:t xml:space="preserve"> and resour</w:t>
      </w:r>
      <w:r w:rsidRPr="00E24719">
        <w:t>ce</w:t>
      </w:r>
      <w:r w:rsidR="0018700F">
        <w:t xml:space="preserve"> management</w:t>
      </w:r>
    </w:p>
    <w:p w:rsidR="00F771DA" w:rsidP="003E7DFA" w14:paraId="31C5C2A1" w14:textId="251108ED">
      <w:pPr>
        <w:widowControl/>
        <w:numPr>
          <w:ilvl w:val="0"/>
          <w:numId w:val="7"/>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t>t</w:t>
      </w:r>
      <w:r w:rsidRPr="00F771DA">
        <w:t>ransportation and crowding</w:t>
      </w:r>
    </w:p>
    <w:p w:rsidR="0043023E" w:rsidRPr="00211FAC" w:rsidP="0043023E" w14:paraId="483C8F06" w14:textId="78ABE202">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r w:rsidRPr="00211FAC">
        <w:rPr>
          <w:b/>
          <w:bCs/>
        </w:rPr>
        <w:t>Have:</w:t>
      </w:r>
    </w:p>
    <w:p w:rsidR="0043023E" w:rsidRPr="0043023E" w:rsidP="003E7DFA" w14:paraId="5647B93D" w14:textId="750A644E">
      <w:pPr>
        <w:pStyle w:val="ListParagraph"/>
        <w:widowControl/>
        <w:numPr>
          <w:ilvl w:val="0"/>
          <w:numId w:val="6"/>
        </w:numPr>
        <w:tabs>
          <w:tab w:val="clear" w:pos="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t xml:space="preserve">an </w:t>
      </w:r>
      <w:r w:rsidRPr="0043023E">
        <w:t>efficient, effective, and timely review process</w:t>
      </w:r>
    </w:p>
    <w:p w:rsidR="0043023E" w:rsidRPr="0043023E" w:rsidP="003E7DFA" w14:paraId="189A2DC2" w14:textId="2AB6FC73">
      <w:pPr>
        <w:pStyle w:val="ListParagraph"/>
        <w:widowControl/>
        <w:numPr>
          <w:ilvl w:val="0"/>
          <w:numId w:val="6"/>
        </w:numPr>
        <w:tabs>
          <w:tab w:val="clear" w:pos="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rsidRPr="0043023E">
        <w:t>peer review</w:t>
      </w:r>
      <w:r w:rsidR="009B589C">
        <w:t>s</w:t>
      </w:r>
      <w:r w:rsidRPr="0043023E">
        <w:t xml:space="preserve"> that </w:t>
      </w:r>
      <w:r w:rsidR="00805E74">
        <w:t>improve</w:t>
      </w:r>
      <w:r w:rsidRPr="0043023E">
        <w:t xml:space="preserve"> the quality of information collections</w:t>
      </w:r>
    </w:p>
    <w:p w:rsidR="0043023E" w:rsidRPr="0043023E" w:rsidP="003E7DFA" w14:paraId="6DDA21B9" w14:textId="48FF81D9">
      <w:pPr>
        <w:pStyle w:val="ListParagraph"/>
        <w:widowControl/>
        <w:numPr>
          <w:ilvl w:val="0"/>
          <w:numId w:val="6"/>
        </w:numPr>
        <w:tabs>
          <w:tab w:val="clear" w:pos="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rsidRPr="0043023E">
        <w:t>increased attention to methodological improvements and use of best practices</w:t>
      </w:r>
    </w:p>
    <w:p w:rsidR="0043023E" w:rsidRPr="0043023E" w:rsidP="003E7DFA" w14:paraId="644CA387" w14:textId="0D2532E8">
      <w:pPr>
        <w:pStyle w:val="ListParagraph"/>
        <w:widowControl/>
        <w:numPr>
          <w:ilvl w:val="0"/>
          <w:numId w:val="6"/>
        </w:numPr>
        <w:tabs>
          <w:tab w:val="clear" w:pos="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rsidRPr="0043023E">
        <w:t xml:space="preserve">better </w:t>
      </w:r>
      <w:r w:rsidRPr="0043023E">
        <w:t>administration of information obtained from surveys of the public</w:t>
      </w:r>
    </w:p>
    <w:p w:rsidR="0043023E" w:rsidRPr="0043023E" w:rsidP="003E7DFA" w14:paraId="6B2A4C7B" w14:textId="671EB649">
      <w:pPr>
        <w:pStyle w:val="ListParagraph"/>
        <w:widowControl/>
        <w:numPr>
          <w:ilvl w:val="0"/>
          <w:numId w:val="6"/>
        </w:numPr>
        <w:tabs>
          <w:tab w:val="clear" w:pos="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810"/>
      </w:pPr>
      <w:r w:rsidRPr="0043023E">
        <w:t>a renewed confidence and willingness to complete the review process</w:t>
      </w:r>
      <w:r w:rsidR="00C47781">
        <w:t>.</w:t>
      </w:r>
    </w:p>
    <w:p w:rsidR="0043023E" w:rsidRPr="00211FAC" w:rsidP="0043023E" w14:paraId="2DE14A99" w14:textId="13BE05A9">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iCs/>
        </w:rPr>
      </w:pPr>
      <w:r w:rsidRPr="005716B0">
        <w:rPr>
          <w:b/>
          <w:bCs/>
          <w:iCs/>
        </w:rPr>
        <w:t>I</w:t>
      </w:r>
      <w:r>
        <w:rPr>
          <w:b/>
          <w:bCs/>
          <w:iCs/>
        </w:rPr>
        <w:t>dentify</w:t>
      </w:r>
      <w:r w:rsidRPr="00211FAC">
        <w:rPr>
          <w:b/>
          <w:bCs/>
          <w:iCs/>
        </w:rPr>
        <w:t>:</w:t>
      </w:r>
    </w:p>
    <w:p w:rsidR="0043023E" w:rsidRPr="0043023E" w:rsidP="003E7DFA" w14:paraId="36F78861" w14:textId="57255318">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t xml:space="preserve">NPS park/program </w:t>
      </w:r>
      <w:r w:rsidR="00C47781">
        <w:t>n</w:t>
      </w:r>
      <w:r>
        <w:t>eeds</w:t>
      </w:r>
      <w:r w:rsidRPr="0043023E">
        <w:rPr>
          <w:iCs/>
        </w:rPr>
        <w:t xml:space="preserve"> </w:t>
      </w:r>
    </w:p>
    <w:p w:rsidR="0043023E" w:rsidRPr="0043023E" w:rsidP="003E7DFA" w14:paraId="5137BEF0" w14:textId="77777777">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43023E">
        <w:rPr>
          <w:iCs/>
        </w:rPr>
        <w:t>levels of understanding and knowledge</w:t>
      </w:r>
    </w:p>
    <w:p w:rsidR="0043023E" w:rsidRPr="0043023E" w:rsidP="003E7DFA" w14:paraId="62A4E4E3" w14:textId="77777777">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43023E">
        <w:rPr>
          <w:iCs/>
        </w:rPr>
        <w:t xml:space="preserve">ideas or suggestions for improvement </w:t>
      </w:r>
    </w:p>
    <w:p w:rsidR="0043023E" w:rsidRPr="0043023E" w:rsidP="003E7DFA" w14:paraId="6AEDC14A" w14:textId="04D1A485">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43023E">
        <w:rPr>
          <w:iCs/>
        </w:rPr>
        <w:t>barriers an</w:t>
      </w:r>
      <w:r w:rsidRPr="0043023E">
        <w:rPr>
          <w:iCs/>
        </w:rPr>
        <w:t xml:space="preserve">d constraints to achieving </w:t>
      </w:r>
      <w:r w:rsidR="00805E74">
        <w:rPr>
          <w:iCs/>
        </w:rPr>
        <w:t>management</w:t>
      </w:r>
      <w:r w:rsidRPr="0043023E">
        <w:rPr>
          <w:iCs/>
        </w:rPr>
        <w:t xml:space="preserve"> standards</w:t>
      </w:r>
    </w:p>
    <w:p w:rsidR="0043023E" w:rsidRPr="0043023E" w:rsidP="003E7DFA" w14:paraId="3E1D1225" w14:textId="1E7F4FFD">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43023E">
        <w:rPr>
          <w:iCs/>
        </w:rPr>
        <w:t>perceptions and values</w:t>
      </w:r>
      <w:r w:rsidR="00383521">
        <w:rPr>
          <w:iCs/>
        </w:rPr>
        <w:t xml:space="preserve"> of natural resources</w:t>
      </w:r>
    </w:p>
    <w:p w:rsidR="0043023E" w:rsidRPr="0043023E" w:rsidP="003E7DFA" w14:paraId="7C4DDC65" w14:textId="74C6D3FF">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Cs/>
        </w:rPr>
      </w:pPr>
      <w:r w:rsidRPr="0043023E">
        <w:rPr>
          <w:iCs/>
        </w:rPr>
        <w:t>baselines measurements to observe changes over time</w:t>
      </w:r>
    </w:p>
    <w:p w:rsidR="0043023E" w:rsidRPr="0043023E" w:rsidP="5A498324" w14:paraId="520D0F6B" w14:textId="77777777">
      <w:pPr>
        <w:widowControl/>
        <w:numPr>
          <w:ilvl w:val="0"/>
          <w:numId w:val="3"/>
        </w:numPr>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i/>
          <w:iCs/>
        </w:rPr>
      </w:pPr>
      <w:r>
        <w:t>spending behaviors</w:t>
      </w:r>
    </w:p>
    <w:p w:rsidR="00971DE1" w:rsidRPr="00E67EC4" w:rsidP="009272A3" w14:paraId="4539886E" w14:textId="617BB72F">
      <w:pPr>
        <w:tabs>
          <w:tab w:val="left" w:pos="360"/>
        </w:tabs>
        <w:spacing w:line="360" w:lineRule="auto"/>
      </w:pPr>
      <w:r>
        <w:t xml:space="preserve">This </w:t>
      </w:r>
      <w:r w:rsidR="4BDE9D1F">
        <w:t xml:space="preserve">generic </w:t>
      </w:r>
      <w:r>
        <w:t>clearance</w:t>
      </w:r>
      <w:r w:rsidR="53B61DE8">
        <w:t xml:space="preserve"> </w:t>
      </w:r>
      <w:r w:rsidR="6EC3D194">
        <w:t xml:space="preserve">continues to </w:t>
      </w:r>
      <w:r w:rsidR="4BDE9D1F">
        <w:t xml:space="preserve">provide </w:t>
      </w:r>
      <w:r w:rsidR="53B61DE8">
        <w:t xml:space="preserve">a process </w:t>
      </w:r>
      <w:r w:rsidR="4BDE9D1F">
        <w:t>for</w:t>
      </w:r>
      <w:r w:rsidR="68A45529">
        <w:t xml:space="preserve"> </w:t>
      </w:r>
      <w:r w:rsidR="6EDCC3DB">
        <w:t xml:space="preserve">unique site/subject-specific information collections </w:t>
      </w:r>
      <w:r w:rsidR="07A79D1B">
        <w:t xml:space="preserve">that are </w:t>
      </w:r>
      <w:r w:rsidR="212A3936">
        <w:t>not available from any other source</w:t>
      </w:r>
      <w:r w:rsidR="05245D04">
        <w:t>s</w:t>
      </w:r>
      <w:r w:rsidR="212A3936">
        <w:t xml:space="preserve">. </w:t>
      </w:r>
      <w:r w:rsidR="00C84A46">
        <w:t>T</w:t>
      </w:r>
      <w:r w:rsidR="00522975">
        <w:t>his</w:t>
      </w:r>
      <w:r w:rsidR="75CD3E9C">
        <w:t xml:space="preserve"> </w:t>
      </w:r>
      <w:r w:rsidR="509AF8BD">
        <w:t>clearance</w:t>
      </w:r>
      <w:r w:rsidR="75CD3E9C">
        <w:t xml:space="preserve"> includes </w:t>
      </w:r>
      <w:r w:rsidR="00775999">
        <w:t>quantitative</w:t>
      </w:r>
      <w:r w:rsidR="00522975">
        <w:t xml:space="preserve"> </w:t>
      </w:r>
      <w:r w:rsidR="1AF4392C">
        <w:t>information collections</w:t>
      </w:r>
      <w:r w:rsidR="003D4FF4">
        <w:t xml:space="preserve"> that use </w:t>
      </w:r>
      <w:r w:rsidRPr="00120E16" w:rsidR="1EFE4536">
        <w:t>systematic</w:t>
      </w:r>
      <w:r w:rsidR="003D4FF4">
        <w:t xml:space="preserve">, </w:t>
      </w:r>
      <w:r w:rsidRPr="00120E16" w:rsidR="1EFE4536">
        <w:t>random sampling methods to obtain</w:t>
      </w:r>
      <w:r w:rsidRPr="00C12698" w:rsidR="1EFE4536">
        <w:t xml:space="preserve"> data that is generalizable to the study popul</w:t>
      </w:r>
      <w:r w:rsidR="1EFE4536">
        <w:t xml:space="preserve">ation. Having data that is representative of the population </w:t>
      </w:r>
      <w:r w:rsidR="00133032">
        <w:t xml:space="preserve">and areas of interest specific to the needs of the NPS </w:t>
      </w:r>
      <w:r w:rsidR="1EFE4536">
        <w:t>(e.g., climbers at Yosemite, campers at Yellowstone, or visitors to Glacier) provid</w:t>
      </w:r>
      <w:r w:rsidR="004B2238">
        <w:t>es</w:t>
      </w:r>
      <w:r w:rsidR="1EFE4536">
        <w:t xml:space="preserve"> park and program managers with the reliable data need</w:t>
      </w:r>
      <w:r w:rsidR="3DF6E6D0">
        <w:t>ed</w:t>
      </w:r>
      <w:r w:rsidR="1EFE4536">
        <w:t xml:space="preserve"> </w:t>
      </w:r>
      <w:r w:rsidR="00FB2A96">
        <w:t>for</w:t>
      </w:r>
      <w:r w:rsidR="1EFE4536">
        <w:t xml:space="preserve"> specific planning and management challenges.  </w:t>
      </w:r>
      <w:r w:rsidR="7623C91C">
        <w:t xml:space="preserve">Going further, </w:t>
      </w:r>
      <w:r w:rsidR="1EFE4536">
        <w:t>th</w:t>
      </w:r>
      <w:r w:rsidR="7623C91C">
        <w:t>e</w:t>
      </w:r>
      <w:r w:rsidR="1EFE4536">
        <w:t xml:space="preserve"> NPS </w:t>
      </w:r>
      <w:r w:rsidR="7623C91C">
        <w:t xml:space="preserve">Programmatic </w:t>
      </w:r>
      <w:r w:rsidR="003D4FF4">
        <w:t>C</w:t>
      </w:r>
      <w:r w:rsidR="1EFE4536">
        <w:t xml:space="preserve">learance is </w:t>
      </w:r>
      <w:r w:rsidR="11F7E613">
        <w:t xml:space="preserve">also </w:t>
      </w:r>
      <w:r w:rsidR="661718C0">
        <w:t>designated</w:t>
      </w:r>
      <w:r w:rsidR="7623C91C">
        <w:t xml:space="preserve"> for </w:t>
      </w:r>
      <w:r w:rsidR="1EFE4536">
        <w:t xml:space="preserve">studies </w:t>
      </w:r>
      <w:r w:rsidR="7623C91C">
        <w:t>that</w:t>
      </w:r>
      <w:r w:rsidR="20024C24">
        <w:t xml:space="preserve"> </w:t>
      </w:r>
      <w:r w:rsidR="1EFE4536">
        <w:t>provid</w:t>
      </w:r>
      <w:r w:rsidR="7623C91C">
        <w:t>e</w:t>
      </w:r>
      <w:r w:rsidR="1EFE4536">
        <w:t xml:space="preserve"> descriptive</w:t>
      </w:r>
      <w:r w:rsidR="11F7E613">
        <w:t>,</w:t>
      </w:r>
      <w:r w:rsidR="1EFE4536">
        <w:t xml:space="preserve"> </w:t>
      </w:r>
      <w:r w:rsidR="4321E391">
        <w:t xml:space="preserve">qualitative social science </w:t>
      </w:r>
      <w:r w:rsidR="1EFE4536">
        <w:t>data</w:t>
      </w:r>
      <w:r w:rsidR="23C5CC25">
        <w:t xml:space="preserve">. Information collection </w:t>
      </w:r>
      <w:r w:rsidR="25A8C107">
        <w:t xml:space="preserve">requests </w:t>
      </w:r>
      <w:r w:rsidR="23C5CC25">
        <w:t xml:space="preserve">leveraging this clearance are </w:t>
      </w:r>
      <w:r w:rsidR="0599E630">
        <w:t xml:space="preserve">unique </w:t>
      </w:r>
      <w:r w:rsidR="6301CF32">
        <w:t>to the NPS</w:t>
      </w:r>
      <w:r w:rsidR="00D74464">
        <w:t>,</w:t>
      </w:r>
      <w:r w:rsidR="6301CF32">
        <w:t xml:space="preserve"> providing</w:t>
      </w:r>
      <w:r w:rsidR="0599E630">
        <w:t xml:space="preserve"> </w:t>
      </w:r>
      <w:r w:rsidR="2C57A3D6">
        <w:t xml:space="preserve">required </w:t>
      </w:r>
      <w:r w:rsidR="00CF6582">
        <w:t>social</w:t>
      </w:r>
      <w:r w:rsidR="0599E630">
        <w:t xml:space="preserve"> science data </w:t>
      </w:r>
      <w:r w:rsidR="6714C992">
        <w:t xml:space="preserve">that is </w:t>
      </w:r>
      <w:r w:rsidR="44EAA170">
        <w:t xml:space="preserve">not </w:t>
      </w:r>
      <w:r w:rsidR="000D2548">
        <w:t xml:space="preserve">obtainable through the </w:t>
      </w:r>
      <w:r w:rsidR="26D83EAE">
        <w:t>currently approved DOI generic clearances.</w:t>
      </w:r>
      <w:r w:rsidR="1EFE4536">
        <w:t xml:space="preserve"> </w:t>
      </w:r>
    </w:p>
    <w:p w:rsidR="00E60E0F" w:rsidRPr="00E67EC4" w:rsidP="00E60E0F" w14:paraId="764C30D6" w14:textId="77777777">
      <w:pPr>
        <w:widowControl/>
        <w:tabs>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E60E0F" w:rsidRPr="00C116F7" w:rsidP="5A498324" w14:paraId="63FA6818" w14:textId="37EA34B3">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t>This clearance is limited to applied research</w:t>
      </w:r>
      <w:r w:rsidR="4BDD01C5">
        <w:t>.</w:t>
      </w:r>
      <w:r>
        <w:t xml:space="preserve"> </w:t>
      </w:r>
      <w:r w:rsidR="4D6907DF">
        <w:t xml:space="preserve"> </w:t>
      </w:r>
      <w:r w:rsidR="4C5ABA69">
        <w:t xml:space="preserve">Longstanding and traditional </w:t>
      </w:r>
      <w:r>
        <w:t xml:space="preserve">social science methodologies </w:t>
      </w:r>
      <w:r w:rsidR="0DFDFF92">
        <w:t xml:space="preserve">are used </w:t>
      </w:r>
      <w:r>
        <w:t>to understand visitor and non-visitor use, attitudes, behavior, experience, expectations, and knowledge related to natural resource and recreation use management. The focus is on noncontrov</w:t>
      </w:r>
      <w:r>
        <w:t xml:space="preserve">ersial information collections that do not attract attention to significant, sensitive, or political issues.  All information collection instruments </w:t>
      </w:r>
      <w:r w:rsidR="6F779E8D">
        <w:t>will be</w:t>
      </w:r>
      <w:r>
        <w:t xml:space="preserve"> designed and deployed according to the most recent OMB guidance on “Agency Survey and Statistical I</w:t>
      </w:r>
      <w:r>
        <w:t xml:space="preserve">nformation Collections.” </w:t>
      </w:r>
    </w:p>
    <w:p w:rsidR="006841B3" w:rsidP="00024C60" w14:paraId="5C68DD1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iCs/>
          <w:u w:val="single"/>
        </w:rPr>
      </w:pPr>
    </w:p>
    <w:p w:rsidR="00085ACE" w:rsidRPr="00120E16" w:rsidP="00024C60" w14:paraId="11012E51" w14:textId="6C3B9FD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iCs/>
          <w:u w:val="single"/>
        </w:rPr>
      </w:pPr>
      <w:r>
        <w:rPr>
          <w:b/>
          <w:iCs/>
          <w:u w:val="single"/>
        </w:rPr>
        <w:t>Operational Guidelines</w:t>
      </w:r>
    </w:p>
    <w:p w:rsidR="006D26A7" w:rsidP="00024C60" w14:paraId="4922DBD5" w14:textId="28D4AC9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E67EC4">
        <w:rPr>
          <w:bCs/>
          <w:iCs/>
        </w:rPr>
        <w:t xml:space="preserve">Individual </w:t>
      </w:r>
      <w:r>
        <w:rPr>
          <w:bCs/>
          <w:iCs/>
        </w:rPr>
        <w:t xml:space="preserve">information collection requests submitted under this clearance will </w:t>
      </w:r>
      <w:r w:rsidR="00E6212B">
        <w:rPr>
          <w:bCs/>
          <w:iCs/>
        </w:rPr>
        <w:t>use</w:t>
      </w:r>
      <w:r w:rsidRPr="00E67EC4">
        <w:rPr>
          <w:bCs/>
          <w:iCs/>
        </w:rPr>
        <w:t xml:space="preserve"> NPS Form 10-201, </w:t>
      </w:r>
      <w:r w:rsidRPr="00E67EC4">
        <w:rPr>
          <w:bCs/>
          <w:i/>
        </w:rPr>
        <w:t>Programmatic Review and Clearance Process for NPS-Sponsored Public Surveys</w:t>
      </w:r>
      <w:r w:rsidRPr="00E67EC4">
        <w:rPr>
          <w:bCs/>
          <w:iCs/>
        </w:rPr>
        <w:t xml:space="preserve"> </w:t>
      </w:r>
      <w:r w:rsidR="00772F06">
        <w:rPr>
          <w:bCs/>
          <w:iCs/>
        </w:rPr>
        <w:t xml:space="preserve">to </w:t>
      </w:r>
      <w:r w:rsidR="001175BF">
        <w:rPr>
          <w:bCs/>
          <w:iCs/>
        </w:rPr>
        <w:t xml:space="preserve">justify and describe </w:t>
      </w:r>
      <w:r w:rsidR="002A4F8E">
        <w:rPr>
          <w:bCs/>
          <w:iCs/>
        </w:rPr>
        <w:t xml:space="preserve">the </w:t>
      </w:r>
      <w:r w:rsidR="001175BF">
        <w:rPr>
          <w:bCs/>
          <w:iCs/>
        </w:rPr>
        <w:t xml:space="preserve">specific aspects </w:t>
      </w:r>
      <w:r w:rsidR="002A4F8E">
        <w:rPr>
          <w:bCs/>
          <w:iCs/>
        </w:rPr>
        <w:t xml:space="preserve">of </w:t>
      </w:r>
      <w:r w:rsidR="00774F1C">
        <w:rPr>
          <w:bCs/>
          <w:iCs/>
        </w:rPr>
        <w:t>individual studies proposed under this clearance</w:t>
      </w:r>
      <w:r w:rsidRPr="00E67EC4" w:rsidR="00024C60">
        <w:rPr>
          <w:bCs/>
          <w:iCs/>
        </w:rPr>
        <w:t xml:space="preserve">. The </w:t>
      </w:r>
      <w:r w:rsidRPr="00E67EC4" w:rsidR="00F237D4">
        <w:rPr>
          <w:bCs/>
          <w:iCs/>
        </w:rPr>
        <w:t>information in the form is a requirement of the review process</w:t>
      </w:r>
      <w:r w:rsidR="00D8606C">
        <w:rPr>
          <w:bCs/>
          <w:iCs/>
        </w:rPr>
        <w:t>.</w:t>
      </w:r>
      <w:r w:rsidRPr="00E67EC4" w:rsidR="00F237D4">
        <w:rPr>
          <w:bCs/>
          <w:iCs/>
        </w:rPr>
        <w:t xml:space="preserve"> </w:t>
      </w:r>
      <w:r w:rsidR="006F350A">
        <w:rPr>
          <w:bCs/>
          <w:iCs/>
        </w:rPr>
        <w:t>The form includes the following sections:</w:t>
      </w:r>
      <w:r w:rsidRPr="00BF4985" w:rsidR="00BF4985">
        <w:rPr>
          <w:bCs/>
          <w:iCs/>
        </w:rPr>
        <w:t xml:space="preserve"> </w:t>
      </w:r>
    </w:p>
    <w:tbl>
      <w:tblPr>
        <w:tblStyle w:val="TableGrid"/>
        <w:tblW w:w="9630"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2425"/>
        <w:gridCol w:w="7205"/>
      </w:tblGrid>
      <w:tr w14:paraId="2F328535" w14:textId="77777777" w:rsidTr="00966591">
        <w:tblPrEx>
          <w:tblW w:w="9630" w:type="dxa"/>
          <w:tblBorders>
            <w:left w:val="none" w:sz="0" w:space="0" w:color="auto"/>
            <w:bottom w:val="none" w:sz="0" w:space="0" w:color="auto"/>
            <w:right w:val="none" w:sz="0" w:space="0" w:color="auto"/>
            <w:insideH w:val="none" w:sz="0" w:space="0" w:color="auto"/>
            <w:insideV w:val="none" w:sz="0" w:space="0" w:color="auto"/>
          </w:tblBorders>
          <w:tblLook w:val="04A0"/>
        </w:tblPrEx>
        <w:trPr>
          <w:trHeight w:val="656"/>
        </w:trPr>
        <w:tc>
          <w:tcPr>
            <w:tcW w:w="2425" w:type="dxa"/>
            <w:tcBorders>
              <w:top w:val="single" w:sz="4" w:space="0" w:color="auto"/>
            </w:tcBorders>
            <w:vAlign w:val="center"/>
          </w:tcPr>
          <w:p w:rsidR="009713EB" w:rsidRPr="008C4A0B" w:rsidP="00966591" w14:paraId="4D7B22D3" w14:textId="1DB1E2F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sz w:val="22"/>
                <w:szCs w:val="22"/>
              </w:rPr>
            </w:pPr>
            <w:r w:rsidRPr="008C4A0B">
              <w:rPr>
                <w:b/>
                <w:bCs/>
              </w:rPr>
              <w:t>Abstract</w:t>
            </w:r>
          </w:p>
        </w:tc>
        <w:tc>
          <w:tcPr>
            <w:tcW w:w="7205" w:type="dxa"/>
            <w:tcBorders>
              <w:top w:val="single" w:sz="4" w:space="0" w:color="auto"/>
            </w:tcBorders>
            <w:vAlign w:val="center"/>
          </w:tcPr>
          <w:p w:rsidR="009713EB" w:rsidRPr="00966591" w:rsidP="00966591" w14:paraId="07F3CE00" w14:textId="523D5CD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sz w:val="22"/>
                <w:szCs w:val="22"/>
              </w:rPr>
            </w:pPr>
            <w:r w:rsidRPr="00966591">
              <w:rPr>
                <w:sz w:val="22"/>
                <w:szCs w:val="22"/>
              </w:rPr>
              <w:t xml:space="preserve">Provides a brief description and how you will use this </w:t>
            </w:r>
            <w:r w:rsidRPr="00966591">
              <w:rPr>
                <w:sz w:val="22"/>
                <w:szCs w:val="22"/>
              </w:rPr>
              <w:t>information collection</w:t>
            </w:r>
          </w:p>
        </w:tc>
      </w:tr>
      <w:tr w14:paraId="14EB5419" w14:textId="77777777" w:rsidTr="00966591">
        <w:tblPrEx>
          <w:tblW w:w="9630" w:type="dxa"/>
          <w:tblLook w:val="04A0"/>
        </w:tblPrEx>
        <w:trPr>
          <w:trHeight w:val="459"/>
        </w:trPr>
        <w:tc>
          <w:tcPr>
            <w:tcW w:w="2425" w:type="dxa"/>
            <w:vAlign w:val="center"/>
          </w:tcPr>
          <w:p w:rsidR="009713EB" w:rsidRPr="008C4A0B" w:rsidP="00966591" w14:paraId="7BFFD651" w14:textId="5F00684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rPr>
              <w:t>Contact information</w:t>
            </w:r>
          </w:p>
        </w:tc>
        <w:tc>
          <w:tcPr>
            <w:tcW w:w="7205" w:type="dxa"/>
            <w:vAlign w:val="center"/>
          </w:tcPr>
          <w:p w:rsidR="009713EB" w:rsidRPr="00966591" w:rsidP="00966591" w14:paraId="20CDDEDC" w14:textId="2F84F502">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sz w:val="22"/>
                <w:szCs w:val="22"/>
              </w:rPr>
              <w:t>Pri</w:t>
            </w:r>
            <w:r w:rsidRPr="00966591" w:rsidR="006F350A">
              <w:rPr>
                <w:sz w:val="22"/>
                <w:szCs w:val="22"/>
              </w:rPr>
              <w:t>ncipal</w:t>
            </w:r>
            <w:r w:rsidRPr="00966591">
              <w:rPr>
                <w:sz w:val="22"/>
                <w:szCs w:val="22"/>
              </w:rPr>
              <w:t xml:space="preserve"> Investigator and NPS Liaison</w:t>
            </w:r>
          </w:p>
        </w:tc>
      </w:tr>
      <w:tr w14:paraId="6C2AC9E4" w14:textId="77777777" w:rsidTr="00966591">
        <w:tblPrEx>
          <w:tblW w:w="9630" w:type="dxa"/>
          <w:tblLook w:val="04A0"/>
        </w:tblPrEx>
        <w:trPr>
          <w:trHeight w:val="531"/>
        </w:trPr>
        <w:tc>
          <w:tcPr>
            <w:tcW w:w="2425" w:type="dxa"/>
            <w:vAlign w:val="center"/>
          </w:tcPr>
          <w:p w:rsidR="009713EB" w:rsidRPr="008C4A0B" w:rsidP="00966591" w14:paraId="23060313" w14:textId="7A61273C">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 xml:space="preserve">Project Information </w:t>
            </w:r>
          </w:p>
        </w:tc>
        <w:tc>
          <w:tcPr>
            <w:tcW w:w="7205" w:type="dxa"/>
            <w:vAlign w:val="center"/>
          </w:tcPr>
          <w:p w:rsidR="009713EB" w:rsidRPr="00966591" w:rsidP="00966591" w14:paraId="38B0A806" w14:textId="1CAD2A2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bCs/>
                <w:iCs/>
                <w:sz w:val="22"/>
                <w:szCs w:val="22"/>
              </w:rPr>
              <w:t>Location, Sampling Period</w:t>
            </w:r>
            <w:r w:rsidRPr="00966591" w:rsidR="001175BF">
              <w:rPr>
                <w:bCs/>
                <w:iCs/>
                <w:sz w:val="22"/>
                <w:szCs w:val="22"/>
              </w:rPr>
              <w:t xml:space="preserve"> and</w:t>
            </w:r>
            <w:r w:rsidRPr="00966591" w:rsidR="00637409">
              <w:rPr>
                <w:bCs/>
                <w:iCs/>
                <w:sz w:val="22"/>
                <w:szCs w:val="22"/>
              </w:rPr>
              <w:t xml:space="preserve"> </w:t>
            </w:r>
            <w:r w:rsidRPr="00966591">
              <w:rPr>
                <w:bCs/>
                <w:iCs/>
                <w:sz w:val="22"/>
                <w:szCs w:val="22"/>
              </w:rPr>
              <w:t>Type of collection</w:t>
            </w:r>
          </w:p>
        </w:tc>
      </w:tr>
      <w:tr w14:paraId="49DCC0A3" w14:textId="77777777" w:rsidTr="00966591">
        <w:tblPrEx>
          <w:tblW w:w="9630" w:type="dxa"/>
          <w:tblLook w:val="04A0"/>
        </w:tblPrEx>
        <w:trPr>
          <w:trHeight w:val="981"/>
        </w:trPr>
        <w:tc>
          <w:tcPr>
            <w:tcW w:w="2425" w:type="dxa"/>
            <w:vAlign w:val="center"/>
          </w:tcPr>
          <w:p w:rsidR="009713EB" w:rsidRPr="008C4A0B" w:rsidP="00966591" w14:paraId="40901641" w14:textId="541637E8">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 xml:space="preserve">Survey Justification </w:t>
            </w:r>
          </w:p>
        </w:tc>
        <w:tc>
          <w:tcPr>
            <w:tcW w:w="7205" w:type="dxa"/>
            <w:vAlign w:val="center"/>
          </w:tcPr>
          <w:p w:rsidR="009713EB" w:rsidRPr="00966591" w:rsidP="00966591" w14:paraId="72B2A123" w14:textId="6D08D6E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bCs/>
                <w:iCs/>
                <w:sz w:val="22"/>
                <w:szCs w:val="22"/>
              </w:rPr>
              <w:t xml:space="preserve">A </w:t>
            </w:r>
            <w:r w:rsidRPr="00966591" w:rsidR="002A4F8E">
              <w:rPr>
                <w:bCs/>
                <w:iCs/>
                <w:sz w:val="22"/>
                <w:szCs w:val="22"/>
              </w:rPr>
              <w:t>d</w:t>
            </w:r>
            <w:r w:rsidRPr="00966591">
              <w:rPr>
                <w:bCs/>
                <w:iCs/>
                <w:sz w:val="22"/>
                <w:szCs w:val="22"/>
              </w:rPr>
              <w:t xml:space="preserve">escription </w:t>
            </w:r>
            <w:r w:rsidRPr="00966591" w:rsidR="00436A76">
              <w:rPr>
                <w:bCs/>
                <w:iCs/>
                <w:sz w:val="22"/>
                <w:szCs w:val="22"/>
              </w:rPr>
              <w:t>justifying the</w:t>
            </w:r>
            <w:r w:rsidRPr="00966591">
              <w:rPr>
                <w:bCs/>
                <w:iCs/>
                <w:sz w:val="22"/>
                <w:szCs w:val="22"/>
              </w:rPr>
              <w:t xml:space="preserve"> need for the information</w:t>
            </w:r>
            <w:r w:rsidRPr="00966591" w:rsidR="002A4F8E">
              <w:rPr>
                <w:bCs/>
                <w:iCs/>
                <w:sz w:val="22"/>
                <w:szCs w:val="22"/>
              </w:rPr>
              <w:t xml:space="preserve"> </w:t>
            </w:r>
            <w:r w:rsidRPr="00966591" w:rsidR="00120372">
              <w:rPr>
                <w:bCs/>
                <w:iCs/>
                <w:sz w:val="22"/>
                <w:szCs w:val="22"/>
              </w:rPr>
              <w:t xml:space="preserve">collection, its purpose, goals </w:t>
            </w:r>
            <w:r w:rsidRPr="00966591" w:rsidR="002A4F8E">
              <w:rPr>
                <w:bCs/>
                <w:iCs/>
                <w:sz w:val="22"/>
                <w:szCs w:val="22"/>
              </w:rPr>
              <w:t xml:space="preserve">and its direct application </w:t>
            </w:r>
            <w:r w:rsidRPr="00966591" w:rsidR="00844A74">
              <w:rPr>
                <w:bCs/>
                <w:iCs/>
                <w:sz w:val="22"/>
                <w:szCs w:val="22"/>
              </w:rPr>
              <w:t>and utility</w:t>
            </w:r>
            <w:r w:rsidRPr="00966591" w:rsidR="00C262E8">
              <w:rPr>
                <w:bCs/>
                <w:iCs/>
                <w:sz w:val="22"/>
                <w:szCs w:val="22"/>
              </w:rPr>
              <w:t xml:space="preserve"> towards</w:t>
            </w:r>
            <w:r w:rsidRPr="00966591" w:rsidR="002A4F8E">
              <w:rPr>
                <w:bCs/>
                <w:iCs/>
                <w:sz w:val="22"/>
                <w:szCs w:val="22"/>
              </w:rPr>
              <w:t xml:space="preserve"> </w:t>
            </w:r>
            <w:r w:rsidRPr="00966591" w:rsidR="00C72F2B">
              <w:rPr>
                <w:bCs/>
                <w:iCs/>
                <w:sz w:val="22"/>
                <w:szCs w:val="22"/>
              </w:rPr>
              <w:t>meet</w:t>
            </w:r>
            <w:r w:rsidRPr="00966591" w:rsidR="00436A76">
              <w:rPr>
                <w:bCs/>
                <w:iCs/>
                <w:sz w:val="22"/>
                <w:szCs w:val="22"/>
              </w:rPr>
              <w:t xml:space="preserve">ing </w:t>
            </w:r>
            <w:r w:rsidRPr="00966591" w:rsidR="005A271C">
              <w:rPr>
                <w:bCs/>
                <w:iCs/>
                <w:sz w:val="22"/>
                <w:szCs w:val="22"/>
              </w:rPr>
              <w:t>a relevant</w:t>
            </w:r>
            <w:r w:rsidRPr="00966591" w:rsidR="00C72F2B">
              <w:rPr>
                <w:bCs/>
                <w:iCs/>
                <w:sz w:val="22"/>
                <w:szCs w:val="22"/>
              </w:rPr>
              <w:t xml:space="preserve"> NPS </w:t>
            </w:r>
            <w:r w:rsidRPr="00966591" w:rsidR="00436A76">
              <w:rPr>
                <w:bCs/>
                <w:iCs/>
                <w:sz w:val="22"/>
                <w:szCs w:val="22"/>
              </w:rPr>
              <w:t xml:space="preserve">information </w:t>
            </w:r>
            <w:r w:rsidRPr="00966591" w:rsidR="00C72F2B">
              <w:rPr>
                <w:bCs/>
                <w:iCs/>
                <w:sz w:val="22"/>
                <w:szCs w:val="22"/>
              </w:rPr>
              <w:t>need</w:t>
            </w:r>
            <w:r w:rsidRPr="00966591">
              <w:rPr>
                <w:bCs/>
                <w:iCs/>
                <w:sz w:val="22"/>
                <w:szCs w:val="22"/>
              </w:rPr>
              <w:t xml:space="preserve"> </w:t>
            </w:r>
          </w:p>
        </w:tc>
      </w:tr>
      <w:tr w14:paraId="4D520FBF" w14:textId="77777777" w:rsidTr="00966591">
        <w:tblPrEx>
          <w:tblW w:w="9630" w:type="dxa"/>
          <w:tblLook w:val="04A0"/>
        </w:tblPrEx>
        <w:trPr>
          <w:trHeight w:val="936"/>
        </w:trPr>
        <w:tc>
          <w:tcPr>
            <w:tcW w:w="2425" w:type="dxa"/>
            <w:vAlign w:val="center"/>
          </w:tcPr>
          <w:p w:rsidR="009713EB" w:rsidRPr="008C4A0B" w:rsidP="00966591" w14:paraId="34D7100C" w14:textId="48BFAB3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Survey Methodology</w:t>
            </w:r>
          </w:p>
        </w:tc>
        <w:tc>
          <w:tcPr>
            <w:tcW w:w="7205" w:type="dxa"/>
            <w:vAlign w:val="center"/>
          </w:tcPr>
          <w:p w:rsidR="009713EB" w:rsidRPr="00966591" w:rsidP="00966591" w14:paraId="398F663D" w14:textId="171F38C4">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bCs/>
                <w:iCs/>
                <w:sz w:val="22"/>
                <w:szCs w:val="22"/>
              </w:rPr>
              <w:t xml:space="preserve">Respondent Universe, Sampling Plan, Instrument administration, Expected Response rate, </w:t>
            </w:r>
            <w:r w:rsidRPr="00966591">
              <w:rPr>
                <w:bCs/>
                <w:iCs/>
                <w:sz w:val="22"/>
                <w:szCs w:val="22"/>
              </w:rPr>
              <w:t>Non-response</w:t>
            </w:r>
            <w:r w:rsidRPr="00966591">
              <w:rPr>
                <w:bCs/>
                <w:iCs/>
                <w:sz w:val="22"/>
                <w:szCs w:val="22"/>
              </w:rPr>
              <w:t xml:space="preserve"> bias testing, </w:t>
            </w:r>
            <w:r w:rsidRPr="00966591" w:rsidR="00C72F2B">
              <w:rPr>
                <w:bCs/>
                <w:iCs/>
                <w:sz w:val="22"/>
                <w:szCs w:val="22"/>
              </w:rPr>
              <w:t xml:space="preserve">and </w:t>
            </w:r>
            <w:r w:rsidRPr="00966591">
              <w:rPr>
                <w:bCs/>
                <w:iCs/>
                <w:sz w:val="22"/>
                <w:szCs w:val="22"/>
              </w:rPr>
              <w:t>Description of pretest methods</w:t>
            </w:r>
          </w:p>
        </w:tc>
      </w:tr>
      <w:tr w14:paraId="7B0F21BC" w14:textId="77777777" w:rsidTr="00966591">
        <w:tblPrEx>
          <w:tblW w:w="9630" w:type="dxa"/>
          <w:tblLook w:val="04A0"/>
        </w:tblPrEx>
        <w:trPr>
          <w:trHeight w:val="432"/>
        </w:trPr>
        <w:tc>
          <w:tcPr>
            <w:tcW w:w="2425" w:type="dxa"/>
            <w:vAlign w:val="center"/>
          </w:tcPr>
          <w:p w:rsidR="009713EB" w:rsidRPr="008C4A0B" w:rsidP="00966591" w14:paraId="6032E734" w14:textId="3A9CEA0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Burden Estimate</w:t>
            </w:r>
          </w:p>
        </w:tc>
        <w:tc>
          <w:tcPr>
            <w:tcW w:w="7205" w:type="dxa"/>
            <w:vAlign w:val="center"/>
          </w:tcPr>
          <w:p w:rsidR="009713EB" w:rsidRPr="00966591" w:rsidP="00966591" w14:paraId="1BDCA769" w14:textId="1AB80FD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bCs/>
                <w:iCs/>
                <w:sz w:val="22"/>
                <w:szCs w:val="22"/>
              </w:rPr>
              <w:t xml:space="preserve">Number of responses, completion time, and </w:t>
            </w:r>
            <w:r w:rsidRPr="00966591" w:rsidR="006F350A">
              <w:rPr>
                <w:bCs/>
                <w:iCs/>
                <w:sz w:val="22"/>
                <w:szCs w:val="22"/>
              </w:rPr>
              <w:t>b</w:t>
            </w:r>
            <w:r w:rsidRPr="00966591">
              <w:rPr>
                <w:bCs/>
                <w:iCs/>
                <w:sz w:val="22"/>
                <w:szCs w:val="22"/>
              </w:rPr>
              <w:t>urden hours</w:t>
            </w:r>
          </w:p>
        </w:tc>
      </w:tr>
      <w:tr w14:paraId="28A69BD7" w14:textId="77777777" w:rsidTr="008C4A0B">
        <w:tblPrEx>
          <w:tblW w:w="9630" w:type="dxa"/>
          <w:tblLook w:val="04A0"/>
        </w:tblPrEx>
        <w:trPr>
          <w:trHeight w:val="468"/>
        </w:trPr>
        <w:tc>
          <w:tcPr>
            <w:tcW w:w="2425" w:type="dxa"/>
            <w:vAlign w:val="center"/>
          </w:tcPr>
          <w:p w:rsidR="009713EB" w:rsidRPr="008C4A0B" w:rsidP="00966591" w14:paraId="0E8E2B27" w14:textId="1FEE742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Reporting Plan</w:t>
            </w:r>
          </w:p>
        </w:tc>
        <w:tc>
          <w:tcPr>
            <w:tcW w:w="7205" w:type="dxa"/>
            <w:vAlign w:val="center"/>
          </w:tcPr>
          <w:p w:rsidR="009713EB" w:rsidRPr="00966591" w:rsidP="00966591" w14:paraId="7F1A2266" w14:textId="0192488D">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sidRPr="00966591">
              <w:rPr>
                <w:bCs/>
                <w:iCs/>
                <w:sz w:val="22"/>
                <w:szCs w:val="22"/>
              </w:rPr>
              <w:t>Anticipated deliver</w:t>
            </w:r>
            <w:r w:rsidRPr="00966591">
              <w:rPr>
                <w:bCs/>
                <w:iCs/>
                <w:sz w:val="22"/>
                <w:szCs w:val="22"/>
              </w:rPr>
              <w:t>ables</w:t>
            </w:r>
          </w:p>
        </w:tc>
      </w:tr>
      <w:tr w14:paraId="09E69E0A" w14:textId="77777777" w:rsidTr="00966591">
        <w:tblPrEx>
          <w:tblW w:w="9630" w:type="dxa"/>
          <w:tblLook w:val="04A0"/>
        </w:tblPrEx>
        <w:trPr>
          <w:trHeight w:val="459"/>
        </w:trPr>
        <w:tc>
          <w:tcPr>
            <w:tcW w:w="2425" w:type="dxa"/>
            <w:tcBorders>
              <w:bottom w:val="single" w:sz="4" w:space="0" w:color="auto"/>
            </w:tcBorders>
            <w:vAlign w:val="center"/>
          </w:tcPr>
          <w:p w:rsidR="00E6212B" w:rsidRPr="008C4A0B" w:rsidP="00966591" w14:paraId="4612FECF" w14:textId="21E97DE2">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iCs/>
                <w:sz w:val="22"/>
                <w:szCs w:val="22"/>
              </w:rPr>
            </w:pPr>
            <w:r w:rsidRPr="008C4A0B">
              <w:rPr>
                <w:b/>
                <w:bCs/>
                <w:iCs/>
              </w:rPr>
              <w:t xml:space="preserve">Attachments </w:t>
            </w:r>
          </w:p>
        </w:tc>
        <w:tc>
          <w:tcPr>
            <w:tcW w:w="7205" w:type="dxa"/>
            <w:tcBorders>
              <w:bottom w:val="single" w:sz="4" w:space="0" w:color="auto"/>
            </w:tcBorders>
            <w:vAlign w:val="center"/>
          </w:tcPr>
          <w:p w:rsidR="00E6212B" w:rsidRPr="00966591" w:rsidP="00966591" w14:paraId="61C62782" w14:textId="0729000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Cs/>
                <w:iCs/>
                <w:sz w:val="22"/>
                <w:szCs w:val="22"/>
              </w:rPr>
            </w:pPr>
            <w:r>
              <w:rPr>
                <w:bCs/>
                <w:iCs/>
                <w:sz w:val="22"/>
                <w:szCs w:val="22"/>
              </w:rPr>
              <w:t>Data collection</w:t>
            </w:r>
            <w:r w:rsidRPr="00966591">
              <w:rPr>
                <w:bCs/>
                <w:iCs/>
                <w:sz w:val="22"/>
                <w:szCs w:val="22"/>
              </w:rPr>
              <w:t xml:space="preserve"> instruments</w:t>
            </w:r>
            <w:r>
              <w:rPr>
                <w:bCs/>
                <w:iCs/>
                <w:sz w:val="22"/>
                <w:szCs w:val="22"/>
              </w:rPr>
              <w:t xml:space="preserve">, interview scripts, correspondences, etc. </w:t>
            </w:r>
            <w:r w:rsidRPr="00966591">
              <w:rPr>
                <w:bCs/>
                <w:iCs/>
                <w:sz w:val="22"/>
                <w:szCs w:val="22"/>
              </w:rPr>
              <w:t xml:space="preserve"> </w:t>
            </w:r>
          </w:p>
        </w:tc>
      </w:tr>
    </w:tbl>
    <w:p w:rsidR="00F31DAE" w:rsidP="004877F8" w14:paraId="154E62FC" w14:textId="77777777">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p>
    <w:p w:rsidR="0003394D" w:rsidP="004877F8" w14:paraId="451E7D18" w14:textId="083F28FD">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Pr>
          <w:bCs/>
          <w:iCs/>
        </w:rPr>
        <w:t>Further, i</w:t>
      </w:r>
      <w:r w:rsidR="006F350A">
        <w:rPr>
          <w:bCs/>
          <w:iCs/>
        </w:rPr>
        <w:t xml:space="preserve">ndividual submissions </w:t>
      </w:r>
      <w:r>
        <w:rPr>
          <w:bCs/>
          <w:iCs/>
        </w:rPr>
        <w:t>leveraging t</w:t>
      </w:r>
      <w:r w:rsidR="006F350A">
        <w:rPr>
          <w:bCs/>
          <w:iCs/>
        </w:rPr>
        <w:t xml:space="preserve">his </w:t>
      </w:r>
      <w:r w:rsidR="00C72F2B">
        <w:rPr>
          <w:bCs/>
          <w:iCs/>
        </w:rPr>
        <w:t>c</w:t>
      </w:r>
      <w:r w:rsidR="006F350A">
        <w:rPr>
          <w:bCs/>
          <w:iCs/>
        </w:rPr>
        <w:t>learance</w:t>
      </w:r>
      <w:r w:rsidR="0081326A">
        <w:rPr>
          <w:bCs/>
          <w:iCs/>
        </w:rPr>
        <w:t xml:space="preserve"> </w:t>
      </w:r>
      <w:r w:rsidR="006F350A">
        <w:rPr>
          <w:bCs/>
          <w:iCs/>
        </w:rPr>
        <w:t xml:space="preserve">employ </w:t>
      </w:r>
      <w:r w:rsidR="00E9589C">
        <w:rPr>
          <w:bCs/>
          <w:iCs/>
        </w:rPr>
        <w:t xml:space="preserve">one or more of the following information </w:t>
      </w:r>
      <w:r w:rsidR="00E732EB">
        <w:rPr>
          <w:bCs/>
          <w:iCs/>
        </w:rPr>
        <w:t>collection methods</w:t>
      </w:r>
      <w:r>
        <w:rPr>
          <w:rStyle w:val="FootnoteReference"/>
          <w:bCs/>
          <w:iCs/>
        </w:rPr>
        <w:footnoteReference w:id="3"/>
      </w:r>
      <w:r w:rsidR="00E732EB">
        <w:rPr>
          <w:bCs/>
          <w:iCs/>
        </w:rPr>
        <w:t xml:space="preserve"> </w:t>
      </w:r>
      <w:r w:rsidR="00E9589C">
        <w:rPr>
          <w:bCs/>
          <w:iCs/>
        </w:rPr>
        <w:t>previously approved under this clearance</w:t>
      </w:r>
      <w:r w:rsidR="006F350A">
        <w:rPr>
          <w:bCs/>
          <w:iCs/>
        </w:rPr>
        <w:t xml:space="preserve">: </w:t>
      </w:r>
    </w:p>
    <w:p w:rsidR="0003394D" w:rsidP="003E7DFA" w14:paraId="7B31B2DC" w14:textId="52F12450">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03394D">
        <w:rPr>
          <w:bCs/>
          <w:iCs/>
        </w:rPr>
        <w:t>on-site intercept surveys</w:t>
      </w:r>
    </w:p>
    <w:p w:rsidR="0003394D" w:rsidP="003E7DFA" w14:paraId="04292CCA" w14:textId="080B03A2">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03394D">
        <w:rPr>
          <w:bCs/>
          <w:iCs/>
        </w:rPr>
        <w:t>e-mail</w:t>
      </w:r>
      <w:r w:rsidR="00CB672A">
        <w:rPr>
          <w:bCs/>
          <w:iCs/>
        </w:rPr>
        <w:t xml:space="preserve"> or </w:t>
      </w:r>
      <w:r w:rsidRPr="0003394D">
        <w:rPr>
          <w:bCs/>
          <w:iCs/>
        </w:rPr>
        <w:t>mail</w:t>
      </w:r>
      <w:r w:rsidR="000565C0">
        <w:rPr>
          <w:bCs/>
          <w:iCs/>
        </w:rPr>
        <w:t xml:space="preserve"> </w:t>
      </w:r>
      <w:r w:rsidR="00CB672A">
        <w:rPr>
          <w:bCs/>
          <w:iCs/>
        </w:rPr>
        <w:t>back</w:t>
      </w:r>
      <w:r w:rsidRPr="0003394D">
        <w:rPr>
          <w:bCs/>
          <w:iCs/>
        </w:rPr>
        <w:t xml:space="preserve"> surveys </w:t>
      </w:r>
    </w:p>
    <w:p w:rsidR="0003394D" w:rsidP="003E7DFA" w14:paraId="58D9888C" w14:textId="299706EA">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03394D">
        <w:rPr>
          <w:bCs/>
          <w:iCs/>
        </w:rPr>
        <w:t xml:space="preserve">telephone surveys </w:t>
      </w:r>
    </w:p>
    <w:p w:rsidR="0003394D" w:rsidP="003E7DFA" w14:paraId="54B51BCE" w14:textId="21F1072A">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03394D">
        <w:rPr>
          <w:bCs/>
          <w:iCs/>
        </w:rPr>
        <w:t>mixed-mode</w:t>
      </w:r>
      <w:r w:rsidRPr="0003394D" w:rsidR="00BB1980">
        <w:rPr>
          <w:bCs/>
          <w:iCs/>
        </w:rPr>
        <w:t xml:space="preserve"> surveys </w:t>
      </w:r>
    </w:p>
    <w:p w:rsidR="00CB672A" w:rsidP="003E7DFA" w14:paraId="4E21EAD6" w14:textId="1976A60F">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sidRPr="0003394D">
        <w:rPr>
          <w:bCs/>
          <w:iCs/>
        </w:rPr>
        <w:t>focus groups or interviews</w:t>
      </w:r>
      <w:r w:rsidRPr="0003394D" w:rsidR="00E2310A">
        <w:rPr>
          <w:bCs/>
          <w:iCs/>
        </w:rPr>
        <w:t xml:space="preserve"> </w:t>
      </w:r>
    </w:p>
    <w:p w:rsidR="00CB672A" w:rsidP="003E7DFA" w14:paraId="776A4DCA" w14:textId="77CD4FFC">
      <w:pPr>
        <w:pStyle w:val="ListParagraph"/>
        <w:widowControl/>
        <w:numPr>
          <w:ilvl w:val="0"/>
          <w:numId w:val="5"/>
        </w:num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Cs/>
          <w:iCs/>
        </w:rPr>
      </w:pPr>
      <w:r>
        <w:rPr>
          <w:bCs/>
          <w:iCs/>
        </w:rPr>
        <w:t xml:space="preserve">electronic or </w:t>
      </w:r>
      <w:r w:rsidRPr="0003394D" w:rsidR="00BB1980">
        <w:rPr>
          <w:bCs/>
          <w:iCs/>
        </w:rPr>
        <w:t>web-based surveys</w:t>
      </w:r>
      <w:r w:rsidRPr="0003394D" w:rsidR="00881164">
        <w:rPr>
          <w:bCs/>
          <w:iCs/>
        </w:rPr>
        <w:t xml:space="preserve"> </w:t>
      </w:r>
      <w:r w:rsidRPr="00FF067D" w:rsidR="0048072A">
        <w:rPr>
          <w:bCs/>
          <w:iCs/>
        </w:rPr>
        <w:t xml:space="preserve"> </w:t>
      </w:r>
    </w:p>
    <w:p w:rsidR="00332E74" w:rsidP="00332E74" w14:paraId="16FB0F45"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EC1064" w:rsidP="00C460C3" w14:paraId="5A7EE8A4" w14:textId="6BE89A12">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3A66F1">
        <w:t>Due to the diverse nature and complexity</w:t>
      </w:r>
      <w:r>
        <w:t xml:space="preserve"> of </w:t>
      </w:r>
      <w:r w:rsidRPr="003A66F1">
        <w:t>the NPS</w:t>
      </w:r>
      <w:r>
        <w:t>--</w:t>
      </w:r>
      <w:r w:rsidRPr="003A66F1">
        <w:t xml:space="preserve"> including numerous programs across 12 administrative regions and 423 park units</w:t>
      </w:r>
      <w:r>
        <w:t xml:space="preserve">, ranging </w:t>
      </w:r>
      <w:r w:rsidRPr="003A66F1">
        <w:t>from historic buildings in urban environments to immense swaths of wilderness</w:t>
      </w:r>
      <w:r w:rsidR="00E72CC3">
        <w:t xml:space="preserve"> </w:t>
      </w:r>
      <w:r>
        <w:t xml:space="preserve">— </w:t>
      </w:r>
      <w:r w:rsidR="00D464C1">
        <w:t xml:space="preserve">we are requesting that this collection </w:t>
      </w:r>
      <w:r w:rsidR="00264BE6">
        <w:t xml:space="preserve">includes the option to </w:t>
      </w:r>
      <w:r w:rsidR="00D464C1">
        <w:t xml:space="preserve">offer </w:t>
      </w:r>
      <w:r w:rsidR="00870E5E">
        <w:t>flexibility in s</w:t>
      </w:r>
      <w:r w:rsidR="00050A5F">
        <w:t>urvey</w:t>
      </w:r>
      <w:r w:rsidR="00870E5E">
        <w:t xml:space="preserve"> design</w:t>
      </w:r>
      <w:r w:rsidR="0083063C">
        <w:t xml:space="preserve"> and development</w:t>
      </w:r>
      <w:r w:rsidR="005B59FE">
        <w:t xml:space="preserve">. This flexibility </w:t>
      </w:r>
      <w:r w:rsidR="00A53785">
        <w:t>includes</w:t>
      </w:r>
      <w:r w:rsidR="00870E5E">
        <w:t xml:space="preserve"> </w:t>
      </w:r>
      <w:r w:rsidR="008F029B">
        <w:t>individual</w:t>
      </w:r>
      <w:r w:rsidR="0083063C">
        <w:t xml:space="preserve"> wording of </w:t>
      </w:r>
      <w:r w:rsidR="008F029B">
        <w:t>question</w:t>
      </w:r>
      <w:r w:rsidR="0083063C">
        <w:t>s</w:t>
      </w:r>
      <w:r w:rsidR="008F029B">
        <w:t xml:space="preserve">, response options, and measurement tools (scales and anchors). </w:t>
      </w:r>
      <w:r w:rsidR="00523DF1">
        <w:t xml:space="preserve">While the </w:t>
      </w:r>
      <w:r w:rsidRPr="00120E16" w:rsidR="00523DF1">
        <w:rPr>
          <w:i/>
          <w:iCs/>
        </w:rPr>
        <w:t>Pool of Known Questions</w:t>
      </w:r>
      <w:r w:rsidR="00523DF1">
        <w:t xml:space="preserve"> </w:t>
      </w:r>
      <w:r w:rsidRPr="00332E74" w:rsidR="00851485">
        <w:t>(PKQ)</w:t>
      </w:r>
      <w:r>
        <w:rPr>
          <w:rStyle w:val="FootnoteReference"/>
        </w:rPr>
        <w:footnoteReference w:id="4"/>
      </w:r>
      <w:r w:rsidRPr="00332E74" w:rsidR="00851485">
        <w:t xml:space="preserve"> </w:t>
      </w:r>
      <w:r w:rsidR="00523DF1">
        <w:t>remains an important tool</w:t>
      </w:r>
      <w:r w:rsidR="00654558">
        <w:t xml:space="preserve">, especially </w:t>
      </w:r>
      <w:r w:rsidR="00872A16">
        <w:t>for</w:t>
      </w:r>
      <w:r w:rsidR="00654558">
        <w:t xml:space="preserve"> </w:t>
      </w:r>
      <w:r w:rsidR="005E6DBC">
        <w:t xml:space="preserve">researchers new to the </w:t>
      </w:r>
      <w:r w:rsidR="00A94167">
        <w:t>i</w:t>
      </w:r>
      <w:r w:rsidR="005E6DBC">
        <w:t xml:space="preserve">nformation </w:t>
      </w:r>
      <w:r w:rsidR="00650362">
        <w:t>c</w:t>
      </w:r>
      <w:r w:rsidR="005E6DBC">
        <w:t xml:space="preserve">ollection </w:t>
      </w:r>
      <w:r w:rsidR="00650362">
        <w:t>r</w:t>
      </w:r>
      <w:r w:rsidR="005E6DBC">
        <w:t xml:space="preserve">equest </w:t>
      </w:r>
      <w:r w:rsidRPr="00105356" w:rsidR="005E6DBC">
        <w:t>process</w:t>
      </w:r>
      <w:r w:rsidRPr="00105356" w:rsidR="00523DF1">
        <w:t xml:space="preserve">, </w:t>
      </w:r>
      <w:r w:rsidRPr="00120E16" w:rsidR="00E32B2B">
        <w:t>w</w:t>
      </w:r>
      <w:r w:rsidRPr="00105356" w:rsidR="00635AA3">
        <w:t xml:space="preserve">e are requesting </w:t>
      </w:r>
      <w:r w:rsidRPr="00105356" w:rsidR="005D416B">
        <w:t xml:space="preserve">the flexibility </w:t>
      </w:r>
      <w:r w:rsidRPr="00105356" w:rsidR="004A5555">
        <w:t xml:space="preserve">to allow </w:t>
      </w:r>
      <w:r w:rsidRPr="00105356" w:rsidR="000D2BCE">
        <w:t xml:space="preserve">researchers to submit </w:t>
      </w:r>
      <w:r w:rsidRPr="00120E16" w:rsidR="00684037">
        <w:t xml:space="preserve">new questions or </w:t>
      </w:r>
      <w:r w:rsidRPr="00105356" w:rsidR="004A5555">
        <w:t xml:space="preserve">variations of questions within the </w:t>
      </w:r>
      <w:r w:rsidRPr="00120E16" w:rsidR="00816A69">
        <w:t>PKQ</w:t>
      </w:r>
      <w:r w:rsidRPr="00120E16" w:rsidR="00A5303A">
        <w:t xml:space="preserve">, </w:t>
      </w:r>
      <w:r w:rsidRPr="00105356" w:rsidR="000D2BCE">
        <w:t>as long as</w:t>
      </w:r>
      <w:r w:rsidRPr="00105356" w:rsidR="000D2BCE">
        <w:t xml:space="preserve"> the questions are within the scope of the Topic Area</w:t>
      </w:r>
      <w:r w:rsidRPr="00120E16" w:rsidR="00E32B2B">
        <w:t>s</w:t>
      </w:r>
      <w:r w:rsidRPr="00105356" w:rsidR="000D2BCE">
        <w:rPr>
          <w:i/>
          <w:iCs/>
        </w:rPr>
        <w:t xml:space="preserve">. </w:t>
      </w:r>
      <w:r w:rsidRPr="00120E16" w:rsidR="000D2BCE">
        <w:t xml:space="preserve">We are also requesting that questions in the PKQ are </w:t>
      </w:r>
      <w:r w:rsidRPr="00105356" w:rsidR="000652D1">
        <w:t>not required</w:t>
      </w:r>
      <w:r w:rsidRPr="00105356" w:rsidR="004A6AAB">
        <w:t xml:space="preserve"> to</w:t>
      </w:r>
      <w:r w:rsidRPr="00105356" w:rsidR="005D416B">
        <w:t xml:space="preserve"> </w:t>
      </w:r>
      <w:r w:rsidRPr="00105356" w:rsidR="000D2BCE">
        <w:t xml:space="preserve">be </w:t>
      </w:r>
      <w:r w:rsidRPr="00105356" w:rsidR="005D416B">
        <w:t xml:space="preserve">cut and pasted </w:t>
      </w:r>
      <w:r w:rsidRPr="00105356" w:rsidR="000D2BCE">
        <w:t xml:space="preserve">(verbatim) </w:t>
      </w:r>
      <w:r w:rsidRPr="00105356" w:rsidR="00B761EC">
        <w:t>into individual survey instruments</w:t>
      </w:r>
      <w:r w:rsidRPr="00105356" w:rsidR="004A6AAB">
        <w:t xml:space="preserve">. </w:t>
      </w:r>
      <w:r w:rsidR="005F3F65">
        <w:t xml:space="preserve"> </w:t>
      </w:r>
      <w:r w:rsidR="00F63108">
        <w:t>Q</w:t>
      </w:r>
      <w:r w:rsidR="00E61176">
        <w:t xml:space="preserve">uestions </w:t>
      </w:r>
      <w:r w:rsidR="00F63108">
        <w:t xml:space="preserve">must be within the scope of the topic area(s) and </w:t>
      </w:r>
      <w:r w:rsidR="00E61176">
        <w:t xml:space="preserve">germane to the topic </w:t>
      </w:r>
      <w:r w:rsidR="00171EB2">
        <w:t>described in the justification</w:t>
      </w:r>
      <w:r w:rsidR="00E61176">
        <w:t xml:space="preserve"> and </w:t>
      </w:r>
      <w:r w:rsidR="005F5EB1">
        <w:t xml:space="preserve">demonstrate a </w:t>
      </w:r>
      <w:r w:rsidR="00DE224F">
        <w:t xml:space="preserve">relevant </w:t>
      </w:r>
      <w:r w:rsidR="005F5EB1">
        <w:t xml:space="preserve">correlation </w:t>
      </w:r>
      <w:r w:rsidR="00654558">
        <w:t>to the park and management</w:t>
      </w:r>
      <w:r w:rsidR="009A51B7">
        <w:t xml:space="preserve"> issues</w:t>
      </w:r>
      <w:r w:rsidR="00654558">
        <w:t xml:space="preserve">. </w:t>
      </w:r>
      <w:r w:rsidRPr="003A66F1">
        <w:t>No controversial or sensitive questions will be permitted under any topic area or within any individual submission.</w:t>
      </w:r>
      <w:r>
        <w:t xml:space="preserve"> </w:t>
      </w:r>
    </w:p>
    <w:p w:rsidR="00DF6854" w:rsidP="00C460C3" w14:paraId="501E8533"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F31DAE" w:rsidP="00C460C3" w14:paraId="323F55DA"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C460C3" w:rsidRPr="00517892" w:rsidP="00C460C3" w14:paraId="729D4CE2" w14:textId="7B3819B6">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t>These are the 11 T</w:t>
      </w:r>
      <w:r w:rsidRPr="00762B4B">
        <w:t xml:space="preserve">opic </w:t>
      </w:r>
      <w:r>
        <w:t>A</w:t>
      </w:r>
      <w:r w:rsidRPr="00762B4B">
        <w:t>reas</w:t>
      </w:r>
      <w:r>
        <w:rPr>
          <w:rStyle w:val="FootnoteReference"/>
        </w:rPr>
        <w:footnoteReference w:id="5"/>
      </w:r>
      <w:r>
        <w:t xml:space="preserve">: </w:t>
      </w:r>
    </w:p>
    <w:p w:rsidR="00C460C3" w:rsidRPr="00517892" w:rsidP="00C460C3" w14:paraId="179B6CD2" w14:textId="77777777">
      <w:pPr>
        <w:pStyle w:val="ListParagraph"/>
        <w:widowControl/>
        <w:numPr>
          <w:ilvl w:val="0"/>
          <w:numId w:val="2"/>
        </w:numPr>
        <w:tabs>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r w:rsidRPr="00517892">
        <w:rPr>
          <w:b/>
          <w:bCs/>
        </w:rPr>
        <w:t xml:space="preserve">TOPIC AREA 1: Respondent Characteristics </w:t>
      </w:r>
    </w:p>
    <w:p w:rsidR="00C460C3" w:rsidRPr="00517892" w:rsidP="00C460C3" w14:paraId="40AA6B5D" w14:textId="77777777">
      <w:pPr>
        <w:pStyle w:val="ListParagraph"/>
        <w:widowControl/>
        <w:numPr>
          <w:ilvl w:val="0"/>
          <w:numId w:val="2"/>
        </w:numPr>
        <w:tabs>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0" w:name="_Toc431379325"/>
      <w:bookmarkStart w:id="1" w:name="_Toc431379380"/>
      <w:bookmarkStart w:id="2" w:name="_Toc431395471"/>
      <w:r w:rsidRPr="00517892">
        <w:rPr>
          <w:b/>
          <w:bCs/>
        </w:rPr>
        <w:t xml:space="preserve">TOPIC AREA 2: Trip </w:t>
      </w:r>
      <w:bookmarkEnd w:id="0"/>
      <w:bookmarkEnd w:id="1"/>
      <w:r w:rsidRPr="00517892">
        <w:rPr>
          <w:b/>
          <w:bCs/>
        </w:rPr>
        <w:t>Planning</w:t>
      </w:r>
      <w:bookmarkEnd w:id="2"/>
      <w:r w:rsidRPr="00517892">
        <w:rPr>
          <w:b/>
          <w:bCs/>
        </w:rPr>
        <w:t xml:space="preserve"> </w:t>
      </w:r>
    </w:p>
    <w:p w:rsidR="00C460C3" w:rsidRPr="00517892" w:rsidP="00C460C3" w14:paraId="64E595AA" w14:textId="77777777">
      <w:pPr>
        <w:pStyle w:val="ListParagraph"/>
        <w:widowControl/>
        <w:numPr>
          <w:ilvl w:val="0"/>
          <w:numId w:val="2"/>
        </w:numPr>
        <w:tabs>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3" w:name="_Toc431395472"/>
      <w:r w:rsidRPr="00517892">
        <w:rPr>
          <w:b/>
          <w:bCs/>
        </w:rPr>
        <w:t>TOPIC AREA 3: Trip Characteristics</w:t>
      </w:r>
      <w:bookmarkEnd w:id="3"/>
    </w:p>
    <w:p w:rsidR="00C460C3" w:rsidRPr="00517892" w:rsidP="00C460C3" w14:paraId="56AB9484" w14:textId="77777777">
      <w:pPr>
        <w:pStyle w:val="ListParagraph"/>
        <w:numPr>
          <w:ilvl w:val="0"/>
          <w:numId w:val="2"/>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517892">
        <w:rPr>
          <w:b/>
        </w:rPr>
        <w:t>TOPIC AREA 4: Transportation</w:t>
      </w:r>
    </w:p>
    <w:p w:rsidR="00C460C3" w:rsidRPr="00517892" w:rsidP="00C460C3" w14:paraId="0F6D6C2A" w14:textId="77777777">
      <w:pPr>
        <w:pStyle w:val="ListParagraph"/>
        <w:numPr>
          <w:ilvl w:val="0"/>
          <w:numId w:val="2"/>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b/>
        </w:rPr>
      </w:pPr>
      <w:bookmarkStart w:id="4" w:name="_Toc431379327"/>
      <w:bookmarkStart w:id="5" w:name="_Toc431379382"/>
      <w:bookmarkStart w:id="6" w:name="_Toc431395474"/>
      <w:r w:rsidRPr="00517892">
        <w:rPr>
          <w:b/>
        </w:rPr>
        <w:t>TOPIC AREA 5: Visitor Use and</w:t>
      </w:r>
      <w:r w:rsidRPr="00517892">
        <w:rPr>
          <w:b/>
          <w:lang w:val="en"/>
        </w:rPr>
        <w:t xml:space="preserve"> Recreation Management</w:t>
      </w:r>
    </w:p>
    <w:p w:rsidR="00C460C3" w:rsidRPr="00517892" w:rsidP="00C460C3" w14:paraId="73DB436C" w14:textId="77777777">
      <w:pPr>
        <w:pStyle w:val="ListParagraph"/>
        <w:widowControl/>
        <w:numPr>
          <w:ilvl w:val="0"/>
          <w:numId w:val="2"/>
        </w:numPr>
        <w:tabs>
          <w:tab w:val="clear" w:pos="-1080"/>
          <w:tab w:val="clear" w:pos="-720"/>
          <w:tab w:val="clear" w:pos="0"/>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r w:rsidRPr="00517892">
        <w:rPr>
          <w:b/>
          <w:bCs/>
        </w:rPr>
        <w:t>TOPIC AREA 6: Evaluation of Programs and Services</w:t>
      </w:r>
      <w:bookmarkEnd w:id="4"/>
      <w:bookmarkEnd w:id="5"/>
      <w:bookmarkEnd w:id="6"/>
    </w:p>
    <w:p w:rsidR="00C460C3" w:rsidRPr="00517892" w:rsidP="00C460C3" w14:paraId="3DB680F8" w14:textId="77777777">
      <w:pPr>
        <w:pStyle w:val="ListParagraph"/>
        <w:widowControl/>
        <w:numPr>
          <w:ilvl w:val="0"/>
          <w:numId w:val="2"/>
        </w:numPr>
        <w:tabs>
          <w:tab w:val="clear" w:pos="-1080"/>
          <w:tab w:val="clear" w:pos="-720"/>
          <w:tab w:val="clear" w:pos="0"/>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7" w:name="_Toc431379328"/>
      <w:bookmarkStart w:id="8" w:name="_Toc431379383"/>
      <w:bookmarkStart w:id="9" w:name="_Toc431395475"/>
      <w:r w:rsidRPr="00517892">
        <w:rPr>
          <w:b/>
          <w:bCs/>
        </w:rPr>
        <w:t xml:space="preserve">TOPIC AREA7: Human Dimensions </w:t>
      </w:r>
      <w:bookmarkEnd w:id="7"/>
      <w:bookmarkEnd w:id="8"/>
      <w:bookmarkEnd w:id="9"/>
    </w:p>
    <w:p w:rsidR="00C460C3" w:rsidRPr="00517892" w:rsidP="00C460C3" w14:paraId="1D7E71F4" w14:textId="77777777">
      <w:pPr>
        <w:pStyle w:val="ListParagraph"/>
        <w:widowControl/>
        <w:numPr>
          <w:ilvl w:val="0"/>
          <w:numId w:val="2"/>
        </w:numPr>
        <w:tabs>
          <w:tab w:val="clear" w:pos="-1080"/>
          <w:tab w:val="clear" w:pos="-720"/>
          <w:tab w:val="clear" w:pos="0"/>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10" w:name="_Toc431379329"/>
      <w:bookmarkStart w:id="11" w:name="_Toc431379384"/>
      <w:bookmarkStart w:id="12" w:name="_Toc431395476"/>
      <w:r w:rsidRPr="00517892">
        <w:rPr>
          <w:b/>
          <w:bCs/>
        </w:rPr>
        <w:t>TOPIC AREA 8: Environmental Health and Resource Management</w:t>
      </w:r>
      <w:bookmarkEnd w:id="10"/>
      <w:bookmarkEnd w:id="11"/>
      <w:bookmarkEnd w:id="12"/>
    </w:p>
    <w:p w:rsidR="00C460C3" w:rsidRPr="00517892" w:rsidP="00C460C3" w14:paraId="16E65889" w14:textId="77777777">
      <w:pPr>
        <w:pStyle w:val="ListParagraph"/>
        <w:widowControl/>
        <w:numPr>
          <w:ilvl w:val="0"/>
          <w:numId w:val="2"/>
        </w:numPr>
        <w:tabs>
          <w:tab w:val="clear" w:pos="-1080"/>
          <w:tab w:val="clear" w:pos="-720"/>
          <w:tab w:val="clear" w:pos="0"/>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13" w:name="_Toc431379331"/>
      <w:bookmarkStart w:id="14" w:name="_Toc431379386"/>
      <w:bookmarkStart w:id="15" w:name="_Toc431395478"/>
      <w:r w:rsidRPr="00517892">
        <w:rPr>
          <w:b/>
          <w:bCs/>
        </w:rPr>
        <w:t>TOPIC AREA 9: Expenditures</w:t>
      </w:r>
      <w:bookmarkEnd w:id="13"/>
      <w:bookmarkEnd w:id="14"/>
      <w:bookmarkEnd w:id="15"/>
    </w:p>
    <w:p w:rsidR="00C460C3" w:rsidRPr="00391F06" w:rsidP="00C460C3" w14:paraId="1DDF50C5" w14:textId="7859189A">
      <w:pPr>
        <w:pStyle w:val="ListParagraph"/>
        <w:numPr>
          <w:ilvl w:val="0"/>
          <w:numId w:val="2"/>
        </w:numPr>
        <w:tabs>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b/>
          <w:bCs/>
        </w:rPr>
      </w:pPr>
      <w:bookmarkStart w:id="16" w:name="_Toc431379332"/>
      <w:bookmarkStart w:id="17" w:name="_Toc431379387"/>
      <w:bookmarkStart w:id="18" w:name="_Toc431395479"/>
      <w:r w:rsidRPr="00517892">
        <w:rPr>
          <w:b/>
          <w:bCs/>
        </w:rPr>
        <w:t xml:space="preserve">TOPIC AREA 10: </w:t>
      </w:r>
      <w:bookmarkEnd w:id="16"/>
      <w:bookmarkEnd w:id="17"/>
      <w:bookmarkEnd w:id="18"/>
      <w:r w:rsidRPr="00517892">
        <w:rPr>
          <w:b/>
          <w:bCs/>
        </w:rPr>
        <w:t>Environmental Justice</w:t>
      </w:r>
      <w:r>
        <w:rPr>
          <w:b/>
          <w:bCs/>
        </w:rPr>
        <w:t xml:space="preserve"> </w:t>
      </w:r>
    </w:p>
    <w:p w:rsidR="00C460C3" w:rsidRPr="00661D6E" w:rsidP="00332E74" w14:paraId="7EC9D198" w14:textId="7B9BAACC">
      <w:pPr>
        <w:pStyle w:val="ListParagraph"/>
        <w:widowControl/>
        <w:numPr>
          <w:ilvl w:val="0"/>
          <w:numId w:val="2"/>
        </w:numPr>
        <w:tabs>
          <w:tab w:val="clear" w:pos="-1080"/>
          <w:tab w:val="clear" w:pos="-720"/>
          <w:tab w:val="clear" w:pos="0"/>
          <w:tab w:val="left" w:pos="36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bookmarkStart w:id="19" w:name="_Toc445461996"/>
      <w:r w:rsidRPr="00517892">
        <w:rPr>
          <w:b/>
          <w:bCs/>
        </w:rPr>
        <w:t xml:space="preserve">TOPIC AREA 11: </w:t>
      </w:r>
      <w:r w:rsidRPr="00517892">
        <w:rPr>
          <w:rFonts w:eastAsia="Calibri"/>
          <w:b/>
        </w:rPr>
        <w:t>Safety and Risk Management</w:t>
      </w:r>
      <w:bookmarkEnd w:id="19"/>
      <w:r w:rsidR="00661D6E">
        <w:rPr>
          <w:rFonts w:eastAsia="Calibri"/>
          <w:b/>
        </w:rPr>
        <w:br/>
      </w:r>
    </w:p>
    <w:p w:rsidR="00B43612" w:rsidP="604DF46F" w14:paraId="70E513CC" w14:textId="2EA26B3E">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332E74">
        <w:t xml:space="preserve">The PKQ was systematically developed by a team of </w:t>
      </w:r>
      <w:r w:rsidRPr="00332E74">
        <w:t>experienced social science researchers familiar with visitor use surveys and NPS information collections</w:t>
      </w:r>
      <w:r w:rsidR="002E5702">
        <w:t xml:space="preserve">. </w:t>
      </w:r>
      <w:r w:rsidRPr="00332E74">
        <w:t xml:space="preserve"> </w:t>
      </w:r>
      <w:r w:rsidR="002E5702">
        <w:t>O</w:t>
      </w:r>
      <w:r w:rsidRPr="00332E74" w:rsidR="00332E74">
        <w:t xml:space="preserve">riginally created as a guide for </w:t>
      </w:r>
      <w:r w:rsidRPr="00332E74" w:rsidR="1E586D8E">
        <w:t xml:space="preserve">novice </w:t>
      </w:r>
      <w:r w:rsidRPr="00332E74" w:rsidR="00332E74">
        <w:t>social science survey developers</w:t>
      </w:r>
      <w:r w:rsidR="009672F3">
        <w:t xml:space="preserve">. </w:t>
      </w:r>
      <w:r w:rsidR="0083307C">
        <w:t xml:space="preserve"> </w:t>
      </w:r>
      <w:r w:rsidR="009672F3">
        <w:t xml:space="preserve">However, </w:t>
      </w:r>
      <w:r w:rsidR="00B84A9C">
        <w:t xml:space="preserve">because </w:t>
      </w:r>
      <w:r w:rsidR="009672F3">
        <w:t xml:space="preserve">more and more experienced </w:t>
      </w:r>
      <w:r w:rsidRPr="00332E74" w:rsidR="0034500F">
        <w:t xml:space="preserve">social science </w:t>
      </w:r>
      <w:r w:rsidR="009672F3">
        <w:t>researchers are submitting requests using the NPS generic clearance process, th</w:t>
      </w:r>
      <w:r w:rsidR="00CC4CA6">
        <w:t xml:space="preserve">e request for flexibility </w:t>
      </w:r>
      <w:r w:rsidR="000B2822">
        <w:t xml:space="preserve">will underpin the continued utility of </w:t>
      </w:r>
      <w:r w:rsidR="008350FF">
        <w:t xml:space="preserve">the </w:t>
      </w:r>
      <w:r w:rsidRPr="00E67EC4" w:rsidR="008350FF">
        <w:t>NPS Programmatic Clearance</w:t>
      </w:r>
      <w:r w:rsidR="008350FF">
        <w:t>.</w:t>
      </w:r>
    </w:p>
    <w:p w:rsidR="00B43612" w:rsidP="604DF46F" w14:paraId="51E80218" w14:textId="1C36276E">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B43612" w:rsidP="604DF46F" w14:paraId="6B388E05" w14:textId="57B5DD7B">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332E74">
        <w:t>The</w:t>
      </w:r>
      <w:r w:rsidR="00596559">
        <w:t xml:space="preserve"> following</w:t>
      </w:r>
      <w:r w:rsidRPr="00332E74">
        <w:t xml:space="preserve"> criteria </w:t>
      </w:r>
      <w:r w:rsidR="00596559">
        <w:t xml:space="preserve">was </w:t>
      </w:r>
      <w:r w:rsidRPr="00332E74">
        <w:t xml:space="preserve">used to </w:t>
      </w:r>
      <w:r w:rsidR="006A4D42">
        <w:t xml:space="preserve">include questions or topics in the </w:t>
      </w:r>
      <w:r w:rsidRPr="00332E74">
        <w:t xml:space="preserve">PKQ: </w:t>
      </w:r>
    </w:p>
    <w:p w:rsidR="00596559" w:rsidP="5A498324" w14:paraId="180E90C0" w14:textId="68F4F15A">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pPr>
      <w:r>
        <w:t>(1)</w:t>
      </w:r>
      <w:r>
        <w:t xml:space="preserve"> </w:t>
      </w:r>
      <w:r w:rsidR="003807DC">
        <w:t xml:space="preserve">questions </w:t>
      </w:r>
      <w:r>
        <w:t xml:space="preserve">used in surveys that yielded publishable results, </w:t>
      </w:r>
    </w:p>
    <w:p w:rsidR="00596559" w:rsidP="5A498324" w14:paraId="07918E27" w14:textId="2747CD45">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pPr>
      <w:r>
        <w:t>(2) questions</w:t>
      </w:r>
      <w:r w:rsidR="00805BDF">
        <w:t xml:space="preserve"> </w:t>
      </w:r>
      <w:r>
        <w:t xml:space="preserve">previously approved by OMB, and </w:t>
      </w:r>
    </w:p>
    <w:p w:rsidR="00DB65FC" w:rsidP="00C460C3" w14:paraId="7F6650DD" w14:textId="498C9F6A">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pPr>
      <w:r w:rsidRPr="00332E74">
        <w:t xml:space="preserve">(3) question related to natural resource management and human dimensions. </w:t>
      </w:r>
    </w:p>
    <w:p w:rsidR="00C460C3" w:rsidP="00C460C3" w14:paraId="6A6C48EF"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pPr>
    </w:p>
    <w:p w:rsidR="008B25AB" w:rsidP="4CB69128" w14:paraId="1D4CD480" w14:textId="754E9BDD">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r>
        <w:t>In preparation for this renewal, t</w:t>
      </w:r>
      <w:r w:rsidR="00A33BA9">
        <w:t>he PKQ</w:t>
      </w:r>
      <w:r w:rsidRPr="5A498324" w:rsidR="00332E74">
        <w:rPr>
          <w:i/>
          <w:iCs/>
        </w:rPr>
        <w:t xml:space="preserve"> </w:t>
      </w:r>
      <w:r w:rsidR="00332E74">
        <w:t xml:space="preserve">has been streamlined to remove redundancies and allow for flexible application. </w:t>
      </w:r>
      <w:r w:rsidR="00762B4B">
        <w:t>The</w:t>
      </w:r>
      <w:r w:rsidR="002C07FD">
        <w:t xml:space="preserve"> </w:t>
      </w:r>
      <w:r w:rsidR="00EF6BD3">
        <w:t xml:space="preserve">updates to the </w:t>
      </w:r>
      <w:r w:rsidR="00AF26BF">
        <w:t>PKQ</w:t>
      </w:r>
      <w:r w:rsidR="00EF6BD3">
        <w:t xml:space="preserve"> are </w:t>
      </w:r>
      <w:r w:rsidR="000C7F8E">
        <w:t>described</w:t>
      </w:r>
      <w:r>
        <w:t xml:space="preserve"> in Table 2.1.</w:t>
      </w:r>
      <w:r w:rsidR="002C07FD">
        <w:t xml:space="preserve"> </w:t>
      </w:r>
    </w:p>
    <w:p w:rsidR="00727ECD" w:rsidP="00517892" w14:paraId="5BCC0304"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rPr>
      </w:pPr>
    </w:p>
    <w:p w:rsidR="00517892" w:rsidRPr="00E67EC4" w:rsidP="00517892" w14:paraId="0ADE28B0" w14:textId="60E211A6">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A146AA">
        <w:rPr>
          <w:b/>
          <w:bCs/>
        </w:rPr>
        <w:t xml:space="preserve">Table </w:t>
      </w:r>
      <w:r w:rsidRPr="00A146AA">
        <w:rPr>
          <w:b/>
          <w:bCs/>
        </w:rPr>
        <w:t>2.1 Updates to Topic Areas/Subsections</w:t>
      </w:r>
    </w:p>
    <w:tbl>
      <w:tblPr>
        <w:tblStyle w:val="TableGrid"/>
        <w:tblW w:w="9625" w:type="dxa"/>
        <w:tblLook w:val="04A0"/>
      </w:tblPr>
      <w:tblGrid>
        <w:gridCol w:w="985"/>
        <w:gridCol w:w="2970"/>
        <w:gridCol w:w="5670"/>
      </w:tblGrid>
      <w:tr w14:paraId="5EDA7856" w14:textId="77777777" w:rsidTr="004B3167">
        <w:tblPrEx>
          <w:tblW w:w="9625" w:type="dxa"/>
          <w:tblLook w:val="04A0"/>
        </w:tblPrEx>
        <w:trPr>
          <w:trHeight w:val="683"/>
          <w:tblHeader/>
        </w:trPr>
        <w:tc>
          <w:tcPr>
            <w:tcW w:w="985" w:type="dxa"/>
            <w:shd w:val="clear" w:color="auto" w:fill="EBF1DD" w:themeFill="accent3" w:themeFillTint="33"/>
            <w:vAlign w:val="center"/>
          </w:tcPr>
          <w:p w:rsidR="00517892" w:rsidRPr="00A146AA" w:rsidP="00FF067D" w14:paraId="07CBA2AF"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A146AA">
              <w:rPr>
                <w:b/>
                <w:bCs/>
              </w:rPr>
              <w:t>Topic Area</w:t>
            </w:r>
          </w:p>
        </w:tc>
        <w:tc>
          <w:tcPr>
            <w:tcW w:w="2970" w:type="dxa"/>
            <w:shd w:val="clear" w:color="auto" w:fill="EBF1DD" w:themeFill="accent3" w:themeFillTint="33"/>
            <w:vAlign w:val="center"/>
          </w:tcPr>
          <w:p w:rsidR="00517892" w:rsidRPr="00A146AA" w:rsidP="00FF067D" w14:paraId="2A2CD6A3"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A146AA">
              <w:rPr>
                <w:b/>
                <w:bCs/>
              </w:rPr>
              <w:t>Change/Update</w:t>
            </w:r>
          </w:p>
        </w:tc>
        <w:tc>
          <w:tcPr>
            <w:tcW w:w="5670" w:type="dxa"/>
            <w:shd w:val="clear" w:color="auto" w:fill="EBF1DD" w:themeFill="accent3" w:themeFillTint="33"/>
            <w:vAlign w:val="center"/>
          </w:tcPr>
          <w:p w:rsidR="00517892" w:rsidRPr="00A146AA" w:rsidP="00FF067D" w14:paraId="1532F47F"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A146AA">
              <w:rPr>
                <w:b/>
                <w:bCs/>
              </w:rPr>
              <w:t>Reason for Change</w:t>
            </w:r>
          </w:p>
        </w:tc>
      </w:tr>
      <w:tr w14:paraId="728D0883" w14:textId="77777777" w:rsidTr="5A498324">
        <w:tblPrEx>
          <w:tblW w:w="9625" w:type="dxa"/>
          <w:tblLook w:val="04A0"/>
        </w:tblPrEx>
        <w:trPr>
          <w:trHeight w:val="863"/>
        </w:trPr>
        <w:tc>
          <w:tcPr>
            <w:tcW w:w="985" w:type="dxa"/>
            <w:shd w:val="clear" w:color="auto" w:fill="EBF1DD" w:themeFill="accent3" w:themeFillTint="33"/>
            <w:vAlign w:val="center"/>
          </w:tcPr>
          <w:p w:rsidR="00517892" w:rsidRPr="0096077C" w:rsidP="00FF067D" w14:paraId="7E477107" w14:textId="37463C3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8C4A0B">
              <w:rPr>
                <w:b/>
                <w:bCs/>
              </w:rPr>
              <w:t>5</w:t>
            </w:r>
          </w:p>
        </w:tc>
        <w:tc>
          <w:tcPr>
            <w:tcW w:w="2970" w:type="dxa"/>
            <w:vAlign w:val="center"/>
          </w:tcPr>
          <w:p w:rsidR="00517892" w:rsidRPr="001C4F82" w:rsidP="5A498324" w14:paraId="15C80811" w14:textId="2772F785">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rPr>
            </w:pPr>
            <w:r w:rsidRPr="00120E16">
              <w:rPr>
                <w:color w:val="FF0000"/>
              </w:rPr>
              <w:t>Revision:</w:t>
            </w:r>
            <w:r>
              <w:t xml:space="preserve"> </w:t>
            </w:r>
            <w:r w:rsidR="38F28BA0">
              <w:t xml:space="preserve">Subtopic Name </w:t>
            </w:r>
            <w:r w:rsidR="12A43FD9">
              <w:t>C</w:t>
            </w:r>
            <w:r w:rsidR="38F28BA0">
              <w:t>hange</w:t>
            </w:r>
          </w:p>
        </w:tc>
        <w:tc>
          <w:tcPr>
            <w:tcW w:w="5670" w:type="dxa"/>
            <w:vAlign w:val="center"/>
          </w:tcPr>
          <w:p w:rsidR="00517892" w:rsidRPr="001C4F82" w:rsidP="00FF067D" w14:paraId="35EA24A8" w14:textId="0F3BDCA9">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rPr>
            </w:pPr>
            <w:r w:rsidRPr="0002271E">
              <w:rPr>
                <w:iCs/>
              </w:rPr>
              <w:t xml:space="preserve">The subsection </w:t>
            </w:r>
            <w:r w:rsidRPr="00FF067D" w:rsidR="00F53C1C">
              <w:rPr>
                <w:i/>
                <w:color w:val="FF0000"/>
              </w:rPr>
              <w:t xml:space="preserve">Use </w:t>
            </w:r>
            <w:r w:rsidRPr="00FF067D">
              <w:rPr>
                <w:i/>
                <w:color w:val="FF0000"/>
              </w:rPr>
              <w:t>of Technology</w:t>
            </w:r>
            <w:r w:rsidRPr="00391F06">
              <w:rPr>
                <w:iCs/>
                <w:color w:val="FF0000"/>
              </w:rPr>
              <w:t xml:space="preserve"> </w:t>
            </w:r>
            <w:r w:rsidR="00F53C1C">
              <w:rPr>
                <w:iCs/>
              </w:rPr>
              <w:t xml:space="preserve">is </w:t>
            </w:r>
            <w:r w:rsidRPr="0002271E">
              <w:rPr>
                <w:iCs/>
              </w:rPr>
              <w:t xml:space="preserve">renamed </w:t>
            </w:r>
            <w:r w:rsidRPr="00FF067D">
              <w:rPr>
                <w:i/>
                <w:color w:val="FF0000"/>
              </w:rPr>
              <w:t xml:space="preserve">Technology and </w:t>
            </w:r>
            <w:r w:rsidRPr="00FF067D">
              <w:rPr>
                <w:i/>
                <w:color w:val="FF0000"/>
              </w:rPr>
              <w:t>Social Media</w:t>
            </w:r>
            <w:r w:rsidRPr="00FF067D">
              <w:rPr>
                <w:iCs/>
                <w:color w:val="FF0000"/>
              </w:rPr>
              <w:t xml:space="preserve"> </w:t>
            </w:r>
            <w:r w:rsidRPr="0002271E">
              <w:rPr>
                <w:iCs/>
              </w:rPr>
              <w:t xml:space="preserve">to highlight the evolving cultural importance of social media as a </w:t>
            </w:r>
            <w:r w:rsidRPr="0002271E">
              <w:rPr>
                <w:iCs/>
              </w:rPr>
              <w:t>communication tool</w:t>
            </w:r>
            <w:r>
              <w:rPr>
                <w:iCs/>
              </w:rPr>
              <w:t>.</w:t>
            </w:r>
          </w:p>
        </w:tc>
      </w:tr>
      <w:tr w14:paraId="670FC98C" w14:textId="77777777" w:rsidTr="5A498324">
        <w:tblPrEx>
          <w:tblW w:w="9625" w:type="dxa"/>
          <w:tblLook w:val="04A0"/>
        </w:tblPrEx>
        <w:trPr>
          <w:trHeight w:val="2276"/>
        </w:trPr>
        <w:tc>
          <w:tcPr>
            <w:tcW w:w="985" w:type="dxa"/>
            <w:shd w:val="clear" w:color="auto" w:fill="EBF1DD" w:themeFill="accent3" w:themeFillTint="33"/>
            <w:vAlign w:val="center"/>
          </w:tcPr>
          <w:p w:rsidR="00517892" w:rsidRPr="008C4A0B" w:rsidP="00FF067D" w14:paraId="278C6E5F" w14:textId="672BD3BE">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8C4A0B">
              <w:rPr>
                <w:b/>
                <w:bCs/>
                <w:iCs/>
              </w:rPr>
              <w:t>5</w:t>
            </w:r>
          </w:p>
        </w:tc>
        <w:tc>
          <w:tcPr>
            <w:tcW w:w="2970" w:type="dxa"/>
            <w:vAlign w:val="center"/>
          </w:tcPr>
          <w:p w:rsidR="00517892" w:rsidP="5A498324" w14:paraId="4819A223" w14:textId="56062E73">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120E16">
              <w:rPr>
                <w:color w:val="FF0000"/>
              </w:rPr>
              <w:t>Revision:</w:t>
            </w:r>
            <w:r>
              <w:t xml:space="preserve"> </w:t>
            </w:r>
            <w:r w:rsidR="4F66AFA5">
              <w:t>(1) Removed Virtual Visitor Subsection</w:t>
            </w:r>
          </w:p>
          <w:p w:rsidR="007F1533" w:rsidP="00FF067D" w14:paraId="082FB58E"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p>
          <w:p w:rsidR="007F1533" w:rsidP="00FF067D" w14:paraId="30751DDE"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p>
          <w:p w:rsidR="007F1533" w:rsidP="00FF067D" w14:paraId="78217E8C"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p>
          <w:p w:rsidR="007F1533" w:rsidRPr="0002271E" w:rsidP="5A498324" w14:paraId="5172F1D3" w14:textId="2C0BE766">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120E16">
              <w:rPr>
                <w:color w:val="FF0000"/>
              </w:rPr>
              <w:t>Revision</w:t>
            </w:r>
            <w:r>
              <w:t xml:space="preserve"> </w:t>
            </w:r>
            <w:r w:rsidR="4F66AFA5">
              <w:t>(2)</w:t>
            </w:r>
            <w:r w:rsidR="0A249023">
              <w:t xml:space="preserve"> Removed Hunting and Fishing as a </w:t>
            </w:r>
            <w:r w:rsidR="16DE4E14">
              <w:t xml:space="preserve">standalone </w:t>
            </w:r>
            <w:r w:rsidR="0A249023">
              <w:t>subsection</w:t>
            </w:r>
          </w:p>
        </w:tc>
        <w:tc>
          <w:tcPr>
            <w:tcW w:w="5670" w:type="dxa"/>
            <w:vAlign w:val="center"/>
          </w:tcPr>
          <w:p w:rsidR="00517892" w:rsidRPr="0002271E" w:rsidP="00FF067D" w14:paraId="41B41826" w14:textId="4D7C011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r w:rsidRPr="0002271E">
              <w:rPr>
                <w:iCs/>
              </w:rPr>
              <w:t xml:space="preserve">(1) </w:t>
            </w:r>
            <w:r w:rsidR="007F1533">
              <w:rPr>
                <w:iCs/>
              </w:rPr>
              <w:t xml:space="preserve">The question in the </w:t>
            </w:r>
            <w:r w:rsidRPr="0002271E">
              <w:rPr>
                <w:iCs/>
              </w:rPr>
              <w:t xml:space="preserve">Virtual Visitor Subsection has been incorporated into other subsections </w:t>
            </w:r>
            <w:r w:rsidR="007F1533">
              <w:rPr>
                <w:iCs/>
              </w:rPr>
              <w:t>as appropriate because questions related to</w:t>
            </w:r>
            <w:r w:rsidRPr="0002271E">
              <w:rPr>
                <w:iCs/>
              </w:rPr>
              <w:t xml:space="preserve"> virtual visitors requires inquiry </w:t>
            </w:r>
            <w:r w:rsidR="007F1533">
              <w:rPr>
                <w:iCs/>
              </w:rPr>
              <w:t>from</w:t>
            </w:r>
            <w:r w:rsidRPr="0002271E" w:rsidR="007F1533">
              <w:rPr>
                <w:iCs/>
              </w:rPr>
              <w:t xml:space="preserve"> </w:t>
            </w:r>
            <w:r w:rsidRPr="0002271E">
              <w:rPr>
                <w:iCs/>
              </w:rPr>
              <w:t>different topic areas</w:t>
            </w:r>
            <w:r>
              <w:rPr>
                <w:iCs/>
              </w:rPr>
              <w:t>.</w:t>
            </w:r>
          </w:p>
          <w:p w:rsidR="00517892" w:rsidRPr="0002271E" w:rsidP="00FF067D" w14:paraId="350F443E" w14:textId="77777777">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p>
          <w:p w:rsidR="00517892" w:rsidRPr="0002271E" w:rsidP="00FF067D" w14:paraId="25B9E195" w14:textId="7D28376B">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iCs/>
              </w:rPr>
            </w:pPr>
            <w:r w:rsidRPr="0002271E">
              <w:rPr>
                <w:iCs/>
              </w:rPr>
              <w:t xml:space="preserve">(2) The subsection HUNTING and FISHING </w:t>
            </w:r>
            <w:r w:rsidR="00914803">
              <w:rPr>
                <w:iCs/>
              </w:rPr>
              <w:t>is</w:t>
            </w:r>
            <w:r w:rsidRPr="0002271E" w:rsidR="00914803">
              <w:rPr>
                <w:iCs/>
              </w:rPr>
              <w:t xml:space="preserve"> </w:t>
            </w:r>
            <w:r w:rsidRPr="0002271E">
              <w:rPr>
                <w:iCs/>
              </w:rPr>
              <w:t>updated to be more inclusive of gen</w:t>
            </w:r>
            <w:r w:rsidRPr="0002271E">
              <w:rPr>
                <w:iCs/>
              </w:rPr>
              <w:t>eral recreation activities and renamed RECREATION ACTIVITY (REACT).</w:t>
            </w:r>
          </w:p>
        </w:tc>
      </w:tr>
      <w:tr w14:paraId="3AA5B498" w14:textId="77777777" w:rsidTr="5A498324">
        <w:tblPrEx>
          <w:tblW w:w="9625" w:type="dxa"/>
          <w:tblLook w:val="04A0"/>
        </w:tblPrEx>
        <w:trPr>
          <w:trHeight w:val="1331"/>
        </w:trPr>
        <w:tc>
          <w:tcPr>
            <w:tcW w:w="985" w:type="dxa"/>
            <w:shd w:val="clear" w:color="auto" w:fill="EBF1DD" w:themeFill="accent3" w:themeFillTint="33"/>
            <w:vAlign w:val="center"/>
          </w:tcPr>
          <w:p w:rsidR="00517892" w:rsidRPr="008C4A0B" w:rsidP="00391F06" w14:paraId="63B3F771" w14:textId="0AE30952">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rPr>
            </w:pPr>
            <w:r w:rsidRPr="008C4A0B">
              <w:rPr>
                <w:b/>
                <w:bCs/>
                <w:iCs/>
              </w:rPr>
              <w:t>8</w:t>
            </w:r>
          </w:p>
        </w:tc>
        <w:tc>
          <w:tcPr>
            <w:tcW w:w="2970" w:type="dxa"/>
            <w:vAlign w:val="center"/>
          </w:tcPr>
          <w:p w:rsidR="00517892" w:rsidRPr="0002271E" w:rsidP="5A498324" w14:paraId="0A28A65C" w14:textId="01757B3F">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120E16">
              <w:rPr>
                <w:b/>
                <w:bCs/>
                <w:color w:val="FF0000"/>
              </w:rPr>
              <w:t>NEW Subsection</w:t>
            </w:r>
            <w:r w:rsidRPr="00120E16">
              <w:rPr>
                <w:b/>
                <w:bCs/>
              </w:rPr>
              <w:t>:</w:t>
            </w:r>
            <w:r>
              <w:t xml:space="preserve"> Climate Change </w:t>
            </w:r>
          </w:p>
        </w:tc>
        <w:tc>
          <w:tcPr>
            <w:tcW w:w="5670" w:type="dxa"/>
            <w:vAlign w:val="center"/>
          </w:tcPr>
          <w:p w:rsidR="00517892" w:rsidRPr="0002271E" w:rsidP="48A455D0" w14:paraId="5482D802" w14:textId="25FB8B41">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t>Subsection added to address</w:t>
            </w:r>
            <w:r w:rsidR="2E39A8DE">
              <w:t xml:space="preserve"> the</w:t>
            </w:r>
            <w:r>
              <w:t xml:space="preserve"> need for social science data regarding climate change to inform NPS educational offerings, </w:t>
            </w:r>
            <w:r w:rsidR="69BAF54C">
              <w:t xml:space="preserve">messaging, and </w:t>
            </w:r>
            <w:r w:rsidR="7C0234B4">
              <w:t xml:space="preserve">response. </w:t>
            </w:r>
          </w:p>
        </w:tc>
      </w:tr>
      <w:tr w14:paraId="73AE87A3" w14:textId="77777777" w:rsidTr="00120E16">
        <w:tblPrEx>
          <w:tblW w:w="9625" w:type="dxa"/>
          <w:tblLook w:val="04A0"/>
        </w:tblPrEx>
        <w:trPr>
          <w:trHeight w:val="1875"/>
        </w:trPr>
        <w:tc>
          <w:tcPr>
            <w:tcW w:w="985" w:type="dxa"/>
            <w:shd w:val="clear" w:color="auto" w:fill="EBF1DD" w:themeFill="accent3" w:themeFillTint="33"/>
            <w:vAlign w:val="center"/>
          </w:tcPr>
          <w:p w:rsidR="00517892" w:rsidRPr="008C4A0B" w:rsidP="00391F06" w14:paraId="020E0C54" w14:textId="2EFDF46B">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jc w:val="center"/>
              <w:rPr>
                <w:b/>
                <w:bCs/>
              </w:rPr>
            </w:pPr>
            <w:r w:rsidRPr="008C4A0B">
              <w:rPr>
                <w:b/>
                <w:bCs/>
                <w:iCs/>
              </w:rPr>
              <w:t>10</w:t>
            </w:r>
          </w:p>
        </w:tc>
        <w:tc>
          <w:tcPr>
            <w:tcW w:w="2970" w:type="dxa"/>
            <w:vAlign w:val="center"/>
          </w:tcPr>
          <w:p w:rsidR="00517892" w:rsidRPr="0002271E" w:rsidP="5747142F" w14:paraId="6FFBB593" w14:textId="3E1A11F5">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120E16">
              <w:rPr>
                <w:b/>
                <w:bCs/>
                <w:color w:val="FF0000"/>
              </w:rPr>
              <w:t xml:space="preserve">NEW </w:t>
            </w:r>
            <w:r w:rsidRPr="5A498324">
              <w:rPr>
                <w:color w:val="FF0000"/>
              </w:rPr>
              <w:t xml:space="preserve">- Topic Area </w:t>
            </w:r>
            <w:r w:rsidRPr="5A498324" w:rsidR="2D47A894">
              <w:rPr>
                <w:color w:val="FF0000"/>
              </w:rPr>
              <w:t>Name Change</w:t>
            </w:r>
            <w:r w:rsidRPr="5A498324" w:rsidR="747E33AF">
              <w:rPr>
                <w:color w:val="FF0000"/>
              </w:rPr>
              <w:t xml:space="preserve">: </w:t>
            </w:r>
            <w:r>
              <w:t>Changed to Environmental Justice</w:t>
            </w:r>
          </w:p>
        </w:tc>
        <w:tc>
          <w:tcPr>
            <w:tcW w:w="5670" w:type="dxa"/>
            <w:vAlign w:val="center"/>
          </w:tcPr>
          <w:p w:rsidR="00517892" w:rsidRPr="0002271E" w:rsidP="5747142F" w14:paraId="2671B80D" w14:textId="6D480D46">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0002271E">
              <w:rPr>
                <w:iCs/>
              </w:rPr>
              <w:t>The former</w:t>
            </w:r>
            <w:r w:rsidR="00FB2FD7">
              <w:rPr>
                <w:iCs/>
              </w:rPr>
              <w:t xml:space="preserve"> Topic Area </w:t>
            </w:r>
            <w:r w:rsidR="24603D8D">
              <w:t xml:space="preserve">10 </w:t>
            </w:r>
            <w:r w:rsidR="00FB2FD7">
              <w:t>C</w:t>
            </w:r>
            <w:r w:rsidR="007B2C2C">
              <w:t>onstraints</w:t>
            </w:r>
            <w:r w:rsidRPr="007B2C2C" w:rsidR="007B2C2C">
              <w:rPr>
                <w:iCs/>
              </w:rPr>
              <w:t xml:space="preserve"> and Barriers </w:t>
            </w:r>
            <w:r w:rsidRPr="0002271E">
              <w:rPr>
                <w:iCs/>
              </w:rPr>
              <w:t xml:space="preserve">is now a </w:t>
            </w:r>
            <w:r w:rsidRPr="0002271E">
              <w:rPr>
                <w:iCs/>
              </w:rPr>
              <w:t>subsection</w:t>
            </w:r>
            <w:r w:rsidR="00284306">
              <w:rPr>
                <w:iCs/>
              </w:rPr>
              <w:t xml:space="preserve"> under the NEW Topic Area</w:t>
            </w:r>
            <w:r w:rsidR="193CED2F">
              <w:t xml:space="preserve"> 10</w:t>
            </w:r>
            <w:r w:rsidR="00284306">
              <w:rPr>
                <w:iCs/>
              </w:rPr>
              <w:t>: Environmental Justice</w:t>
            </w:r>
            <w:r w:rsidRPr="0002271E">
              <w:rPr>
                <w:iCs/>
              </w:rPr>
              <w:t xml:space="preserve">. This change was made to broaden the </w:t>
            </w:r>
            <w:r w:rsidR="00E31535">
              <w:rPr>
                <w:iCs/>
              </w:rPr>
              <w:t xml:space="preserve">Topic Area </w:t>
            </w:r>
            <w:r w:rsidR="00B72A83">
              <w:rPr>
                <w:iCs/>
              </w:rPr>
              <w:t xml:space="preserve">to </w:t>
            </w:r>
            <w:r w:rsidR="000D77A3">
              <w:rPr>
                <w:iCs/>
              </w:rPr>
              <w:t>be more inclus</w:t>
            </w:r>
            <w:r w:rsidR="00E31535">
              <w:rPr>
                <w:iCs/>
              </w:rPr>
              <w:t xml:space="preserve">ive of the </w:t>
            </w:r>
            <w:r w:rsidR="00B72A83">
              <w:rPr>
                <w:iCs/>
              </w:rPr>
              <w:t>subjects</w:t>
            </w:r>
            <w:r w:rsidR="00E31535">
              <w:rPr>
                <w:iCs/>
              </w:rPr>
              <w:t xml:space="preserve"> generally covered in </w:t>
            </w:r>
            <w:r w:rsidRPr="0002271E">
              <w:rPr>
                <w:iCs/>
              </w:rPr>
              <w:t>the following subsections: Constraints and Barriers; Diversity, Equity, and Inclusion; A</w:t>
            </w:r>
            <w:r w:rsidRPr="0002271E">
              <w:rPr>
                <w:iCs/>
              </w:rPr>
              <w:t>ccessibility; and Traditional Ecological Knowledge.</w:t>
            </w:r>
          </w:p>
        </w:tc>
      </w:tr>
      <w:tr w14:paraId="3199DBD4" w14:textId="77777777" w:rsidTr="00120E16">
        <w:tblPrEx>
          <w:tblW w:w="9625" w:type="dxa"/>
          <w:tblLook w:val="04A0"/>
        </w:tblPrEx>
        <w:trPr>
          <w:trHeight w:val="930"/>
        </w:trPr>
        <w:tc>
          <w:tcPr>
            <w:tcW w:w="985" w:type="dxa"/>
            <w:shd w:val="clear" w:color="auto" w:fill="EBF1DD" w:themeFill="accent3" w:themeFillTint="33"/>
            <w:vAlign w:val="center"/>
          </w:tcPr>
          <w:p w:rsidR="00517892" w:rsidRPr="008C4A0B" w:rsidP="008C4A0B" w14:paraId="09966BE8" w14:textId="0E738A28">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jc w:val="center"/>
              <w:rPr>
                <w:b/>
                <w:bCs/>
              </w:rPr>
            </w:pPr>
            <w:r w:rsidRPr="008C4A0B">
              <w:rPr>
                <w:b/>
                <w:bCs/>
                <w:iCs/>
              </w:rPr>
              <w:t>10</w:t>
            </w:r>
          </w:p>
        </w:tc>
        <w:tc>
          <w:tcPr>
            <w:tcW w:w="2970" w:type="dxa"/>
            <w:vAlign w:val="center"/>
          </w:tcPr>
          <w:p w:rsidR="00517892" w:rsidRPr="0002271E" w:rsidP="5A498324" w14:paraId="6AB66823" w14:textId="3AF95C70">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sidRPr="5A498324">
              <w:rPr>
                <w:color w:val="FF0000"/>
              </w:rPr>
              <w:t xml:space="preserve">Revision: </w:t>
            </w:r>
            <w:r w:rsidRPr="5A498324" w:rsidR="3C780B4D">
              <w:rPr>
                <w:color w:val="FF0000"/>
              </w:rPr>
              <w:t>Moved</w:t>
            </w:r>
            <w:r w:rsidRPr="5A498324" w:rsidR="7D9B0F39">
              <w:rPr>
                <w:color w:val="FF0000"/>
              </w:rPr>
              <w:t xml:space="preserve">: </w:t>
            </w:r>
            <w:r>
              <w:t xml:space="preserve">Subsection: </w:t>
            </w:r>
            <w:r w:rsidR="4D50B016">
              <w:t>“</w:t>
            </w:r>
            <w:r>
              <w:t>Stakeholders</w:t>
            </w:r>
            <w:r w:rsidR="4D50B016">
              <w:t>”</w:t>
            </w:r>
          </w:p>
        </w:tc>
        <w:tc>
          <w:tcPr>
            <w:tcW w:w="5670" w:type="dxa"/>
            <w:vAlign w:val="center"/>
          </w:tcPr>
          <w:p w:rsidR="00517892" w:rsidRPr="0002271E" w:rsidP="7E49AFD5" w14:paraId="72C60424" w14:textId="35554989">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rPr>
                <w:iCs/>
              </w:rPr>
              <w:t>Previ</w:t>
            </w:r>
            <w:r w:rsidR="005E5E8B">
              <w:rPr>
                <w:iCs/>
              </w:rPr>
              <w:t xml:space="preserve">ously listed under </w:t>
            </w:r>
            <w:r w:rsidR="001455B8">
              <w:rPr>
                <w:iCs/>
              </w:rPr>
              <w:t xml:space="preserve">Topic Area 10 </w:t>
            </w:r>
            <w:r w:rsidR="6BB159F9">
              <w:t>Constraints and Barriers</w:t>
            </w:r>
            <w:r w:rsidR="0072793B">
              <w:rPr>
                <w:iCs/>
              </w:rPr>
              <w:t xml:space="preserve">. Now included under </w:t>
            </w:r>
            <w:r w:rsidRPr="0002271E">
              <w:rPr>
                <w:iCs/>
              </w:rPr>
              <w:t>Topic Area 7</w:t>
            </w:r>
            <w:r w:rsidR="001455B8">
              <w:rPr>
                <w:iCs/>
              </w:rPr>
              <w:t>:</w:t>
            </w:r>
            <w:r w:rsidR="004F2E60">
              <w:rPr>
                <w:iCs/>
              </w:rPr>
              <w:t xml:space="preserve"> </w:t>
            </w:r>
            <w:r w:rsidRPr="0002271E">
              <w:rPr>
                <w:iCs/>
              </w:rPr>
              <w:t xml:space="preserve">Human Dimensions </w:t>
            </w:r>
            <w:r w:rsidR="00DE0777">
              <w:rPr>
                <w:iCs/>
              </w:rPr>
              <w:t>for better applicability</w:t>
            </w:r>
          </w:p>
        </w:tc>
      </w:tr>
    </w:tbl>
    <w:p w:rsidR="0052264B" w:rsidP="5A498324" w14:paraId="68141E8A" w14:textId="072109D6">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716906" w:rsidRPr="00B41D34" w:rsidP="5A498324" w14:paraId="6C1EB2C2" w14:textId="7848797F">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9E0149">
        <w:rPr>
          <w:b/>
          <w:bCs/>
          <w:u w:val="single"/>
        </w:rPr>
        <w:t>S</w:t>
      </w:r>
      <w:r w:rsidRPr="00E00C56">
        <w:rPr>
          <w:b/>
          <w:bCs/>
          <w:u w:val="single"/>
        </w:rPr>
        <w:t>cales and An</w:t>
      </w:r>
      <w:r w:rsidRPr="00B41D34">
        <w:rPr>
          <w:b/>
          <w:bCs/>
          <w:u w:val="single"/>
        </w:rPr>
        <w:t>chors</w:t>
      </w:r>
    </w:p>
    <w:p w:rsidR="007F0552" w:rsidRPr="009E0149" w:rsidP="5A498324" w14:paraId="65DE2138" w14:textId="2C3EEB68">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325FFE">
        <w:t>T</w:t>
      </w:r>
      <w:r w:rsidRPr="00D81C08" w:rsidR="00B43AC2">
        <w:t xml:space="preserve">o address </w:t>
      </w:r>
      <w:r w:rsidRPr="009E0149" w:rsidR="004479F4">
        <w:t>a</w:t>
      </w:r>
      <w:r w:rsidRPr="009E0149" w:rsidR="00B43AC2">
        <w:t xml:space="preserve"> need expressed by peer reviewers</w:t>
      </w:r>
      <w:r w:rsidRPr="00120E16" w:rsidR="00AF645E">
        <w:t xml:space="preserve"> and </w:t>
      </w:r>
      <w:r w:rsidRPr="00120E16" w:rsidR="003A5BF8">
        <w:t>researchers</w:t>
      </w:r>
      <w:r w:rsidR="003A0D92">
        <w:t xml:space="preserve"> </w:t>
      </w:r>
      <w:r w:rsidRPr="00120E16" w:rsidR="00C56B00">
        <w:t>leveraging this Clearance</w:t>
      </w:r>
      <w:r w:rsidR="007C5EA4">
        <w:t xml:space="preserve"> </w:t>
      </w:r>
      <w:r w:rsidR="001B316B">
        <w:t>(see responses to Q8 below)</w:t>
      </w:r>
      <w:r w:rsidRPr="00775993" w:rsidR="001B316B">
        <w:t>,</w:t>
      </w:r>
      <w:r w:rsidRPr="009E0149" w:rsidR="00B43AC2">
        <w:t xml:space="preserve"> the PKQ </w:t>
      </w:r>
      <w:r w:rsidR="0056473D">
        <w:t>has been</w:t>
      </w:r>
      <w:r w:rsidRPr="009E0149" w:rsidR="00B43AC2">
        <w:t xml:space="preserve"> modified to </w:t>
      </w:r>
      <w:r w:rsidRPr="00B41D34" w:rsidR="00E27A2F">
        <w:t xml:space="preserve">include </w:t>
      </w:r>
      <w:r w:rsidR="001B316B">
        <w:t xml:space="preserve">a variety of </w:t>
      </w:r>
      <w:r w:rsidRPr="00325FFE" w:rsidR="00C7736C">
        <w:t xml:space="preserve">measurement tools </w:t>
      </w:r>
      <w:r w:rsidRPr="00D81C08" w:rsidR="00B53B4F">
        <w:t>(</w:t>
      </w:r>
      <w:r w:rsidRPr="009E0149" w:rsidR="004479F4">
        <w:t xml:space="preserve">i.e., </w:t>
      </w:r>
      <w:r w:rsidRPr="009E0149" w:rsidR="00B53B4F">
        <w:t xml:space="preserve">scales and anchors) </w:t>
      </w:r>
      <w:r w:rsidR="00313145">
        <w:t xml:space="preserve">that </w:t>
      </w:r>
      <w:r w:rsidRPr="009E0149" w:rsidR="00205699">
        <w:t xml:space="preserve">serve as examples of </w:t>
      </w:r>
      <w:r w:rsidR="0063798D">
        <w:t>quantitative</w:t>
      </w:r>
      <w:r w:rsidR="00AB74AB">
        <w:t xml:space="preserve"> (discrete and continuous)</w:t>
      </w:r>
      <w:r w:rsidR="0063798D">
        <w:t xml:space="preserve"> and categorial</w:t>
      </w:r>
      <w:r w:rsidR="00112F9C">
        <w:t xml:space="preserve"> (binary, nominal and ordinal)</w:t>
      </w:r>
      <w:r w:rsidR="0063798D">
        <w:t xml:space="preserve"> </w:t>
      </w:r>
      <w:r w:rsidR="00112F9C">
        <w:t xml:space="preserve">variable </w:t>
      </w:r>
      <w:r w:rsidRPr="009E0149" w:rsidR="00205699">
        <w:t>options</w:t>
      </w:r>
      <w:r w:rsidR="00112F9C">
        <w:t xml:space="preserve">. </w:t>
      </w:r>
      <w:r w:rsidRPr="009E0149" w:rsidR="00205699">
        <w:t xml:space="preserve"> Like</w:t>
      </w:r>
      <w:r w:rsidRPr="009E0149" w:rsidR="008069DA">
        <w:t xml:space="preserve"> individual</w:t>
      </w:r>
      <w:r w:rsidRPr="009E0149" w:rsidR="00205699">
        <w:t xml:space="preserve"> question and response </w:t>
      </w:r>
      <w:r w:rsidRPr="009E0149" w:rsidR="008069DA">
        <w:t>options</w:t>
      </w:r>
      <w:r w:rsidRPr="009E0149" w:rsidR="00205699">
        <w:t xml:space="preserve">, </w:t>
      </w:r>
      <w:r w:rsidR="00112F9C">
        <w:t xml:space="preserve">we are </w:t>
      </w:r>
      <w:r w:rsidR="00F50B04">
        <w:t xml:space="preserve">also </w:t>
      </w:r>
      <w:r w:rsidR="00112F9C">
        <w:t xml:space="preserve">requesting that </w:t>
      </w:r>
      <w:r w:rsidRPr="009E0149" w:rsidR="00205699">
        <w:t>scale</w:t>
      </w:r>
      <w:r w:rsidRPr="009E0149" w:rsidR="008069DA">
        <w:t>s</w:t>
      </w:r>
      <w:r w:rsidRPr="009E0149" w:rsidR="00205699">
        <w:t xml:space="preserve"> and anchor</w:t>
      </w:r>
      <w:r w:rsidRPr="009E0149" w:rsidR="008069DA">
        <w:t>s</w:t>
      </w:r>
      <w:r w:rsidR="00AE672E">
        <w:t xml:space="preserve"> in the PKQ</w:t>
      </w:r>
      <w:r w:rsidRPr="009E0149" w:rsidR="00205699">
        <w:t xml:space="preserve"> </w:t>
      </w:r>
      <w:r w:rsidR="00F358C7">
        <w:t>be</w:t>
      </w:r>
      <w:r w:rsidRPr="009E0149" w:rsidR="008069DA">
        <w:t xml:space="preserve"> </w:t>
      </w:r>
      <w:r w:rsidRPr="009E0149" w:rsidR="00205699">
        <w:t>flexi</w:t>
      </w:r>
      <w:r w:rsidRPr="009E0149" w:rsidR="008069DA">
        <w:t xml:space="preserve">ble </w:t>
      </w:r>
      <w:r w:rsidRPr="009E0149" w:rsidR="009753E3">
        <w:t>to meet the needs of individual submissio</w:t>
      </w:r>
      <w:r w:rsidRPr="009E0149">
        <w:t>n</w:t>
      </w:r>
      <w:r w:rsidRPr="009E0149" w:rsidR="00F509BD">
        <w:t>s</w:t>
      </w:r>
      <w:r w:rsidRPr="009E0149" w:rsidR="009753E3">
        <w:t xml:space="preserve">. </w:t>
      </w:r>
    </w:p>
    <w:p w:rsidR="000677D6" w:rsidP="5A498324" w14:paraId="78D687F0"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C50D7F" w:rsidRPr="009E0149" w:rsidP="5A498324" w14:paraId="45CCB6CE" w14:textId="42F2538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9E0149">
        <w:t xml:space="preserve">Further, the </w:t>
      </w:r>
      <w:r w:rsidR="00CA5B1F">
        <w:t>field</w:t>
      </w:r>
      <w:r w:rsidRPr="009E0149">
        <w:t xml:space="preserve"> of Psychometrics</w:t>
      </w:r>
      <w:r w:rsidRPr="009E0149" w:rsidR="002064A7">
        <w:t>, focusing on the technique</w:t>
      </w:r>
      <w:r w:rsidR="00CA5B1F">
        <w:t>s</w:t>
      </w:r>
      <w:r w:rsidRPr="009E0149" w:rsidR="002064A7">
        <w:t xml:space="preserve"> of measurement,</w:t>
      </w:r>
      <w:r w:rsidRPr="009E0149">
        <w:t xml:space="preserve"> has advanced considerably in recent year</w:t>
      </w:r>
      <w:r w:rsidRPr="00120E16" w:rsidR="00E04DEF">
        <w:t>s.</w:t>
      </w:r>
      <w:r w:rsidR="00F77943">
        <w:t xml:space="preserve"> </w:t>
      </w:r>
      <w:r w:rsidRPr="00120E16" w:rsidR="00E04DEF">
        <w:t xml:space="preserve"> M</w:t>
      </w:r>
      <w:r w:rsidRPr="009E0149" w:rsidR="001D7E46">
        <w:t>aintaining flexibility</w:t>
      </w:r>
      <w:r w:rsidRPr="00120E16" w:rsidR="005918CE">
        <w:t xml:space="preserve"> in measurement options,</w:t>
      </w:r>
      <w:r w:rsidRPr="009E0149" w:rsidR="001D7E46">
        <w:t xml:space="preserve"> allows </w:t>
      </w:r>
      <w:r w:rsidRPr="00E00C56" w:rsidR="002064A7">
        <w:t>NPS</w:t>
      </w:r>
      <w:r w:rsidRPr="00085ACE" w:rsidR="001D7E46">
        <w:t>-</w:t>
      </w:r>
      <w:r w:rsidR="006E1988">
        <w:t>sponsored</w:t>
      </w:r>
      <w:r w:rsidRPr="00085ACE" w:rsidR="001D7E46">
        <w:t xml:space="preserve"> </w:t>
      </w:r>
      <w:r w:rsidRPr="009709D0" w:rsidR="000E6C40">
        <w:t>data collection</w:t>
      </w:r>
      <w:r w:rsidRPr="00B41D34" w:rsidR="002064A7">
        <w:t>s</w:t>
      </w:r>
      <w:r w:rsidRPr="00B41D34" w:rsidR="001D7E46">
        <w:t xml:space="preserve"> to </w:t>
      </w:r>
      <w:r w:rsidRPr="00B41D34" w:rsidR="000E6C40">
        <w:t xml:space="preserve">be as </w:t>
      </w:r>
      <w:r w:rsidRPr="00325FFE" w:rsidR="000E6C40">
        <w:t xml:space="preserve">useful as possible by </w:t>
      </w:r>
      <w:r w:rsidRPr="00D81C08" w:rsidR="00C94BEA">
        <w:t xml:space="preserve">remaining responsive to best </w:t>
      </w:r>
      <w:r w:rsidRPr="009E0149" w:rsidR="008C7A2A">
        <w:t xml:space="preserve">practices and updates in the literature. </w:t>
      </w:r>
      <w:r w:rsidRPr="009E0149" w:rsidR="00677713">
        <w:t xml:space="preserve">For example, </w:t>
      </w:r>
      <w:r w:rsidRPr="009E0149" w:rsidR="00E71D8E">
        <w:t>a team of researchers identified over 20 psychometric scales for measuring “connection to nature</w:t>
      </w:r>
      <w:r w:rsidRPr="009E0149" w:rsidR="00F251E5">
        <w:t>”</w:t>
      </w:r>
      <w:r w:rsidR="000D52E0">
        <w:t xml:space="preserve"> (Salazar et. al, 2021),</w:t>
      </w:r>
      <w:r w:rsidRPr="009E0149" w:rsidR="00F251E5">
        <w:t xml:space="preserve"> which is a topic of interest to many NPS programs, including</w:t>
      </w:r>
      <w:r w:rsidRPr="00120E16" w:rsidR="005918CE">
        <w:t>,</w:t>
      </w:r>
      <w:r w:rsidRPr="009E0149" w:rsidR="00F251E5">
        <w:t xml:space="preserve"> but not limited to</w:t>
      </w:r>
      <w:r w:rsidRPr="00120E16" w:rsidR="005918CE">
        <w:t>,</w:t>
      </w:r>
      <w:r w:rsidRPr="009E0149" w:rsidR="00F251E5">
        <w:t xml:space="preserve"> </w:t>
      </w:r>
      <w:r w:rsidRPr="009709D0" w:rsidR="00F251E5">
        <w:t xml:space="preserve">interpretation and education </w:t>
      </w:r>
      <w:r w:rsidRPr="00B41D34" w:rsidR="000A0B70">
        <w:t xml:space="preserve">and resource management. </w:t>
      </w:r>
      <w:r w:rsidRPr="00B41D34" w:rsidR="00CC3120">
        <w:t xml:space="preserve">Validated </w:t>
      </w:r>
      <w:r w:rsidRPr="00B41D34" w:rsidR="00F149A0">
        <w:t xml:space="preserve">and sensitive items for measuring </w:t>
      </w:r>
      <w:r w:rsidRPr="00325FFE" w:rsidR="00307B63">
        <w:t>an array</w:t>
      </w:r>
      <w:r w:rsidRPr="00D81C08" w:rsidR="00F149A0">
        <w:t xml:space="preserve"> of </w:t>
      </w:r>
      <w:r w:rsidRPr="00120E16" w:rsidR="00E542A4">
        <w:t xml:space="preserve">visitor </w:t>
      </w:r>
      <w:r w:rsidRPr="00120E16" w:rsidR="00E542A4">
        <w:t xml:space="preserve">experience and natural resource management </w:t>
      </w:r>
      <w:r w:rsidRPr="009E0149" w:rsidR="00F149A0">
        <w:t xml:space="preserve">concepts and outcomes exist and the option to employ these variations to </w:t>
      </w:r>
      <w:r w:rsidRPr="00B41D34" w:rsidR="006F0AEB">
        <w:t>meet study objective</w:t>
      </w:r>
      <w:r w:rsidRPr="00B41D34" w:rsidR="00A24865">
        <w:t>s</w:t>
      </w:r>
      <w:r w:rsidRPr="00325FFE" w:rsidR="006F0AEB">
        <w:t xml:space="preserve"> is </w:t>
      </w:r>
      <w:r w:rsidRPr="00D81C08" w:rsidR="00A24865">
        <w:t>necessary</w:t>
      </w:r>
      <w:r w:rsidRPr="009E0149" w:rsidR="006F0AEB">
        <w:t>.</w:t>
      </w:r>
    </w:p>
    <w:p w:rsidR="00C75DBE" w:rsidP="5A498324" w14:paraId="71A52673"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C75DBE" w:rsidP="26294A2D" w14:paraId="358BF3EA" w14:textId="08EF6D13">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9E0149">
        <w:t xml:space="preserve">While 5-point </w:t>
      </w:r>
      <w:r w:rsidRPr="009E0149" w:rsidR="006E1295">
        <w:t xml:space="preserve">scales are still common in the field, there are drawbacks to </w:t>
      </w:r>
      <w:r w:rsidRPr="009E0149" w:rsidR="000D1B00">
        <w:t xml:space="preserve">these balanced </w:t>
      </w:r>
      <w:r w:rsidRPr="009E0149" w:rsidR="00B07ED8">
        <w:t>5-point scales</w:t>
      </w:r>
      <w:r w:rsidRPr="009E0149" w:rsidR="00F24A9F">
        <w:t>. W</w:t>
      </w:r>
      <w:r w:rsidRPr="009E0149" w:rsidR="00A24865">
        <w:t xml:space="preserve">ith a neutral mid-point, </w:t>
      </w:r>
      <w:r w:rsidRPr="009E0149" w:rsidR="00B07ED8">
        <w:t>the true response scale is limited to two points (either negative or positive), leading to a lack of variation in responses</w:t>
      </w:r>
      <w:r w:rsidRPr="009E0149" w:rsidR="007E3060">
        <w:t xml:space="preserve">. Depending on the intent and needs of the study, this </w:t>
      </w:r>
      <w:r w:rsidRPr="009E0149" w:rsidR="00F4316E">
        <w:t xml:space="preserve">potential lack of variability </w:t>
      </w:r>
      <w:r w:rsidRPr="009E0149" w:rsidR="00A929ED">
        <w:t>results in data that cannot meaningfully differentiate between groups (</w:t>
      </w:r>
      <w:r w:rsidRPr="00120E16" w:rsidR="00A24865">
        <w:t>Vezeau</w:t>
      </w:r>
      <w:r w:rsidRPr="00120E16" w:rsidR="00A24865">
        <w:t xml:space="preserve"> et. al, 2017; </w:t>
      </w:r>
      <w:r w:rsidRPr="00120E16" w:rsidR="00A24865">
        <w:rPr>
          <w:color w:val="000000" w:themeColor="text1"/>
        </w:rPr>
        <w:t>Miller 2018; Munshi, 2014).</w:t>
      </w:r>
    </w:p>
    <w:p w:rsidR="003250E4" w:rsidP="26294A2D" w14:paraId="5490C58B"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6F0AEB" w:rsidRPr="00DB6FF7" w:rsidP="5A498324" w14:paraId="6A4AF693" w14:textId="5E7BD2E1">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color w:val="000000" w:themeColor="text1"/>
        </w:rPr>
      </w:pPr>
      <w:r>
        <w:t>S</w:t>
      </w:r>
      <w:r w:rsidRPr="00B41D34" w:rsidR="000B1BBC">
        <w:t xml:space="preserve">ocial scientists are </w:t>
      </w:r>
      <w:r w:rsidRPr="00120E16" w:rsidR="009D369E">
        <w:t>frequently</w:t>
      </w:r>
      <w:r w:rsidRPr="009E0149" w:rsidR="00F24A9F">
        <w:t xml:space="preserve"> </w:t>
      </w:r>
      <w:r w:rsidRPr="009709D0" w:rsidR="000B1BBC">
        <w:t>using larger scales, such as 7</w:t>
      </w:r>
      <w:r w:rsidRPr="00B41D34" w:rsidR="00F24A9F">
        <w:t>-</w:t>
      </w:r>
      <w:r w:rsidR="00D81C08">
        <w:t xml:space="preserve"> and</w:t>
      </w:r>
      <w:r w:rsidRPr="00B41D34" w:rsidR="000B1BBC">
        <w:t xml:space="preserve"> 9</w:t>
      </w:r>
      <w:r w:rsidRPr="00B41D34" w:rsidR="00F24A9F">
        <w:t>-</w:t>
      </w:r>
      <w:r w:rsidRPr="00D81C08" w:rsidR="000B1BBC">
        <w:t>point</w:t>
      </w:r>
      <w:r w:rsidR="000731A9">
        <w:t xml:space="preserve"> scales</w:t>
      </w:r>
      <w:r w:rsidRPr="00D81C08" w:rsidR="000B1BBC">
        <w:t xml:space="preserve"> </w:t>
      </w:r>
      <w:r w:rsidRPr="00D81C08" w:rsidR="00BC5690">
        <w:t>and different scale anchors, including unbalanced scales, to ensure reliability and sensitivity</w:t>
      </w:r>
      <w:r w:rsidRPr="00396A65" w:rsidR="008C2538">
        <w:t>.</w:t>
      </w:r>
      <w:r w:rsidR="00007DBB">
        <w:t xml:space="preserve"> </w:t>
      </w:r>
      <w:r w:rsidRPr="26294A2D" w:rsidR="0ADA085C">
        <w:rPr>
          <w:color w:val="000000" w:themeColor="text1"/>
        </w:rPr>
        <w:t xml:space="preserve">Oftentimes, applications for unbalanced scales are utilized when evaluations of services and facilities have been previously studied and demonstrated </w:t>
      </w:r>
      <w:r w:rsidRPr="26294A2D" w:rsidR="43347267">
        <w:rPr>
          <w:color w:val="000000" w:themeColor="text1"/>
        </w:rPr>
        <w:t xml:space="preserve">nearly or </w:t>
      </w:r>
      <w:r w:rsidRPr="26294A2D" w:rsidR="0ADA085C">
        <w:rPr>
          <w:color w:val="000000" w:themeColor="text1"/>
        </w:rPr>
        <w:t>a</w:t>
      </w:r>
      <w:r w:rsidRPr="26294A2D" w:rsidR="395979F0">
        <w:rPr>
          <w:color w:val="000000" w:themeColor="text1"/>
        </w:rPr>
        <w:t>n entirely</w:t>
      </w:r>
      <w:r w:rsidRPr="26294A2D" w:rsidR="0ADA085C">
        <w:rPr>
          <w:color w:val="000000" w:themeColor="text1"/>
        </w:rPr>
        <w:t xml:space="preserve"> positive valence</w:t>
      </w:r>
      <w:r w:rsidRPr="26294A2D" w:rsidR="422DA871">
        <w:rPr>
          <w:color w:val="000000" w:themeColor="text1"/>
        </w:rPr>
        <w:t xml:space="preserve"> in the context of parks and protected areas (e.g.</w:t>
      </w:r>
      <w:r w:rsidR="00203C60">
        <w:rPr>
          <w:color w:val="000000" w:themeColor="text1"/>
        </w:rPr>
        <w:t>,</w:t>
      </w:r>
      <w:r w:rsidRPr="26294A2D" w:rsidR="422DA871">
        <w:rPr>
          <w:color w:val="000000" w:themeColor="text1"/>
        </w:rPr>
        <w:t xml:space="preserve"> </w:t>
      </w:r>
      <w:r w:rsidRPr="26294A2D" w:rsidR="0297E07B">
        <w:rPr>
          <w:color w:val="000000" w:themeColor="text1"/>
        </w:rPr>
        <w:t xml:space="preserve">dimensions of </w:t>
      </w:r>
      <w:r w:rsidRPr="26294A2D" w:rsidR="422DA871">
        <w:rPr>
          <w:color w:val="000000" w:themeColor="text1"/>
        </w:rPr>
        <w:t xml:space="preserve">ranger-led </w:t>
      </w:r>
      <w:r w:rsidRPr="26294A2D" w:rsidR="57166D54">
        <w:rPr>
          <w:color w:val="000000" w:themeColor="text1"/>
        </w:rPr>
        <w:t xml:space="preserve">and youth program services, </w:t>
      </w:r>
      <w:r w:rsidR="00D12937">
        <w:rPr>
          <w:color w:val="000000" w:themeColor="text1"/>
        </w:rPr>
        <w:t xml:space="preserve">recreation experiences, </w:t>
      </w:r>
      <w:r w:rsidRPr="26294A2D" w:rsidR="57166D54">
        <w:rPr>
          <w:color w:val="000000" w:themeColor="text1"/>
        </w:rPr>
        <w:t>etc.</w:t>
      </w:r>
      <w:r w:rsidRPr="26294A2D" w:rsidR="422DA871">
        <w:rPr>
          <w:color w:val="000000" w:themeColor="text1"/>
        </w:rPr>
        <w:t>)</w:t>
      </w:r>
      <w:r w:rsidRPr="26294A2D" w:rsidR="0ADA085C">
        <w:rPr>
          <w:color w:val="000000" w:themeColor="text1"/>
        </w:rPr>
        <w:t>.</w:t>
      </w:r>
      <w:r w:rsidR="005F4C6B">
        <w:rPr>
          <w:color w:val="000000" w:themeColor="text1"/>
        </w:rPr>
        <w:t xml:space="preserve"> In such cases, using an unbalanced scale provides the necessary sensitivity required to obtain meaningful, actionable results.</w:t>
      </w:r>
      <w:r w:rsidR="001F4F6D">
        <w:rPr>
          <w:color w:val="000000" w:themeColor="text1"/>
        </w:rPr>
        <w:t xml:space="preserve"> </w:t>
      </w:r>
      <w:r>
        <w:rPr>
          <w:color w:val="000000" w:themeColor="text1"/>
        </w:rPr>
        <w:t>Further, t</w:t>
      </w:r>
      <w:r w:rsidR="00E23F56">
        <w:t xml:space="preserve">he use of larger scales can </w:t>
      </w:r>
      <w:r w:rsidRPr="00396A65" w:rsidR="008C2538">
        <w:t xml:space="preserve">reduce respondent cognitive burden and increase reliability and </w:t>
      </w:r>
      <w:r w:rsidRPr="009E0149" w:rsidR="00A0485F">
        <w:t>variability in response</w:t>
      </w:r>
      <w:r w:rsidRPr="009E0149" w:rsidR="005F7CC1">
        <w:t xml:space="preserve"> (Powell, et. al., 2019; </w:t>
      </w:r>
      <w:r w:rsidRPr="26294A2D" w:rsidR="005F7CC1">
        <w:rPr>
          <w:rFonts w:eastAsiaTheme="minorEastAsia"/>
          <w:color w:val="000000" w:themeColor="text1"/>
        </w:rPr>
        <w:t xml:space="preserve">Dawes 2008; Hawthorne et al., 2006; </w:t>
      </w:r>
      <w:r w:rsidRPr="26294A2D" w:rsidR="005F7CC1">
        <w:rPr>
          <w:rFonts w:eastAsiaTheme="minorEastAsia"/>
          <w:color w:val="000000" w:themeColor="text1"/>
        </w:rPr>
        <w:t>Streiner</w:t>
      </w:r>
      <w:r w:rsidRPr="26294A2D" w:rsidR="005F7CC1">
        <w:rPr>
          <w:rFonts w:eastAsiaTheme="minorEastAsia"/>
          <w:color w:val="000000" w:themeColor="text1"/>
        </w:rPr>
        <w:t xml:space="preserve"> and Norman 2008</w:t>
      </w:r>
      <w:r w:rsidRPr="009E0149" w:rsidR="005F7CC1">
        <w:rPr>
          <w:color w:val="000000" w:themeColor="text1"/>
        </w:rPr>
        <w:t xml:space="preserve">; </w:t>
      </w:r>
      <w:r w:rsidRPr="26294A2D" w:rsidR="005F7CC1">
        <w:rPr>
          <w:rFonts w:eastAsiaTheme="minorEastAsia"/>
          <w:color w:val="000000" w:themeColor="text1"/>
        </w:rPr>
        <w:t>Huguet</w:t>
      </w:r>
      <w:r w:rsidRPr="26294A2D" w:rsidR="005F7CC1">
        <w:rPr>
          <w:rFonts w:eastAsiaTheme="minorEastAsia"/>
          <w:color w:val="000000" w:themeColor="text1"/>
        </w:rPr>
        <w:t xml:space="preserve">, Stinson, and McGrath 2010; </w:t>
      </w:r>
      <w:r w:rsidRPr="26294A2D" w:rsidR="005F7CC1">
        <w:rPr>
          <w:rFonts w:eastAsiaTheme="minorEastAsia"/>
          <w:color w:val="000000" w:themeColor="text1"/>
        </w:rPr>
        <w:t>Manworren</w:t>
      </w:r>
      <w:r w:rsidRPr="26294A2D" w:rsidR="005F7CC1">
        <w:rPr>
          <w:rFonts w:eastAsiaTheme="minorEastAsia"/>
          <w:color w:val="000000" w:themeColor="text1"/>
        </w:rPr>
        <w:t xml:space="preserve"> and Stinson 2016)</w:t>
      </w:r>
      <w:r w:rsidRPr="26294A2D" w:rsidR="00B23229">
        <w:rPr>
          <w:rFonts w:eastAsiaTheme="minorEastAsia"/>
          <w:color w:val="000000" w:themeColor="text1"/>
        </w:rPr>
        <w:t>.</w:t>
      </w:r>
    </w:p>
    <w:p w:rsidR="00C75DBE" w:rsidP="5A498324" w14:paraId="2F0139A8"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Theme="minorHAnsi"/>
          <w:color w:val="000000" w:themeColor="text1"/>
        </w:rPr>
      </w:pPr>
    </w:p>
    <w:p w:rsidR="008B3DC1" w:rsidP="5A498324" w14:paraId="655015A0" w14:textId="30F7D709">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Theme="minorHAnsi"/>
          <w:color w:val="000000" w:themeColor="text1"/>
        </w:rPr>
      </w:pPr>
      <w:r>
        <w:rPr>
          <w:rFonts w:eastAsiaTheme="minorHAnsi"/>
          <w:color w:val="000000" w:themeColor="text1"/>
        </w:rPr>
        <w:t>Example of a 9-point scale:</w:t>
      </w:r>
    </w:p>
    <w:p w:rsidR="00B72849" w:rsidRPr="00623F57" w:rsidP="00B72849" w14:paraId="24FB2395" w14:textId="1B1F67D4">
      <w:pPr>
        <w:tabs>
          <w:tab w:val="left" w:pos="450"/>
        </w:tabs>
        <w:spacing w:line="240" w:lineRule="exact"/>
        <w:rPr>
          <w:b/>
          <w:sz w:val="20"/>
          <w:szCs w:val="20"/>
        </w:rPr>
      </w:pPr>
    </w:p>
    <w:p w:rsidR="00B72849" w:rsidRPr="00623F57" w:rsidP="00B72849" w14:paraId="5190C665" w14:textId="77777777">
      <w:pPr>
        <w:rPr>
          <w:sz w:val="20"/>
          <w:szCs w:val="20"/>
        </w:rPr>
      </w:pPr>
      <w:r w:rsidRPr="00623F57">
        <w:rPr>
          <w:sz w:val="20"/>
          <w:szCs w:val="20"/>
        </w:rPr>
        <w:t xml:space="preserve">Please indicate the extent to which you </w:t>
      </w:r>
      <w:r w:rsidRPr="00623F57">
        <w:rPr>
          <w:sz w:val="20"/>
          <w:szCs w:val="20"/>
        </w:rPr>
        <w:t>agree or disagree with each of the following statements. (</w:t>
      </w:r>
      <w:r w:rsidRPr="00623F57">
        <w:rPr>
          <w:i/>
          <w:sz w:val="20"/>
          <w:szCs w:val="20"/>
        </w:rPr>
        <w:t>Check one box for each statement or indicate that you don’t know.</w:t>
      </w:r>
      <w:r w:rsidRPr="00623F57">
        <w:rPr>
          <w:sz w:val="20"/>
          <w:szCs w:val="20"/>
        </w:rPr>
        <w:t xml:space="preserve">) </w:t>
      </w:r>
    </w:p>
    <w:p w:rsidR="00B72849" w:rsidRPr="00623F57" w:rsidP="00B72849" w14:paraId="3A180488" w14:textId="77777777">
      <w:pPr>
        <w:ind w:left="360"/>
        <w:rPr>
          <w:sz w:val="20"/>
          <w:szCs w:val="20"/>
        </w:rPr>
      </w:pPr>
    </w:p>
    <w:tbl>
      <w:tblPr>
        <w:tblW w:w="5096" w:type="pct"/>
        <w:jc w:val="center"/>
        <w:shd w:val="clear" w:color="auto" w:fill="FFFFFF"/>
        <w:tblLook w:val="0000"/>
      </w:tblPr>
      <w:tblGrid>
        <w:gridCol w:w="2620"/>
        <w:gridCol w:w="807"/>
        <w:gridCol w:w="519"/>
        <w:gridCol w:w="805"/>
        <w:gridCol w:w="859"/>
        <w:gridCol w:w="563"/>
        <w:gridCol w:w="654"/>
        <w:gridCol w:w="841"/>
        <w:gridCol w:w="654"/>
        <w:gridCol w:w="628"/>
        <w:gridCol w:w="590"/>
      </w:tblGrid>
      <w:tr w14:paraId="68319DBF" w14:textId="77777777" w:rsidTr="00B52935">
        <w:tblPrEx>
          <w:tblW w:w="5096" w:type="pct"/>
          <w:jc w:val="center"/>
          <w:shd w:val="clear" w:color="auto" w:fill="FFFFFF"/>
          <w:tblLook w:val="0000"/>
        </w:tblPrEx>
        <w:trPr>
          <w:cantSplit/>
          <w:trHeight w:val="1439"/>
          <w:jc w:val="center"/>
        </w:trPr>
        <w:tc>
          <w:tcPr>
            <w:tcW w:w="1373" w:type="pct"/>
            <w:tcBorders>
              <w:bottom w:val="single" w:sz="4" w:space="0" w:color="auto"/>
            </w:tcBorders>
            <w:shd w:val="clear" w:color="auto" w:fill="auto"/>
            <w:vAlign w:val="bottom"/>
          </w:tcPr>
          <w:p w:rsidR="00B72849" w:rsidRPr="00623F57" w:rsidP="00A83428" w14:paraId="4672A834" w14:textId="2F72D181">
            <w:pPr>
              <w:rPr>
                <w:b/>
                <w:sz w:val="20"/>
                <w:szCs w:val="20"/>
              </w:rPr>
            </w:pPr>
            <w:r>
              <w:rPr>
                <w:b/>
                <w:sz w:val="20"/>
                <w:szCs w:val="20"/>
              </w:rPr>
              <w:t>[Example statements</w:t>
            </w:r>
            <w:r w:rsidR="00BD5439">
              <w:rPr>
                <w:b/>
                <w:sz w:val="20"/>
                <w:szCs w:val="20"/>
              </w:rPr>
              <w:t>…]</w:t>
            </w:r>
            <w:r w:rsidR="00425C82">
              <w:br/>
            </w:r>
          </w:p>
        </w:tc>
        <w:tc>
          <w:tcPr>
            <w:tcW w:w="423" w:type="pct"/>
            <w:tcBorders>
              <w:top w:val="single" w:sz="4" w:space="0" w:color="auto"/>
              <w:bottom w:val="single" w:sz="4" w:space="0" w:color="auto"/>
              <w:right w:val="single" w:sz="24" w:space="0" w:color="FFFFFF" w:themeColor="background1"/>
            </w:tcBorders>
            <w:shd w:val="clear" w:color="auto" w:fill="F2F2F2" w:themeFill="background1" w:themeFillShade="F2"/>
            <w:textDirection w:val="btLr"/>
            <w:vAlign w:val="bottom"/>
          </w:tcPr>
          <w:p w:rsidR="00B72849" w:rsidRPr="00623F57" w:rsidP="00A83428" w14:paraId="37ABA1B7" w14:textId="77777777">
            <w:pPr>
              <w:ind w:left="113" w:right="113"/>
              <w:jc w:val="center"/>
              <w:rPr>
                <w:b/>
                <w:sz w:val="20"/>
                <w:szCs w:val="20"/>
              </w:rPr>
            </w:pPr>
            <w:r w:rsidRPr="00623F57">
              <w:rPr>
                <w:b/>
                <w:sz w:val="20"/>
                <w:szCs w:val="20"/>
              </w:rPr>
              <w:t xml:space="preserve">Strongly </w:t>
            </w:r>
          </w:p>
          <w:p w:rsidR="00B72849" w:rsidRPr="00623F57" w:rsidP="00A83428" w14:paraId="4E67C69E" w14:textId="77777777">
            <w:pPr>
              <w:ind w:left="113" w:right="113"/>
              <w:jc w:val="center"/>
              <w:rPr>
                <w:b/>
                <w:sz w:val="20"/>
                <w:szCs w:val="20"/>
              </w:rPr>
            </w:pPr>
            <w:r w:rsidRPr="00623F57">
              <w:rPr>
                <w:b/>
                <w:sz w:val="20"/>
                <w:szCs w:val="20"/>
              </w:rPr>
              <w:t>Disagree</w:t>
            </w:r>
          </w:p>
        </w:tc>
        <w:tc>
          <w:tcPr>
            <w:tcW w:w="272"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7E3B6CC4" w14:textId="77777777">
            <w:pPr>
              <w:ind w:left="113" w:right="113"/>
              <w:jc w:val="center"/>
              <w:rPr>
                <w:b/>
                <w:sz w:val="20"/>
                <w:szCs w:val="20"/>
              </w:rPr>
            </w:pPr>
            <w:r w:rsidRPr="00623F57">
              <w:rPr>
                <w:b/>
                <w:sz w:val="20"/>
                <w:szCs w:val="20"/>
              </w:rPr>
              <w:t>Disagree</w:t>
            </w:r>
          </w:p>
        </w:tc>
        <w:tc>
          <w:tcPr>
            <w:tcW w:w="422"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48C8A572" w14:textId="77777777">
            <w:pPr>
              <w:ind w:left="113" w:right="113"/>
              <w:jc w:val="center"/>
              <w:rPr>
                <w:b/>
                <w:sz w:val="20"/>
                <w:szCs w:val="20"/>
              </w:rPr>
            </w:pPr>
            <w:r w:rsidRPr="00623F57">
              <w:rPr>
                <w:b/>
                <w:sz w:val="20"/>
                <w:szCs w:val="20"/>
              </w:rPr>
              <w:t>Moderately Disagree</w:t>
            </w:r>
          </w:p>
        </w:tc>
        <w:tc>
          <w:tcPr>
            <w:tcW w:w="450"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547FE533" w14:textId="77777777">
            <w:pPr>
              <w:ind w:left="113" w:right="113"/>
              <w:jc w:val="center"/>
              <w:rPr>
                <w:b/>
                <w:sz w:val="20"/>
                <w:szCs w:val="20"/>
              </w:rPr>
            </w:pPr>
            <w:r w:rsidRPr="00623F57">
              <w:rPr>
                <w:b/>
                <w:sz w:val="20"/>
                <w:szCs w:val="20"/>
              </w:rPr>
              <w:t>Slightly Disagree</w:t>
            </w:r>
          </w:p>
        </w:tc>
        <w:tc>
          <w:tcPr>
            <w:tcW w:w="295"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4988A6C0" w14:textId="77777777">
            <w:pPr>
              <w:ind w:left="113" w:right="113"/>
              <w:jc w:val="center"/>
              <w:rPr>
                <w:b/>
                <w:sz w:val="20"/>
                <w:szCs w:val="20"/>
              </w:rPr>
            </w:pPr>
            <w:r w:rsidRPr="00623F57">
              <w:rPr>
                <w:b/>
                <w:sz w:val="20"/>
                <w:szCs w:val="20"/>
              </w:rPr>
              <w:t>Neutral</w:t>
            </w:r>
          </w:p>
        </w:tc>
        <w:tc>
          <w:tcPr>
            <w:tcW w:w="343"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1A71E9B2" w14:textId="77777777">
            <w:pPr>
              <w:ind w:left="113" w:right="113"/>
              <w:jc w:val="center"/>
              <w:rPr>
                <w:b/>
                <w:sz w:val="20"/>
                <w:szCs w:val="20"/>
              </w:rPr>
            </w:pPr>
            <w:r w:rsidRPr="00623F57">
              <w:rPr>
                <w:b/>
                <w:sz w:val="20"/>
                <w:szCs w:val="20"/>
              </w:rPr>
              <w:t xml:space="preserve">Slightly Agree </w:t>
            </w:r>
          </w:p>
        </w:tc>
        <w:tc>
          <w:tcPr>
            <w:tcW w:w="441"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1F1F1241" w14:textId="77777777">
            <w:pPr>
              <w:ind w:left="113" w:right="113"/>
              <w:jc w:val="center"/>
              <w:rPr>
                <w:b/>
                <w:sz w:val="20"/>
                <w:szCs w:val="20"/>
              </w:rPr>
            </w:pPr>
            <w:r w:rsidRPr="00623F57">
              <w:rPr>
                <w:b/>
                <w:sz w:val="20"/>
                <w:szCs w:val="20"/>
              </w:rPr>
              <w:t>Moderately Agree</w:t>
            </w:r>
          </w:p>
        </w:tc>
        <w:tc>
          <w:tcPr>
            <w:tcW w:w="343"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B72849" w:rsidRPr="00623F57" w:rsidP="00A83428" w14:paraId="060C111F" w14:textId="77777777">
            <w:pPr>
              <w:ind w:left="113" w:right="113"/>
              <w:jc w:val="center"/>
              <w:rPr>
                <w:b/>
                <w:sz w:val="20"/>
                <w:szCs w:val="20"/>
              </w:rPr>
            </w:pPr>
            <w:r w:rsidRPr="00623F57">
              <w:rPr>
                <w:b/>
                <w:sz w:val="20"/>
                <w:szCs w:val="20"/>
              </w:rPr>
              <w:t>Agree</w:t>
            </w:r>
          </w:p>
        </w:tc>
        <w:tc>
          <w:tcPr>
            <w:tcW w:w="329" w:type="pct"/>
            <w:tcBorders>
              <w:top w:val="single" w:sz="4" w:space="0" w:color="auto"/>
              <w:left w:val="single" w:sz="24" w:space="0" w:color="FFFFFF" w:themeColor="background1"/>
              <w:bottom w:val="single" w:sz="4" w:space="0" w:color="auto"/>
              <w:right w:val="single" w:sz="12" w:space="0" w:color="auto"/>
            </w:tcBorders>
            <w:shd w:val="clear" w:color="auto" w:fill="F2F2F2" w:themeFill="background1" w:themeFillShade="F2"/>
            <w:textDirection w:val="btLr"/>
          </w:tcPr>
          <w:p w:rsidR="00B72849" w:rsidRPr="00623F57" w:rsidP="00A83428" w14:paraId="17F98D02" w14:textId="77777777">
            <w:pPr>
              <w:ind w:left="113" w:right="113"/>
              <w:jc w:val="center"/>
              <w:rPr>
                <w:b/>
                <w:sz w:val="20"/>
                <w:szCs w:val="20"/>
              </w:rPr>
            </w:pPr>
            <w:r w:rsidRPr="00623F57">
              <w:rPr>
                <w:b/>
                <w:sz w:val="20"/>
                <w:szCs w:val="20"/>
              </w:rPr>
              <w:t xml:space="preserve">Strongly Agree </w:t>
            </w:r>
          </w:p>
        </w:tc>
        <w:tc>
          <w:tcPr>
            <w:tcW w:w="309" w:type="pct"/>
            <w:tcBorders>
              <w:top w:val="single" w:sz="4" w:space="0" w:color="auto"/>
              <w:left w:val="single" w:sz="12" w:space="0" w:color="auto"/>
              <w:bottom w:val="single" w:sz="4" w:space="0" w:color="auto"/>
            </w:tcBorders>
            <w:shd w:val="clear" w:color="auto" w:fill="BFBFBF" w:themeFill="background1" w:themeFillShade="BF"/>
            <w:textDirection w:val="btLr"/>
          </w:tcPr>
          <w:p w:rsidR="00B72849" w:rsidRPr="00623F57" w:rsidP="00A83428" w14:paraId="5BA348C9" w14:textId="77777777">
            <w:pPr>
              <w:ind w:left="113" w:right="113"/>
              <w:jc w:val="center"/>
              <w:rPr>
                <w:b/>
                <w:sz w:val="20"/>
                <w:szCs w:val="20"/>
              </w:rPr>
            </w:pPr>
            <w:r w:rsidRPr="00623F57">
              <w:rPr>
                <w:b/>
                <w:sz w:val="20"/>
                <w:szCs w:val="20"/>
              </w:rPr>
              <w:t>Don’t Know</w:t>
            </w:r>
          </w:p>
        </w:tc>
      </w:tr>
      <w:tr w14:paraId="2F9D480F" w14:textId="77777777" w:rsidTr="00B52935">
        <w:tblPrEx>
          <w:tblW w:w="5096" w:type="pct"/>
          <w:jc w:val="center"/>
          <w:shd w:val="clear" w:color="auto" w:fill="FFFFFF"/>
          <w:tblLook w:val="0000"/>
        </w:tblPrEx>
        <w:trPr>
          <w:trHeight w:val="665"/>
          <w:jc w:val="center"/>
        </w:trPr>
        <w:tc>
          <w:tcPr>
            <w:tcW w:w="1373" w:type="pct"/>
            <w:tcBorders>
              <w:top w:val="single" w:sz="4" w:space="0" w:color="auto"/>
              <w:bottom w:val="single" w:sz="4" w:space="0" w:color="auto"/>
            </w:tcBorders>
            <w:shd w:val="clear" w:color="auto" w:fill="auto"/>
            <w:vAlign w:val="bottom"/>
          </w:tcPr>
          <w:p w:rsidR="00B72849" w:rsidRPr="00623F57" w:rsidP="00A83428" w14:paraId="1539E3F6" w14:textId="4CCD5176">
            <w:pPr>
              <w:pStyle w:val="NoSpacing"/>
              <w:rPr>
                <w:rFonts w:ascii="Arial" w:hAnsi="Arial" w:cs="Arial"/>
                <w:sz w:val="20"/>
                <w:szCs w:val="20"/>
              </w:rPr>
            </w:pPr>
            <w:r>
              <w:rPr>
                <w:rFonts w:ascii="Arial" w:hAnsi="Arial" w:cs="Arial"/>
                <w:sz w:val="20"/>
                <w:szCs w:val="20"/>
              </w:rPr>
              <w:t xml:space="preserve">Where necessary to better manage trails, hikers should be asked to sign-in </w:t>
            </w:r>
            <w:r w:rsidR="00661083">
              <w:rPr>
                <w:rFonts w:ascii="Arial" w:hAnsi="Arial" w:cs="Arial"/>
                <w:sz w:val="20"/>
                <w:szCs w:val="20"/>
              </w:rPr>
              <w:t>at trailheads</w:t>
            </w:r>
          </w:p>
        </w:tc>
        <w:tc>
          <w:tcPr>
            <w:tcW w:w="423" w:type="pct"/>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68EB23CA" w14:textId="77777777">
            <w:pPr>
              <w:jc w:val="center"/>
              <w:rPr>
                <w:sz w:val="20"/>
                <w:szCs w:val="20"/>
              </w:rPr>
            </w:pPr>
            <w:r w:rsidRPr="00623F57">
              <w:rPr>
                <w:rFonts w:ascii="Wingdings 2" w:eastAsia="Wingdings 2" w:hAnsi="Wingdings 2" w:cs="Wingdings 2"/>
                <w:sz w:val="20"/>
                <w:szCs w:val="20"/>
              </w:rPr>
              <w:t>£</w:t>
            </w:r>
          </w:p>
        </w:tc>
        <w:tc>
          <w:tcPr>
            <w:tcW w:w="272"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1FC8EAE8" w14:textId="77777777">
            <w:pPr>
              <w:jc w:val="center"/>
              <w:rPr>
                <w:sz w:val="20"/>
                <w:szCs w:val="20"/>
              </w:rPr>
            </w:pPr>
            <w:r w:rsidRPr="00623F57">
              <w:rPr>
                <w:rFonts w:ascii="Wingdings 2" w:eastAsia="Wingdings 2" w:hAnsi="Wingdings 2" w:cs="Wingdings 2"/>
                <w:sz w:val="20"/>
                <w:szCs w:val="20"/>
              </w:rPr>
              <w:t>£</w:t>
            </w:r>
          </w:p>
        </w:tc>
        <w:tc>
          <w:tcPr>
            <w:tcW w:w="422"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79E876AF" w14:textId="77777777">
            <w:pPr>
              <w:jc w:val="center"/>
              <w:rPr>
                <w:rFonts w:eastAsia="Wingdings 2"/>
                <w:sz w:val="20"/>
                <w:szCs w:val="20"/>
              </w:rPr>
            </w:pPr>
            <w:r w:rsidRPr="00623F57">
              <w:rPr>
                <w:rFonts w:ascii="Wingdings 2" w:eastAsia="Wingdings 2" w:hAnsi="Wingdings 2" w:cs="Wingdings 2"/>
                <w:sz w:val="20"/>
                <w:szCs w:val="20"/>
              </w:rPr>
              <w:t>£</w:t>
            </w:r>
          </w:p>
        </w:tc>
        <w:tc>
          <w:tcPr>
            <w:tcW w:w="450"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661DFE73" w14:textId="77777777">
            <w:pPr>
              <w:jc w:val="center"/>
              <w:rPr>
                <w:rFonts w:eastAsia="Wingdings 2"/>
                <w:sz w:val="20"/>
                <w:szCs w:val="20"/>
              </w:rPr>
            </w:pPr>
            <w:r w:rsidRPr="00623F57">
              <w:rPr>
                <w:rFonts w:ascii="Wingdings 2" w:eastAsia="Wingdings 2" w:hAnsi="Wingdings 2" w:cs="Wingdings 2"/>
                <w:sz w:val="20"/>
                <w:szCs w:val="20"/>
              </w:rPr>
              <w:t>£</w:t>
            </w:r>
          </w:p>
        </w:tc>
        <w:tc>
          <w:tcPr>
            <w:tcW w:w="295"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27B76AC1" w14:textId="77777777">
            <w:pPr>
              <w:jc w:val="center"/>
              <w:rPr>
                <w:sz w:val="20"/>
                <w:szCs w:val="20"/>
              </w:rPr>
            </w:pPr>
            <w:r w:rsidRPr="00623F57">
              <w:rPr>
                <w:rFonts w:ascii="Wingdings 2" w:eastAsia="Wingdings 2" w:hAnsi="Wingdings 2" w:cs="Wingdings 2"/>
                <w:sz w:val="20"/>
                <w:szCs w:val="20"/>
              </w:rPr>
              <w:t>£</w:t>
            </w:r>
          </w:p>
        </w:tc>
        <w:tc>
          <w:tcPr>
            <w:tcW w:w="343"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428733F2" w14:textId="77777777">
            <w:pPr>
              <w:jc w:val="center"/>
              <w:rPr>
                <w:sz w:val="20"/>
                <w:szCs w:val="20"/>
              </w:rPr>
            </w:pPr>
            <w:r w:rsidRPr="00623F57">
              <w:rPr>
                <w:rFonts w:ascii="Wingdings 2" w:eastAsia="Wingdings 2" w:hAnsi="Wingdings 2" w:cs="Wingdings 2"/>
                <w:sz w:val="20"/>
                <w:szCs w:val="20"/>
              </w:rPr>
              <w:t>£</w:t>
            </w:r>
          </w:p>
        </w:tc>
        <w:tc>
          <w:tcPr>
            <w:tcW w:w="441"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57E0AFD7" w14:textId="77777777">
            <w:pPr>
              <w:jc w:val="center"/>
              <w:rPr>
                <w:rFonts w:eastAsia="Wingdings 2"/>
                <w:sz w:val="20"/>
                <w:szCs w:val="20"/>
              </w:rPr>
            </w:pPr>
            <w:r w:rsidRPr="00623F57">
              <w:rPr>
                <w:rFonts w:ascii="Wingdings 2" w:eastAsia="Wingdings 2" w:hAnsi="Wingdings 2" w:cs="Wingdings 2"/>
                <w:sz w:val="20"/>
                <w:szCs w:val="20"/>
              </w:rPr>
              <w:t>£</w:t>
            </w:r>
          </w:p>
        </w:tc>
        <w:tc>
          <w:tcPr>
            <w:tcW w:w="343" w:type="pct"/>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B72849" w:rsidRPr="00623F57" w:rsidP="00B52935" w14:paraId="61C6BEA5" w14:textId="77777777">
            <w:pPr>
              <w:jc w:val="center"/>
              <w:rPr>
                <w:rFonts w:eastAsia="Wingdings 2"/>
                <w:sz w:val="20"/>
                <w:szCs w:val="20"/>
              </w:rPr>
            </w:pPr>
            <w:r w:rsidRPr="00623F57">
              <w:rPr>
                <w:rFonts w:ascii="Wingdings 2" w:eastAsia="Wingdings 2" w:hAnsi="Wingdings 2" w:cs="Wingdings 2"/>
                <w:sz w:val="20"/>
                <w:szCs w:val="20"/>
              </w:rPr>
              <w:t>£</w:t>
            </w:r>
          </w:p>
        </w:tc>
        <w:tc>
          <w:tcPr>
            <w:tcW w:w="329" w:type="pct"/>
            <w:tcBorders>
              <w:top w:val="single" w:sz="4" w:space="0" w:color="auto"/>
              <w:left w:val="single" w:sz="24" w:space="0" w:color="FFFFFF" w:themeColor="background1"/>
              <w:bottom w:val="single" w:sz="4" w:space="0" w:color="auto"/>
              <w:right w:val="single" w:sz="12" w:space="0" w:color="auto"/>
            </w:tcBorders>
            <w:shd w:val="clear" w:color="auto" w:fill="F2F2F2" w:themeFill="background1" w:themeFillShade="F2"/>
            <w:vAlign w:val="center"/>
          </w:tcPr>
          <w:p w:rsidR="00B72849" w:rsidRPr="00623F57" w:rsidP="00B52935" w14:paraId="208C9D3B" w14:textId="77777777">
            <w:pPr>
              <w:jc w:val="center"/>
              <w:rPr>
                <w:sz w:val="20"/>
                <w:szCs w:val="20"/>
              </w:rPr>
            </w:pPr>
            <w:r w:rsidRPr="00623F57">
              <w:rPr>
                <w:rFonts w:ascii="Wingdings 2" w:eastAsia="Wingdings 2" w:hAnsi="Wingdings 2" w:cs="Wingdings 2"/>
                <w:sz w:val="20"/>
                <w:szCs w:val="20"/>
              </w:rPr>
              <w:t>£</w:t>
            </w:r>
          </w:p>
        </w:tc>
        <w:tc>
          <w:tcPr>
            <w:tcW w:w="309" w:type="pct"/>
            <w:tcBorders>
              <w:top w:val="single" w:sz="4" w:space="0" w:color="auto"/>
              <w:left w:val="single" w:sz="12" w:space="0" w:color="auto"/>
              <w:bottom w:val="single" w:sz="4" w:space="0" w:color="auto"/>
            </w:tcBorders>
            <w:shd w:val="clear" w:color="auto" w:fill="BFBFBF" w:themeFill="background1" w:themeFillShade="BF"/>
            <w:vAlign w:val="center"/>
          </w:tcPr>
          <w:p w:rsidR="00B72849" w:rsidRPr="00623F57" w:rsidP="00B52935" w14:paraId="4D789961" w14:textId="149CA50E">
            <w:pPr>
              <w:jc w:val="center"/>
              <w:rPr>
                <w:sz w:val="20"/>
                <w:szCs w:val="20"/>
              </w:rPr>
            </w:pPr>
            <w:r w:rsidRPr="00623F57">
              <w:rPr>
                <w:rFonts w:ascii="Wingdings 2" w:eastAsia="Wingdings 2" w:hAnsi="Wingdings 2" w:cs="Wingdings 2"/>
                <w:sz w:val="20"/>
                <w:szCs w:val="20"/>
              </w:rPr>
              <w:t>£</w:t>
            </w:r>
          </w:p>
        </w:tc>
      </w:tr>
    </w:tbl>
    <w:p w:rsidR="00105356" w:rsidRPr="009709D0" w:rsidP="5A498324" w14:paraId="1298B241" w14:textId="77777777">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Theme="minorHAnsi"/>
          <w:color w:val="000000" w:themeColor="text1"/>
        </w:rPr>
      </w:pPr>
    </w:p>
    <w:p w:rsidR="00300EB5" w:rsidRPr="009E0149" w:rsidP="5A498324" w14:paraId="6656B719" w14:textId="40AE6505">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rsidRPr="009709D0">
        <w:rPr>
          <w:rFonts w:eastAsiaTheme="minorHAnsi"/>
          <w:color w:val="000000" w:themeColor="text1"/>
        </w:rPr>
        <w:t xml:space="preserve">The needs of the NPS require the ability of individual studies to </w:t>
      </w:r>
      <w:r w:rsidRPr="00B41D34">
        <w:rPr>
          <w:rFonts w:eastAsiaTheme="minorHAnsi"/>
          <w:color w:val="000000" w:themeColor="text1"/>
        </w:rPr>
        <w:t xml:space="preserve">utilize scales and anchors that meet </w:t>
      </w:r>
      <w:r w:rsidR="009709D0">
        <w:rPr>
          <w:rFonts w:eastAsiaTheme="minorHAnsi"/>
          <w:color w:val="000000" w:themeColor="text1"/>
        </w:rPr>
        <w:t>study objectives</w:t>
      </w:r>
      <w:r w:rsidRPr="009709D0" w:rsidR="00B67004">
        <w:rPr>
          <w:rFonts w:eastAsiaTheme="minorHAnsi"/>
          <w:color w:val="000000" w:themeColor="text1"/>
        </w:rPr>
        <w:t>,</w:t>
      </w:r>
      <w:r w:rsidRPr="009709D0" w:rsidR="005472E9">
        <w:rPr>
          <w:rFonts w:eastAsiaTheme="minorHAnsi"/>
          <w:color w:val="000000" w:themeColor="text1"/>
        </w:rPr>
        <w:t xml:space="preserve"> whether it’s to maintain a 5-point scale to compare data from </w:t>
      </w:r>
      <w:r w:rsidRPr="009709D0" w:rsidR="004203FF">
        <w:rPr>
          <w:rFonts w:eastAsiaTheme="minorHAnsi"/>
          <w:color w:val="000000" w:themeColor="text1"/>
        </w:rPr>
        <w:t>a previous study or expand to an unbalanced</w:t>
      </w:r>
      <w:r w:rsidRPr="009709D0" w:rsidR="00B67004">
        <w:rPr>
          <w:rFonts w:eastAsiaTheme="minorHAnsi"/>
          <w:color w:val="000000" w:themeColor="text1"/>
        </w:rPr>
        <w:t>,</w:t>
      </w:r>
      <w:r w:rsidRPr="009709D0" w:rsidR="004203FF">
        <w:rPr>
          <w:rFonts w:eastAsiaTheme="minorHAnsi"/>
          <w:color w:val="000000" w:themeColor="text1"/>
        </w:rPr>
        <w:t xml:space="preserve"> </w:t>
      </w:r>
      <w:r w:rsidR="007A68B5">
        <w:rPr>
          <w:rFonts w:eastAsiaTheme="minorHAnsi"/>
          <w:color w:val="000000" w:themeColor="text1"/>
        </w:rPr>
        <w:t>9</w:t>
      </w:r>
      <w:r w:rsidRPr="009709D0" w:rsidR="004203FF">
        <w:rPr>
          <w:rFonts w:eastAsiaTheme="minorHAnsi"/>
          <w:color w:val="000000" w:themeColor="text1"/>
        </w:rPr>
        <w:t>-point scale to achieve the sensitivity needed to</w:t>
      </w:r>
      <w:r w:rsidRPr="009709D0" w:rsidR="00B67004">
        <w:rPr>
          <w:rFonts w:eastAsiaTheme="minorHAnsi"/>
          <w:color w:val="000000" w:themeColor="text1"/>
        </w:rPr>
        <w:t xml:space="preserve"> </w:t>
      </w:r>
      <w:r w:rsidRPr="009709D0" w:rsidR="00A4658F">
        <w:rPr>
          <w:rFonts w:eastAsiaTheme="minorHAnsi"/>
          <w:color w:val="000000" w:themeColor="text1"/>
        </w:rPr>
        <w:t xml:space="preserve">collect </w:t>
      </w:r>
      <w:r w:rsidRPr="00B41D34" w:rsidR="00A4658F">
        <w:rPr>
          <w:rFonts w:eastAsiaTheme="minorHAnsi"/>
          <w:color w:val="000000" w:themeColor="text1"/>
        </w:rPr>
        <w:t>informative data regarding a popula</w:t>
      </w:r>
      <w:r w:rsidRPr="00325FFE" w:rsidR="00A4658F">
        <w:rPr>
          <w:rFonts w:eastAsiaTheme="minorHAnsi"/>
          <w:color w:val="000000" w:themeColor="text1"/>
        </w:rPr>
        <w:t xml:space="preserve">r interpretive offering. </w:t>
      </w:r>
      <w:r w:rsidRPr="00D81C08" w:rsidR="004203FF">
        <w:rPr>
          <w:rFonts w:eastAsiaTheme="minorHAnsi"/>
          <w:color w:val="000000" w:themeColor="text1"/>
        </w:rPr>
        <w:t xml:space="preserve"> </w:t>
      </w:r>
    </w:p>
    <w:p w:rsidR="00927C8D" w:rsidRPr="00120E16" w:rsidP="5A498324" w14:paraId="7EDBF1AE" w14:textId="22588A33">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b/>
          <w:bCs/>
          <w:u w:val="single"/>
        </w:rPr>
      </w:pPr>
      <w:r>
        <w:rPr>
          <w:b/>
          <w:bCs/>
          <w:u w:val="single"/>
        </w:rPr>
        <w:t>Submission Process</w:t>
      </w:r>
    </w:p>
    <w:p w:rsidR="00574715" w:rsidRPr="00574715" w:rsidP="5A498324" w14:paraId="34A9C971" w14:textId="0F0B7679">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t xml:space="preserve">Any request seeking to collect information beyond the scope of this programmatic clearance process will be returned and </w:t>
      </w:r>
      <w:r w:rsidR="00214DDF">
        <w:t xml:space="preserve">required to submit </w:t>
      </w:r>
      <w:r w:rsidR="0070456F">
        <w:t>under</w:t>
      </w:r>
      <w:r w:rsidR="007C703F">
        <w:t xml:space="preserve"> </w:t>
      </w:r>
      <w:r>
        <w:t>the full PRA review process. Additionally, any collection driven purely by curiosity and a desire to expand soc</w:t>
      </w:r>
      <w:r>
        <w:t xml:space="preserve">ial science research knowledge or anything that is not directly applicable to current NPS management and planning needs will be considered outside the scope of this collection and will also be directed to the full review process.  </w:t>
      </w:r>
    </w:p>
    <w:p w:rsidR="006802A1" w:rsidP="00C5559B" w14:paraId="23BD8EC5" w14:textId="0DE5A675">
      <w:pPr>
        <w:widowControl/>
        <w:tabs>
          <w:tab w:val="clear" w:pos="-1080"/>
          <w:tab w:val="clear" w:pos="-720"/>
          <w:tab w:val="clear" w:pos="0"/>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p>
    <w:p w:rsidR="00661D6E" w:rsidRPr="00661D6E" w:rsidP="5747142F" w14:paraId="4EF076DD" w14:textId="657B35F6">
      <w:pPr>
        <w:widowControl/>
        <w:tabs>
          <w:tab w:val="clear" w:pos="720"/>
          <w:tab w:val="clear" w:pos="1440"/>
          <w:tab w:val="left" w:pos="1800"/>
          <w:tab w:val="left" w:pos="252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left" w:pos="9000"/>
          <w:tab w:val="clear" w:pos="9360"/>
          <w:tab w:val="right" w:pos="972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pPr>
      <w:r>
        <w:t xml:space="preserve">The NPS Social Science </w:t>
      </w:r>
      <w:r>
        <w:t xml:space="preserve">Program will continue to provide technical and administrative review of </w:t>
      </w:r>
      <w:r w:rsidR="3677EE30">
        <w:t xml:space="preserve">all </w:t>
      </w:r>
      <w:r>
        <w:t xml:space="preserve">proposed </w:t>
      </w:r>
      <w:r w:rsidR="1FD5C1F5">
        <w:t xml:space="preserve">information collections submitted for review under this generic clearance.  </w:t>
      </w:r>
      <w:r w:rsidR="44EBE395">
        <w:t xml:space="preserve">After </w:t>
      </w:r>
      <w:r>
        <w:t xml:space="preserve">a collection </w:t>
      </w:r>
      <w:r w:rsidR="00714FFD">
        <w:t xml:space="preserve">has </w:t>
      </w:r>
      <w:r w:rsidR="39996819">
        <w:t>co</w:t>
      </w:r>
      <w:r w:rsidR="1B722EC1">
        <w:t xml:space="preserve">mpleted the NPS review process, </w:t>
      </w:r>
      <w:r w:rsidR="0095519A">
        <w:t xml:space="preserve">the </w:t>
      </w:r>
      <w:r>
        <w:t xml:space="preserve">NPS </w:t>
      </w:r>
      <w:r>
        <w:t>will  transmit</w:t>
      </w:r>
      <w:r>
        <w:t xml:space="preserve"> NPS Form 10-201</w:t>
      </w:r>
      <w:r>
        <w:t xml:space="preserve">, </w:t>
      </w:r>
      <w:r w:rsidRPr="5A498324">
        <w:rPr>
          <w:i/>
          <w:iCs/>
        </w:rPr>
        <w:t>Programmatic Review and Clearance Process for NPS-Sponsored Public Surveys</w:t>
      </w:r>
      <w:r w:rsidRPr="5A498324" w:rsidR="0095519A">
        <w:rPr>
          <w:i/>
          <w:iCs/>
        </w:rPr>
        <w:t>,</w:t>
      </w:r>
      <w:r>
        <w:t xml:space="preserve"> </w:t>
      </w:r>
      <w:r w:rsidR="00C63D63">
        <w:t xml:space="preserve">the </w:t>
      </w:r>
      <w:r>
        <w:t>survey instrument</w:t>
      </w:r>
      <w:r w:rsidR="00C63D63">
        <w:t>(s)</w:t>
      </w:r>
      <w:r>
        <w:t xml:space="preserve"> </w:t>
      </w:r>
      <w:r w:rsidR="0095519A">
        <w:t xml:space="preserve">and accompanying materials </w:t>
      </w:r>
      <w:r>
        <w:t>to OIRA</w:t>
      </w:r>
      <w:r w:rsidR="31E17FBF">
        <w:t xml:space="preserve"> for re</w:t>
      </w:r>
      <w:r w:rsidR="00C63D63">
        <w:t>view</w:t>
      </w:r>
      <w:r>
        <w:t xml:space="preserve">. Once a determination is received, </w:t>
      </w:r>
      <w:r w:rsidR="0095519A">
        <w:t xml:space="preserve">the </w:t>
      </w:r>
      <w:r>
        <w:t xml:space="preserve">NPS will assign the OMB control number (1024-0224) and survey </w:t>
      </w:r>
      <w:r w:rsidR="007C703F">
        <w:t>expiration date</w:t>
      </w:r>
      <w:r>
        <w:t xml:space="preserve">. </w:t>
      </w:r>
      <w:r w:rsidR="007C703F">
        <w:t xml:space="preserve">In the past, based on the thorough review process and administrative oversite of the NPS Social Science Program, OIRA </w:t>
      </w:r>
      <w:r>
        <w:t>has agreed to provide a response within ten working days of receiving the submission package</w:t>
      </w:r>
      <w:r w:rsidR="00541A47">
        <w:t>.</w:t>
      </w:r>
      <w:r>
        <w:br/>
      </w:r>
    </w:p>
    <w:p w:rsidR="00ED269F" w:rsidRPr="00E67EC4" w:rsidP="00AE14AE" w14:paraId="7E81DBBE" w14:textId="77777777">
      <w:pPr>
        <w:tabs>
          <w:tab w:val="clear" w:pos="0"/>
          <w:tab w:val="left" w:pos="360"/>
        </w:tabs>
        <w:rPr>
          <w:b/>
        </w:rPr>
      </w:pPr>
      <w:r w:rsidRPr="00E67EC4">
        <w:rPr>
          <w:b/>
        </w:rPr>
        <w:t>3.</w:t>
      </w:r>
      <w:r w:rsidRPr="00E67EC4">
        <w:rPr>
          <w:b/>
        </w:rPr>
        <w:tab/>
      </w:r>
      <w:r w:rsidRPr="00E67EC4" w:rsidR="00536446">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E67EC4">
        <w:rPr>
          <w:b/>
        </w:rPr>
        <w:t>.</w:t>
      </w:r>
    </w:p>
    <w:p w:rsidR="00661D6E" w:rsidP="00D85EF1" w14:paraId="2BAF20D4" w14:textId="77777777"/>
    <w:p w:rsidR="00A323A1" w:rsidRPr="00E67EC4" w:rsidP="009E2AA2" w14:paraId="75FBA70F" w14:textId="296664AA">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A</w:t>
      </w:r>
      <w:r w:rsidRPr="00E67EC4" w:rsidR="00DC0BBC">
        <w:t xml:space="preserve">pproximately </w:t>
      </w:r>
      <w:r w:rsidRPr="00E67EC4" w:rsidR="003C3BBA">
        <w:t>7</w:t>
      </w:r>
      <w:r w:rsidR="002E3DF2">
        <w:t>0</w:t>
      </w:r>
      <w:r w:rsidRPr="00E67EC4" w:rsidR="00DC0BBC">
        <w:t xml:space="preserve">% of the </w:t>
      </w:r>
      <w:r w:rsidRPr="00E67EC4" w:rsidR="00C14B1D">
        <w:t>submission</w:t>
      </w:r>
      <w:r w:rsidR="0012326F">
        <w:t>s</w:t>
      </w:r>
      <w:r w:rsidRPr="00E67EC4" w:rsidR="00976499">
        <w:t xml:space="preserve"> </w:t>
      </w:r>
      <w:r w:rsidR="002E3DF2">
        <w:t xml:space="preserve">employ on-site surveys, nearly </w:t>
      </w:r>
      <w:r w:rsidR="004A68DA">
        <w:t>95%</w:t>
      </w:r>
      <w:r w:rsidR="002E3DF2">
        <w:t xml:space="preserve"> include the </w:t>
      </w:r>
      <w:r w:rsidRPr="00E67EC4" w:rsidR="00976499">
        <w:t xml:space="preserve">use </w:t>
      </w:r>
      <w:r w:rsidR="002E3DF2">
        <w:t xml:space="preserve">of </w:t>
      </w:r>
      <w:r w:rsidRPr="00E67EC4" w:rsidR="00DC0BBC">
        <w:t>electronic</w:t>
      </w:r>
      <w:r w:rsidRPr="00E67EC4" w:rsidR="00976499">
        <w:t xml:space="preserve"> </w:t>
      </w:r>
      <w:r w:rsidRPr="00E67EC4" w:rsidR="00C14B1D">
        <w:t>methods to collect</w:t>
      </w:r>
      <w:r w:rsidR="002E3DF2">
        <w:t xml:space="preserve"> responses.</w:t>
      </w:r>
      <w:r w:rsidRPr="00E67EC4" w:rsidR="00976499">
        <w:t xml:space="preserve"> </w:t>
      </w:r>
      <w:r w:rsidRPr="00E67EC4" w:rsidR="003C3BBA">
        <w:t>2</w:t>
      </w:r>
      <w:r w:rsidR="002E3DF2">
        <w:t>5</w:t>
      </w:r>
      <w:r w:rsidRPr="00E67EC4">
        <w:t xml:space="preserve">% </w:t>
      </w:r>
      <w:r w:rsidRPr="00E67EC4" w:rsidR="008349E9">
        <w:t>are</w:t>
      </w:r>
      <w:r w:rsidRPr="00E67EC4">
        <w:t xml:space="preserve"> face</w:t>
      </w:r>
      <w:r w:rsidRPr="00E67EC4" w:rsidR="00572830">
        <w:t>-</w:t>
      </w:r>
      <w:r w:rsidRPr="00E67EC4">
        <w:t>to</w:t>
      </w:r>
      <w:r w:rsidRPr="00E67EC4" w:rsidR="00572830">
        <w:t>-</w:t>
      </w:r>
      <w:r w:rsidRPr="00E67EC4">
        <w:t>face or telephone interviews or focus groups</w:t>
      </w:r>
      <w:r w:rsidR="00BE64B4">
        <w:t>.</w:t>
      </w:r>
      <w:r w:rsidR="00EA0833">
        <w:t xml:space="preserve"> </w:t>
      </w:r>
      <w:r w:rsidR="000C2DF0">
        <w:t xml:space="preserve">The remaining </w:t>
      </w:r>
      <w:r w:rsidR="00EA0833">
        <w:t>5% are mail-back</w:t>
      </w:r>
      <w:r w:rsidR="002E3DF2">
        <w:t xml:space="preserve"> surveys</w:t>
      </w:r>
      <w:r w:rsidR="006050A9">
        <w:t xml:space="preserve"> which typically </w:t>
      </w:r>
      <w:r w:rsidR="0012326F">
        <w:t>includ</w:t>
      </w:r>
      <w:r w:rsidR="006050A9">
        <w:t>es</w:t>
      </w:r>
      <w:r w:rsidR="0012326F">
        <w:t xml:space="preserve"> </w:t>
      </w:r>
      <w:r w:rsidR="005E6F8D">
        <w:t>75%</w:t>
      </w:r>
      <w:r w:rsidR="002E3DF2">
        <w:t xml:space="preserve"> electronic response </w:t>
      </w:r>
      <w:r w:rsidR="005E6F8D">
        <w:t>and 25% paper response</w:t>
      </w:r>
      <w:r w:rsidR="00120E16">
        <w:t>.</w:t>
      </w:r>
    </w:p>
    <w:p w:rsidR="00E83E48" w:rsidRPr="00E67EC4" w14:paraId="65A0FFE4" w14:textId="5FE8F01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p>
    <w:p w:rsidR="00E20C3F" w:rsidP="00AE14AE" w14:paraId="65F86392" w14:textId="77777777">
      <w:pPr>
        <w:tabs>
          <w:tab w:val="left" w:pos="360"/>
        </w:tabs>
        <w:rPr>
          <w:b/>
        </w:rPr>
      </w:pPr>
      <w:r>
        <w:rPr>
          <w:b/>
        </w:rPr>
        <w:br w:type="page"/>
      </w:r>
    </w:p>
    <w:p w:rsidR="00ED269F" w:rsidRPr="00E67EC4" w:rsidP="00AE14AE" w14:paraId="1A80541F" w14:textId="01E26990">
      <w:pPr>
        <w:tabs>
          <w:tab w:val="left" w:pos="360"/>
        </w:tabs>
        <w:rPr>
          <w:b/>
        </w:rPr>
      </w:pPr>
      <w:r w:rsidRPr="00E67EC4">
        <w:rPr>
          <w:b/>
        </w:rPr>
        <w:t>4.</w:t>
      </w:r>
      <w:r w:rsidRPr="00E67EC4">
        <w:rPr>
          <w:b/>
        </w:rPr>
        <w:tab/>
      </w:r>
      <w:r w:rsidRPr="00E67EC4" w:rsidR="00536446">
        <w:rPr>
          <w:b/>
        </w:rPr>
        <w:t>Describe efforts to identify duplication.  Show specifically why any similar information already available cannot be used or modified for use for the purposes described in Item 2 above</w:t>
      </w:r>
      <w:r w:rsidRPr="00E67EC4">
        <w:rPr>
          <w:b/>
        </w:rPr>
        <w:t>.</w:t>
      </w:r>
    </w:p>
    <w:p w:rsidR="00FA2C37" w:rsidRPr="00E67EC4" w:rsidP="00AE14AE" w14:paraId="437ECCC2" w14:textId="77777777">
      <w:pPr>
        <w:tabs>
          <w:tab w:val="left" w:pos="360"/>
        </w:tabs>
      </w:pPr>
    </w:p>
    <w:p w:rsidR="00A323A1" w:rsidRPr="00E67EC4" w:rsidP="008D2F21" w14:paraId="311147C2" w14:textId="6F583F5F">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 xml:space="preserve">The administrative review process </w:t>
      </w:r>
      <w:r w:rsidR="00225A4A">
        <w:t xml:space="preserve">for this collection </w:t>
      </w:r>
      <w:r w:rsidR="00DD45A5">
        <w:t xml:space="preserve">provides oversite for </w:t>
      </w:r>
      <w:r w:rsidRPr="00E67EC4">
        <w:t xml:space="preserve">any duplication of efforts by other entities. </w:t>
      </w:r>
      <w:r w:rsidRPr="00E67EC4" w:rsidR="00851703">
        <w:t xml:space="preserve">The </w:t>
      </w:r>
      <w:r w:rsidRPr="00E67EC4" w:rsidR="008E1F8B">
        <w:t xml:space="preserve">NPS </w:t>
      </w:r>
      <w:r w:rsidRPr="00E67EC4" w:rsidR="00851703">
        <w:t xml:space="preserve">Social Science </w:t>
      </w:r>
      <w:r w:rsidR="00B62F5A">
        <w:t xml:space="preserve">Program </w:t>
      </w:r>
      <w:r w:rsidRPr="00E67EC4" w:rsidR="00851703">
        <w:t>will</w:t>
      </w:r>
      <w:r w:rsidRPr="00E67EC4">
        <w:t xml:space="preserve"> </w:t>
      </w:r>
      <w:r w:rsidR="00242BA9">
        <w:t xml:space="preserve">continue </w:t>
      </w:r>
      <w:r w:rsidRPr="00E67EC4">
        <w:t>work</w:t>
      </w:r>
      <w:r w:rsidR="00242BA9">
        <w:t>ing</w:t>
      </w:r>
      <w:r w:rsidRPr="00E67EC4">
        <w:t xml:space="preserve"> with the NPS research permitting </w:t>
      </w:r>
      <w:r w:rsidR="007C51E6">
        <w:t>process</w:t>
      </w:r>
      <w:r w:rsidRPr="00E67EC4" w:rsidR="007C51E6">
        <w:t xml:space="preserve"> </w:t>
      </w:r>
      <w:r w:rsidRPr="00E67EC4">
        <w:t>to link information collection</w:t>
      </w:r>
      <w:r w:rsidR="007C51E6">
        <w:t>s</w:t>
      </w:r>
      <w:r w:rsidRPr="00E67EC4">
        <w:t xml:space="preserve"> </w:t>
      </w:r>
      <w:r w:rsidR="007C51E6">
        <w:t>with</w:t>
      </w:r>
      <w:r w:rsidRPr="00E67EC4">
        <w:t xml:space="preserve"> </w:t>
      </w:r>
      <w:r w:rsidR="007C51E6">
        <w:t>requests for in-</w:t>
      </w:r>
      <w:r w:rsidRPr="00E67EC4" w:rsidR="002944F8">
        <w:t xml:space="preserve">park </w:t>
      </w:r>
      <w:r w:rsidR="007C51E6">
        <w:t xml:space="preserve">research </w:t>
      </w:r>
      <w:r w:rsidRPr="00E67EC4">
        <w:t>permit</w:t>
      </w:r>
      <w:r w:rsidR="007C51E6">
        <w:t xml:space="preserve">s </w:t>
      </w:r>
      <w:r w:rsidRPr="00E67EC4" w:rsidR="00DB4D1D">
        <w:t>to avoid duplication or increased burden in a particular park/place</w:t>
      </w:r>
      <w:r w:rsidRPr="00E67EC4" w:rsidR="002944F8">
        <w:t xml:space="preserve">. Further, </w:t>
      </w:r>
      <w:r w:rsidRPr="00E67EC4" w:rsidR="008E1F8B">
        <w:t xml:space="preserve">the Social Science </w:t>
      </w:r>
      <w:r w:rsidR="00B62F5A">
        <w:t>Program</w:t>
      </w:r>
      <w:r w:rsidRPr="00E67EC4" w:rsidR="00B62F5A">
        <w:t xml:space="preserve"> </w:t>
      </w:r>
      <w:r w:rsidRPr="00E67EC4" w:rsidR="008E1F8B">
        <w:t>will interface</w:t>
      </w:r>
      <w:r w:rsidRPr="00E67EC4" w:rsidR="00157F24">
        <w:t xml:space="preserve"> with </w:t>
      </w:r>
      <w:r w:rsidRPr="00E67EC4" w:rsidR="004D3934">
        <w:t xml:space="preserve">park contacts to understand the context of the proposed information collection within the larger park/program framework. </w:t>
      </w:r>
    </w:p>
    <w:p w:rsidR="00A323A1" w:rsidRPr="00E67EC4" w:rsidP="00A323A1" w14:paraId="7EFAA5A1"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ED269F" w:rsidP="00A323A1" w14:paraId="1D2A8BC4" w14:textId="3CE1AD0F">
      <w:pPr>
        <w:tabs>
          <w:tab w:val="left" w:pos="360"/>
        </w:tabs>
        <w:spacing w:line="360" w:lineRule="auto"/>
      </w:pPr>
      <w:r>
        <w:t xml:space="preserve">We acknowledge </w:t>
      </w:r>
      <w:r w:rsidR="006E71AB">
        <w:t xml:space="preserve">that there are </w:t>
      </w:r>
      <w:r>
        <w:t xml:space="preserve">other </w:t>
      </w:r>
      <w:r w:rsidRPr="00E67EC4" w:rsidR="005567EF">
        <w:t xml:space="preserve">information </w:t>
      </w:r>
      <w:r w:rsidRPr="00E67EC4" w:rsidR="00A323A1">
        <w:t>collections and programs</w:t>
      </w:r>
      <w:r>
        <w:rPr>
          <w:vertAlign w:val="superscript"/>
        </w:rPr>
        <w:footnoteReference w:id="6"/>
      </w:r>
      <w:r w:rsidRPr="00E67EC4" w:rsidR="00A323A1">
        <w:t xml:space="preserve"> </w:t>
      </w:r>
      <w:r w:rsidR="005567EF">
        <w:t>related to</w:t>
      </w:r>
      <w:r w:rsidRPr="00E67EC4" w:rsidR="00A323A1">
        <w:t xml:space="preserve"> outdoor recreation </w:t>
      </w:r>
      <w:r w:rsidR="006E71AB">
        <w:t xml:space="preserve">use </w:t>
      </w:r>
      <w:r w:rsidRPr="00E67EC4" w:rsidR="00A323A1">
        <w:t xml:space="preserve">patterns </w:t>
      </w:r>
      <w:r w:rsidR="006E71AB">
        <w:t xml:space="preserve">conducted </w:t>
      </w:r>
      <w:r w:rsidRPr="00E67EC4" w:rsidR="00A323A1">
        <w:t xml:space="preserve">on a national level; however, these collections do not </w:t>
      </w:r>
      <w:r w:rsidR="00D04E09">
        <w:t>investigate</w:t>
      </w:r>
      <w:r w:rsidRPr="00E67EC4" w:rsidR="00A323A1">
        <w:t xml:space="preserve"> the </w:t>
      </w:r>
      <w:r w:rsidRPr="00E67EC4" w:rsidR="00FA5605">
        <w:t xml:space="preserve">unique </w:t>
      </w:r>
      <w:r w:rsidRPr="00E67EC4" w:rsidR="00A323A1">
        <w:t xml:space="preserve">management and planning issues that are central to </w:t>
      </w:r>
      <w:r w:rsidR="00012830">
        <w:t>the mission and goals of the NPS.</w:t>
      </w:r>
      <w:r w:rsidRPr="00E67EC4" w:rsidR="00A535B2">
        <w:t xml:space="preserve"> </w:t>
      </w:r>
    </w:p>
    <w:p w:rsidR="002E3DF2" w:rsidP="00A323A1" w14:paraId="0FB8F445" w14:textId="77777777">
      <w:pPr>
        <w:tabs>
          <w:tab w:val="left" w:pos="360"/>
        </w:tabs>
        <w:spacing w:line="360" w:lineRule="auto"/>
      </w:pPr>
    </w:p>
    <w:p w:rsidR="008F0B14" w:rsidP="00A323A1" w14:paraId="17CD7C41" w14:textId="503F7362">
      <w:pPr>
        <w:tabs>
          <w:tab w:val="left" w:pos="360"/>
        </w:tabs>
        <w:spacing w:line="360" w:lineRule="auto"/>
      </w:pPr>
      <w:r>
        <w:t xml:space="preserve">Further, the NPS is </w:t>
      </w:r>
      <w:r w:rsidR="00012830">
        <w:t xml:space="preserve">also </w:t>
      </w:r>
      <w:r>
        <w:t>aware of and leverages the DOI generic clearance</w:t>
      </w:r>
      <w:r w:rsidR="005A4E8B">
        <w:t>s</w:t>
      </w:r>
      <w:r w:rsidR="00E07795">
        <w:t xml:space="preserve"> (1090-0011</w:t>
      </w:r>
      <w:r w:rsidR="0013201D">
        <w:t xml:space="preserve"> and 1040-0001</w:t>
      </w:r>
      <w:r w:rsidR="001C0C67">
        <w:t>)</w:t>
      </w:r>
      <w:r>
        <w:t xml:space="preserve"> </w:t>
      </w:r>
      <w:r w:rsidR="00E01156">
        <w:t>to co</w:t>
      </w:r>
      <w:r w:rsidR="00F056AD">
        <w:t>nduct evaluations</w:t>
      </w:r>
      <w:r w:rsidR="00BF5445">
        <w:t xml:space="preserve"> of</w:t>
      </w:r>
      <w:r w:rsidR="00F056AD">
        <w:t xml:space="preserve"> </w:t>
      </w:r>
      <w:r w:rsidR="00E01156">
        <w:t xml:space="preserve">customer </w:t>
      </w:r>
      <w:r w:rsidR="00F056AD">
        <w:t>services</w:t>
      </w:r>
      <w:r>
        <w:t xml:space="preserve">. </w:t>
      </w:r>
      <w:r w:rsidR="00940AD7">
        <w:t>T</w:t>
      </w:r>
      <w:r>
        <w:t xml:space="preserve">he </w:t>
      </w:r>
      <w:r>
        <w:t>Programmatic Clearance is distinctly different from both of those generic clearances</w:t>
      </w:r>
      <w:r w:rsidR="009B5780">
        <w:t xml:space="preserve"> because the</w:t>
      </w:r>
      <w:r>
        <w:t xml:space="preserve"> </w:t>
      </w:r>
      <w:r w:rsidR="009B5780">
        <w:t xml:space="preserve">primary </w:t>
      </w:r>
      <w:r>
        <w:t>focus</w:t>
      </w:r>
      <w:r w:rsidR="00F50712">
        <w:t>,</w:t>
      </w:r>
      <w:r>
        <w:t xml:space="preserve"> breadth and depth goes</w:t>
      </w:r>
      <w:r w:rsidR="00D64F0B">
        <w:t xml:space="preserve"> </w:t>
      </w:r>
      <w:r>
        <w:t xml:space="preserve">beyond customer satisfaction </w:t>
      </w:r>
      <w:r w:rsidR="00241862">
        <w:t xml:space="preserve">by </w:t>
      </w:r>
      <w:r w:rsidR="003A140C">
        <w:t xml:space="preserve">using social science methods </w:t>
      </w:r>
      <w:r w:rsidR="00AE4FE7">
        <w:t>which is not a</w:t>
      </w:r>
      <w:r w:rsidR="006F7AD6">
        <w:t xml:space="preserve">n approved </w:t>
      </w:r>
      <w:r w:rsidR="00AE4FE7">
        <w:t>function of either DOI Generic Clearances</w:t>
      </w:r>
      <w:r w:rsidR="008C1C13">
        <w:t xml:space="preserve">. </w:t>
      </w:r>
    </w:p>
    <w:p w:rsidR="00A535B2" w:rsidRPr="00E67EC4" w:rsidP="00A535B2" w14:paraId="6984BC14" w14:textId="77777777">
      <w:pPr>
        <w:tabs>
          <w:tab w:val="left" w:pos="360"/>
        </w:tabs>
      </w:pPr>
    </w:p>
    <w:p w:rsidR="00ED269F" w:rsidRPr="00E67EC4" w:rsidP="00AE14AE" w14:paraId="04409C19" w14:textId="77777777">
      <w:pPr>
        <w:tabs>
          <w:tab w:val="clear" w:pos="0"/>
          <w:tab w:val="left" w:pos="360"/>
        </w:tabs>
        <w:rPr>
          <w:b/>
        </w:rPr>
      </w:pPr>
      <w:r w:rsidRPr="00E67EC4">
        <w:rPr>
          <w:b/>
        </w:rPr>
        <w:t>5.</w:t>
      </w:r>
      <w:r w:rsidRPr="00E67EC4">
        <w:rPr>
          <w:b/>
        </w:rPr>
        <w:tab/>
      </w:r>
      <w:r w:rsidRPr="00E67EC4" w:rsidR="00536446">
        <w:rPr>
          <w:b/>
        </w:rPr>
        <w:t>If the collection of information impacts small businesses or other small entities, describe any methods used to minimize burden</w:t>
      </w:r>
      <w:r w:rsidRPr="00E67EC4">
        <w:rPr>
          <w:b/>
        </w:rPr>
        <w:t>.</w:t>
      </w:r>
    </w:p>
    <w:p w:rsidR="00827D6C" w:rsidRPr="00E67EC4" w:rsidP="00AE14AE" w14:paraId="217C9F84" w14:textId="77777777">
      <w:pPr>
        <w:tabs>
          <w:tab w:val="clear" w:pos="0"/>
          <w:tab w:val="left" w:pos="360"/>
        </w:tabs>
        <w:rPr>
          <w:b/>
        </w:rPr>
      </w:pPr>
    </w:p>
    <w:p w:rsidR="001B1BEB" w:rsidRPr="00E67EC4" w:rsidP="00A535B2" w14:paraId="3F972104" w14:textId="33CF1F71">
      <w:pPr>
        <w:spacing w:line="360" w:lineRule="auto"/>
      </w:pPr>
      <w:r>
        <w:t xml:space="preserve">There are no </w:t>
      </w:r>
      <w:r w:rsidR="002B6623">
        <w:t>significant impacts to small businesses.  Any requests for information will be</w:t>
      </w:r>
      <w:r w:rsidR="005D3C16">
        <w:t xml:space="preserve"> no more than what is required as a course of regular business practices. </w:t>
      </w:r>
      <w:r w:rsidR="002B6623">
        <w:t xml:space="preserve"> </w:t>
      </w:r>
    </w:p>
    <w:p w:rsidR="008D2F21" w:rsidRPr="00E67EC4" w:rsidP="00AE14AE" w14:paraId="7D38A1FD" w14:textId="77777777">
      <w:pPr>
        <w:tabs>
          <w:tab w:val="clear" w:pos="0"/>
          <w:tab w:val="left" w:pos="360"/>
        </w:tabs>
        <w:rPr>
          <w:b/>
        </w:rPr>
      </w:pPr>
    </w:p>
    <w:p w:rsidR="00ED269F" w:rsidRPr="00E67EC4" w:rsidP="00AE14AE" w14:paraId="09BD300C" w14:textId="0604B24B">
      <w:pPr>
        <w:tabs>
          <w:tab w:val="clear" w:pos="0"/>
          <w:tab w:val="left" w:pos="360"/>
        </w:tabs>
        <w:rPr>
          <w:b/>
        </w:rPr>
      </w:pPr>
      <w:r w:rsidRPr="00E67EC4">
        <w:rPr>
          <w:b/>
        </w:rPr>
        <w:t>6.</w:t>
      </w:r>
      <w:r w:rsidRPr="00E67EC4">
        <w:rPr>
          <w:b/>
        </w:rPr>
        <w:tab/>
      </w:r>
      <w:r w:rsidRPr="00E67EC4" w:rsidR="00536446">
        <w:rPr>
          <w:b/>
        </w:rPr>
        <w:t>Describe the consequence to Federal program or policy activities if the collection is not conducted or is conducted less frequently, as well as any technical or legal obstacles to reducing burden</w:t>
      </w:r>
      <w:r w:rsidRPr="00E67EC4">
        <w:rPr>
          <w:b/>
        </w:rPr>
        <w:t>.</w:t>
      </w:r>
    </w:p>
    <w:p w:rsidR="00FA2C37" w:rsidRPr="00E67EC4" w:rsidP="00D85EF1" w14:paraId="728203AB" w14:textId="77777777"/>
    <w:p w:rsidR="00E32309" w:rsidRPr="00E32309" w:rsidP="00E32309" w14:paraId="7A1A1337" w14:textId="76977574">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 xml:space="preserve">In accordance with </w:t>
      </w:r>
      <w:r w:rsidRPr="00C74F98">
        <w:rPr>
          <w:bCs/>
          <w:i/>
          <w:iCs/>
        </w:rPr>
        <w:t>16 U.S.C. §100701 and §100702</w:t>
      </w:r>
      <w:r>
        <w:rPr>
          <w:bCs/>
          <w:i/>
          <w:iCs/>
        </w:rPr>
        <w:t xml:space="preserve"> - </w:t>
      </w:r>
      <w:r w:rsidRPr="00C74F98">
        <w:rPr>
          <w:bCs/>
          <w:i/>
          <w:iCs/>
        </w:rPr>
        <w:t>The National Park Service Act of 1916</w:t>
      </w:r>
      <w:r w:rsidR="005A1141">
        <w:rPr>
          <w:bCs/>
          <w:i/>
          <w:iCs/>
        </w:rPr>
        <w:t>,</w:t>
      </w:r>
      <w:r>
        <w:rPr>
          <w:bCs/>
          <w:i/>
          <w:iCs/>
        </w:rPr>
        <w:t xml:space="preserve"> </w:t>
      </w:r>
      <w:r w:rsidR="00CA1771">
        <w:rPr>
          <w:bCs/>
        </w:rPr>
        <w:t>t</w:t>
      </w:r>
      <w:r w:rsidRPr="00E32309">
        <w:t xml:space="preserve">his generic clearance </w:t>
      </w:r>
      <w:r>
        <w:t>provides</w:t>
      </w:r>
      <w:r w:rsidRPr="00E32309">
        <w:t xml:space="preserve"> </w:t>
      </w:r>
      <w:r w:rsidR="00CA1771">
        <w:t xml:space="preserve">the timely application of </w:t>
      </w:r>
      <w:r w:rsidRPr="00E32309">
        <w:t xml:space="preserve">social science data </w:t>
      </w:r>
      <w:r w:rsidR="00CA1771">
        <w:t xml:space="preserve">needed </w:t>
      </w:r>
      <w:r w:rsidRPr="00E32309">
        <w:t>to support all aspects of the NPS mission, goals, and opera</w:t>
      </w:r>
      <w:r w:rsidRPr="00E32309">
        <w:t>tions</w:t>
      </w:r>
      <w:r w:rsidR="00CA1771">
        <w:t>. Without this collection, t</w:t>
      </w:r>
      <w:r w:rsidRPr="00E32309">
        <w:t xml:space="preserve">he studies leveraged under this clearance </w:t>
      </w:r>
      <w:r w:rsidR="00CA1771">
        <w:t xml:space="preserve">would not </w:t>
      </w:r>
      <w:r w:rsidRPr="00E32309">
        <w:t xml:space="preserve">provide NPS managers, and staff </w:t>
      </w:r>
      <w:r w:rsidR="00CA1771">
        <w:t xml:space="preserve">with time sensitive </w:t>
      </w:r>
      <w:r w:rsidRPr="00E32309">
        <w:t>information relevant to management and planning that is not available from any other source.</w:t>
      </w:r>
    </w:p>
    <w:p w:rsidR="00E32309" w:rsidP="008C4A0B" w14:paraId="36C9E319" w14:textId="77777777">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C63B4F" w:rsidRPr="00C63B4F" w:rsidP="008C4A0B" w14:paraId="6D69B5C3" w14:textId="7E79AB1D">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t>O</w:t>
      </w:r>
      <w:r w:rsidRPr="00C5559B">
        <w:t>n average, 25 new s</w:t>
      </w:r>
      <w:r>
        <w:t>tudie</w:t>
      </w:r>
      <w:r>
        <w:t>s</w:t>
      </w:r>
      <w:r w:rsidRPr="00C5559B">
        <w:t xml:space="preserve"> </w:t>
      </w:r>
      <w:r>
        <w:t>are</w:t>
      </w:r>
      <w:r w:rsidRPr="00C5559B">
        <w:t xml:space="preserve"> approved each year</w:t>
      </w:r>
      <w:r>
        <w:t>, which is</w:t>
      </w:r>
      <w:r w:rsidRPr="00C5559B">
        <w:t xml:space="preserve"> </w:t>
      </w:r>
      <w:r w:rsidR="00A64854">
        <w:t>over</w:t>
      </w:r>
      <w:r w:rsidRPr="00C5559B">
        <w:t xml:space="preserve"> five times as many as we would expect going through the </w:t>
      </w:r>
      <w:r>
        <w:t>full review process</w:t>
      </w:r>
      <w:r w:rsidRPr="00C5559B">
        <w:t>.</w:t>
      </w:r>
      <w:r w:rsidRPr="00C5559B">
        <w:rPr>
          <w:rFonts w:eastAsia="Calibri"/>
        </w:rPr>
        <w:t xml:space="preserve"> </w:t>
      </w:r>
      <w:r w:rsidR="00473A18">
        <w:t xml:space="preserve">The absence of this clearance would result in an unprecedented backlog of requests.  </w:t>
      </w:r>
      <w:r w:rsidR="002A0C90">
        <w:rPr>
          <w:rFonts w:eastAsia="Calibri"/>
        </w:rPr>
        <w:t>The expedited review is in stark contrast with the full review process</w:t>
      </w:r>
      <w:r w:rsidR="005A1141">
        <w:rPr>
          <w:rFonts w:eastAsia="Calibri"/>
        </w:rPr>
        <w:t xml:space="preserve">, </w:t>
      </w:r>
      <w:r w:rsidR="002A0C90">
        <w:rPr>
          <w:rFonts w:eastAsia="Calibri"/>
        </w:rPr>
        <w:t>which can be upwards of 18 months</w:t>
      </w:r>
      <w:r w:rsidRPr="0054786A" w:rsidR="002A0C90">
        <w:rPr>
          <w:rFonts w:eastAsia="Calibri"/>
        </w:rPr>
        <w:t xml:space="preserve"> for a sing</w:t>
      </w:r>
      <w:r w:rsidR="002A0C90">
        <w:rPr>
          <w:rFonts w:eastAsia="Calibri"/>
        </w:rPr>
        <w:t>le ICR package</w:t>
      </w:r>
      <w:r w:rsidRPr="0054786A" w:rsidR="002A0C90">
        <w:rPr>
          <w:rFonts w:eastAsia="Calibri"/>
        </w:rPr>
        <w:t xml:space="preserve">.  </w:t>
      </w:r>
      <w:r w:rsidRPr="006455C0" w:rsidR="002A0C90">
        <w:rPr>
          <w:rFonts w:eastAsia="Calibri"/>
        </w:rPr>
        <w:t>Without th</w:t>
      </w:r>
      <w:r w:rsidR="002A0C90">
        <w:rPr>
          <w:rFonts w:eastAsia="Calibri"/>
        </w:rPr>
        <w:t>is programmatic clearance,</w:t>
      </w:r>
      <w:r w:rsidRPr="006455C0" w:rsidR="002A0C90">
        <w:rPr>
          <w:rFonts w:eastAsia="Calibri"/>
        </w:rPr>
        <w:t xml:space="preserve"> the NPS will </w:t>
      </w:r>
      <w:r w:rsidR="00892D47">
        <w:rPr>
          <w:rFonts w:eastAsia="Calibri"/>
        </w:rPr>
        <w:t xml:space="preserve">be negligent in its responsibility </w:t>
      </w:r>
      <w:r w:rsidR="00892D47">
        <w:t>forcing parks to use obsolete or anecdotal data to make emerging management decisions.</w:t>
      </w:r>
      <w:r w:rsidR="00892D47">
        <w:rPr>
          <w:rFonts w:eastAsia="Calibri"/>
        </w:rPr>
        <w:t xml:space="preserve"> </w:t>
      </w:r>
    </w:p>
    <w:p w:rsidR="008C069D" w:rsidRPr="0054786A" w:rsidP="008C4A0B" w14:paraId="0C4576B6" w14:textId="0B6EF33A">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536446" w:rsidRPr="00E67EC4" w:rsidP="00AE14AE" w14:paraId="1FF3DF8D" w14:textId="21ED148F">
      <w:pPr>
        <w:tabs>
          <w:tab w:val="clear" w:pos="0"/>
          <w:tab w:val="left" w:pos="360"/>
        </w:tabs>
        <w:rPr>
          <w:b/>
        </w:rPr>
      </w:pPr>
      <w:r w:rsidRPr="00E67EC4">
        <w:rPr>
          <w:b/>
        </w:rPr>
        <w:t>7</w:t>
      </w:r>
      <w:r w:rsidRPr="00E67EC4" w:rsidR="00ED269F">
        <w:rPr>
          <w:b/>
        </w:rPr>
        <w:t>.</w:t>
      </w:r>
      <w:r w:rsidRPr="00E67EC4" w:rsidR="00ED269F">
        <w:rPr>
          <w:b/>
        </w:rPr>
        <w:tab/>
      </w:r>
      <w:r w:rsidRPr="00E67EC4">
        <w:rPr>
          <w:b/>
        </w:rPr>
        <w:t>Explain any special circumstances that would cause an information collection to be conducted in a manner:</w:t>
      </w:r>
    </w:p>
    <w:p w:rsidR="00536446" w:rsidRPr="00E67EC4" w:rsidP="00536446" w14:paraId="69D3D85F"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respondents to report information to the agency more often than quarterly;</w:t>
      </w:r>
    </w:p>
    <w:p w:rsidR="00536446" w:rsidRPr="00E67EC4" w:rsidP="00536446" w14:paraId="7F209E88"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respondents to prepare a </w:t>
      </w:r>
      <w:r w:rsidRPr="00E67EC4">
        <w:rPr>
          <w:b/>
        </w:rPr>
        <w:t>written response to a collection of information in fewer than 30 days after receipt of it;</w:t>
      </w:r>
    </w:p>
    <w:p w:rsidR="00536446" w:rsidRPr="00E67EC4" w:rsidP="00536446" w14:paraId="216EC86F"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respondents to submit more than an original and two copies of any document;</w:t>
      </w:r>
    </w:p>
    <w:p w:rsidR="00536446" w:rsidRPr="00E67EC4" w:rsidP="00536446" w14:paraId="320C1C12"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respondents to retain records, other than health, medical, gove</w:t>
      </w:r>
      <w:r w:rsidRPr="00E67EC4">
        <w:rPr>
          <w:b/>
        </w:rPr>
        <w:t>rnment contract, grant-in-aid, or tax records, for more than three years;</w:t>
      </w:r>
    </w:p>
    <w:p w:rsidR="00536446" w:rsidRPr="00E67EC4" w:rsidP="00536446" w14:paraId="159DBEE6" w14:textId="77777777">
      <w:pPr>
        <w:tabs>
          <w:tab w:val="clear" w:pos="0"/>
          <w:tab w:val="left" w:pos="360"/>
        </w:tabs>
        <w:ind w:left="360" w:hanging="360"/>
        <w:rPr>
          <w:b/>
        </w:rPr>
      </w:pPr>
      <w:r w:rsidRPr="00E67EC4">
        <w:rPr>
          <w:b/>
        </w:rPr>
        <w:tab/>
        <w:t>*</w:t>
      </w:r>
      <w:r w:rsidRPr="00E67EC4">
        <w:rPr>
          <w:b/>
        </w:rPr>
        <w:tab/>
      </w:r>
      <w:r w:rsidRPr="00E67EC4">
        <w:rPr>
          <w:b/>
        </w:rPr>
        <w:t>in</w:t>
      </w:r>
      <w:r w:rsidRPr="00E67EC4">
        <w:rPr>
          <w:b/>
        </w:rPr>
        <w:t xml:space="preserve"> connection with a statistical survey that is not designed to produce valid and reliable results that can be generalized to the universe of study;</w:t>
      </w:r>
    </w:p>
    <w:p w:rsidR="00536446" w:rsidRPr="00E67EC4" w:rsidP="00536446" w14:paraId="5FB147A8"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the use of a stat</w:t>
      </w:r>
      <w:r w:rsidRPr="00E67EC4">
        <w:rPr>
          <w:b/>
        </w:rPr>
        <w:t>istical data classification that has not been reviewed and approved by OMB;</w:t>
      </w:r>
    </w:p>
    <w:p w:rsidR="00536446" w:rsidRPr="00E67EC4" w:rsidP="00536446" w14:paraId="2F16EA86" w14:textId="77777777">
      <w:pPr>
        <w:tabs>
          <w:tab w:val="clear" w:pos="0"/>
          <w:tab w:val="left" w:pos="360"/>
        </w:tabs>
        <w:ind w:left="360" w:hanging="360"/>
        <w:rPr>
          <w:b/>
        </w:rPr>
      </w:pPr>
      <w:r w:rsidRPr="00E67EC4">
        <w:rPr>
          <w:b/>
        </w:rPr>
        <w:tab/>
        <w:t>*</w:t>
      </w:r>
      <w:r w:rsidRPr="00E67EC4">
        <w:rPr>
          <w:b/>
        </w:rPr>
        <w:tab/>
      </w:r>
      <w:r w:rsidRPr="00E67EC4">
        <w:rPr>
          <w:b/>
        </w:rPr>
        <w:t>that</w:t>
      </w:r>
      <w:r w:rsidRPr="00E67EC4">
        <w:rPr>
          <w:b/>
        </w:rPr>
        <w:t xml:space="preserve"> includes a pledge of confidentiality that is not supported by authority established in statute or regulation, that is not supported by disclosure and data security policies</w:t>
      </w:r>
      <w:r w:rsidRPr="00E67EC4">
        <w:rPr>
          <w:b/>
        </w:rPr>
        <w:t xml:space="preserve"> that are consistent with the pledge, or which unnecessarily impedes sharing of data with other agencies for compatible confidential use; or</w:t>
      </w:r>
    </w:p>
    <w:p w:rsidR="00ED269F" w:rsidRPr="00E67EC4" w:rsidP="00536446" w14:paraId="1D2FDF23" w14:textId="77777777">
      <w:pPr>
        <w:tabs>
          <w:tab w:val="clear" w:pos="0"/>
          <w:tab w:val="left" w:pos="360"/>
        </w:tabs>
        <w:ind w:left="360" w:hanging="360"/>
        <w:rPr>
          <w:b/>
        </w:rPr>
      </w:pPr>
      <w:r w:rsidRPr="00E67EC4">
        <w:rPr>
          <w:b/>
        </w:rPr>
        <w:tab/>
        <w:t>*</w:t>
      </w:r>
      <w:r w:rsidRPr="00E67EC4">
        <w:rPr>
          <w:b/>
        </w:rPr>
        <w:tab/>
      </w:r>
      <w:r w:rsidRPr="00E67EC4">
        <w:rPr>
          <w:b/>
        </w:rPr>
        <w:t>requiring</w:t>
      </w:r>
      <w:r w:rsidRPr="00E67EC4">
        <w:rPr>
          <w:b/>
        </w:rPr>
        <w:t xml:space="preserve"> respondents to submit proprietary trade secrets, or other confidential information, unless the agency </w:t>
      </w:r>
      <w:r w:rsidRPr="00E67EC4">
        <w:rPr>
          <w:b/>
        </w:rPr>
        <w:t>can demonstrate that it has instituted procedures to protect the information's confidentiality to the extent permitted by law.</w:t>
      </w:r>
    </w:p>
    <w:p w:rsidR="00FA2C37" w:rsidRPr="00E67EC4" w:rsidP="00D85EF1" w14:paraId="00D3A51F" w14:textId="3143A394"/>
    <w:p w:rsidR="001B1BEB" w:rsidRPr="00E67EC4" w:rsidP="008C4A0B" w14:paraId="0AE72954" w14:textId="23681E1E">
      <w:pPr>
        <w:spacing w:line="360" w:lineRule="auto"/>
      </w:pPr>
      <w:r w:rsidRPr="00E67EC4">
        <w:t xml:space="preserve">This renewal request contains no special circumstances with respect to 5 CFR 1320.5 (2) (i) and (iii-viii) </w:t>
      </w:r>
      <w:r w:rsidRPr="00E67EC4">
        <w:t>with the exception of</w:t>
      </w:r>
      <w:r w:rsidRPr="00E67EC4">
        <w:t xml:space="preserve"> (ii).  </w:t>
      </w:r>
      <w:r w:rsidR="00CA71DB">
        <w:t>There may be in</w:t>
      </w:r>
      <w:r w:rsidR="00A43061">
        <w:t>stan</w:t>
      </w:r>
      <w:r w:rsidR="00127729">
        <w:t>c</w:t>
      </w:r>
      <w:r w:rsidR="00A43061">
        <w:t>es where</w:t>
      </w:r>
      <w:r w:rsidR="00CA3784">
        <w:t xml:space="preserve"> a subset of </w:t>
      </w:r>
      <w:r w:rsidR="00A43061">
        <w:t xml:space="preserve">respondents </w:t>
      </w:r>
      <w:r w:rsidR="0014415D">
        <w:t xml:space="preserve">may </w:t>
      </w:r>
      <w:r w:rsidR="00A43061">
        <w:t xml:space="preserve">be asked to complete and return a survey </w:t>
      </w:r>
      <w:r w:rsidR="0014415D">
        <w:t xml:space="preserve">on-site or </w:t>
      </w:r>
      <w:r w:rsidR="00A43061">
        <w:t xml:space="preserve">within </w:t>
      </w:r>
      <w:r w:rsidRPr="00E67EC4">
        <w:t xml:space="preserve">30 days </w:t>
      </w:r>
      <w:r w:rsidR="00A43061">
        <w:t>of</w:t>
      </w:r>
      <w:r w:rsidRPr="00E67EC4">
        <w:t xml:space="preserve"> receipt</w:t>
      </w:r>
      <w:r w:rsidRPr="00E67EC4" w:rsidR="00CC31D8">
        <w:t>.</w:t>
      </w:r>
    </w:p>
    <w:p w:rsidR="00D63894" w:rsidP="00AE14AE" w14:paraId="571AE2B2" w14:textId="77777777">
      <w:pPr>
        <w:tabs>
          <w:tab w:val="left" w:pos="360"/>
        </w:tabs>
        <w:rPr>
          <w:b/>
        </w:rPr>
      </w:pPr>
    </w:p>
    <w:p w:rsidR="00BF5A2D" w:rsidRPr="00E67EC4" w:rsidP="00AE14AE" w14:paraId="13633D29" w14:textId="725C399B">
      <w:pPr>
        <w:tabs>
          <w:tab w:val="left" w:pos="360"/>
        </w:tabs>
        <w:rPr>
          <w:b/>
        </w:rPr>
      </w:pPr>
      <w:r w:rsidRPr="00E67EC4">
        <w:rPr>
          <w:b/>
        </w:rPr>
        <w:t>8.</w:t>
      </w:r>
      <w:r w:rsidRPr="00E67EC4">
        <w:rPr>
          <w:b/>
        </w:rPr>
        <w:tab/>
        <w:t>If applicable, provide a copy and identify the date and page number of publication in the Federal Register o</w:t>
      </w:r>
      <w:r w:rsidRPr="00E67EC4">
        <w:rPr>
          <w:b/>
        </w:rPr>
        <w:t>f the agency's notice, required by 5 CFR 1320.8(d), soliciting comments on the information collection prior to submission to OMB.  Summarize public comments received in response to that notice and in response to the PRA statement associated with the collec</w:t>
      </w:r>
      <w:r w:rsidRPr="00E67EC4">
        <w:rPr>
          <w:b/>
        </w:rPr>
        <w:t>tion over the past three years, and describe actions taken by the agency in response to these comments.  Specifically address comments received on cost and hour burden.</w:t>
      </w:r>
    </w:p>
    <w:p w:rsidR="006801B8" w:rsidRPr="00E67EC4" w:rsidP="00AE14AE" w14:paraId="70BCE283" w14:textId="77777777">
      <w:pPr>
        <w:tabs>
          <w:tab w:val="left" w:pos="360"/>
        </w:tabs>
        <w:rPr>
          <w:b/>
        </w:rPr>
      </w:pPr>
    </w:p>
    <w:p w:rsidR="00BF5A2D" w:rsidRPr="00E67EC4" w:rsidP="00AE14AE" w14:paraId="3C9B6F53" w14:textId="77777777">
      <w:pPr>
        <w:tabs>
          <w:tab w:val="left" w:pos="360"/>
        </w:tabs>
        <w:rPr>
          <w:b/>
        </w:rPr>
      </w:pPr>
      <w:r w:rsidRPr="00E67EC4">
        <w:rPr>
          <w:b/>
        </w:rPr>
        <w:t xml:space="preserve">Describe efforts to </w:t>
      </w:r>
      <w:bookmarkStart w:id="20" w:name="_Hlk116564302"/>
      <w:r w:rsidRPr="00E67EC4">
        <w:rPr>
          <w:b/>
        </w:rPr>
        <w:t xml:space="preserve">consult with persons outside the agency </w:t>
      </w:r>
      <w:bookmarkEnd w:id="20"/>
      <w:r w:rsidRPr="00E67EC4">
        <w:rPr>
          <w:b/>
        </w:rPr>
        <w:t xml:space="preserve">to obtain </w:t>
      </w:r>
      <w:r w:rsidRPr="00F70DA5">
        <w:rPr>
          <w:b/>
        </w:rPr>
        <w:t>their views on the availability of data, frequency of collection, the clarity of instructions and recordkeeping, disclosure, or reporting format (if any), and on the data elements to be recorded, disclosed,</w:t>
      </w:r>
      <w:r w:rsidRPr="00F70DA5">
        <w:rPr>
          <w:b/>
        </w:rPr>
        <w:t xml:space="preserve"> or reported.</w:t>
      </w:r>
    </w:p>
    <w:p w:rsidR="00BF5A2D" w:rsidRPr="00E67EC4" w:rsidP="00BF5A2D" w14:paraId="320A86F7" w14:textId="77777777">
      <w:pPr>
        <w:tabs>
          <w:tab w:val="left" w:pos="360"/>
        </w:tabs>
        <w:ind w:left="360" w:hanging="360"/>
        <w:rPr>
          <w:b/>
        </w:rPr>
      </w:pPr>
    </w:p>
    <w:p w:rsidR="00ED269F" w:rsidRPr="00E67EC4" w:rsidP="00AE14AE" w14:paraId="58E873F7" w14:textId="77777777">
      <w:pPr>
        <w:tabs>
          <w:tab w:val="left" w:pos="360"/>
        </w:tabs>
        <w:rPr>
          <w:b/>
        </w:rPr>
      </w:pPr>
      <w:r w:rsidRPr="00E67EC4">
        <w:rPr>
          <w:b/>
        </w:rPr>
        <w:t>Consultation with representatives of those from whom information is to be obtained or those who must compile records should occur at least once every three years — even if the collection of information activity is the same as in prior period</w:t>
      </w:r>
      <w:r w:rsidRPr="00E67EC4">
        <w:rPr>
          <w:b/>
        </w:rPr>
        <w:t>s.  There may be circumstances that may preclude consultation in a specific situation.  These circumstances should be explained.</w:t>
      </w:r>
    </w:p>
    <w:p w:rsidR="00ED269F" w:rsidRPr="00E67EC4" w:rsidP="00726DE6" w14:paraId="68B5BA72" w14:textId="77777777">
      <w:pPr>
        <w:tabs>
          <w:tab w:val="left" w:pos="360"/>
        </w:tabs>
        <w:spacing w:line="360" w:lineRule="auto"/>
        <w:ind w:left="360"/>
        <w:rPr>
          <w:b/>
        </w:rPr>
      </w:pPr>
    </w:p>
    <w:p w:rsidR="00052561" w:rsidRPr="00E67EC4" w:rsidP="00726DE6" w14:paraId="5A0918BD" w14:textId="6D1B494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E67EC4">
        <w:t xml:space="preserve">On </w:t>
      </w:r>
      <w:r w:rsidR="00983E73">
        <w:t>February 8, 2022</w:t>
      </w:r>
      <w:r w:rsidRPr="00E67EC4">
        <w:t>, a 60-day Federal Register notice (</w:t>
      </w:r>
      <w:r w:rsidR="00983E73">
        <w:t>87 FR 7206</w:t>
      </w:r>
      <w:r w:rsidRPr="00E67EC4">
        <w:t xml:space="preserve">) was published announcing this information </w:t>
      </w:r>
      <w:r w:rsidRPr="00E67EC4">
        <w:t>collection renewal.  Public comments were solicited for 60 days</w:t>
      </w:r>
      <w:r w:rsidRPr="00E67EC4" w:rsidR="009E18E5">
        <w:t>,</w:t>
      </w:r>
      <w:r w:rsidRPr="00E67EC4">
        <w:t xml:space="preserve"> ending </w:t>
      </w:r>
      <w:r w:rsidR="00AE2897">
        <w:t>April 11, 2022</w:t>
      </w:r>
      <w:r w:rsidRPr="00E67EC4">
        <w:t xml:space="preserve">.  We </w:t>
      </w:r>
      <w:r w:rsidRPr="00E67EC4" w:rsidR="00D635CA">
        <w:t xml:space="preserve">did not receive any comments in response to this notice. </w:t>
      </w:r>
      <w:r w:rsidRPr="00E67EC4">
        <w:rPr>
          <w:rFonts w:eastAsia="Calibri"/>
        </w:rPr>
        <w:t xml:space="preserve"> </w:t>
      </w:r>
    </w:p>
    <w:p w:rsidR="00052561" w:rsidRPr="00E67EC4" w:rsidP="00726DE6" w14:paraId="2A06E8F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986C10" w:rsidP="00726DE6" w14:paraId="66721D69" w14:textId="735D569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E67EC4">
        <w:t xml:space="preserve">In addition to the request for public comment, we </w:t>
      </w:r>
      <w:r w:rsidRPr="00E67EC4" w:rsidR="00D635CA">
        <w:t xml:space="preserve">requested feedback from </w:t>
      </w:r>
      <w:r w:rsidR="007D5E5C">
        <w:t>six (</w:t>
      </w:r>
      <w:r w:rsidRPr="00E67EC4" w:rsidR="00E7099F">
        <w:t>6</w:t>
      </w:r>
      <w:r w:rsidR="007D5E5C">
        <w:t>)</w:t>
      </w:r>
      <w:r w:rsidRPr="00E67EC4">
        <w:t xml:space="preserve"> individuals</w:t>
      </w:r>
      <w:r w:rsidRPr="00E67EC4" w:rsidR="009C4AFB">
        <w:t xml:space="preserve"> </w:t>
      </w:r>
      <w:r w:rsidRPr="00E67EC4">
        <w:t>who ha</w:t>
      </w:r>
      <w:r w:rsidRPr="00E67EC4" w:rsidR="00F541A5">
        <w:t>ve</w:t>
      </w:r>
      <w:r w:rsidRPr="00E67EC4">
        <w:t xml:space="preserve"> </w:t>
      </w:r>
      <w:r w:rsidR="00D7007E">
        <w:t>submitted requests</w:t>
      </w:r>
      <w:r w:rsidRPr="00E67EC4" w:rsidR="00D7007E">
        <w:t xml:space="preserve"> </w:t>
      </w:r>
      <w:r w:rsidRPr="00E67EC4">
        <w:t xml:space="preserve">as principal </w:t>
      </w:r>
      <w:r w:rsidRPr="00E67EC4" w:rsidR="00F541A5">
        <w:t>investigators</w:t>
      </w:r>
      <w:r w:rsidR="00622412">
        <w:t xml:space="preserve"> </w:t>
      </w:r>
      <w:r w:rsidR="00D7007E">
        <w:t>through this process.</w:t>
      </w:r>
      <w:r w:rsidRPr="00E67EC4">
        <w:t xml:space="preserve"> </w:t>
      </w:r>
      <w:r w:rsidR="00622412">
        <w:rPr>
          <w:rFonts w:eastAsia="Calibri"/>
        </w:rPr>
        <w:t>Specific feedback</w:t>
      </w:r>
      <w:r w:rsidR="001B6CD3">
        <w:rPr>
          <w:rFonts w:eastAsia="Calibri"/>
        </w:rPr>
        <w:t xml:space="preserve"> is </w:t>
      </w:r>
      <w:r w:rsidR="00622412">
        <w:rPr>
          <w:rFonts w:eastAsia="Calibri"/>
        </w:rPr>
        <w:t xml:space="preserve">outlined below.  </w:t>
      </w:r>
      <w:r w:rsidRPr="007D5E5C" w:rsidR="007D5E5C">
        <w:rPr>
          <w:rFonts w:eastAsia="Calibri"/>
        </w:rPr>
        <w:t xml:space="preserve"> </w:t>
      </w:r>
      <w:r w:rsidR="007D5E5C">
        <w:t xml:space="preserve"> </w:t>
      </w:r>
    </w:p>
    <w:p w:rsidR="00986C10" w:rsidRPr="00986C10" w:rsidP="00986C10" w14:paraId="6517EBC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b/>
        </w:rPr>
      </w:pPr>
    </w:p>
    <w:p w:rsidR="00986C10" w:rsidRPr="00986C10" w:rsidP="00986C10" w14:paraId="61BCE2E5" w14:textId="19FDF58F">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986C10">
        <w:rPr>
          <w:b/>
        </w:rPr>
        <w:t>Table 8.1</w:t>
      </w:r>
      <w:r w:rsidR="009E42E8">
        <w:rPr>
          <w:b/>
        </w:rPr>
        <w:t xml:space="preserve"> P</w:t>
      </w:r>
      <w:r w:rsidRPr="009E42E8" w:rsidR="009E42E8">
        <w:rPr>
          <w:b/>
        </w:rPr>
        <w:t>ersons consult</w:t>
      </w:r>
      <w:r w:rsidR="009E42E8">
        <w:rPr>
          <w:b/>
        </w:rPr>
        <w:t>ed</w:t>
      </w:r>
      <w:r w:rsidRPr="009E42E8" w:rsidR="009E42E8">
        <w:rPr>
          <w:b/>
        </w:rPr>
        <w:t xml:space="preserve"> with outside the agency</w:t>
      </w:r>
    </w:p>
    <w:tbl>
      <w:tblPr>
        <w:tblStyle w:val="TableGrid"/>
        <w:tblW w:w="963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6930"/>
        <w:gridCol w:w="2700"/>
      </w:tblGrid>
      <w:tr w14:paraId="39014E4E" w14:textId="77777777" w:rsidTr="008C4A0B">
        <w:tblPrEx>
          <w:tblW w:w="9630" w:type="dxa"/>
          <w:tblBorders>
            <w:top w:val="none" w:sz="0" w:space="0" w:color="auto"/>
            <w:left w:val="none" w:sz="0" w:space="0" w:color="auto"/>
            <w:right w:val="none" w:sz="0" w:space="0" w:color="auto"/>
            <w:insideH w:val="none" w:sz="0" w:space="0" w:color="auto"/>
            <w:insideV w:val="none" w:sz="0" w:space="0" w:color="auto"/>
          </w:tblBorders>
          <w:tblLook w:val="04A0"/>
        </w:tblPrEx>
        <w:trPr>
          <w:trHeight w:val="368"/>
        </w:trPr>
        <w:tc>
          <w:tcPr>
            <w:tcW w:w="6930" w:type="dxa"/>
            <w:tcBorders>
              <w:top w:val="single" w:sz="4" w:space="0" w:color="auto"/>
              <w:bottom w:val="single" w:sz="4" w:space="0" w:color="auto"/>
            </w:tcBorders>
            <w:shd w:val="clear" w:color="auto" w:fill="D6E3BC" w:themeFill="accent3" w:themeFillTint="66"/>
            <w:vAlign w:val="center"/>
          </w:tcPr>
          <w:p w:rsidR="00986C10" w:rsidRPr="00986C10" w:rsidP="00040D71" w14:paraId="4B24454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b/>
                <w:sz w:val="22"/>
                <w:szCs w:val="22"/>
              </w:rPr>
            </w:pPr>
            <w:r w:rsidRPr="00986C10">
              <w:rPr>
                <w:b/>
                <w:sz w:val="22"/>
                <w:szCs w:val="22"/>
              </w:rPr>
              <w:t xml:space="preserve">Organization </w:t>
            </w:r>
          </w:p>
        </w:tc>
        <w:tc>
          <w:tcPr>
            <w:tcW w:w="2700" w:type="dxa"/>
            <w:tcBorders>
              <w:top w:val="single" w:sz="4" w:space="0" w:color="auto"/>
              <w:bottom w:val="single" w:sz="4" w:space="0" w:color="auto"/>
            </w:tcBorders>
            <w:shd w:val="clear" w:color="auto" w:fill="D6E3BC" w:themeFill="accent3" w:themeFillTint="66"/>
            <w:vAlign w:val="center"/>
          </w:tcPr>
          <w:p w:rsidR="00986C10" w:rsidRPr="00986C10" w:rsidP="00040D71" w14:paraId="4982C661"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rPr>
                <w:b/>
                <w:sz w:val="22"/>
                <w:szCs w:val="22"/>
              </w:rPr>
            </w:pPr>
            <w:r w:rsidRPr="00986C10">
              <w:rPr>
                <w:b/>
                <w:sz w:val="22"/>
                <w:szCs w:val="22"/>
              </w:rPr>
              <w:t>Title</w:t>
            </w:r>
          </w:p>
        </w:tc>
      </w:tr>
      <w:tr w14:paraId="43FFD97E" w14:textId="77777777" w:rsidTr="00C5559B">
        <w:tblPrEx>
          <w:tblW w:w="9630" w:type="dxa"/>
          <w:tblLook w:val="04A0"/>
        </w:tblPrEx>
        <w:trPr>
          <w:trHeight w:val="386"/>
        </w:trPr>
        <w:tc>
          <w:tcPr>
            <w:tcW w:w="6930" w:type="dxa"/>
            <w:tcBorders>
              <w:top w:val="single" w:sz="4" w:space="0" w:color="auto"/>
            </w:tcBorders>
          </w:tcPr>
          <w:p w:rsidR="00986C10" w:rsidRPr="00490E17" w:rsidP="002514F3" w14:paraId="0225E2BA" w14:textId="56B3979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1.  </w:t>
            </w:r>
            <w:r w:rsidRPr="002514F3">
              <w:t>Virginia Tech</w:t>
            </w:r>
            <w:r>
              <w:t xml:space="preserve"> - </w:t>
            </w:r>
            <w:r w:rsidRPr="00490E17">
              <w:t xml:space="preserve">College of Natural Resources and </w:t>
            </w:r>
            <w:r w:rsidRPr="00490E17">
              <w:t>Environment</w:t>
            </w:r>
          </w:p>
        </w:tc>
        <w:tc>
          <w:tcPr>
            <w:tcW w:w="2700" w:type="dxa"/>
            <w:tcBorders>
              <w:top w:val="single" w:sz="4" w:space="0" w:color="auto"/>
            </w:tcBorders>
          </w:tcPr>
          <w:p w:rsidR="00986C10" w:rsidRPr="00490E17" w:rsidP="002514F3" w14:paraId="0277ABA0"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490E17">
              <w:t>Professor</w:t>
            </w:r>
          </w:p>
        </w:tc>
      </w:tr>
      <w:tr w14:paraId="48DBED91" w14:textId="77777777" w:rsidTr="00C5559B">
        <w:tblPrEx>
          <w:tblW w:w="9630" w:type="dxa"/>
          <w:tblLook w:val="04A0"/>
        </w:tblPrEx>
        <w:trPr>
          <w:trHeight w:val="359"/>
        </w:trPr>
        <w:tc>
          <w:tcPr>
            <w:tcW w:w="6930" w:type="dxa"/>
          </w:tcPr>
          <w:p w:rsidR="00986C10" w:rsidRPr="00490E17" w:rsidP="00490E17" w14:paraId="4BC47953" w14:textId="01EE73F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2.  </w:t>
            </w:r>
            <w:r w:rsidRPr="002514F3">
              <w:t>Penn State University</w:t>
            </w:r>
            <w:r>
              <w:t xml:space="preserve"> - </w:t>
            </w:r>
            <w:r w:rsidRPr="00490E17">
              <w:t>College of Health and Human Development</w:t>
            </w:r>
          </w:p>
        </w:tc>
        <w:tc>
          <w:tcPr>
            <w:tcW w:w="2700" w:type="dxa"/>
          </w:tcPr>
          <w:p w:rsidR="00986C10" w:rsidRPr="00490E17" w:rsidP="00490E17" w14:paraId="04A8554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490E17">
              <w:t>Assistant Professor</w:t>
            </w:r>
          </w:p>
        </w:tc>
      </w:tr>
      <w:tr w14:paraId="58350708" w14:textId="77777777" w:rsidTr="00C5559B">
        <w:tblPrEx>
          <w:tblW w:w="9630" w:type="dxa"/>
          <w:tblLook w:val="04A0"/>
        </w:tblPrEx>
        <w:trPr>
          <w:trHeight w:val="341"/>
        </w:trPr>
        <w:tc>
          <w:tcPr>
            <w:tcW w:w="6930" w:type="dxa"/>
          </w:tcPr>
          <w:p w:rsidR="00986C10" w:rsidRPr="00490E17" w:rsidP="00490E17" w14:paraId="7C88470E" w14:textId="3AA7DF9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3.  </w:t>
            </w:r>
            <w:r w:rsidRPr="00490E17">
              <w:t>Clemson University</w:t>
            </w:r>
            <w:r>
              <w:t xml:space="preserve"> - </w:t>
            </w:r>
            <w:r w:rsidRPr="00BA1163">
              <w:t>College of Behavioral, Social, and Health Sciences</w:t>
            </w:r>
          </w:p>
        </w:tc>
        <w:tc>
          <w:tcPr>
            <w:tcW w:w="2700" w:type="dxa"/>
          </w:tcPr>
          <w:p w:rsidR="00986C10" w:rsidRPr="00490E17" w:rsidP="00490E17" w14:paraId="097B3F3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490E17">
              <w:t>Endowed Professor</w:t>
            </w:r>
          </w:p>
        </w:tc>
      </w:tr>
      <w:tr w14:paraId="06F89CD8" w14:textId="77777777" w:rsidTr="00C5559B">
        <w:tblPrEx>
          <w:tblW w:w="9630" w:type="dxa"/>
          <w:tblLook w:val="04A0"/>
        </w:tblPrEx>
        <w:trPr>
          <w:trHeight w:val="359"/>
        </w:trPr>
        <w:tc>
          <w:tcPr>
            <w:tcW w:w="6930" w:type="dxa"/>
          </w:tcPr>
          <w:p w:rsidR="00986C10" w:rsidRPr="00986C10" w:rsidP="00490E17" w14:paraId="63D88DD2" w14:textId="429F473F">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4.  </w:t>
            </w:r>
            <w:r w:rsidRPr="002B058B">
              <w:t>University of Montana</w:t>
            </w:r>
            <w:r>
              <w:t xml:space="preserve"> - </w:t>
            </w:r>
            <w:r w:rsidRPr="002B058B">
              <w:t xml:space="preserve">Department of </w:t>
            </w:r>
            <w:r w:rsidRPr="002B058B">
              <w:t>Society and Conservation</w:t>
            </w:r>
          </w:p>
        </w:tc>
        <w:tc>
          <w:tcPr>
            <w:tcW w:w="2700" w:type="dxa"/>
          </w:tcPr>
          <w:p w:rsidR="00986C10" w:rsidRPr="00986C10" w:rsidP="00490E17" w14:paraId="05C58E81" w14:textId="5239C2E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6467CC">
              <w:t>Assistant Professor</w:t>
            </w:r>
          </w:p>
        </w:tc>
      </w:tr>
      <w:tr w14:paraId="5C28DE1E" w14:textId="77777777" w:rsidTr="00C5559B">
        <w:tblPrEx>
          <w:tblW w:w="9630" w:type="dxa"/>
          <w:tblLook w:val="04A0"/>
        </w:tblPrEx>
        <w:trPr>
          <w:trHeight w:val="612"/>
        </w:trPr>
        <w:tc>
          <w:tcPr>
            <w:tcW w:w="6930" w:type="dxa"/>
          </w:tcPr>
          <w:p w:rsidR="00986C10" w:rsidRPr="00986C10" w:rsidP="00490E17" w14:paraId="093532A6" w14:textId="57B0770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5.  </w:t>
            </w:r>
            <w:r w:rsidRPr="002B7D78">
              <w:t>Central Michigan University</w:t>
            </w:r>
            <w:r>
              <w:t xml:space="preserve"> - </w:t>
            </w:r>
            <w:r w:rsidRPr="002B7D78">
              <w:t xml:space="preserve">Department of Recreation, Parks, and Leisure Services </w:t>
            </w:r>
          </w:p>
        </w:tc>
        <w:tc>
          <w:tcPr>
            <w:tcW w:w="2700" w:type="dxa"/>
          </w:tcPr>
          <w:p w:rsidR="00986C10" w:rsidRPr="00986C10" w:rsidP="00490E17" w14:paraId="58E4CA11" w14:textId="348776D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276B08">
              <w:t>Professor</w:t>
            </w:r>
          </w:p>
        </w:tc>
      </w:tr>
      <w:tr w14:paraId="5EAD1971" w14:textId="77777777" w:rsidTr="00C5559B">
        <w:tblPrEx>
          <w:tblW w:w="9630" w:type="dxa"/>
          <w:tblLook w:val="04A0"/>
        </w:tblPrEx>
        <w:trPr>
          <w:trHeight w:val="359"/>
        </w:trPr>
        <w:tc>
          <w:tcPr>
            <w:tcW w:w="6930" w:type="dxa"/>
          </w:tcPr>
          <w:p w:rsidR="00986C10" w:rsidRPr="00490E17" w:rsidP="00490E17" w14:paraId="3062AEB5" w14:textId="22E734A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6.  </w:t>
            </w:r>
            <w:r w:rsidRPr="00490E17">
              <w:t>RRC Associates</w:t>
            </w:r>
            <w:r>
              <w:t xml:space="preserve"> - </w:t>
            </w:r>
            <w:r w:rsidRPr="00490E17">
              <w:t>Boulder, Colorado</w:t>
            </w:r>
          </w:p>
        </w:tc>
        <w:tc>
          <w:tcPr>
            <w:tcW w:w="2700" w:type="dxa"/>
          </w:tcPr>
          <w:p w:rsidR="00986C10" w:rsidRPr="00490E17" w:rsidP="00490E17" w14:paraId="476A939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490E17">
              <w:t xml:space="preserve">Chief Operating Officer &amp; </w:t>
            </w:r>
            <w:r w:rsidRPr="00490E17">
              <w:br/>
              <w:t xml:space="preserve">Director of Tourism and Visitor </w:t>
            </w:r>
            <w:r w:rsidRPr="00490E17">
              <w:t>Research</w:t>
            </w:r>
          </w:p>
        </w:tc>
      </w:tr>
    </w:tbl>
    <w:p w:rsidR="00986C10" w:rsidP="00202B7D" w14:paraId="6325963A"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0D7112" w:rsidP="00661D6E" w14:paraId="7F3E91AF" w14:textId="3D8F38E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Calibri"/>
          <w:b/>
          <w:i/>
          <w:iCs/>
        </w:rPr>
      </w:pPr>
      <w:r w:rsidRPr="000D7112">
        <w:rPr>
          <w:rFonts w:eastAsia="Calibri"/>
          <w:b/>
          <w:i/>
          <w:iCs/>
        </w:rPr>
        <w:t xml:space="preserve">“Whether or not the collection of information is necessary, including whether or not the information will have practical utility; whether there are any questions they felt were unnecessary.” </w:t>
      </w:r>
    </w:p>
    <w:p w:rsidR="00BA19A8" w:rsidP="00661D6E" w14:paraId="4675AF65" w14:textId="2BD67EC0">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Calibri"/>
          <w:b/>
          <w:i/>
          <w:iCs/>
        </w:rPr>
      </w:pPr>
    </w:p>
    <w:p w:rsidR="00680D08" w:rsidP="00661D6E" w14:paraId="7D39D49E" w14:textId="26B3D40B">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sidRPr="00B20BF3">
        <w:rPr>
          <w:rFonts w:eastAsia="Calibri"/>
          <w:b/>
          <w:bCs/>
          <w:i/>
          <w:iCs/>
        </w:rPr>
        <w:t>Respondent #</w:t>
      </w:r>
      <w:r>
        <w:rPr>
          <w:rFonts w:eastAsia="Calibri"/>
          <w:b/>
          <w:bCs/>
          <w:i/>
          <w:iCs/>
        </w:rPr>
        <w:t>1</w:t>
      </w:r>
      <w:r w:rsidR="003E3CF3">
        <w:rPr>
          <w:rFonts w:eastAsia="Calibri"/>
          <w:b/>
          <w:bCs/>
          <w:i/>
          <w:iCs/>
        </w:rPr>
        <w:t xml:space="preserve">: </w:t>
      </w:r>
      <w:r w:rsidR="003E3CF3">
        <w:rPr>
          <w:rFonts w:eastAsia="Calibri"/>
        </w:rPr>
        <w:t xml:space="preserve">Stressed that social science information </w:t>
      </w:r>
      <w:r w:rsidR="004D7C9E">
        <w:rPr>
          <w:rFonts w:eastAsia="Calibri"/>
        </w:rPr>
        <w:t>collections are</w:t>
      </w:r>
      <w:r w:rsidR="003E3CF3">
        <w:rPr>
          <w:rFonts w:eastAsia="Calibri"/>
        </w:rPr>
        <w:t xml:space="preserve"> imperative to NPS</w:t>
      </w:r>
      <w:r w:rsidR="00AE2205">
        <w:rPr>
          <w:rFonts w:eastAsia="Calibri"/>
        </w:rPr>
        <w:t xml:space="preserve"> </w:t>
      </w:r>
      <w:r w:rsidR="00890F2E">
        <w:rPr>
          <w:rFonts w:eastAsia="Calibri"/>
        </w:rPr>
        <w:t>management,</w:t>
      </w:r>
      <w:r w:rsidR="003E3CF3">
        <w:rPr>
          <w:rFonts w:eastAsia="Calibri"/>
        </w:rPr>
        <w:t xml:space="preserve"> and </w:t>
      </w:r>
      <w:r>
        <w:rPr>
          <w:rFonts w:eastAsia="Calibri"/>
        </w:rPr>
        <w:t xml:space="preserve">the unique nature of this </w:t>
      </w:r>
      <w:r w:rsidR="004D7C9E">
        <w:rPr>
          <w:rFonts w:eastAsia="Calibri"/>
        </w:rPr>
        <w:t xml:space="preserve">Programmatic </w:t>
      </w:r>
      <w:r>
        <w:rPr>
          <w:rFonts w:eastAsia="Calibri"/>
        </w:rPr>
        <w:t>Clearance differentiates it from other information collection efforts.</w:t>
      </w:r>
    </w:p>
    <w:p w:rsidR="00680D08" w:rsidRPr="003E3CF3" w:rsidP="00661D6E" w14:paraId="16419307" w14:textId="6CB227FE">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Pr>
          <w:rFonts w:eastAsia="Calibri"/>
        </w:rPr>
        <w:tab/>
      </w:r>
    </w:p>
    <w:p w:rsidR="00DF09AB" w:rsidRPr="003763FF" w:rsidP="00661D6E" w14:paraId="4137A791" w14:textId="69A3385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sidRPr="00BA19A8">
        <w:rPr>
          <w:rFonts w:eastAsia="Calibri"/>
          <w:b/>
          <w:bCs/>
          <w:i/>
          <w:iCs/>
        </w:rPr>
        <w:t>Respondent #</w:t>
      </w:r>
      <w:r>
        <w:rPr>
          <w:rFonts w:eastAsia="Calibri"/>
          <w:b/>
          <w:bCs/>
          <w:i/>
          <w:iCs/>
        </w:rPr>
        <w:t>2</w:t>
      </w:r>
      <w:r w:rsidR="00694689">
        <w:rPr>
          <w:rFonts w:eastAsia="Calibri"/>
          <w:b/>
          <w:bCs/>
        </w:rPr>
        <w:t xml:space="preserve">: </w:t>
      </w:r>
      <w:r w:rsidR="00694689">
        <w:rPr>
          <w:rFonts w:eastAsia="Calibri"/>
        </w:rPr>
        <w:t>Provided feedback on the importance of timely reviews under this Clearance</w:t>
      </w:r>
      <w:r w:rsidR="0082030C">
        <w:rPr>
          <w:rFonts w:eastAsia="Calibri"/>
        </w:rPr>
        <w:t>, pointing out that longer review processes lead to information being out of date before it is collected and missing important visitation windows for sampling</w:t>
      </w:r>
      <w:r w:rsidR="003763FF">
        <w:rPr>
          <w:rFonts w:eastAsia="Calibri"/>
        </w:rPr>
        <w:t xml:space="preserve">, as well as administrative costs associated with longer reviews and any delays. </w:t>
      </w:r>
    </w:p>
    <w:p w:rsidR="00DE33C3" w:rsidP="00661D6E" w14:paraId="3D299C75"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DE33C3" w:rsidRPr="00926DA7" w:rsidP="00661D6E" w14:paraId="22912ADC" w14:textId="361FF3A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sidRPr="00BA19A8">
        <w:rPr>
          <w:rFonts w:eastAsia="Calibri"/>
          <w:b/>
          <w:bCs/>
          <w:i/>
          <w:iCs/>
        </w:rPr>
        <w:t>Respondent #</w:t>
      </w:r>
      <w:r>
        <w:rPr>
          <w:rFonts w:eastAsia="Calibri"/>
          <w:b/>
          <w:bCs/>
          <w:i/>
          <w:iCs/>
        </w:rPr>
        <w:t xml:space="preserve">5: </w:t>
      </w:r>
      <w:r w:rsidR="00DE177B">
        <w:rPr>
          <w:rFonts w:eastAsia="Calibri"/>
        </w:rPr>
        <w:t>The reviewer h</w:t>
      </w:r>
      <w:r>
        <w:rPr>
          <w:rFonts w:eastAsia="Calibri"/>
        </w:rPr>
        <w:t>ighlighted the importance of the Clearance as vital to the NPS’s ability to conduct social science information collections in a timely manner.</w:t>
      </w:r>
    </w:p>
    <w:p w:rsidR="00DE33C3" w:rsidP="00661D6E" w14:paraId="3625EFF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b/>
          <w:bCs/>
          <w:i/>
          <w:iCs/>
        </w:rPr>
      </w:pPr>
    </w:p>
    <w:p w:rsidR="00433EF3" w:rsidP="00661D6E" w14:paraId="314A7FAF" w14:textId="75F75738">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630"/>
        <w:rPr>
          <w:rFonts w:eastAsia="Calibri"/>
        </w:rPr>
      </w:pPr>
      <w:r>
        <w:rPr>
          <w:rFonts w:eastAsia="Calibri"/>
          <w:b/>
          <w:bCs/>
          <w:i/>
          <w:iCs/>
        </w:rPr>
        <w:t xml:space="preserve">Consolidated </w:t>
      </w:r>
      <w:r w:rsidR="00DE33C3">
        <w:rPr>
          <w:rFonts w:eastAsia="Calibri"/>
          <w:b/>
          <w:bCs/>
          <w:i/>
          <w:iCs/>
        </w:rPr>
        <w:t>NPS Response</w:t>
      </w:r>
      <w:r w:rsidR="00DE33C3">
        <w:rPr>
          <w:rFonts w:eastAsia="Calibri"/>
        </w:rPr>
        <w:t xml:space="preserve">: </w:t>
      </w:r>
      <w:r>
        <w:rPr>
          <w:rFonts w:eastAsia="Calibri"/>
        </w:rPr>
        <w:t xml:space="preserve">We </w:t>
      </w:r>
      <w:r w:rsidR="005E490F">
        <w:rPr>
          <w:rFonts w:eastAsia="Calibri"/>
        </w:rPr>
        <w:t xml:space="preserve">concur with </w:t>
      </w:r>
      <w:r>
        <w:rPr>
          <w:rFonts w:eastAsia="Calibri"/>
        </w:rPr>
        <w:t xml:space="preserve">the importance of </w:t>
      </w:r>
      <w:r w:rsidR="00B20BF3">
        <w:rPr>
          <w:rFonts w:eastAsia="Calibri"/>
        </w:rPr>
        <w:t>this</w:t>
      </w:r>
      <w:r w:rsidR="005E490F">
        <w:rPr>
          <w:rFonts w:eastAsia="Calibri"/>
        </w:rPr>
        <w:t xml:space="preserve"> </w:t>
      </w:r>
      <w:r>
        <w:rPr>
          <w:rFonts w:eastAsia="Calibri"/>
        </w:rPr>
        <w:t>expedited review</w:t>
      </w:r>
      <w:r w:rsidR="005E490F">
        <w:rPr>
          <w:rFonts w:eastAsia="Calibri"/>
        </w:rPr>
        <w:t xml:space="preserve"> process</w:t>
      </w:r>
      <w:r>
        <w:rPr>
          <w:rFonts w:eastAsia="Calibri"/>
        </w:rPr>
        <w:t xml:space="preserve"> and will continue to provide thorough reviews of individual submissions in a timely fashion.</w:t>
      </w:r>
      <w:r w:rsidR="00B81CC3">
        <w:rPr>
          <w:rFonts w:eastAsia="Calibri"/>
        </w:rPr>
        <w:t xml:space="preserve"> Further, </w:t>
      </w:r>
      <w:r>
        <w:rPr>
          <w:rFonts w:eastAsia="Calibri"/>
        </w:rPr>
        <w:t>we recognize the unique nature of this Clearance and its importance to the NPS.</w:t>
      </w:r>
    </w:p>
    <w:p w:rsidR="005C6ED9" w:rsidP="00661D6E" w14:paraId="35C5F143" w14:textId="3FB9217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i/>
          <w:iCs/>
        </w:rPr>
      </w:pPr>
    </w:p>
    <w:p w:rsidR="00BA19A8" w:rsidRPr="00BA19A8" w:rsidP="00661D6E" w14:paraId="25B4603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Calibri"/>
          <w:b/>
          <w:i/>
          <w:iCs/>
        </w:rPr>
      </w:pPr>
      <w:r w:rsidRPr="00BA19A8">
        <w:rPr>
          <w:rFonts w:eastAsia="Calibri"/>
          <w:b/>
          <w:i/>
          <w:iCs/>
        </w:rPr>
        <w:t>“What is your estimate of the amount of time it takes to complete each f</w:t>
      </w:r>
      <w:r w:rsidRPr="00BA19A8">
        <w:rPr>
          <w:rFonts w:eastAsia="Calibri"/>
          <w:b/>
          <w:i/>
          <w:iCs/>
        </w:rPr>
        <w:t>orm in order to verify the accuracy of our estimate of the burden for this collection of information?”</w:t>
      </w:r>
    </w:p>
    <w:p w:rsidR="00C55D46" w:rsidP="00661D6E" w14:paraId="56DD3023" w14:textId="7D6700E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4D7C9E" w:rsidP="00661D6E" w14:paraId="1B2E0B2C" w14:textId="7E55551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Pr>
          <w:rFonts w:eastAsia="Calibri"/>
        </w:rPr>
        <w:t>No reviewers specifically spoke</w:t>
      </w:r>
      <w:r w:rsidR="004F565A">
        <w:rPr>
          <w:rFonts w:eastAsia="Calibri"/>
        </w:rPr>
        <w:t xml:space="preserve"> to</w:t>
      </w:r>
      <w:r>
        <w:rPr>
          <w:rFonts w:eastAsia="Calibri"/>
        </w:rPr>
        <w:t xml:space="preserve"> </w:t>
      </w:r>
      <w:r w:rsidR="001E79C0">
        <w:rPr>
          <w:rFonts w:eastAsia="Calibri"/>
        </w:rPr>
        <w:t>the</w:t>
      </w:r>
      <w:r w:rsidR="00FA6B61">
        <w:rPr>
          <w:rFonts w:eastAsia="Calibri"/>
        </w:rPr>
        <w:t xml:space="preserve"> burden request </w:t>
      </w:r>
      <w:r w:rsidR="001E79C0">
        <w:rPr>
          <w:rFonts w:eastAsia="Calibri"/>
        </w:rPr>
        <w:t xml:space="preserve">to complete </w:t>
      </w:r>
      <w:r w:rsidRPr="00D83174" w:rsidR="00D83174">
        <w:rPr>
          <w:rFonts w:eastAsia="Calibri"/>
          <w:bCs/>
          <w:iCs/>
        </w:rPr>
        <w:t xml:space="preserve">NPS Form 10-201, </w:t>
      </w:r>
      <w:r w:rsidRPr="00D83174" w:rsidR="00D83174">
        <w:rPr>
          <w:rFonts w:eastAsia="Calibri"/>
          <w:bCs/>
          <w:i/>
        </w:rPr>
        <w:t>Programmatic Review and Clearance Process for NPS-Sponsored Public Surveys</w:t>
      </w:r>
      <w:r w:rsidR="00D83174">
        <w:rPr>
          <w:rFonts w:eastAsia="Calibri"/>
          <w:bCs/>
          <w:i/>
        </w:rPr>
        <w:t xml:space="preserve">. </w:t>
      </w:r>
      <w:r w:rsidRPr="00804920" w:rsidR="00D83174">
        <w:rPr>
          <w:rFonts w:eastAsia="Calibri"/>
          <w:bCs/>
          <w:iCs/>
        </w:rPr>
        <w:t xml:space="preserve">The </w:t>
      </w:r>
      <w:r w:rsidR="00D83174">
        <w:rPr>
          <w:rFonts w:eastAsia="Calibri"/>
          <w:bCs/>
          <w:iCs/>
        </w:rPr>
        <w:t xml:space="preserve">burden to complete this form does not include the time to </w:t>
      </w:r>
      <w:r w:rsidR="008123A2">
        <w:rPr>
          <w:rFonts w:eastAsia="Calibri"/>
          <w:bCs/>
          <w:iCs/>
        </w:rPr>
        <w:t xml:space="preserve">develop, design and pretest the survey instrument.  The </w:t>
      </w:r>
      <w:r w:rsidR="000C5A51">
        <w:rPr>
          <w:rFonts w:eastAsia="Calibri"/>
          <w:bCs/>
          <w:iCs/>
        </w:rPr>
        <w:t xml:space="preserve">burden estimate reflects the time </w:t>
      </w:r>
      <w:r w:rsidR="008123A2">
        <w:rPr>
          <w:rFonts w:eastAsia="Calibri"/>
          <w:bCs/>
          <w:iCs/>
        </w:rPr>
        <w:t xml:space="preserve">to complete </w:t>
      </w:r>
      <w:r w:rsidR="000C5A51">
        <w:rPr>
          <w:rFonts w:eastAsia="Calibri"/>
          <w:bCs/>
          <w:iCs/>
        </w:rPr>
        <w:t xml:space="preserve">and submit the form and supplementary documents.  Anecdotal </w:t>
      </w:r>
      <w:r w:rsidR="00ED1F39">
        <w:rPr>
          <w:rFonts w:eastAsia="Calibri"/>
          <w:bCs/>
          <w:iCs/>
        </w:rPr>
        <w:t>evidence support</w:t>
      </w:r>
      <w:r w:rsidR="00345E96">
        <w:rPr>
          <w:rFonts w:eastAsia="Calibri"/>
          <w:bCs/>
          <w:iCs/>
        </w:rPr>
        <w:t>s</w:t>
      </w:r>
      <w:r w:rsidR="00ED1F39">
        <w:rPr>
          <w:rFonts w:eastAsia="Calibri"/>
          <w:bCs/>
          <w:iCs/>
        </w:rPr>
        <w:t xml:space="preserve"> that it takes no more than one hour to complete and submit the sup</w:t>
      </w:r>
      <w:r w:rsidR="008E793B">
        <w:rPr>
          <w:rFonts w:eastAsia="Calibri"/>
          <w:bCs/>
          <w:iCs/>
        </w:rPr>
        <w:t xml:space="preserve">plemental documents. </w:t>
      </w:r>
      <w:r w:rsidR="009647C2">
        <w:rPr>
          <w:rFonts w:eastAsia="Calibri"/>
          <w:bCs/>
          <w:iCs/>
        </w:rPr>
        <w:t>Based upon their experiences, t</w:t>
      </w:r>
      <w:r w:rsidR="008E793B">
        <w:rPr>
          <w:rFonts w:eastAsia="Calibri"/>
          <w:bCs/>
          <w:iCs/>
        </w:rPr>
        <w:t xml:space="preserve">he respondents agreed with our assessment of the </w:t>
      </w:r>
      <w:r w:rsidR="005E37C9">
        <w:rPr>
          <w:rFonts w:eastAsia="Calibri"/>
          <w:bCs/>
          <w:iCs/>
        </w:rPr>
        <w:t>completion times</w:t>
      </w:r>
      <w:r w:rsidR="009647C2">
        <w:rPr>
          <w:rFonts w:eastAsia="Calibri"/>
          <w:bCs/>
          <w:iCs/>
        </w:rPr>
        <w:t xml:space="preserve"> estimated</w:t>
      </w:r>
      <w:r w:rsidR="005E37C9">
        <w:rPr>
          <w:rFonts w:eastAsia="Calibri"/>
          <w:bCs/>
          <w:iCs/>
        </w:rPr>
        <w:t xml:space="preserve"> for each collection time listed in Table 12.1 below. </w:t>
      </w:r>
    </w:p>
    <w:p w:rsidR="000D7112" w:rsidP="00661D6E" w14:paraId="6A7752FC" w14:textId="5D3071A5">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993ABD" w:rsidRPr="00993ABD" w:rsidP="00661D6E" w14:paraId="1C9DF2FD"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Calibri"/>
          <w:b/>
          <w:i/>
          <w:iCs/>
        </w:rPr>
      </w:pPr>
      <w:r w:rsidRPr="00993ABD">
        <w:rPr>
          <w:rFonts w:eastAsia="Calibri"/>
          <w:b/>
          <w:i/>
          <w:iCs/>
        </w:rPr>
        <w:t>“Do you have any suggestions for us on ways to enhance the quality, utility, and clarity of the information to be collected?”</w:t>
      </w:r>
    </w:p>
    <w:p w:rsidR="00C11C60" w:rsidP="00661D6E" w14:paraId="2684B4CA" w14:textId="1A02ABC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0F0044" w:rsidRPr="001B096F" w:rsidP="00661D6E" w14:paraId="19AF5BB7" w14:textId="1869981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sidRPr="00BA19A8">
        <w:rPr>
          <w:rFonts w:eastAsia="Calibri"/>
          <w:b/>
          <w:bCs/>
          <w:i/>
          <w:iCs/>
        </w:rPr>
        <w:t>Respondent #</w:t>
      </w:r>
      <w:r w:rsidR="00B02BAF">
        <w:rPr>
          <w:rFonts w:eastAsia="Calibri"/>
          <w:b/>
          <w:bCs/>
          <w:i/>
          <w:iCs/>
        </w:rPr>
        <w:t>1</w:t>
      </w:r>
      <w:r>
        <w:rPr>
          <w:rFonts w:eastAsia="Calibri"/>
          <w:b/>
          <w:bCs/>
        </w:rPr>
        <w:t xml:space="preserve">: </w:t>
      </w:r>
      <w:r>
        <w:rPr>
          <w:rFonts w:eastAsia="Calibri"/>
        </w:rPr>
        <w:t xml:space="preserve">Provided feedback </w:t>
      </w:r>
      <w:r w:rsidR="003A31EE">
        <w:rPr>
          <w:rFonts w:eastAsia="Calibri"/>
        </w:rPr>
        <w:t xml:space="preserve">related to the </w:t>
      </w:r>
      <w:r w:rsidRPr="008630E2">
        <w:rPr>
          <w:rFonts w:eastAsia="Calibri"/>
          <w:i/>
          <w:iCs/>
        </w:rPr>
        <w:t>Pool of Known Questions</w:t>
      </w:r>
      <w:r>
        <w:rPr>
          <w:rFonts w:eastAsia="Calibri"/>
        </w:rPr>
        <w:t xml:space="preserve">, including </w:t>
      </w:r>
      <w:r w:rsidR="003A31EE">
        <w:rPr>
          <w:rFonts w:eastAsia="Calibri"/>
        </w:rPr>
        <w:t>requesting the ability to generalize questions for increased</w:t>
      </w:r>
      <w:r>
        <w:rPr>
          <w:rFonts w:eastAsia="Calibri"/>
        </w:rPr>
        <w:t xml:space="preserve"> usability rather than a predefined question set. </w:t>
      </w:r>
    </w:p>
    <w:p w:rsidR="003F3B47" w:rsidP="00661D6E" w14:paraId="124CE209"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630"/>
        <w:rPr>
          <w:rFonts w:eastAsia="Calibri"/>
          <w:b/>
          <w:bCs/>
          <w:i/>
          <w:iCs/>
        </w:rPr>
      </w:pPr>
    </w:p>
    <w:p w:rsidR="000F0044" w:rsidRPr="00363036" w:rsidP="00661D6E" w14:paraId="45CA2005" w14:textId="6D813EA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630"/>
        <w:rPr>
          <w:rFonts w:eastAsia="Calibri"/>
        </w:rPr>
      </w:pPr>
      <w:r w:rsidRPr="00577CAA">
        <w:rPr>
          <w:rFonts w:eastAsia="Calibri"/>
          <w:b/>
          <w:bCs/>
          <w:i/>
          <w:iCs/>
        </w:rPr>
        <w:t>NPS Re</w:t>
      </w:r>
      <w:r>
        <w:rPr>
          <w:rFonts w:eastAsia="Calibri"/>
          <w:b/>
          <w:bCs/>
          <w:i/>
          <w:iCs/>
        </w:rPr>
        <w:t>s</w:t>
      </w:r>
      <w:r w:rsidRPr="00577CAA">
        <w:rPr>
          <w:rFonts w:eastAsia="Calibri"/>
          <w:b/>
          <w:bCs/>
          <w:i/>
          <w:iCs/>
        </w:rPr>
        <w:t>ponse</w:t>
      </w:r>
      <w:r>
        <w:rPr>
          <w:rFonts w:eastAsia="Calibri"/>
          <w:b/>
          <w:bCs/>
          <w:i/>
          <w:iCs/>
        </w:rPr>
        <w:t xml:space="preserve">: </w:t>
      </w:r>
      <w:r w:rsidR="00A846D7">
        <w:rPr>
          <w:rFonts w:eastAsia="Calibri"/>
          <w:b/>
          <w:bCs/>
          <w:i/>
          <w:iCs/>
        </w:rPr>
        <w:t xml:space="preserve"> </w:t>
      </w:r>
      <w:r w:rsidR="00A846D7">
        <w:rPr>
          <w:rFonts w:eastAsia="Calibri"/>
          <w:i/>
          <w:iCs/>
        </w:rPr>
        <w:t xml:space="preserve">Updated the PKQ to provide more </w:t>
      </w:r>
      <w:r w:rsidR="00A846D7">
        <w:rPr>
          <w:rFonts w:eastAsia="Calibri"/>
        </w:rPr>
        <w:t>generalized version of the questions</w:t>
      </w:r>
      <w:r>
        <w:rPr>
          <w:rFonts w:eastAsia="Calibri"/>
        </w:rPr>
        <w:t>.</w:t>
      </w:r>
    </w:p>
    <w:p w:rsidR="000F0044" w:rsidP="00661D6E" w14:paraId="78135BA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DF09AB" w:rsidRPr="00A277C1" w:rsidP="00661D6E" w14:paraId="5A68335A" w14:textId="1AC4739C">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i/>
          <w:iCs/>
        </w:rPr>
      </w:pPr>
      <w:r w:rsidRPr="00BA19A8">
        <w:rPr>
          <w:rFonts w:eastAsia="Calibri"/>
          <w:b/>
          <w:bCs/>
          <w:i/>
          <w:iCs/>
        </w:rPr>
        <w:t>Respondent #</w:t>
      </w:r>
      <w:r w:rsidR="00B02BAF">
        <w:rPr>
          <w:rFonts w:eastAsia="Calibri"/>
          <w:b/>
          <w:bCs/>
          <w:i/>
          <w:iCs/>
        </w:rPr>
        <w:t>2</w:t>
      </w:r>
      <w:r>
        <w:rPr>
          <w:rFonts w:eastAsia="Calibri"/>
          <w:b/>
          <w:bCs/>
          <w:i/>
          <w:iCs/>
        </w:rPr>
        <w:t xml:space="preserve">: </w:t>
      </w:r>
      <w:r w:rsidR="000F0044">
        <w:rPr>
          <w:rFonts w:eastAsia="Calibri"/>
        </w:rPr>
        <w:t>Stated that while</w:t>
      </w:r>
      <w:r w:rsidRPr="00A277C1">
        <w:rPr>
          <w:rFonts w:eastAsia="Calibri"/>
        </w:rPr>
        <w:t xml:space="preserve"> </w:t>
      </w:r>
      <w:r w:rsidR="000F0044">
        <w:rPr>
          <w:rFonts w:eastAsia="Calibri"/>
        </w:rPr>
        <w:t>topic areas</w:t>
      </w:r>
      <w:r w:rsidRPr="00A277C1">
        <w:rPr>
          <w:rFonts w:eastAsia="Calibri"/>
        </w:rPr>
        <w:t xml:space="preserve"> cover the overarching social science needs of the NPS</w:t>
      </w:r>
      <w:r w:rsidR="000F0044">
        <w:rPr>
          <w:rFonts w:eastAsia="Calibri"/>
        </w:rPr>
        <w:t xml:space="preserve">, </w:t>
      </w:r>
      <w:r w:rsidRPr="00A277C1">
        <w:rPr>
          <w:rFonts w:eastAsia="Calibri"/>
        </w:rPr>
        <w:t>flexibility is needed within study design, especially with question wording and response options.</w:t>
      </w:r>
    </w:p>
    <w:p w:rsidR="00DF09AB" w:rsidP="00661D6E" w14:paraId="6A86EDB7"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b/>
          <w:bCs/>
          <w:i/>
          <w:iCs/>
        </w:rPr>
      </w:pPr>
    </w:p>
    <w:p w:rsidR="00DF09AB" w:rsidRPr="000F0044" w:rsidP="00661D6E" w14:paraId="4017881C" w14:textId="604B3E56">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rPr>
      </w:pPr>
      <w:r>
        <w:rPr>
          <w:rFonts w:eastAsia="Calibri"/>
          <w:b/>
          <w:bCs/>
          <w:i/>
          <w:iCs/>
        </w:rPr>
        <w:t>NPS Response:</w:t>
      </w:r>
      <w:r>
        <w:rPr>
          <w:rFonts w:eastAsia="Calibri"/>
        </w:rPr>
        <w:t xml:space="preserve"> Based on this feedback, individual </w:t>
      </w:r>
      <w:r>
        <w:rPr>
          <w:rFonts w:eastAsia="Calibri"/>
        </w:rPr>
        <w:t>questions</w:t>
      </w:r>
      <w:r>
        <w:rPr>
          <w:rFonts w:eastAsia="Calibri"/>
        </w:rPr>
        <w:t xml:space="preserve"> and corresponding measurement tools (scales and anchors) </w:t>
      </w:r>
      <w:r w:rsidR="000F0044">
        <w:rPr>
          <w:rFonts w:eastAsia="Calibri"/>
        </w:rPr>
        <w:t>we</w:t>
      </w:r>
      <w:r w:rsidR="00D550DF">
        <w:rPr>
          <w:rFonts w:eastAsia="Calibri"/>
        </w:rPr>
        <w:t>re</w:t>
      </w:r>
      <w:r>
        <w:rPr>
          <w:rFonts w:eastAsia="Calibri"/>
        </w:rPr>
        <w:t xml:space="preserve"> </w:t>
      </w:r>
      <w:r w:rsidR="00173954">
        <w:rPr>
          <w:rFonts w:eastAsia="Calibri"/>
        </w:rPr>
        <w:t xml:space="preserve">updated </w:t>
      </w:r>
      <w:r w:rsidR="00EF6DCC">
        <w:rPr>
          <w:rFonts w:eastAsia="Calibri"/>
        </w:rPr>
        <w:t xml:space="preserve">and </w:t>
      </w:r>
      <w:r>
        <w:rPr>
          <w:rFonts w:eastAsia="Calibri"/>
        </w:rPr>
        <w:t xml:space="preserve">generalized throughout the </w:t>
      </w:r>
      <w:r w:rsidR="00DD360F">
        <w:rPr>
          <w:rFonts w:eastAsia="Calibri"/>
        </w:rPr>
        <w:t>PKQ</w:t>
      </w:r>
      <w:r>
        <w:rPr>
          <w:rFonts w:eastAsia="Calibri"/>
        </w:rPr>
        <w:t xml:space="preserve"> to allow for flexibility.</w:t>
      </w:r>
    </w:p>
    <w:p w:rsidR="00DF09AB" w:rsidP="00661D6E" w14:paraId="61CD73C9"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DF09AB" w:rsidP="00661D6E" w14:paraId="21DFC927" w14:textId="77777777">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r w:rsidRPr="72CC93AC">
        <w:rPr>
          <w:rFonts w:eastAsia="Calibri"/>
          <w:b/>
          <w:bCs/>
          <w:i/>
          <w:iCs/>
        </w:rPr>
        <w:t xml:space="preserve">Respondent #3: </w:t>
      </w:r>
      <w:r w:rsidRPr="72CC93AC">
        <w:rPr>
          <w:rFonts w:eastAsia="Calibri"/>
        </w:rPr>
        <w:t>Provided feedback regarding the need for measurement options to be flexible to meet study needs and allow for the incorporation of emerging best practices in survey design and question wording. Cited recently published literature pointing to a preference f</w:t>
      </w:r>
      <w:r w:rsidRPr="72CC93AC">
        <w:rPr>
          <w:rFonts w:eastAsia="Calibri"/>
        </w:rPr>
        <w:t>or unbalanced scales, including the number of scale points, and using extreme anchors, where applicable. (</w:t>
      </w:r>
      <w:r w:rsidRPr="72CC93AC">
        <w:rPr>
          <w:rFonts w:eastAsia="Calibri"/>
        </w:rPr>
        <w:t>Chyung</w:t>
      </w:r>
      <w:r w:rsidRPr="72CC93AC">
        <w:rPr>
          <w:rFonts w:eastAsia="Calibri"/>
        </w:rPr>
        <w:t xml:space="preserve"> et. al., 2020; Miller, Z.D., 2018). </w:t>
      </w:r>
      <w:r w:rsidRPr="72CC93AC">
        <w:rPr>
          <w:rFonts w:eastAsia="Calibri"/>
          <w:b/>
          <w:bCs/>
          <w:i/>
          <w:iCs/>
        </w:rPr>
        <w:t xml:space="preserve"> </w:t>
      </w:r>
    </w:p>
    <w:p w:rsidR="00DF09AB" w:rsidP="00661D6E" w14:paraId="21349C8F"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r>
        <w:rPr>
          <w:rFonts w:eastAsia="Calibri"/>
          <w:b/>
          <w:bCs/>
          <w:i/>
          <w:iCs/>
        </w:rPr>
        <w:tab/>
      </w:r>
    </w:p>
    <w:p w:rsidR="00DF09AB" w:rsidRPr="00AE3F7B" w:rsidP="00661D6E" w14:paraId="4814A0C3" w14:textId="2C83040A">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rPr>
      </w:pPr>
      <w:r>
        <w:rPr>
          <w:rFonts w:eastAsia="Calibri"/>
          <w:b/>
          <w:bCs/>
          <w:i/>
          <w:iCs/>
        </w:rPr>
        <w:t xml:space="preserve">NPS Response: </w:t>
      </w:r>
      <w:r>
        <w:rPr>
          <w:rFonts w:eastAsia="Calibri"/>
        </w:rPr>
        <w:t xml:space="preserve">As previously stated, </w:t>
      </w:r>
      <w:r w:rsidR="00AE3F7B">
        <w:rPr>
          <w:rFonts w:eastAsia="Calibri"/>
        </w:rPr>
        <w:t xml:space="preserve">we </w:t>
      </w:r>
      <w:r>
        <w:rPr>
          <w:rFonts w:eastAsia="Calibri"/>
        </w:rPr>
        <w:t>generalized items</w:t>
      </w:r>
      <w:r w:rsidR="008F531B">
        <w:rPr>
          <w:rFonts w:eastAsia="Calibri"/>
        </w:rPr>
        <w:t xml:space="preserve"> and scales/responses</w:t>
      </w:r>
      <w:r>
        <w:rPr>
          <w:rFonts w:eastAsia="Calibri"/>
        </w:rPr>
        <w:t xml:space="preserve"> within the </w:t>
      </w:r>
      <w:r w:rsidR="00DD360F">
        <w:rPr>
          <w:rFonts w:eastAsia="Calibri"/>
        </w:rPr>
        <w:t>PKQ</w:t>
      </w:r>
      <w:r w:rsidR="00AE3F7B">
        <w:rPr>
          <w:rFonts w:eastAsia="Calibri"/>
        </w:rPr>
        <w:t>. Further, we have added clarifying language</w:t>
      </w:r>
      <w:r>
        <w:rPr>
          <w:rFonts w:eastAsia="Calibri"/>
        </w:rPr>
        <w:t xml:space="preserve"> within this </w:t>
      </w:r>
      <w:r w:rsidR="00AE3F7B">
        <w:rPr>
          <w:rFonts w:eastAsia="Calibri"/>
        </w:rPr>
        <w:t>renewal</w:t>
      </w:r>
      <w:r w:rsidR="008F531B">
        <w:rPr>
          <w:rFonts w:eastAsia="Calibri"/>
        </w:rPr>
        <w:t>, stating that</w:t>
      </w:r>
      <w:r>
        <w:rPr>
          <w:rFonts w:eastAsia="Calibri"/>
        </w:rPr>
        <w:t xml:space="preserve"> all questions must fall within the approved topic areas</w:t>
      </w:r>
      <w:r w:rsidR="00820128">
        <w:rPr>
          <w:rFonts w:eastAsia="Calibri"/>
        </w:rPr>
        <w:t>,</w:t>
      </w:r>
      <w:r w:rsidR="008F531B">
        <w:rPr>
          <w:rFonts w:eastAsia="Calibri"/>
        </w:rPr>
        <w:t xml:space="preserve"> but balancing that </w:t>
      </w:r>
      <w:r w:rsidR="0028645A">
        <w:rPr>
          <w:rFonts w:eastAsia="Calibri"/>
        </w:rPr>
        <w:t xml:space="preserve">requirement </w:t>
      </w:r>
      <w:r w:rsidR="008F531B">
        <w:rPr>
          <w:rFonts w:eastAsia="Calibri"/>
        </w:rPr>
        <w:t xml:space="preserve">with the need </w:t>
      </w:r>
      <w:r>
        <w:rPr>
          <w:rFonts w:eastAsia="Calibri"/>
        </w:rPr>
        <w:t xml:space="preserve">for flexibility in individual question wording.  </w:t>
      </w:r>
    </w:p>
    <w:p w:rsidR="000B232B" w:rsidRPr="00736C7D" w:rsidP="00661D6E" w14:paraId="1EF9AEEB" w14:textId="3904289E">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Pr>
          <w:rFonts w:eastAsia="Calibri"/>
          <w:b/>
          <w:bCs/>
          <w:i/>
          <w:iCs/>
        </w:rPr>
        <w:br/>
        <w:t>Respondent #4:</w:t>
      </w:r>
      <w:r w:rsidR="00736C7D">
        <w:rPr>
          <w:rFonts w:eastAsia="Calibri"/>
        </w:rPr>
        <w:t xml:space="preserve"> </w:t>
      </w:r>
      <w:r w:rsidR="00736C7D">
        <w:rPr>
          <w:rFonts w:eastAsia="Calibri"/>
        </w:rPr>
        <w:t>Similar to</w:t>
      </w:r>
      <w:r w:rsidR="00736C7D">
        <w:rPr>
          <w:rFonts w:eastAsia="Calibri"/>
        </w:rPr>
        <w:t xml:space="preserve"> other reviewers, this reviewer </w:t>
      </w:r>
      <w:r w:rsidR="003B032A">
        <w:rPr>
          <w:rFonts w:eastAsia="Calibri"/>
        </w:rPr>
        <w:t xml:space="preserve">pointed to the need for flexibility within survey design, stating that predetermined question sets are unable to keep up with advancements in science and </w:t>
      </w:r>
      <w:r w:rsidR="0089320C">
        <w:rPr>
          <w:rFonts w:eastAsia="Calibri"/>
        </w:rPr>
        <w:t xml:space="preserve">bureau priorities. </w:t>
      </w:r>
    </w:p>
    <w:p w:rsidR="000B232B" w:rsidP="00661D6E" w14:paraId="6BB82291"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0B232B" w:rsidRPr="0089320C" w:rsidP="00661D6E" w14:paraId="12131388" w14:textId="5CFE2A3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rPr>
      </w:pPr>
      <w:r>
        <w:rPr>
          <w:rFonts w:eastAsia="Calibri"/>
          <w:b/>
          <w:bCs/>
          <w:i/>
          <w:iCs/>
        </w:rPr>
        <w:t xml:space="preserve">NPS Response: </w:t>
      </w:r>
      <w:r w:rsidR="0089320C">
        <w:rPr>
          <w:rFonts w:eastAsia="Calibri"/>
        </w:rPr>
        <w:t xml:space="preserve">As mentioned throughout this section, the NPS responded by noting the importance of flexibility in question wording and has </w:t>
      </w:r>
      <w:r w:rsidR="00B11656">
        <w:rPr>
          <w:rFonts w:eastAsia="Calibri"/>
        </w:rPr>
        <w:t>attempted to be transparent in this need throughout this renewal submission.</w:t>
      </w:r>
    </w:p>
    <w:p w:rsidR="000B232B" w:rsidP="00661D6E" w14:paraId="00E10FD1"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0B232B" w:rsidRPr="005D5063" w:rsidP="00661D6E" w14:paraId="55287C5F" w14:textId="02A12FAC">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Pr>
          <w:rFonts w:eastAsia="Calibri"/>
          <w:b/>
          <w:bCs/>
          <w:i/>
          <w:iCs/>
        </w:rPr>
        <w:t>Respondent #5</w:t>
      </w:r>
      <w:r w:rsidR="00920C73">
        <w:rPr>
          <w:rFonts w:eastAsia="Calibri"/>
          <w:b/>
          <w:bCs/>
          <w:i/>
          <w:iCs/>
        </w:rPr>
        <w:t>:</w:t>
      </w:r>
      <w:r w:rsidR="005D5063">
        <w:rPr>
          <w:rFonts w:eastAsia="Calibri"/>
        </w:rPr>
        <w:t xml:space="preserve"> Suggested</w:t>
      </w:r>
      <w:r w:rsidR="00FB1DA7">
        <w:rPr>
          <w:rFonts w:eastAsia="Calibri"/>
        </w:rPr>
        <w:t xml:space="preserve"> the following subsection for topic areas: environmental justice, </w:t>
      </w:r>
      <w:r w:rsidR="00305038">
        <w:rPr>
          <w:rFonts w:eastAsia="Calibri"/>
        </w:rPr>
        <w:t xml:space="preserve">accessibility, </w:t>
      </w:r>
      <w:r w:rsidR="00E02457">
        <w:rPr>
          <w:rFonts w:eastAsia="Calibri"/>
        </w:rPr>
        <w:t xml:space="preserve">social media, </w:t>
      </w:r>
      <w:r w:rsidR="00C32B85">
        <w:rPr>
          <w:rFonts w:eastAsia="Calibri"/>
        </w:rPr>
        <w:t>climate change, and diversity, equity</w:t>
      </w:r>
      <w:r w:rsidR="006C2DF6">
        <w:rPr>
          <w:rFonts w:eastAsia="Calibri"/>
        </w:rPr>
        <w:t>,</w:t>
      </w:r>
      <w:r w:rsidR="00C32B85">
        <w:rPr>
          <w:rFonts w:eastAsia="Calibri"/>
        </w:rPr>
        <w:t xml:space="preserve"> and inclusion</w:t>
      </w:r>
      <w:r w:rsidR="00E02457">
        <w:rPr>
          <w:rFonts w:eastAsia="Calibri"/>
        </w:rPr>
        <w:t>.</w:t>
      </w:r>
    </w:p>
    <w:p w:rsidR="000B232B" w:rsidP="00661D6E" w14:paraId="0D38323D"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0B232B" w:rsidRPr="00E02457" w:rsidP="00661D6E" w14:paraId="3FEC186A" w14:textId="1DA5903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rPr>
      </w:pPr>
      <w:r>
        <w:rPr>
          <w:rFonts w:eastAsia="Calibri"/>
          <w:b/>
          <w:bCs/>
          <w:i/>
          <w:iCs/>
        </w:rPr>
        <w:t>NPS Response:</w:t>
      </w:r>
      <w:r w:rsidR="00E02457">
        <w:rPr>
          <w:rFonts w:eastAsia="Calibri"/>
        </w:rPr>
        <w:t xml:space="preserve"> The NPS adopted these suggestions by expanding</w:t>
      </w:r>
      <w:r w:rsidR="003B7614">
        <w:rPr>
          <w:rFonts w:eastAsia="Calibri"/>
        </w:rPr>
        <w:t xml:space="preserve"> </w:t>
      </w:r>
      <w:r w:rsidR="00E02457">
        <w:rPr>
          <w:rFonts w:eastAsia="Calibri"/>
        </w:rPr>
        <w:t xml:space="preserve">Topic Area 10 </w:t>
      </w:r>
      <w:r w:rsidR="003B7614">
        <w:rPr>
          <w:rFonts w:eastAsia="Calibri"/>
        </w:rPr>
        <w:t xml:space="preserve">and renaming it Environmental Justice with subcategories to </w:t>
      </w:r>
      <w:r w:rsidR="00E02457">
        <w:rPr>
          <w:rFonts w:eastAsia="Calibri"/>
        </w:rPr>
        <w:t>include</w:t>
      </w:r>
      <w:r w:rsidR="004D2FD3">
        <w:rPr>
          <w:rFonts w:eastAsia="Calibri"/>
        </w:rPr>
        <w:t xml:space="preserve"> constraints and barriers; </w:t>
      </w:r>
      <w:r w:rsidR="00E47B42">
        <w:rPr>
          <w:rFonts w:eastAsia="Calibri"/>
        </w:rPr>
        <w:t>accessibility</w:t>
      </w:r>
      <w:r w:rsidR="004D2FD3">
        <w:rPr>
          <w:rFonts w:eastAsia="Calibri"/>
        </w:rPr>
        <w:t xml:space="preserve">; </w:t>
      </w:r>
      <w:r w:rsidR="00E47B42">
        <w:rPr>
          <w:rFonts w:eastAsia="Calibri"/>
        </w:rPr>
        <w:t>diversity, equity, and inclusion</w:t>
      </w:r>
      <w:r w:rsidR="004D2FD3">
        <w:rPr>
          <w:rFonts w:eastAsia="Calibri"/>
        </w:rPr>
        <w:t xml:space="preserve">; and </w:t>
      </w:r>
      <w:r w:rsidR="00E47B42">
        <w:rPr>
          <w:rFonts w:eastAsia="Calibri"/>
        </w:rPr>
        <w:t>traditional ecological knowledge. Further, social media was added to the existing technology subsection</w:t>
      </w:r>
      <w:r w:rsidR="004261F2">
        <w:rPr>
          <w:rFonts w:eastAsia="Calibri"/>
        </w:rPr>
        <w:t xml:space="preserve"> under </w:t>
      </w:r>
      <w:r w:rsidR="006D424E">
        <w:rPr>
          <w:rFonts w:eastAsia="Calibri"/>
        </w:rPr>
        <w:t>Visitor Use and Recreation Management (Topic Area 5)</w:t>
      </w:r>
      <w:r w:rsidR="00E47B42">
        <w:rPr>
          <w:rFonts w:eastAsia="Calibri"/>
        </w:rPr>
        <w:t>, and clim</w:t>
      </w:r>
      <w:r w:rsidR="004261F2">
        <w:rPr>
          <w:rFonts w:eastAsia="Calibri"/>
        </w:rPr>
        <w:t>ate change was added as a subsection under Environmental Health and Resource Management (Topic Area 8).</w:t>
      </w:r>
    </w:p>
    <w:p w:rsidR="000B232B" w:rsidP="00661D6E" w14:paraId="5F71749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b/>
          <w:bCs/>
          <w:i/>
          <w:iCs/>
        </w:rPr>
      </w:pPr>
    </w:p>
    <w:p w:rsidR="000B232B" w:rsidP="00661D6E" w14:paraId="5F08D96C" w14:textId="5C4F464C">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r>
        <w:rPr>
          <w:rFonts w:eastAsia="Calibri"/>
          <w:b/>
          <w:bCs/>
          <w:i/>
          <w:iCs/>
        </w:rPr>
        <w:t>Respondent #6:</w:t>
      </w:r>
      <w:r w:rsidR="00B11656">
        <w:rPr>
          <w:rFonts w:eastAsia="Calibri"/>
          <w:b/>
          <w:bCs/>
          <w:i/>
          <w:iCs/>
        </w:rPr>
        <w:t xml:space="preserve"> </w:t>
      </w:r>
      <w:r w:rsidR="00B11656">
        <w:rPr>
          <w:rFonts w:eastAsia="Calibri"/>
        </w:rPr>
        <w:t xml:space="preserve">Outlined a need for better, clearer communication throughout the review process and within the electronic and print materials pertinent to </w:t>
      </w:r>
      <w:r w:rsidR="005F1D24">
        <w:rPr>
          <w:rFonts w:eastAsia="Calibri"/>
        </w:rPr>
        <w:t>this Clearance.</w:t>
      </w:r>
    </w:p>
    <w:p w:rsidR="00227F09" w:rsidRPr="00227F09" w:rsidP="00661D6E" w14:paraId="49AF0C60"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360"/>
        <w:rPr>
          <w:rFonts w:eastAsia="Calibri"/>
        </w:rPr>
      </w:pPr>
    </w:p>
    <w:p w:rsidR="000B232B" w:rsidRPr="005F1D24" w:rsidP="00661D6E" w14:paraId="7189F9F2" w14:textId="487D14AB">
      <w:pPr>
        <w:widowControl/>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ind w:left="720"/>
        <w:rPr>
          <w:rFonts w:eastAsia="Calibri"/>
        </w:rPr>
      </w:pPr>
      <w:r>
        <w:rPr>
          <w:rFonts w:eastAsia="Calibri"/>
          <w:b/>
          <w:bCs/>
          <w:i/>
          <w:iCs/>
        </w:rPr>
        <w:t>NPS Response:</w:t>
      </w:r>
      <w:r w:rsidR="005F1D24">
        <w:rPr>
          <w:rFonts w:eastAsia="Calibri"/>
        </w:rPr>
        <w:t xml:space="preserve"> The NPS has updated the Guidance document as part of this renewal. Further, the NPS will continue to work on updating its information collection web pages</w:t>
      </w:r>
      <w:r w:rsidR="00C343A6">
        <w:rPr>
          <w:rFonts w:eastAsia="Calibri"/>
        </w:rPr>
        <w:t xml:space="preserve">. </w:t>
      </w:r>
      <w:r w:rsidR="0016376E">
        <w:rPr>
          <w:rFonts w:eastAsia="Calibri"/>
        </w:rPr>
        <w:t>T</w:t>
      </w:r>
      <w:r w:rsidR="00FA24B1">
        <w:rPr>
          <w:rFonts w:eastAsia="Calibri"/>
        </w:rPr>
        <w:t xml:space="preserve">he NPS will better communicate anticipated review timelines to the best of its ability, as well as provide </w:t>
      </w:r>
      <w:r w:rsidRPr="01A58D77" w:rsidR="3A67AA58">
        <w:rPr>
          <w:rFonts w:eastAsia="Calibri"/>
        </w:rPr>
        <w:t xml:space="preserve">status </w:t>
      </w:r>
      <w:r w:rsidR="00FA24B1">
        <w:rPr>
          <w:rFonts w:eastAsia="Calibri"/>
        </w:rPr>
        <w:t xml:space="preserve">updates </w:t>
      </w:r>
      <w:r w:rsidRPr="01A58D77" w:rsidR="7A76B533">
        <w:rPr>
          <w:rFonts w:eastAsia="Calibri"/>
        </w:rPr>
        <w:t>for</w:t>
      </w:r>
      <w:r w:rsidR="00FA24B1">
        <w:rPr>
          <w:rFonts w:eastAsia="Calibri"/>
        </w:rPr>
        <w:t xml:space="preserve"> individual submissions as needed.</w:t>
      </w:r>
    </w:p>
    <w:p w:rsidR="000039C4" w:rsidRPr="00E67EC4" w:rsidP="00AE14AE" w14:paraId="08DD2C8E" w14:textId="77777777">
      <w:pPr>
        <w:tabs>
          <w:tab w:val="clear" w:pos="0"/>
          <w:tab w:val="left" w:pos="360"/>
        </w:tabs>
        <w:rPr>
          <w:b/>
        </w:rPr>
      </w:pPr>
    </w:p>
    <w:p w:rsidR="00ED269F" w:rsidRPr="00E67EC4" w:rsidP="00AE14AE" w14:paraId="46C6069F" w14:textId="76472993">
      <w:pPr>
        <w:tabs>
          <w:tab w:val="clear" w:pos="0"/>
          <w:tab w:val="left" w:pos="360"/>
        </w:tabs>
        <w:rPr>
          <w:b/>
        </w:rPr>
      </w:pPr>
      <w:r w:rsidRPr="00E67EC4">
        <w:rPr>
          <w:b/>
        </w:rPr>
        <w:t>9.</w:t>
      </w:r>
      <w:r w:rsidRPr="00E67EC4">
        <w:rPr>
          <w:b/>
        </w:rPr>
        <w:tab/>
      </w:r>
      <w:r w:rsidRPr="00E67EC4" w:rsidR="003E0E29">
        <w:rPr>
          <w:b/>
        </w:rPr>
        <w:t>Explain any decision to provide any payment or gift to respondents, other than remuneration of contractors or grantees</w:t>
      </w:r>
      <w:r w:rsidRPr="00E67EC4">
        <w:rPr>
          <w:b/>
        </w:rPr>
        <w:t>.</w:t>
      </w:r>
    </w:p>
    <w:p w:rsidR="006400E9" w:rsidRPr="00E67EC4" w:rsidP="00D85EF1" w14:paraId="119351FB" w14:textId="77777777"/>
    <w:p w:rsidR="00DD21FB" w:rsidRPr="00DD21FB" w:rsidP="7B972193" w14:paraId="27C7C82E" w14:textId="166C69D4">
      <w:pPr>
        <w:widowControl/>
        <w:tabs>
          <w:tab w:val="left" w:pos="36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360" w:lineRule="auto"/>
        <w:rPr>
          <w:rFonts w:eastAsiaTheme="minorEastAsia"/>
        </w:rPr>
      </w:pPr>
      <w:r w:rsidRPr="00DD21FB">
        <w:rPr>
          <w:rFonts w:eastAsiaTheme="minorEastAsia"/>
        </w:rPr>
        <w:t xml:space="preserve">In general, incentives, remuneration, and gifts are not within the scope of the Programmatic Clearance Process for NPS Sponsored Surveys. However, in some cases, there may be extraordinary circumstances under which </w:t>
      </w:r>
      <w:r w:rsidR="00B716C4">
        <w:rPr>
          <w:rFonts w:eastAsiaTheme="minorEastAsia"/>
        </w:rPr>
        <w:t>incentives</w:t>
      </w:r>
      <w:r w:rsidR="001C79A5">
        <w:rPr>
          <w:rFonts w:eastAsiaTheme="minorEastAsia"/>
        </w:rPr>
        <w:t>, honor</w:t>
      </w:r>
      <w:r w:rsidR="00B20540">
        <w:rPr>
          <w:rFonts w:eastAsiaTheme="minorEastAsia"/>
        </w:rPr>
        <w:t>ariums</w:t>
      </w:r>
      <w:r w:rsidRPr="00DD21FB">
        <w:rPr>
          <w:rFonts w:eastAsiaTheme="minorEastAsia"/>
        </w:rPr>
        <w:t xml:space="preserve"> or de minims gifts may be appropriate within the scope of this program.  </w:t>
      </w:r>
      <w:r w:rsidR="00B716C4">
        <w:rPr>
          <w:rFonts w:eastAsiaTheme="minorEastAsia"/>
        </w:rPr>
        <w:t xml:space="preserve">A request </w:t>
      </w:r>
      <w:r w:rsidRPr="00DD21FB">
        <w:rPr>
          <w:rFonts w:eastAsiaTheme="minorEastAsia"/>
        </w:rPr>
        <w:t xml:space="preserve">to use </w:t>
      </w:r>
      <w:r w:rsidRPr="00B716C4" w:rsidR="00B716C4">
        <w:rPr>
          <w:rFonts w:eastAsiaTheme="minorEastAsia"/>
        </w:rPr>
        <w:t>incentives, honorariums or de minims gifts</w:t>
      </w:r>
      <w:r w:rsidR="00B716C4">
        <w:rPr>
          <w:rFonts w:eastAsiaTheme="minorEastAsia"/>
        </w:rPr>
        <w:t xml:space="preserve"> must be approved by</w:t>
      </w:r>
      <w:r w:rsidRPr="00DD21FB">
        <w:rPr>
          <w:rFonts w:eastAsiaTheme="minorEastAsia"/>
        </w:rPr>
        <w:t xml:space="preserve"> OMB. </w:t>
      </w:r>
    </w:p>
    <w:p w:rsidR="009C2BE2" w:rsidP="00FB4273" w14:paraId="2604BA39" w14:textId="77777777">
      <w:pPr>
        <w:spacing w:line="360" w:lineRule="auto"/>
      </w:pPr>
    </w:p>
    <w:p w:rsidR="00ED269F" w:rsidRPr="00E67EC4" w:rsidP="00AE14AE" w14:paraId="037014D7" w14:textId="77777777">
      <w:pPr>
        <w:tabs>
          <w:tab w:val="left" w:pos="360"/>
        </w:tabs>
        <w:rPr>
          <w:b/>
        </w:rPr>
      </w:pPr>
      <w:r w:rsidRPr="00E67EC4">
        <w:rPr>
          <w:b/>
        </w:rPr>
        <w:t>10.</w:t>
      </w:r>
      <w:r w:rsidRPr="00E67EC4">
        <w:rPr>
          <w:b/>
        </w:rPr>
        <w:tab/>
      </w:r>
      <w:r w:rsidRPr="00E67EC4" w:rsidR="002C5722">
        <w:rPr>
          <w:b/>
        </w:rPr>
        <w:t>Describe any assurance of confidentiality provided to respondents and the basis for the assurance in statute, regulation, or agency policy</w:t>
      </w:r>
      <w:r w:rsidRPr="00E67EC4">
        <w:rPr>
          <w:b/>
        </w:rPr>
        <w:t>.</w:t>
      </w:r>
    </w:p>
    <w:p w:rsidR="0056470B" w:rsidP="0034195A" w14:paraId="0FCC3323" w14:textId="77777777">
      <w:pPr>
        <w:tabs>
          <w:tab w:val="left" w:pos="360"/>
        </w:tabs>
        <w:spacing w:line="360" w:lineRule="auto"/>
      </w:pPr>
    </w:p>
    <w:p w:rsidR="0034195A" w:rsidRPr="0034195A" w:rsidP="0056470B" w14:paraId="0F68D011" w14:textId="17D98B93">
      <w:pPr>
        <w:tabs>
          <w:tab w:val="left" w:pos="360"/>
        </w:tabs>
        <w:spacing w:line="360" w:lineRule="auto"/>
      </w:pPr>
      <w:r w:rsidRPr="0034195A">
        <w:t>No assurance of confidentiality will be provided during this study. We will explain to respondents that all comments in our written summary of findings will remain anonymous and we will not include the names of any study participants with the results or th</w:t>
      </w:r>
      <w:r w:rsidRPr="0034195A">
        <w:t xml:space="preserve">e findings from this study. </w:t>
      </w:r>
    </w:p>
    <w:p w:rsidR="0056470B" w:rsidP="00AE14AE" w14:paraId="3E64F151" w14:textId="77777777">
      <w:pPr>
        <w:tabs>
          <w:tab w:val="left" w:pos="360"/>
        </w:tabs>
        <w:rPr>
          <w:b/>
        </w:rPr>
      </w:pPr>
    </w:p>
    <w:p w:rsidR="00ED269F" w:rsidRPr="00E67EC4" w:rsidP="00AE14AE" w14:paraId="00349A2C" w14:textId="7BE940B9">
      <w:pPr>
        <w:tabs>
          <w:tab w:val="left" w:pos="360"/>
        </w:tabs>
        <w:rPr>
          <w:b/>
        </w:rPr>
      </w:pPr>
      <w:r w:rsidRPr="00E67EC4">
        <w:rPr>
          <w:b/>
        </w:rPr>
        <w:t>11.</w:t>
      </w:r>
      <w:r w:rsidRPr="00E67EC4">
        <w:rPr>
          <w:b/>
        </w:rPr>
        <w:tab/>
      </w:r>
      <w:r w:rsidRPr="00E67EC4" w:rsidR="002C572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67EC4">
        <w:rPr>
          <w:b/>
        </w:rPr>
        <w:t>.</w:t>
      </w:r>
    </w:p>
    <w:p w:rsidR="00FA2C37" w:rsidRPr="00E67EC4" w:rsidP="00D85EF1" w14:paraId="4B7BE8D7" w14:textId="77777777"/>
    <w:p w:rsidR="00ED269F" w:rsidRPr="00E67EC4" w:rsidP="00D85EF1" w14:paraId="318CBD33" w14:textId="2257D32D">
      <w:r w:rsidRPr="00E67EC4">
        <w:t xml:space="preserve">The </w:t>
      </w:r>
      <w:r w:rsidRPr="00E67EC4">
        <w:t>questions used on these surveys will not be of a sensitive nature</w:t>
      </w:r>
      <w:r w:rsidRPr="00E67EC4" w:rsidR="005F4B69">
        <w:t xml:space="preserve">. </w:t>
      </w:r>
      <w:r w:rsidRPr="00E67EC4">
        <w:t xml:space="preserve">  </w:t>
      </w:r>
    </w:p>
    <w:p w:rsidR="00ED269F" w:rsidRPr="00E67EC4" w:rsidP="00D85EF1" w14:paraId="7F431B86" w14:textId="77777777"/>
    <w:p w:rsidR="002C5722" w:rsidRPr="00E67EC4" w:rsidP="00AE14AE" w14:paraId="4C83E741" w14:textId="77777777">
      <w:pPr>
        <w:tabs>
          <w:tab w:val="left" w:pos="360"/>
        </w:tabs>
        <w:rPr>
          <w:b/>
        </w:rPr>
      </w:pPr>
      <w:r w:rsidRPr="00E67EC4">
        <w:rPr>
          <w:b/>
        </w:rPr>
        <w:t>12.</w:t>
      </w:r>
      <w:r w:rsidRPr="00E67EC4">
        <w:rPr>
          <w:b/>
        </w:rPr>
        <w:tab/>
        <w:t>Provide estimates of the hour burden of the collection of information.  The statement should:</w:t>
      </w:r>
    </w:p>
    <w:p w:rsidR="002C5722" w:rsidRPr="00E67EC4" w:rsidP="002C5722" w14:paraId="7B4B80F3" w14:textId="77777777">
      <w:pPr>
        <w:tabs>
          <w:tab w:val="left" w:pos="360"/>
        </w:tabs>
        <w:ind w:left="360" w:hanging="360"/>
        <w:rPr>
          <w:b/>
        </w:rPr>
      </w:pPr>
      <w:r w:rsidRPr="00E67EC4">
        <w:rPr>
          <w:b/>
        </w:rPr>
        <w:tab/>
        <w:t>*</w:t>
      </w:r>
      <w:r w:rsidRPr="00E67EC4">
        <w:rPr>
          <w:b/>
        </w:rPr>
        <w:tab/>
        <w:t>Indicate the number of respondents, frequency of response, annual hour burden, and a</w:t>
      </w:r>
      <w:r w:rsidRPr="00E67EC4">
        <w:rPr>
          <w:b/>
        </w:rPr>
        <w:t>n explanation of how the burden was estimated.  Unless directed to do so, agencies should not conduct special surveys to obtain information on which to base hour burden estimates.  Consultation with a sample (fewer than 10) of potential respondents is desi</w:t>
      </w:r>
      <w:r w:rsidRPr="00E67EC4">
        <w:rPr>
          <w:b/>
        </w:rPr>
        <w:t>rable.  If the hour burden on respondents is expected to vary widely because of differences in activity, size, or complexity, show the range of estimated hour burden, and explain the reasons for the variance.  Generally, estimates should not include burden</w:t>
      </w:r>
      <w:r w:rsidRPr="00E67EC4">
        <w:rPr>
          <w:b/>
        </w:rPr>
        <w:t xml:space="preserve"> hours for customary and usual business practices.</w:t>
      </w:r>
    </w:p>
    <w:p w:rsidR="002C5722" w:rsidRPr="00E67EC4" w:rsidP="002C5722" w14:paraId="1A9EF067" w14:textId="77777777">
      <w:pPr>
        <w:tabs>
          <w:tab w:val="left" w:pos="360"/>
        </w:tabs>
        <w:ind w:left="360" w:hanging="360"/>
        <w:rPr>
          <w:b/>
        </w:rPr>
      </w:pPr>
      <w:r w:rsidRPr="00E67EC4">
        <w:rPr>
          <w:b/>
        </w:rPr>
        <w:tab/>
        <w:t>*</w:t>
      </w:r>
      <w:r w:rsidRPr="00E67EC4">
        <w:rPr>
          <w:b/>
        </w:rPr>
        <w:tab/>
        <w:t xml:space="preserve">If this request for approval covers more than one form, provide separate hour burden estimates for each </w:t>
      </w:r>
      <w:r w:rsidRPr="00E67EC4">
        <w:rPr>
          <w:b/>
        </w:rPr>
        <w:t>form</w:t>
      </w:r>
      <w:r w:rsidRPr="00E67EC4">
        <w:rPr>
          <w:b/>
        </w:rPr>
        <w:t xml:space="preserve"> and aggregate the hour burdens.</w:t>
      </w:r>
    </w:p>
    <w:p w:rsidR="00ED269F" w:rsidRPr="00E67EC4" w:rsidP="002C5722" w14:paraId="5E795849" w14:textId="77777777">
      <w:pPr>
        <w:tabs>
          <w:tab w:val="left" w:pos="360"/>
        </w:tabs>
        <w:ind w:left="360" w:hanging="360"/>
        <w:rPr>
          <w:b/>
        </w:rPr>
      </w:pPr>
      <w:r w:rsidRPr="00E67EC4">
        <w:rPr>
          <w:b/>
        </w:rPr>
        <w:tab/>
        <w:t>*</w:t>
      </w:r>
      <w:r w:rsidRPr="00E67EC4">
        <w:rPr>
          <w:b/>
        </w:rPr>
        <w:tab/>
        <w:t>Provide estimates of annualized cost to respondents for th</w:t>
      </w:r>
      <w:r w:rsidRPr="00E67EC4">
        <w:rPr>
          <w:b/>
        </w:rPr>
        <w:t xml:space="preserve">e hour burdens for </w:t>
      </w:r>
      <w:r w:rsidRPr="00E67EC4">
        <w:rPr>
          <w:b/>
        </w:rPr>
        <w:t>collections of information, identifying and using appropriate wage rate categories.  The cost of contracting out or paying outside parties for information collection activities should not be included here</w:t>
      </w:r>
    </w:p>
    <w:p w:rsidR="00ED269F" w:rsidRPr="00E67EC4" w:rsidP="00D85EF1" w14:paraId="703CE38D" w14:textId="77777777"/>
    <w:p w:rsidR="00871CC8" w:rsidP="008C4A0B" w14:paraId="78820AB2" w14:textId="6E7865D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E67EC4">
        <w:t>Based on experience with the ex</w:t>
      </w:r>
      <w:r w:rsidRPr="00E67EC4">
        <w:t xml:space="preserve">isting NPS Programmatic Clearance, we estimate that there will be approximately </w:t>
      </w:r>
      <w:r w:rsidRPr="00E67EC4" w:rsidR="003B2538">
        <w:rPr>
          <w:lang w:val="en-CA"/>
        </w:rPr>
        <w:t>44,</w:t>
      </w:r>
      <w:r w:rsidR="00FA0D4D">
        <w:rPr>
          <w:lang w:val="en-CA"/>
        </w:rPr>
        <w:t>125</w:t>
      </w:r>
      <w:r w:rsidRPr="00E67EC4">
        <w:t xml:space="preserve"> annual respondents</w:t>
      </w:r>
      <w:r w:rsidR="00DF17DA">
        <w:t>, totaling</w:t>
      </w:r>
      <w:r w:rsidRPr="00E67EC4">
        <w:t xml:space="preserve"> </w:t>
      </w:r>
      <w:r w:rsidRPr="00E67EC4" w:rsidR="00C454B3">
        <w:rPr>
          <w:lang w:val="en-CA"/>
        </w:rPr>
        <w:fldChar w:fldCharType="begin"/>
      </w:r>
      <w:r w:rsidRPr="00E67EC4" w:rsidR="00C454B3">
        <w:rPr>
          <w:lang w:val="en-CA"/>
        </w:rPr>
        <w:instrText xml:space="preserve"> =SUM(ABOVE) </w:instrText>
      </w:r>
      <w:r w:rsidRPr="00E67EC4" w:rsidR="00C454B3">
        <w:rPr>
          <w:lang w:val="en-CA"/>
        </w:rPr>
        <w:fldChar w:fldCharType="separate"/>
      </w:r>
      <w:r w:rsidRPr="00E67EC4" w:rsidR="00C454B3">
        <w:rPr>
          <w:lang w:val="en-CA"/>
        </w:rPr>
        <w:t>11,792</w:t>
      </w:r>
      <w:r w:rsidRPr="00E67EC4" w:rsidR="00C454B3">
        <w:fldChar w:fldCharType="end"/>
      </w:r>
      <w:r w:rsidRPr="00E67EC4" w:rsidR="00C454B3">
        <w:t xml:space="preserve"> </w:t>
      </w:r>
      <w:r w:rsidR="00410625">
        <w:t xml:space="preserve">annual burden </w:t>
      </w:r>
      <w:r w:rsidRPr="00E67EC4">
        <w:t>hours</w:t>
      </w:r>
      <w:r w:rsidR="00B1056F">
        <w:t xml:space="preserve">, resulting in a </w:t>
      </w:r>
      <w:r w:rsidR="003631EB">
        <w:t xml:space="preserve">3-year burden total </w:t>
      </w:r>
      <w:r w:rsidR="00B1056F">
        <w:t>of</w:t>
      </w:r>
      <w:r w:rsidR="003631EB">
        <w:t xml:space="preserve"> 35,376 hours</w:t>
      </w:r>
      <w:r w:rsidR="00B1056F">
        <w:t>.</w:t>
      </w:r>
      <w:r w:rsidRPr="00E67EC4">
        <w:t xml:space="preserve">  </w:t>
      </w:r>
      <w:r w:rsidRPr="00E67EC4" w:rsidR="00D943E1">
        <w:t>We estimate the total dollar value of the annual burden hours for this collection to be $</w:t>
      </w:r>
      <w:r w:rsidR="00C125C8">
        <w:t>493,614</w:t>
      </w:r>
      <w:r w:rsidRPr="00E67EC4" w:rsidR="00D943E1">
        <w:rPr>
          <w:bCs/>
        </w:rPr>
        <w:t xml:space="preserve"> (rounded)</w:t>
      </w:r>
      <w:r w:rsidR="00B1056F">
        <w:rPr>
          <w:bCs/>
        </w:rPr>
        <w:t xml:space="preserve"> with a 3-year total of $1,</w:t>
      </w:r>
      <w:r w:rsidR="00C125C8">
        <w:rPr>
          <w:bCs/>
        </w:rPr>
        <w:t>480,842</w:t>
      </w:r>
      <w:r w:rsidRPr="00E67EC4" w:rsidR="00D943E1">
        <w:t>.</w:t>
      </w:r>
      <w:r w:rsidR="00D943E1">
        <w:t xml:space="preserve"> </w:t>
      </w:r>
      <w:r>
        <w:t xml:space="preserve">We used the rates listed below in accordance with Bureau of Labor Statistics (BLS) News Release </w:t>
      </w:r>
      <w:hyperlink r:id="rId9" w:history="1">
        <w:r w:rsidRPr="00EA1FF0">
          <w:rPr>
            <w:rStyle w:val="Hyperlink"/>
            <w:rFonts w:cs="Arial"/>
          </w:rPr>
          <w:t>USDL-22-1892</w:t>
        </w:r>
      </w:hyperlink>
      <w:r>
        <w:t xml:space="preserve">, </w:t>
      </w:r>
      <w:r w:rsidR="00D11C52">
        <w:t>September</w:t>
      </w:r>
      <w:r>
        <w:t xml:space="preserve"> 2022 Employer Costs for Employee Compensation— released </w:t>
      </w:r>
      <w:r w:rsidR="00631663">
        <w:t>December</w:t>
      </w:r>
      <w:r w:rsidR="00D11C52">
        <w:t xml:space="preserve"> 15, 2022</w:t>
      </w:r>
      <w:r>
        <w:t xml:space="preserve">. </w:t>
      </w:r>
    </w:p>
    <w:p w:rsidR="00871CC8" w:rsidP="008C4A0B" w14:paraId="58487727" w14:textId="6EAEB3E6">
      <w:pPr>
        <w:widowControl/>
        <w:tabs>
          <w:tab w:val="clear" w:pos="-1080"/>
          <w:tab w:val="clear" w:pos="-720"/>
          <w:tab w:val="clear" w:pos="0"/>
          <w:tab w:val="left" w:pos="36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ind w:left="360"/>
      </w:pPr>
      <w:r>
        <w:t>•</w:t>
      </w:r>
      <w:r>
        <w:tab/>
        <w:t xml:space="preserve">Private Individuals.  Table </w:t>
      </w:r>
      <w:r w:rsidR="00CF11C7">
        <w:t>12.</w:t>
      </w:r>
      <w:r>
        <w:t>1 lists the total compensation as $41.</w:t>
      </w:r>
      <w:r w:rsidR="0030640B">
        <w:t>86</w:t>
      </w:r>
      <w:r>
        <w:t>, including benefits.</w:t>
      </w:r>
    </w:p>
    <w:p w:rsidR="00161984" w:rsidP="00161984" w14:paraId="34BAB976" w14:textId="7A69A966">
      <w:pPr>
        <w:pStyle w:val="Default"/>
      </w:pPr>
    </w:p>
    <w:p w:rsidR="00052561" w:rsidRPr="00E67EC4" w:rsidP="00052561" w14:paraId="1655A3E8" w14:textId="7A0CDC6D">
      <w:pPr>
        <w:pStyle w:val="CM22"/>
        <w:rPr>
          <w:sz w:val="22"/>
          <w:szCs w:val="22"/>
        </w:rPr>
      </w:pPr>
      <w:r w:rsidRPr="00E67EC4">
        <w:rPr>
          <w:b/>
          <w:sz w:val="22"/>
          <w:szCs w:val="22"/>
        </w:rPr>
        <w:t>TABLE</w:t>
      </w:r>
      <w:r w:rsidRPr="00E67EC4" w:rsidR="00062B4C">
        <w:rPr>
          <w:b/>
          <w:sz w:val="22"/>
          <w:szCs w:val="22"/>
        </w:rPr>
        <w:t xml:space="preserve"> 12.</w:t>
      </w:r>
      <w:r w:rsidRPr="00E67EC4">
        <w:rPr>
          <w:b/>
          <w:sz w:val="22"/>
          <w:szCs w:val="22"/>
        </w:rPr>
        <w:t xml:space="preserve"> 1</w:t>
      </w:r>
      <w:r w:rsidRPr="00E67EC4">
        <w:rPr>
          <w:sz w:val="22"/>
          <w:szCs w:val="22"/>
        </w:rPr>
        <w:t xml:space="preserve">. </w:t>
      </w:r>
      <w:r w:rsidRPr="00E67EC4">
        <w:rPr>
          <w:b/>
          <w:sz w:val="22"/>
          <w:szCs w:val="22"/>
          <w:lang w:val="x-none" w:eastAsia="x-none"/>
        </w:rPr>
        <w:t xml:space="preserve">Total Estimated </w:t>
      </w:r>
      <w:r w:rsidRPr="00E67EC4">
        <w:rPr>
          <w:b/>
          <w:sz w:val="22"/>
          <w:szCs w:val="22"/>
          <w:lang w:eastAsia="x-none"/>
        </w:rPr>
        <w:t xml:space="preserve">Annualized </w:t>
      </w:r>
      <w:r w:rsidRPr="00E67EC4">
        <w:rPr>
          <w:b/>
          <w:sz w:val="22"/>
          <w:szCs w:val="22"/>
          <w:lang w:val="x-none" w:eastAsia="x-none"/>
        </w:rPr>
        <w:t>Burden</w:t>
      </w:r>
    </w:p>
    <w:tbl>
      <w:tblPr>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260"/>
        <w:gridCol w:w="1260"/>
        <w:gridCol w:w="990"/>
        <w:gridCol w:w="1512"/>
        <w:gridCol w:w="1530"/>
      </w:tblGrid>
      <w:tr w14:paraId="5A550A2E" w14:textId="77777777" w:rsidTr="72CC93AC">
        <w:tblPrEx>
          <w:tblW w:w="93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9"/>
          <w:tblHeader/>
        </w:trPr>
        <w:tc>
          <w:tcPr>
            <w:tcW w:w="2790" w:type="dxa"/>
            <w:tcBorders>
              <w:left w:val="nil"/>
              <w:bottom w:val="nil"/>
              <w:right w:val="nil"/>
            </w:tcBorders>
            <w:shd w:val="clear" w:color="auto" w:fill="D6E3BC" w:themeFill="accent3" w:themeFillTint="66"/>
            <w:vAlign w:val="center"/>
          </w:tcPr>
          <w:p w:rsidR="00062B4C" w:rsidRPr="00882BA3" w:rsidP="00062B4C" w14:paraId="1808DAC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b/>
                <w:bCs/>
                <w:i/>
                <w:iCs/>
                <w:sz w:val="20"/>
                <w:szCs w:val="20"/>
                <w:lang w:val="en-CA"/>
              </w:rPr>
            </w:pPr>
          </w:p>
        </w:tc>
        <w:tc>
          <w:tcPr>
            <w:tcW w:w="1260" w:type="dxa"/>
            <w:tcBorders>
              <w:left w:val="nil"/>
              <w:bottom w:val="nil"/>
              <w:right w:val="nil"/>
            </w:tcBorders>
            <w:shd w:val="clear" w:color="auto" w:fill="D6E3BC" w:themeFill="accent3" w:themeFillTint="66"/>
            <w:vAlign w:val="center"/>
          </w:tcPr>
          <w:p w:rsidR="00062B4C" w:rsidRPr="00882BA3" w:rsidP="00062B4C" w14:paraId="26BE962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Annual Number of Responses</w:t>
            </w:r>
          </w:p>
        </w:tc>
        <w:tc>
          <w:tcPr>
            <w:tcW w:w="1260" w:type="dxa"/>
            <w:tcBorders>
              <w:left w:val="nil"/>
              <w:bottom w:val="nil"/>
              <w:right w:val="nil"/>
            </w:tcBorders>
            <w:shd w:val="clear" w:color="auto" w:fill="D6E3BC" w:themeFill="accent3" w:themeFillTint="66"/>
            <w:vAlign w:val="center"/>
          </w:tcPr>
          <w:p w:rsidR="00062B4C" w:rsidP="00062B4C" w14:paraId="051D71F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vertAlign w:val="superscript"/>
                <w:lang w:val="en-CA"/>
              </w:rPr>
            </w:pPr>
            <w:r w:rsidRPr="00882BA3">
              <w:rPr>
                <w:b/>
                <w:sz w:val="18"/>
                <w:szCs w:val="18"/>
                <w:lang w:val="en-CA"/>
              </w:rPr>
              <w:t>Estimated Completion Time per Response</w:t>
            </w:r>
            <w:r w:rsidRPr="00882BA3" w:rsidR="006C0711">
              <w:rPr>
                <w:b/>
                <w:sz w:val="18"/>
                <w:szCs w:val="18"/>
                <w:vertAlign w:val="superscript"/>
                <w:lang w:val="en-CA"/>
              </w:rPr>
              <w:t>1</w:t>
            </w:r>
          </w:p>
          <w:p w:rsidR="00BB1EDD" w:rsidRPr="00882BA3" w:rsidP="00062B4C" w14:paraId="78935265" w14:textId="002CEE8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Pr>
                <w:b/>
                <w:sz w:val="18"/>
                <w:szCs w:val="18"/>
                <w:lang w:val="en-CA"/>
              </w:rPr>
              <w:t>(minutes)</w:t>
            </w:r>
          </w:p>
        </w:tc>
        <w:tc>
          <w:tcPr>
            <w:tcW w:w="990" w:type="dxa"/>
            <w:tcBorders>
              <w:left w:val="nil"/>
              <w:bottom w:val="nil"/>
              <w:right w:val="nil"/>
            </w:tcBorders>
            <w:shd w:val="clear" w:color="auto" w:fill="D6E3BC" w:themeFill="accent3" w:themeFillTint="66"/>
            <w:vAlign w:val="center"/>
          </w:tcPr>
          <w:p w:rsidR="00062B4C" w:rsidRPr="00882BA3" w:rsidP="00062B4C" w14:paraId="46CCF30A"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Total Annual Burden Hours</w:t>
            </w:r>
          </w:p>
        </w:tc>
        <w:tc>
          <w:tcPr>
            <w:tcW w:w="1512" w:type="dxa"/>
            <w:tcBorders>
              <w:left w:val="nil"/>
              <w:bottom w:val="nil"/>
              <w:right w:val="nil"/>
            </w:tcBorders>
            <w:shd w:val="clear" w:color="auto" w:fill="D6E3BC" w:themeFill="accent3" w:themeFillTint="66"/>
            <w:vAlign w:val="center"/>
          </w:tcPr>
          <w:p w:rsidR="00062B4C" w:rsidRPr="00882BA3" w:rsidP="00062B4C" w14:paraId="3F94945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Dollar Value of Burden Hour Including Benefits</w:t>
            </w:r>
          </w:p>
        </w:tc>
        <w:tc>
          <w:tcPr>
            <w:tcW w:w="1530" w:type="dxa"/>
            <w:tcBorders>
              <w:left w:val="nil"/>
              <w:bottom w:val="nil"/>
              <w:right w:val="nil"/>
            </w:tcBorders>
            <w:shd w:val="clear" w:color="auto" w:fill="D6E3BC" w:themeFill="accent3" w:themeFillTint="66"/>
            <w:vAlign w:val="center"/>
          </w:tcPr>
          <w:p w:rsidR="00062B4C" w:rsidRPr="00882BA3" w:rsidP="00062B4C" w14:paraId="420B689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Total Dollar</w:t>
            </w:r>
          </w:p>
          <w:p w:rsidR="00062B4C" w:rsidRPr="00882BA3" w:rsidP="00062B4C" w14:paraId="4AB7DE97"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Value of</w:t>
            </w:r>
          </w:p>
          <w:p w:rsidR="00062B4C" w:rsidRPr="00882BA3" w:rsidP="00062B4C" w14:paraId="0AE3251E"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Annual Burden</w:t>
            </w:r>
          </w:p>
          <w:p w:rsidR="00062B4C" w:rsidRPr="00882BA3" w:rsidP="00062B4C" w14:paraId="4713B6B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18"/>
                <w:szCs w:val="18"/>
                <w:lang w:val="en-CA"/>
              </w:rPr>
            </w:pPr>
            <w:r w:rsidRPr="00882BA3">
              <w:rPr>
                <w:b/>
                <w:sz w:val="18"/>
                <w:szCs w:val="18"/>
                <w:lang w:val="en-CA"/>
              </w:rPr>
              <w:t>Hours</w:t>
            </w:r>
            <w:r w:rsidRPr="00882BA3">
              <w:rPr>
                <w:b/>
                <w:sz w:val="18"/>
                <w:szCs w:val="18"/>
                <w:vertAlign w:val="superscript"/>
                <w:lang w:val="en-CA"/>
              </w:rPr>
              <w:t>2</w:t>
            </w:r>
          </w:p>
        </w:tc>
      </w:tr>
      <w:tr w14:paraId="2D3FFB96" w14:textId="77777777" w:rsidTr="72CC93AC">
        <w:tblPrEx>
          <w:tblW w:w="9342" w:type="dxa"/>
          <w:tblInd w:w="18" w:type="dxa"/>
          <w:tblLayout w:type="fixed"/>
          <w:tblLook w:val="01E0"/>
        </w:tblPrEx>
        <w:trPr>
          <w:trHeight w:val="369"/>
        </w:trPr>
        <w:tc>
          <w:tcPr>
            <w:tcW w:w="2790" w:type="dxa"/>
            <w:tcBorders>
              <w:top w:val="nil"/>
              <w:left w:val="nil"/>
              <w:bottom w:val="nil"/>
              <w:right w:val="nil"/>
            </w:tcBorders>
            <w:vAlign w:val="center"/>
          </w:tcPr>
          <w:p w:rsidR="00317CB5" w:rsidRPr="00882BA3" w:rsidP="006A7549" w14:paraId="0B746B0B"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sz w:val="20"/>
                <w:szCs w:val="20"/>
              </w:rPr>
            </w:pPr>
            <w:r w:rsidRPr="00882BA3">
              <w:rPr>
                <w:b/>
                <w:sz w:val="20"/>
                <w:szCs w:val="20"/>
              </w:rPr>
              <w:t>On-site Surveys</w:t>
            </w:r>
          </w:p>
        </w:tc>
        <w:tc>
          <w:tcPr>
            <w:tcW w:w="1260" w:type="dxa"/>
            <w:tcBorders>
              <w:top w:val="nil"/>
              <w:left w:val="nil"/>
              <w:bottom w:val="nil"/>
              <w:right w:val="nil"/>
            </w:tcBorders>
            <w:vAlign w:val="center"/>
          </w:tcPr>
          <w:p w:rsidR="00317CB5" w:rsidRPr="00882BA3" w:rsidP="00317CB5" w14:paraId="0C3B40CB" w14:textId="6681694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30,000</w:t>
            </w:r>
          </w:p>
        </w:tc>
        <w:tc>
          <w:tcPr>
            <w:tcW w:w="1260" w:type="dxa"/>
            <w:tcBorders>
              <w:top w:val="nil"/>
              <w:left w:val="nil"/>
              <w:bottom w:val="nil"/>
              <w:right w:val="nil"/>
            </w:tcBorders>
            <w:vAlign w:val="center"/>
          </w:tcPr>
          <w:p w:rsidR="00317CB5" w:rsidRPr="00882BA3" w:rsidP="00317CB5" w14:paraId="58315D46" w14:textId="15B6E1B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 xml:space="preserve">15 </w:t>
            </w:r>
          </w:p>
        </w:tc>
        <w:tc>
          <w:tcPr>
            <w:tcW w:w="990" w:type="dxa"/>
            <w:tcBorders>
              <w:top w:val="nil"/>
              <w:left w:val="nil"/>
              <w:bottom w:val="nil"/>
              <w:right w:val="nil"/>
            </w:tcBorders>
            <w:vAlign w:val="center"/>
          </w:tcPr>
          <w:p w:rsidR="00317CB5" w:rsidRPr="00882BA3" w:rsidP="00317CB5" w14:paraId="78D422BD" w14:textId="3359247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7,500</w:t>
            </w:r>
          </w:p>
        </w:tc>
        <w:tc>
          <w:tcPr>
            <w:tcW w:w="1512" w:type="dxa"/>
            <w:tcBorders>
              <w:top w:val="nil"/>
              <w:left w:val="nil"/>
              <w:bottom w:val="nil"/>
              <w:right w:val="nil"/>
            </w:tcBorders>
            <w:vAlign w:val="center"/>
          </w:tcPr>
          <w:p w:rsidR="00317CB5" w:rsidRPr="00882BA3" w:rsidP="00317CB5" w14:paraId="7D45A478" w14:textId="6C17DB4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$41.</w:t>
            </w:r>
            <w:r w:rsidR="00BC78A3">
              <w:rPr>
                <w:sz w:val="20"/>
                <w:szCs w:val="20"/>
              </w:rPr>
              <w:t>86</w:t>
            </w:r>
          </w:p>
        </w:tc>
        <w:tc>
          <w:tcPr>
            <w:tcW w:w="1530" w:type="dxa"/>
            <w:tcBorders>
              <w:top w:val="nil"/>
              <w:left w:val="nil"/>
              <w:bottom w:val="nil"/>
              <w:right w:val="nil"/>
            </w:tcBorders>
            <w:vAlign w:val="center"/>
          </w:tcPr>
          <w:p w:rsidR="00317CB5" w:rsidRPr="00882BA3" w:rsidP="00317CB5" w14:paraId="73C37A83" w14:textId="6C0DFFD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lang w:val="en-CA"/>
              </w:rPr>
            </w:pPr>
            <w:r w:rsidRPr="00882BA3">
              <w:rPr>
                <w:sz w:val="20"/>
                <w:szCs w:val="20"/>
                <w:lang w:val="en-CA"/>
              </w:rPr>
              <w:t>$</w:t>
            </w:r>
            <w:r w:rsidR="003C3BC5">
              <w:rPr>
                <w:sz w:val="20"/>
                <w:szCs w:val="20"/>
                <w:lang w:val="en-CA"/>
              </w:rPr>
              <w:t>313,950</w:t>
            </w:r>
          </w:p>
        </w:tc>
      </w:tr>
      <w:tr w14:paraId="2E5DD237" w14:textId="77777777" w:rsidTr="72CC93AC">
        <w:tblPrEx>
          <w:tblW w:w="9342" w:type="dxa"/>
          <w:tblInd w:w="18" w:type="dxa"/>
          <w:tblLayout w:type="fixed"/>
          <w:tblLook w:val="01E0"/>
        </w:tblPrEx>
        <w:trPr>
          <w:trHeight w:val="369"/>
        </w:trPr>
        <w:tc>
          <w:tcPr>
            <w:tcW w:w="2790" w:type="dxa"/>
            <w:tcBorders>
              <w:top w:val="nil"/>
              <w:left w:val="nil"/>
              <w:bottom w:val="nil"/>
              <w:right w:val="nil"/>
            </w:tcBorders>
            <w:vAlign w:val="center"/>
          </w:tcPr>
          <w:p w:rsidR="00317CB5" w:rsidRPr="00882BA3" w:rsidP="00317CB5" w14:paraId="0AA3770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sz w:val="20"/>
                <w:szCs w:val="20"/>
                <w:lang w:val="en-CA"/>
              </w:rPr>
            </w:pPr>
            <w:r w:rsidRPr="00882BA3">
              <w:rPr>
                <w:b/>
                <w:sz w:val="20"/>
                <w:szCs w:val="20"/>
              </w:rPr>
              <w:t>Mail-back surveys</w:t>
            </w:r>
          </w:p>
        </w:tc>
        <w:tc>
          <w:tcPr>
            <w:tcW w:w="1260" w:type="dxa"/>
            <w:tcBorders>
              <w:top w:val="nil"/>
              <w:left w:val="nil"/>
              <w:bottom w:val="nil"/>
              <w:right w:val="nil"/>
            </w:tcBorders>
            <w:vAlign w:val="center"/>
          </w:tcPr>
          <w:p w:rsidR="00317CB5" w:rsidRPr="00882BA3" w:rsidP="00317CB5" w14:paraId="3C1ABAC3" w14:textId="40949A3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2,000</w:t>
            </w:r>
          </w:p>
        </w:tc>
        <w:tc>
          <w:tcPr>
            <w:tcW w:w="1260" w:type="dxa"/>
            <w:tcBorders>
              <w:top w:val="nil"/>
              <w:left w:val="nil"/>
              <w:bottom w:val="nil"/>
              <w:right w:val="nil"/>
            </w:tcBorders>
            <w:vAlign w:val="center"/>
          </w:tcPr>
          <w:p w:rsidR="00317CB5" w:rsidRPr="00882BA3" w:rsidP="00317CB5" w14:paraId="687B958B" w14:textId="23FDB9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 xml:space="preserve">20 </w:t>
            </w:r>
          </w:p>
        </w:tc>
        <w:tc>
          <w:tcPr>
            <w:tcW w:w="990" w:type="dxa"/>
            <w:tcBorders>
              <w:top w:val="nil"/>
              <w:left w:val="nil"/>
              <w:bottom w:val="nil"/>
              <w:right w:val="nil"/>
            </w:tcBorders>
            <w:vAlign w:val="center"/>
          </w:tcPr>
          <w:p w:rsidR="00317CB5" w:rsidRPr="00882BA3" w:rsidP="00317CB5" w14:paraId="6824D301" w14:textId="531E004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667</w:t>
            </w:r>
          </w:p>
        </w:tc>
        <w:tc>
          <w:tcPr>
            <w:tcW w:w="1512" w:type="dxa"/>
            <w:tcBorders>
              <w:top w:val="nil"/>
              <w:left w:val="nil"/>
              <w:bottom w:val="nil"/>
              <w:right w:val="nil"/>
            </w:tcBorders>
            <w:vAlign w:val="center"/>
          </w:tcPr>
          <w:p w:rsidR="00317CB5" w:rsidRPr="00882BA3" w:rsidP="00317CB5" w14:paraId="67BFC193" w14:textId="22DBF4FD">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$41.</w:t>
            </w:r>
            <w:r w:rsidR="00BC78A3">
              <w:rPr>
                <w:sz w:val="20"/>
                <w:szCs w:val="20"/>
              </w:rPr>
              <w:t>86</w:t>
            </w:r>
          </w:p>
        </w:tc>
        <w:tc>
          <w:tcPr>
            <w:tcW w:w="1530" w:type="dxa"/>
            <w:tcBorders>
              <w:top w:val="nil"/>
              <w:left w:val="nil"/>
              <w:bottom w:val="nil"/>
              <w:right w:val="nil"/>
            </w:tcBorders>
            <w:vAlign w:val="center"/>
          </w:tcPr>
          <w:p w:rsidR="00317CB5" w:rsidRPr="00882BA3" w:rsidP="00317CB5" w14:paraId="42721A0A" w14:textId="1DFDBC2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lang w:val="en-CA"/>
              </w:rPr>
            </w:pPr>
            <w:r w:rsidRPr="00882BA3">
              <w:rPr>
                <w:sz w:val="20"/>
                <w:szCs w:val="20"/>
                <w:lang w:val="en-CA"/>
              </w:rPr>
              <w:t>$</w:t>
            </w:r>
            <w:r w:rsidR="003C3BC5">
              <w:rPr>
                <w:sz w:val="20"/>
                <w:szCs w:val="20"/>
                <w:lang w:val="en-CA"/>
              </w:rPr>
              <w:t>27,921</w:t>
            </w:r>
          </w:p>
        </w:tc>
      </w:tr>
      <w:tr w14:paraId="2107A0D2" w14:textId="77777777" w:rsidTr="72CC93AC">
        <w:tblPrEx>
          <w:tblW w:w="9342" w:type="dxa"/>
          <w:tblInd w:w="18" w:type="dxa"/>
          <w:tblLayout w:type="fixed"/>
          <w:tblLook w:val="01E0"/>
        </w:tblPrEx>
        <w:trPr>
          <w:trHeight w:val="405"/>
        </w:trPr>
        <w:tc>
          <w:tcPr>
            <w:tcW w:w="2790" w:type="dxa"/>
            <w:tcBorders>
              <w:top w:val="nil"/>
              <w:left w:val="nil"/>
              <w:bottom w:val="nil"/>
              <w:right w:val="nil"/>
            </w:tcBorders>
            <w:vAlign w:val="center"/>
          </w:tcPr>
          <w:p w:rsidR="00317CB5" w:rsidRPr="00882BA3" w:rsidP="00317CB5" w14:paraId="605666F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sz w:val="20"/>
                <w:szCs w:val="20"/>
                <w:lang w:val="en-CA"/>
              </w:rPr>
            </w:pPr>
            <w:r w:rsidRPr="00882BA3">
              <w:rPr>
                <w:b/>
                <w:sz w:val="20"/>
                <w:szCs w:val="20"/>
              </w:rPr>
              <w:t>All non-response surveys</w:t>
            </w:r>
          </w:p>
        </w:tc>
        <w:tc>
          <w:tcPr>
            <w:tcW w:w="1260" w:type="dxa"/>
            <w:tcBorders>
              <w:top w:val="nil"/>
              <w:left w:val="nil"/>
              <w:bottom w:val="nil"/>
              <w:right w:val="nil"/>
            </w:tcBorders>
            <w:vAlign w:val="center"/>
          </w:tcPr>
          <w:p w:rsidR="00317CB5" w:rsidRPr="00882BA3" w:rsidP="00317CB5" w14:paraId="6DB9DE09" w14:textId="3980541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5,000</w:t>
            </w:r>
          </w:p>
        </w:tc>
        <w:tc>
          <w:tcPr>
            <w:tcW w:w="1260" w:type="dxa"/>
            <w:tcBorders>
              <w:top w:val="nil"/>
              <w:left w:val="nil"/>
              <w:bottom w:val="nil"/>
              <w:right w:val="nil"/>
            </w:tcBorders>
            <w:vAlign w:val="center"/>
          </w:tcPr>
          <w:p w:rsidR="00317CB5" w:rsidRPr="00882BA3" w:rsidP="00317CB5" w14:paraId="0E87EF37" w14:textId="57BD121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 xml:space="preserve">3 </w:t>
            </w:r>
          </w:p>
        </w:tc>
        <w:tc>
          <w:tcPr>
            <w:tcW w:w="990" w:type="dxa"/>
            <w:tcBorders>
              <w:top w:val="nil"/>
              <w:left w:val="nil"/>
              <w:bottom w:val="nil"/>
              <w:right w:val="nil"/>
            </w:tcBorders>
            <w:vAlign w:val="center"/>
          </w:tcPr>
          <w:p w:rsidR="00317CB5" w:rsidRPr="00882BA3" w:rsidP="00317CB5" w14:paraId="0FF0D2D8" w14:textId="430C7F9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250</w:t>
            </w:r>
          </w:p>
        </w:tc>
        <w:tc>
          <w:tcPr>
            <w:tcW w:w="1512" w:type="dxa"/>
            <w:tcBorders>
              <w:top w:val="nil"/>
              <w:left w:val="nil"/>
              <w:bottom w:val="nil"/>
              <w:right w:val="nil"/>
            </w:tcBorders>
            <w:vAlign w:val="center"/>
          </w:tcPr>
          <w:p w:rsidR="00317CB5" w:rsidRPr="00882BA3" w:rsidP="00317CB5" w14:paraId="24D57559" w14:textId="38C0D58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$41.</w:t>
            </w:r>
            <w:r w:rsidR="00BC78A3">
              <w:rPr>
                <w:sz w:val="20"/>
                <w:szCs w:val="20"/>
              </w:rPr>
              <w:t>86</w:t>
            </w:r>
          </w:p>
        </w:tc>
        <w:tc>
          <w:tcPr>
            <w:tcW w:w="1530" w:type="dxa"/>
            <w:tcBorders>
              <w:top w:val="nil"/>
              <w:left w:val="nil"/>
              <w:bottom w:val="nil"/>
              <w:right w:val="nil"/>
            </w:tcBorders>
            <w:vAlign w:val="center"/>
          </w:tcPr>
          <w:p w:rsidR="00317CB5" w:rsidRPr="00882BA3" w:rsidP="00317CB5" w14:paraId="2C0398BF" w14:textId="75250A2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lang w:val="en-CA"/>
              </w:rPr>
            </w:pPr>
            <w:r w:rsidRPr="00882BA3">
              <w:rPr>
                <w:sz w:val="20"/>
                <w:szCs w:val="20"/>
                <w:lang w:val="en-CA"/>
              </w:rPr>
              <w:t>$</w:t>
            </w:r>
            <w:r w:rsidRPr="00882BA3" w:rsidR="00666DF3">
              <w:rPr>
                <w:sz w:val="20"/>
                <w:szCs w:val="20"/>
                <w:lang w:val="en-CA"/>
              </w:rPr>
              <w:t>10,</w:t>
            </w:r>
            <w:r w:rsidR="005B33F0">
              <w:rPr>
                <w:sz w:val="20"/>
                <w:szCs w:val="20"/>
                <w:lang w:val="en-CA"/>
              </w:rPr>
              <w:t>465</w:t>
            </w:r>
          </w:p>
        </w:tc>
      </w:tr>
      <w:tr w14:paraId="403F8FE3" w14:textId="77777777" w:rsidTr="00DA31FD">
        <w:tblPrEx>
          <w:tblW w:w="9342" w:type="dxa"/>
          <w:tblInd w:w="18" w:type="dxa"/>
          <w:tblLayout w:type="fixed"/>
          <w:tblLook w:val="01E0"/>
        </w:tblPrEx>
        <w:trPr>
          <w:trHeight w:val="396"/>
        </w:trPr>
        <w:tc>
          <w:tcPr>
            <w:tcW w:w="2790" w:type="dxa"/>
            <w:tcBorders>
              <w:top w:val="nil"/>
              <w:left w:val="nil"/>
              <w:bottom w:val="nil"/>
              <w:right w:val="nil"/>
            </w:tcBorders>
            <w:vAlign w:val="center"/>
          </w:tcPr>
          <w:p w:rsidR="00317CB5" w:rsidRPr="00882BA3" w:rsidP="00317CB5" w14:paraId="0708BBC0" w14:textId="3AD02B9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sz w:val="20"/>
                <w:szCs w:val="20"/>
              </w:rPr>
            </w:pPr>
            <w:r w:rsidRPr="00882BA3">
              <w:rPr>
                <w:b/>
                <w:sz w:val="20"/>
                <w:szCs w:val="20"/>
              </w:rPr>
              <w:t>Focus Groups/ interviews</w:t>
            </w:r>
          </w:p>
        </w:tc>
        <w:tc>
          <w:tcPr>
            <w:tcW w:w="1260" w:type="dxa"/>
            <w:tcBorders>
              <w:top w:val="nil"/>
              <w:left w:val="nil"/>
              <w:bottom w:val="nil"/>
              <w:right w:val="nil"/>
            </w:tcBorders>
            <w:vAlign w:val="center"/>
          </w:tcPr>
          <w:p w:rsidR="00317CB5" w:rsidRPr="00882BA3" w:rsidP="00317CB5" w14:paraId="75177C27" w14:textId="1ED8260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2,</w:t>
            </w:r>
            <w:r w:rsidR="00EC7BEB">
              <w:rPr>
                <w:sz w:val="20"/>
                <w:szCs w:val="20"/>
              </w:rPr>
              <w:t>125</w:t>
            </w:r>
          </w:p>
        </w:tc>
        <w:tc>
          <w:tcPr>
            <w:tcW w:w="1260" w:type="dxa"/>
            <w:tcBorders>
              <w:top w:val="nil"/>
              <w:left w:val="nil"/>
              <w:bottom w:val="nil"/>
              <w:right w:val="nil"/>
            </w:tcBorders>
            <w:vAlign w:val="center"/>
          </w:tcPr>
          <w:p w:rsidR="00317CB5" w:rsidRPr="00882BA3" w:rsidP="00317CB5" w14:paraId="2102E858" w14:textId="5A18241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 xml:space="preserve">60 </w:t>
            </w:r>
          </w:p>
        </w:tc>
        <w:tc>
          <w:tcPr>
            <w:tcW w:w="990" w:type="dxa"/>
            <w:tcBorders>
              <w:top w:val="nil"/>
              <w:left w:val="nil"/>
              <w:bottom w:val="nil"/>
              <w:right w:val="nil"/>
            </w:tcBorders>
            <w:vAlign w:val="center"/>
          </w:tcPr>
          <w:p w:rsidR="00317CB5" w:rsidRPr="00882BA3" w:rsidP="00317CB5" w14:paraId="07983B55" w14:textId="45D8449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2,</w:t>
            </w:r>
            <w:r w:rsidR="0074173C">
              <w:rPr>
                <w:sz w:val="20"/>
                <w:szCs w:val="20"/>
              </w:rPr>
              <w:t>125</w:t>
            </w:r>
          </w:p>
        </w:tc>
        <w:tc>
          <w:tcPr>
            <w:tcW w:w="1512" w:type="dxa"/>
            <w:tcBorders>
              <w:top w:val="nil"/>
              <w:left w:val="nil"/>
              <w:bottom w:val="nil"/>
              <w:right w:val="nil"/>
            </w:tcBorders>
            <w:vAlign w:val="center"/>
          </w:tcPr>
          <w:p w:rsidR="00317CB5" w:rsidRPr="00882BA3" w:rsidP="00317CB5" w14:paraId="7628EAAA" w14:textId="4E965D9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$41.</w:t>
            </w:r>
            <w:r w:rsidR="00BC78A3">
              <w:rPr>
                <w:sz w:val="20"/>
                <w:szCs w:val="20"/>
              </w:rPr>
              <w:t>86</w:t>
            </w:r>
          </w:p>
        </w:tc>
        <w:tc>
          <w:tcPr>
            <w:tcW w:w="1530" w:type="dxa"/>
            <w:tcBorders>
              <w:top w:val="nil"/>
              <w:left w:val="nil"/>
              <w:bottom w:val="nil"/>
              <w:right w:val="nil"/>
            </w:tcBorders>
            <w:vAlign w:val="center"/>
          </w:tcPr>
          <w:p w:rsidR="00317CB5" w:rsidRPr="00882BA3" w:rsidP="00317CB5" w14:paraId="1ABF8434" w14:textId="782EA7F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noProof/>
                <w:sz w:val="20"/>
                <w:szCs w:val="20"/>
                <w:lang w:val="en-CA"/>
              </w:rPr>
            </w:pPr>
            <w:r w:rsidRPr="00882BA3">
              <w:rPr>
                <w:noProof/>
                <w:sz w:val="20"/>
                <w:szCs w:val="20"/>
                <w:lang w:val="en-CA"/>
              </w:rPr>
              <w:t>$</w:t>
            </w:r>
            <w:r w:rsidR="005B33F0">
              <w:rPr>
                <w:noProof/>
                <w:sz w:val="20"/>
                <w:szCs w:val="20"/>
                <w:lang w:val="en-CA"/>
              </w:rPr>
              <w:t>88,953</w:t>
            </w:r>
          </w:p>
        </w:tc>
      </w:tr>
      <w:tr w14:paraId="5EA4FE17" w14:textId="77777777" w:rsidTr="72CC93AC">
        <w:tblPrEx>
          <w:tblW w:w="9342" w:type="dxa"/>
          <w:tblInd w:w="18" w:type="dxa"/>
          <w:tblLayout w:type="fixed"/>
          <w:tblLook w:val="01E0"/>
        </w:tblPrEx>
        <w:trPr>
          <w:trHeight w:val="396"/>
        </w:trPr>
        <w:tc>
          <w:tcPr>
            <w:tcW w:w="2790" w:type="dxa"/>
            <w:tcBorders>
              <w:top w:val="nil"/>
              <w:left w:val="nil"/>
              <w:bottom w:val="nil"/>
              <w:right w:val="nil"/>
            </w:tcBorders>
            <w:vAlign w:val="center"/>
          </w:tcPr>
          <w:p w:rsidR="00317CB5" w:rsidRPr="00882BA3" w:rsidP="00317CB5" w14:paraId="617FDEDD" w14:textId="68A32D0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sz w:val="20"/>
                <w:szCs w:val="20"/>
                <w:lang w:val="en-CA"/>
              </w:rPr>
            </w:pPr>
            <w:r w:rsidRPr="00882BA3">
              <w:rPr>
                <w:b/>
                <w:sz w:val="20"/>
                <w:szCs w:val="20"/>
              </w:rPr>
              <w:t>On-line surveys</w:t>
            </w:r>
          </w:p>
        </w:tc>
        <w:tc>
          <w:tcPr>
            <w:tcW w:w="1260" w:type="dxa"/>
            <w:tcBorders>
              <w:top w:val="nil"/>
              <w:left w:val="nil"/>
              <w:bottom w:val="nil"/>
              <w:right w:val="nil"/>
            </w:tcBorders>
            <w:vAlign w:val="center"/>
          </w:tcPr>
          <w:p w:rsidR="00317CB5" w:rsidRPr="00882BA3" w:rsidP="00317CB5" w14:paraId="0195B79B" w14:textId="56BB0F1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highlight w:val="yellow"/>
              </w:rPr>
            </w:pPr>
            <w:r w:rsidRPr="00882BA3">
              <w:rPr>
                <w:sz w:val="20"/>
                <w:szCs w:val="20"/>
              </w:rPr>
              <w:t>5,000</w:t>
            </w:r>
          </w:p>
        </w:tc>
        <w:tc>
          <w:tcPr>
            <w:tcW w:w="1260" w:type="dxa"/>
            <w:tcBorders>
              <w:top w:val="nil"/>
              <w:left w:val="nil"/>
              <w:bottom w:val="nil"/>
              <w:right w:val="nil"/>
            </w:tcBorders>
            <w:vAlign w:val="center"/>
          </w:tcPr>
          <w:p w:rsidR="00317CB5" w:rsidRPr="00882BA3" w:rsidP="00317CB5" w14:paraId="67B15753" w14:textId="6B2CA97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 xml:space="preserve">15 </w:t>
            </w:r>
          </w:p>
        </w:tc>
        <w:tc>
          <w:tcPr>
            <w:tcW w:w="990" w:type="dxa"/>
            <w:tcBorders>
              <w:top w:val="nil"/>
              <w:left w:val="nil"/>
              <w:bottom w:val="nil"/>
              <w:right w:val="nil"/>
            </w:tcBorders>
            <w:vAlign w:val="center"/>
          </w:tcPr>
          <w:p w:rsidR="00317CB5" w:rsidRPr="00882BA3" w:rsidP="00317CB5" w14:paraId="196FF6D4" w14:textId="5B503AB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1,250</w:t>
            </w:r>
          </w:p>
        </w:tc>
        <w:tc>
          <w:tcPr>
            <w:tcW w:w="1512" w:type="dxa"/>
            <w:tcBorders>
              <w:top w:val="nil"/>
              <w:left w:val="nil"/>
              <w:bottom w:val="nil"/>
              <w:right w:val="nil"/>
            </w:tcBorders>
            <w:vAlign w:val="center"/>
          </w:tcPr>
          <w:p w:rsidR="00317CB5" w:rsidRPr="00882BA3" w:rsidP="00317CB5" w14:paraId="775CE2A0" w14:textId="13F1027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882BA3">
              <w:rPr>
                <w:sz w:val="20"/>
                <w:szCs w:val="20"/>
              </w:rPr>
              <w:t>$41.</w:t>
            </w:r>
            <w:r w:rsidR="00BC78A3">
              <w:rPr>
                <w:sz w:val="20"/>
                <w:szCs w:val="20"/>
              </w:rPr>
              <w:t>86</w:t>
            </w:r>
          </w:p>
        </w:tc>
        <w:tc>
          <w:tcPr>
            <w:tcW w:w="1530" w:type="dxa"/>
            <w:tcBorders>
              <w:top w:val="nil"/>
              <w:left w:val="nil"/>
              <w:bottom w:val="nil"/>
              <w:right w:val="nil"/>
            </w:tcBorders>
            <w:vAlign w:val="center"/>
          </w:tcPr>
          <w:p w:rsidR="00317CB5" w:rsidRPr="00882BA3" w:rsidP="00317CB5" w14:paraId="416F1C7F" w14:textId="0587567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noProof/>
                <w:sz w:val="20"/>
                <w:szCs w:val="20"/>
                <w:lang w:val="en-CA"/>
              </w:rPr>
            </w:pPr>
            <w:r w:rsidRPr="00882BA3">
              <w:rPr>
                <w:noProof/>
                <w:sz w:val="20"/>
                <w:szCs w:val="20"/>
                <w:lang w:val="en-CA"/>
              </w:rPr>
              <w:t>$</w:t>
            </w:r>
            <w:r w:rsidR="006310F6">
              <w:rPr>
                <w:noProof/>
                <w:sz w:val="20"/>
                <w:szCs w:val="20"/>
                <w:lang w:val="en-CA"/>
              </w:rPr>
              <w:t>52,325</w:t>
            </w:r>
          </w:p>
        </w:tc>
      </w:tr>
      <w:tr w14:paraId="74BC6CC9" w14:textId="77777777" w:rsidTr="72CC93AC">
        <w:tblPrEx>
          <w:tblW w:w="9342" w:type="dxa"/>
          <w:tblInd w:w="18" w:type="dxa"/>
          <w:tblLayout w:type="fixed"/>
          <w:tblLook w:val="01E0"/>
        </w:tblPrEx>
        <w:trPr>
          <w:trHeight w:val="342"/>
        </w:trPr>
        <w:tc>
          <w:tcPr>
            <w:tcW w:w="2790" w:type="dxa"/>
            <w:tcBorders>
              <w:top w:val="nil"/>
              <w:left w:val="nil"/>
              <w:bottom w:val="single" w:sz="4" w:space="0" w:color="auto"/>
              <w:right w:val="nil"/>
            </w:tcBorders>
            <w:vAlign w:val="center"/>
          </w:tcPr>
          <w:p w:rsidR="00062B4C" w:rsidRPr="00882BA3" w:rsidP="00DA31FD" w14:paraId="7AB49CE8" w14:textId="40A6DB75">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80"/>
              <w:rPr>
                <w:b/>
                <w:bCs/>
                <w:sz w:val="20"/>
                <w:szCs w:val="20"/>
                <w:lang w:val="en-CA"/>
              </w:rPr>
            </w:pPr>
            <w:r w:rsidRPr="00882BA3">
              <w:rPr>
                <w:b/>
                <w:bCs/>
                <w:sz w:val="20"/>
                <w:szCs w:val="20"/>
                <w:lang w:val="en-CA"/>
              </w:rPr>
              <w:t xml:space="preserve">Annual </w:t>
            </w:r>
            <w:r>
              <w:rPr>
                <w:b/>
                <w:bCs/>
                <w:sz w:val="20"/>
                <w:szCs w:val="20"/>
                <w:lang w:val="en-CA"/>
              </w:rPr>
              <w:t>Subtotal</w:t>
            </w:r>
          </w:p>
        </w:tc>
        <w:tc>
          <w:tcPr>
            <w:tcW w:w="1260" w:type="dxa"/>
            <w:tcBorders>
              <w:top w:val="nil"/>
              <w:left w:val="nil"/>
              <w:bottom w:val="single" w:sz="4" w:space="0" w:color="auto"/>
              <w:right w:val="nil"/>
            </w:tcBorders>
            <w:vAlign w:val="center"/>
          </w:tcPr>
          <w:p w:rsidR="00062B4C" w:rsidRPr="00882BA3" w:rsidP="6932FFA0" w14:paraId="7DF46757" w14:textId="39FE7E13">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sz w:val="20"/>
                <w:szCs w:val="20"/>
                <w:lang w:val="en-CA"/>
              </w:rPr>
            </w:pPr>
            <w:r>
              <w:rPr>
                <w:b/>
                <w:bCs/>
                <w:sz w:val="20"/>
                <w:szCs w:val="20"/>
                <w:lang w:val="en-CA"/>
              </w:rPr>
              <w:t>44,125</w:t>
            </w:r>
            <w:r w:rsidRPr="6932FFA0" w:rsidR="007652B5">
              <w:rPr>
                <w:b/>
                <w:bCs/>
                <w:sz w:val="20"/>
                <w:szCs w:val="20"/>
                <w:lang w:val="en-CA"/>
              </w:rPr>
              <w:fldChar w:fldCharType="begin"/>
            </w:r>
            <w:r w:rsidRPr="6932FFA0" w:rsidR="007652B5">
              <w:rPr>
                <w:b/>
                <w:bCs/>
                <w:sz w:val="20"/>
                <w:szCs w:val="20"/>
                <w:lang w:val="en-CA"/>
              </w:rPr>
              <w:instrText xml:space="preserve"> =SUM(ABOVE) </w:instrText>
            </w:r>
            <w:r>
              <w:rPr>
                <w:b/>
                <w:bCs/>
                <w:sz w:val="20"/>
                <w:szCs w:val="20"/>
                <w:lang w:val="en-CA"/>
              </w:rPr>
              <w:fldChar w:fldCharType="separate"/>
            </w:r>
            <w:r w:rsidRPr="6932FFA0" w:rsidR="007652B5">
              <w:rPr>
                <w:b/>
                <w:bCs/>
                <w:sz w:val="20"/>
                <w:szCs w:val="20"/>
                <w:lang w:val="en-CA"/>
              </w:rPr>
              <w:fldChar w:fldCharType="end"/>
            </w:r>
            <w:r w:rsidRPr="6932FFA0" w:rsidR="007652B5">
              <w:rPr>
                <w:b/>
                <w:bCs/>
                <w:sz w:val="20"/>
                <w:szCs w:val="20"/>
                <w:lang w:val="en-CA"/>
              </w:rPr>
              <w:fldChar w:fldCharType="begin"/>
            </w:r>
            <w:r w:rsidRPr="6932FFA0" w:rsidR="007652B5">
              <w:rPr>
                <w:b/>
                <w:bCs/>
                <w:sz w:val="20"/>
                <w:szCs w:val="20"/>
                <w:lang w:val="en-CA"/>
              </w:rPr>
              <w:instrText xml:space="preserve">  </w:instrText>
            </w:r>
            <w:r w:rsidRPr="6932FFA0" w:rsidR="007652B5">
              <w:rPr>
                <w:b/>
                <w:bCs/>
                <w:sz w:val="20"/>
                <w:szCs w:val="20"/>
                <w:lang w:val="en-CA"/>
              </w:rPr>
              <w:fldChar w:fldCharType="end"/>
            </w:r>
            <w:r w:rsidRPr="6932FFA0" w:rsidR="007652B5">
              <w:rPr>
                <w:b/>
                <w:bCs/>
                <w:sz w:val="20"/>
                <w:szCs w:val="20"/>
                <w:lang w:val="en-CA"/>
              </w:rPr>
              <w:fldChar w:fldCharType="begin"/>
            </w:r>
            <w:r w:rsidRPr="6932FFA0" w:rsidR="007652B5">
              <w:rPr>
                <w:b/>
                <w:bCs/>
                <w:sz w:val="20"/>
                <w:szCs w:val="20"/>
                <w:lang w:val="en-CA"/>
              </w:rPr>
              <w:instrText xml:space="preserve">  </w:instrText>
            </w:r>
            <w:r w:rsidRPr="6932FFA0" w:rsidR="007652B5">
              <w:rPr>
                <w:b/>
                <w:bCs/>
                <w:sz w:val="20"/>
                <w:szCs w:val="20"/>
                <w:lang w:val="en-CA"/>
              </w:rPr>
              <w:fldChar w:fldCharType="end"/>
            </w:r>
            <w:r w:rsidRPr="6932FFA0" w:rsidR="007652B5">
              <w:rPr>
                <w:b/>
                <w:bCs/>
                <w:sz w:val="20"/>
                <w:szCs w:val="20"/>
                <w:lang w:val="en-CA"/>
              </w:rPr>
              <w:fldChar w:fldCharType="begin"/>
            </w:r>
            <w:r w:rsidRPr="6932FFA0" w:rsidR="007652B5">
              <w:rPr>
                <w:b/>
                <w:bCs/>
                <w:sz w:val="20"/>
                <w:szCs w:val="20"/>
                <w:lang w:val="en-CA"/>
              </w:rPr>
              <w:instrText xml:space="preserve">  </w:instrText>
            </w:r>
            <w:r w:rsidRPr="6932FFA0" w:rsidR="007652B5">
              <w:rPr>
                <w:b/>
                <w:bCs/>
                <w:sz w:val="20"/>
                <w:szCs w:val="20"/>
                <w:lang w:val="en-CA"/>
              </w:rPr>
              <w:fldChar w:fldCharType="end"/>
            </w:r>
          </w:p>
        </w:tc>
        <w:tc>
          <w:tcPr>
            <w:tcW w:w="1260" w:type="dxa"/>
            <w:tcBorders>
              <w:top w:val="nil"/>
              <w:left w:val="nil"/>
              <w:bottom w:val="single" w:sz="4" w:space="0" w:color="auto"/>
              <w:right w:val="nil"/>
            </w:tcBorders>
            <w:shd w:val="clear" w:color="auto" w:fill="auto"/>
            <w:vAlign w:val="center"/>
          </w:tcPr>
          <w:p w:rsidR="00062B4C" w:rsidRPr="00882BA3" w:rsidP="00E34EFE" w14:paraId="242D669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p>
        </w:tc>
        <w:tc>
          <w:tcPr>
            <w:tcW w:w="990" w:type="dxa"/>
            <w:tcBorders>
              <w:top w:val="nil"/>
              <w:left w:val="nil"/>
              <w:bottom w:val="single" w:sz="4" w:space="0" w:color="auto"/>
              <w:right w:val="nil"/>
            </w:tcBorders>
            <w:vAlign w:val="center"/>
          </w:tcPr>
          <w:p w:rsidR="00062B4C" w:rsidRPr="00882BA3" w:rsidP="00317CB5" w14:paraId="7CC4D384" w14:textId="10897252">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r w:rsidRPr="00882BA3">
              <w:rPr>
                <w:b/>
                <w:sz w:val="20"/>
                <w:szCs w:val="20"/>
                <w:lang w:val="en-CA"/>
              </w:rPr>
              <w:fldChar w:fldCharType="begin"/>
            </w:r>
            <w:r w:rsidRPr="00882BA3">
              <w:rPr>
                <w:b/>
                <w:sz w:val="20"/>
                <w:szCs w:val="20"/>
                <w:lang w:val="en-CA"/>
              </w:rPr>
              <w:instrText xml:space="preserve"> =SUM(ABOVE) </w:instrText>
            </w:r>
            <w:r>
              <w:rPr>
                <w:b/>
                <w:sz w:val="20"/>
                <w:szCs w:val="20"/>
                <w:lang w:val="en-CA"/>
              </w:rPr>
              <w:fldChar w:fldCharType="separate"/>
            </w:r>
            <w:r w:rsidRPr="00882BA3">
              <w:rPr>
                <w:b/>
                <w:sz w:val="20"/>
                <w:szCs w:val="20"/>
                <w:lang w:val="en-CA"/>
              </w:rPr>
              <w:fldChar w:fldCharType="end"/>
            </w:r>
            <w:r w:rsidRPr="00882BA3" w:rsidR="00317CB5">
              <w:rPr>
                <w:b/>
                <w:sz w:val="20"/>
                <w:szCs w:val="20"/>
                <w:lang w:val="en-CA"/>
              </w:rPr>
              <w:fldChar w:fldCharType="begin"/>
            </w:r>
            <w:r w:rsidRPr="00882BA3" w:rsidR="00317CB5">
              <w:rPr>
                <w:b/>
                <w:sz w:val="20"/>
                <w:szCs w:val="20"/>
                <w:lang w:val="en-CA"/>
              </w:rPr>
              <w:instrText xml:space="preserve"> =SUM(ABOVE) </w:instrText>
            </w:r>
            <w:r w:rsidRPr="00882BA3" w:rsidR="00317CB5">
              <w:rPr>
                <w:b/>
                <w:sz w:val="20"/>
                <w:szCs w:val="20"/>
                <w:lang w:val="en-CA"/>
              </w:rPr>
              <w:fldChar w:fldCharType="separate"/>
            </w:r>
            <w:r w:rsidRPr="00882BA3" w:rsidR="00317CB5">
              <w:rPr>
                <w:b/>
                <w:noProof/>
                <w:sz w:val="20"/>
                <w:szCs w:val="20"/>
                <w:lang w:val="en-CA"/>
              </w:rPr>
              <w:t>11,792</w:t>
            </w:r>
            <w:r w:rsidRPr="00882BA3" w:rsidR="00317CB5">
              <w:rPr>
                <w:b/>
                <w:sz w:val="20"/>
                <w:szCs w:val="20"/>
                <w:lang w:val="en-CA"/>
              </w:rPr>
              <w:fldChar w:fldCharType="end"/>
            </w:r>
          </w:p>
        </w:tc>
        <w:tc>
          <w:tcPr>
            <w:tcW w:w="1512" w:type="dxa"/>
            <w:tcBorders>
              <w:top w:val="nil"/>
              <w:left w:val="nil"/>
              <w:bottom w:val="single" w:sz="4" w:space="0" w:color="auto"/>
              <w:right w:val="nil"/>
            </w:tcBorders>
            <w:shd w:val="clear" w:color="auto" w:fill="auto"/>
            <w:vAlign w:val="center"/>
          </w:tcPr>
          <w:p w:rsidR="00062B4C" w:rsidRPr="00882BA3" w:rsidP="00E34EFE" w14:paraId="25F35F0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p>
        </w:tc>
        <w:tc>
          <w:tcPr>
            <w:tcW w:w="1530" w:type="dxa"/>
            <w:tcBorders>
              <w:top w:val="nil"/>
              <w:left w:val="nil"/>
              <w:bottom w:val="single" w:sz="4" w:space="0" w:color="auto"/>
              <w:right w:val="nil"/>
            </w:tcBorders>
            <w:vAlign w:val="center"/>
          </w:tcPr>
          <w:p w:rsidR="00062B4C" w:rsidRPr="00882BA3" w:rsidP="00317CB5" w14:paraId="04921F03" w14:textId="0F783ED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r w:rsidRPr="00882BA3">
              <w:rPr>
                <w:b/>
                <w:sz w:val="20"/>
                <w:szCs w:val="20"/>
                <w:lang w:val="en-CA"/>
              </w:rPr>
              <w:fldChar w:fldCharType="begin"/>
            </w:r>
            <w:r w:rsidRPr="00882BA3">
              <w:rPr>
                <w:b/>
                <w:sz w:val="20"/>
                <w:szCs w:val="20"/>
                <w:lang w:val="en-CA"/>
              </w:rPr>
              <w:instrText xml:space="preserve"> =SUM(ABOVE) </w:instrText>
            </w:r>
            <w:r w:rsidRPr="00882BA3">
              <w:rPr>
                <w:b/>
                <w:sz w:val="20"/>
                <w:szCs w:val="20"/>
                <w:lang w:val="en-CA"/>
              </w:rPr>
              <w:fldChar w:fldCharType="separate"/>
            </w:r>
            <w:r w:rsidR="00C125C8">
              <w:rPr>
                <w:b/>
                <w:noProof/>
                <w:sz w:val="20"/>
                <w:szCs w:val="20"/>
                <w:lang w:val="en-CA"/>
              </w:rPr>
              <w:t>$493,614</w:t>
            </w:r>
            <w:r w:rsidRPr="00882BA3">
              <w:rPr>
                <w:b/>
                <w:sz w:val="20"/>
                <w:szCs w:val="20"/>
                <w:lang w:val="en-CA"/>
              </w:rPr>
              <w:fldChar w:fldCharType="end"/>
            </w:r>
            <w:r w:rsidRPr="00882BA3" w:rsidR="009A6841">
              <w:rPr>
                <w:b/>
                <w:sz w:val="20"/>
                <w:szCs w:val="20"/>
                <w:lang w:val="en-CA"/>
              </w:rPr>
              <w:fldChar w:fldCharType="begin"/>
            </w:r>
            <w:r w:rsidRPr="00882BA3" w:rsidR="009A6841">
              <w:rPr>
                <w:b/>
                <w:sz w:val="20"/>
                <w:szCs w:val="20"/>
                <w:lang w:val="en-CA"/>
              </w:rPr>
              <w:instrText xml:space="preserve">  </w:instrText>
            </w:r>
            <w:r w:rsidRPr="00882BA3" w:rsidR="009A6841">
              <w:rPr>
                <w:b/>
                <w:sz w:val="20"/>
                <w:szCs w:val="20"/>
                <w:lang w:val="en-CA"/>
              </w:rPr>
              <w:fldChar w:fldCharType="end"/>
            </w:r>
          </w:p>
        </w:tc>
      </w:tr>
      <w:tr w14:paraId="3C7E292F" w14:textId="77777777" w:rsidTr="72CC93AC">
        <w:tblPrEx>
          <w:tblW w:w="9342" w:type="dxa"/>
          <w:tblInd w:w="18" w:type="dxa"/>
          <w:tblLayout w:type="fixed"/>
          <w:tblLook w:val="01E0"/>
        </w:tblPrEx>
        <w:trPr>
          <w:trHeight w:val="342"/>
        </w:trPr>
        <w:tc>
          <w:tcPr>
            <w:tcW w:w="2790" w:type="dxa"/>
            <w:tcBorders>
              <w:top w:val="nil"/>
              <w:left w:val="nil"/>
              <w:bottom w:val="single" w:sz="4" w:space="0" w:color="auto"/>
              <w:right w:val="nil"/>
            </w:tcBorders>
            <w:vAlign w:val="center"/>
          </w:tcPr>
          <w:p w:rsidR="0031280B" w:rsidRPr="0031280B" w:rsidP="00DA31FD" w14:paraId="7AD90A37" w14:textId="23DE851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050"/>
              <w:rPr>
                <w:b/>
                <w:bCs/>
                <w:sz w:val="20"/>
                <w:szCs w:val="20"/>
                <w:lang w:val="en-CA"/>
              </w:rPr>
            </w:pPr>
            <w:r w:rsidRPr="0031280B">
              <w:rPr>
                <w:b/>
                <w:bCs/>
                <w:sz w:val="20"/>
                <w:szCs w:val="20"/>
                <w:lang w:val="en-CA"/>
              </w:rPr>
              <w:t>3 YEAR Total</w:t>
            </w:r>
          </w:p>
        </w:tc>
        <w:tc>
          <w:tcPr>
            <w:tcW w:w="1260" w:type="dxa"/>
            <w:tcBorders>
              <w:top w:val="nil"/>
              <w:left w:val="nil"/>
              <w:bottom w:val="single" w:sz="4" w:space="0" w:color="auto"/>
              <w:right w:val="nil"/>
            </w:tcBorders>
            <w:vAlign w:val="center"/>
          </w:tcPr>
          <w:p w:rsidR="0031280B" w:rsidRPr="0031280B" w:rsidP="0031280B" w14:paraId="7369E2CD" w14:textId="2AA423BD">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sz w:val="20"/>
                <w:szCs w:val="20"/>
                <w:lang w:val="en-CA"/>
              </w:rPr>
            </w:pPr>
            <w:r w:rsidRPr="0031280B">
              <w:rPr>
                <w:b/>
                <w:sz w:val="20"/>
                <w:szCs w:val="20"/>
                <w:lang w:val="en-CA"/>
              </w:rPr>
              <w:t>132,750</w:t>
            </w:r>
          </w:p>
        </w:tc>
        <w:tc>
          <w:tcPr>
            <w:tcW w:w="1260" w:type="dxa"/>
            <w:tcBorders>
              <w:top w:val="nil"/>
              <w:left w:val="nil"/>
              <w:bottom w:val="single" w:sz="4" w:space="0" w:color="auto"/>
              <w:right w:val="nil"/>
            </w:tcBorders>
            <w:shd w:val="clear" w:color="auto" w:fill="auto"/>
            <w:vAlign w:val="center"/>
          </w:tcPr>
          <w:p w:rsidR="0031280B" w:rsidRPr="0031280B" w:rsidP="0031280B" w14:paraId="402ED85F"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p>
        </w:tc>
        <w:tc>
          <w:tcPr>
            <w:tcW w:w="990" w:type="dxa"/>
            <w:tcBorders>
              <w:top w:val="nil"/>
              <w:left w:val="nil"/>
              <w:bottom w:val="single" w:sz="4" w:space="0" w:color="auto"/>
              <w:right w:val="nil"/>
            </w:tcBorders>
            <w:vAlign w:val="center"/>
          </w:tcPr>
          <w:p w:rsidR="0031280B" w:rsidRPr="0031280B" w:rsidP="0031280B" w14:paraId="602F7EC4" w14:textId="75FBCA7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r w:rsidRPr="0031280B">
              <w:rPr>
                <w:b/>
                <w:sz w:val="20"/>
                <w:szCs w:val="20"/>
                <w:lang w:val="en-CA"/>
              </w:rPr>
              <w:t>35,376</w:t>
            </w:r>
          </w:p>
        </w:tc>
        <w:tc>
          <w:tcPr>
            <w:tcW w:w="1512" w:type="dxa"/>
            <w:tcBorders>
              <w:top w:val="nil"/>
              <w:left w:val="nil"/>
              <w:bottom w:val="single" w:sz="4" w:space="0" w:color="auto"/>
              <w:right w:val="nil"/>
            </w:tcBorders>
            <w:shd w:val="clear" w:color="auto" w:fill="auto"/>
            <w:vAlign w:val="center"/>
          </w:tcPr>
          <w:p w:rsidR="0031280B" w:rsidRPr="0031280B" w:rsidP="0031280B" w14:paraId="191EFF4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p>
        </w:tc>
        <w:tc>
          <w:tcPr>
            <w:tcW w:w="1530" w:type="dxa"/>
            <w:tcBorders>
              <w:top w:val="nil"/>
              <w:left w:val="nil"/>
              <w:bottom w:val="single" w:sz="4" w:space="0" w:color="auto"/>
              <w:right w:val="nil"/>
            </w:tcBorders>
            <w:vAlign w:val="center"/>
          </w:tcPr>
          <w:p w:rsidR="0031280B" w:rsidRPr="0031280B" w:rsidP="0031280B" w14:paraId="5533BA47" w14:textId="3181D1F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0"/>
                <w:szCs w:val="20"/>
                <w:lang w:val="en-CA"/>
              </w:rPr>
            </w:pPr>
            <w:r>
              <w:rPr>
                <w:b/>
                <w:sz w:val="20"/>
                <w:szCs w:val="20"/>
                <w:lang w:val="en-CA"/>
              </w:rPr>
              <w:t>$</w:t>
            </w:r>
            <w:r w:rsidRPr="0031280B">
              <w:rPr>
                <w:b/>
                <w:sz w:val="20"/>
                <w:szCs w:val="20"/>
                <w:lang w:val="en-CA"/>
              </w:rPr>
              <w:t>1,</w:t>
            </w:r>
            <w:r w:rsidR="00C125C8">
              <w:rPr>
                <w:b/>
                <w:sz w:val="20"/>
                <w:szCs w:val="20"/>
                <w:lang w:val="en-CA"/>
              </w:rPr>
              <w:t>480,842</w:t>
            </w:r>
          </w:p>
        </w:tc>
      </w:tr>
      <w:tr w14:paraId="0006459E" w14:textId="77777777" w:rsidTr="72CC93AC">
        <w:tblPrEx>
          <w:tblW w:w="9342" w:type="dxa"/>
          <w:tblInd w:w="18" w:type="dxa"/>
          <w:tblLayout w:type="fixed"/>
          <w:tblLook w:val="01E0"/>
        </w:tblPrEx>
        <w:trPr>
          <w:trHeight w:val="188"/>
        </w:trPr>
        <w:tc>
          <w:tcPr>
            <w:tcW w:w="9342" w:type="dxa"/>
            <w:gridSpan w:val="6"/>
            <w:tcBorders>
              <w:top w:val="single" w:sz="4" w:space="0" w:color="auto"/>
              <w:left w:val="nil"/>
              <w:bottom w:val="nil"/>
              <w:right w:val="nil"/>
            </w:tcBorders>
            <w:vAlign w:val="center"/>
          </w:tcPr>
          <w:p w:rsidR="0031280B" w:rsidP="0031280B" w14:paraId="4B5CC918"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i/>
                <w:sz w:val="20"/>
                <w:szCs w:val="20"/>
              </w:rPr>
            </w:pPr>
            <w:r w:rsidRPr="00882BA3">
              <w:rPr>
                <w:i/>
                <w:sz w:val="20"/>
                <w:szCs w:val="20"/>
                <w:vertAlign w:val="superscript"/>
              </w:rPr>
              <w:t>1</w:t>
            </w:r>
            <w:r w:rsidRPr="00882BA3">
              <w:rPr>
                <w:i/>
                <w:sz w:val="20"/>
                <w:szCs w:val="20"/>
              </w:rPr>
              <w:t xml:space="preserve">Average time  </w:t>
            </w:r>
          </w:p>
          <w:p w:rsidR="0031280B" w:rsidRPr="00882BA3" w:rsidP="0031280B" w14:paraId="6AE22084" w14:textId="324CE79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i/>
                <w:sz w:val="20"/>
                <w:szCs w:val="20"/>
              </w:rPr>
            </w:pPr>
            <w:r w:rsidRPr="00882BA3">
              <w:rPr>
                <w:i/>
                <w:sz w:val="20"/>
                <w:szCs w:val="20"/>
              </w:rPr>
              <w:t xml:space="preserve"> </w:t>
            </w:r>
            <w:r w:rsidRPr="00882BA3">
              <w:rPr>
                <w:i/>
                <w:sz w:val="20"/>
                <w:szCs w:val="20"/>
                <w:vertAlign w:val="superscript"/>
              </w:rPr>
              <w:t>2</w:t>
            </w:r>
            <w:r w:rsidRPr="00882BA3">
              <w:rPr>
                <w:i/>
                <w:sz w:val="20"/>
                <w:szCs w:val="20"/>
              </w:rPr>
              <w:t>Total Hours Rounded</w:t>
            </w:r>
          </w:p>
        </w:tc>
      </w:tr>
    </w:tbl>
    <w:p w:rsidR="00227F09" w:rsidP="00AE14AE" w14:paraId="0B411F23" w14:textId="77777777">
      <w:pPr>
        <w:tabs>
          <w:tab w:val="left" w:pos="360"/>
        </w:tabs>
        <w:rPr>
          <w:b/>
        </w:rPr>
      </w:pPr>
    </w:p>
    <w:p w:rsidR="002C5722" w:rsidRPr="00E67EC4" w:rsidP="00AE14AE" w14:paraId="1A414F55" w14:textId="5B7AA60D">
      <w:pPr>
        <w:tabs>
          <w:tab w:val="left" w:pos="360"/>
        </w:tabs>
        <w:rPr>
          <w:b/>
        </w:rPr>
      </w:pPr>
      <w:r w:rsidRPr="00E67EC4">
        <w:rPr>
          <w:b/>
        </w:rPr>
        <w:t>13.</w:t>
      </w:r>
      <w:r w:rsidRPr="00E67EC4">
        <w:rPr>
          <w:b/>
        </w:rPr>
        <w:tab/>
        <w:t xml:space="preserve">Provide an estimate of the total annual non-hour cost burden to respondents or </w:t>
      </w:r>
      <w:r w:rsidRPr="00E67EC4">
        <w:rPr>
          <w:b/>
        </w:rPr>
        <w:t>recordkeepers resulting from the collection of information.  (Do not include the cost of any hour burden already reflected in item 12.)</w:t>
      </w:r>
    </w:p>
    <w:p w:rsidR="002C5722" w:rsidRPr="00E67EC4" w:rsidP="002C5722" w14:paraId="568D2D18" w14:textId="77777777">
      <w:pPr>
        <w:tabs>
          <w:tab w:val="left" w:pos="360"/>
        </w:tabs>
        <w:ind w:left="360" w:hanging="360"/>
        <w:rPr>
          <w:b/>
        </w:rPr>
      </w:pPr>
      <w:r w:rsidRPr="00E67EC4">
        <w:rPr>
          <w:b/>
        </w:rPr>
        <w:t>*</w:t>
      </w:r>
      <w:r w:rsidRPr="00E67EC4">
        <w:rPr>
          <w:b/>
        </w:rPr>
        <w:tab/>
        <w:t>The cost estimate should be split into two components: (a) a total capital and start-up cost component (annualized ove</w:t>
      </w:r>
      <w:r w:rsidRPr="00E67EC4">
        <w:rPr>
          <w:b/>
        </w:rPr>
        <w:t xml:space="preserve">r its expected useful life) and (b) a total operation and maintenance and purchase of services component.  The estimates should </w:t>
      </w:r>
      <w:r w:rsidRPr="00E67EC4">
        <w:rPr>
          <w:b/>
        </w:rPr>
        <w:t>take into account</w:t>
      </w:r>
      <w:r w:rsidRPr="00E67EC4">
        <w:rPr>
          <w:b/>
        </w:rPr>
        <w:t xml:space="preserve"> costs associated with generating, maintaining, and disclosing or providing the information (including filing f</w:t>
      </w:r>
      <w:r w:rsidRPr="00E67EC4">
        <w:rPr>
          <w:b/>
        </w:rPr>
        <w:t xml:space="preserve">ees paid for form processing).  Include descriptions of methods used to estimate major cost factors including system and technology acquisition, expected useful life of capital equipment, the discount rate(s), and the </w:t>
      </w:r>
      <w:r w:rsidRPr="00E67EC4">
        <w:rPr>
          <w:b/>
        </w:rPr>
        <w:t>time period</w:t>
      </w:r>
      <w:r w:rsidRPr="00E67EC4">
        <w:rPr>
          <w:b/>
        </w:rPr>
        <w:t xml:space="preserve"> over which costs will be i</w:t>
      </w:r>
      <w:r w:rsidRPr="00E67EC4">
        <w:rPr>
          <w:b/>
        </w:rPr>
        <w:t xml:space="preserve">ncurred.  Capital and start-up costs include, among other items, preparations for collecting information such as purchasing computers and software; monitoring, sampling, </w:t>
      </w:r>
      <w:r w:rsidRPr="00E67EC4">
        <w:rPr>
          <w:b/>
        </w:rPr>
        <w:t>drilling</w:t>
      </w:r>
      <w:r w:rsidRPr="00E67EC4">
        <w:rPr>
          <w:b/>
        </w:rPr>
        <w:t xml:space="preserve"> and testing equipment; and record storage facilities.</w:t>
      </w:r>
    </w:p>
    <w:p w:rsidR="002C5722" w:rsidRPr="00E67EC4" w:rsidP="002C5722" w14:paraId="0107DAEC" w14:textId="77777777">
      <w:pPr>
        <w:tabs>
          <w:tab w:val="left" w:pos="360"/>
        </w:tabs>
        <w:ind w:left="360" w:hanging="360"/>
        <w:rPr>
          <w:b/>
        </w:rPr>
      </w:pPr>
      <w:r w:rsidRPr="00E67EC4">
        <w:rPr>
          <w:b/>
        </w:rPr>
        <w:t>*</w:t>
      </w:r>
      <w:r w:rsidRPr="00E67EC4">
        <w:rPr>
          <w:b/>
        </w:rPr>
        <w:tab/>
        <w:t>If cost estimates are</w:t>
      </w:r>
      <w:r w:rsidRPr="00E67EC4">
        <w:rPr>
          <w:b/>
        </w:rPr>
        <w:t xml:space="preserve"> expected to vary widely, agencies should present ranges of cost </w:t>
      </w:r>
      <w:r w:rsidRPr="00E67EC4">
        <w:rPr>
          <w:b/>
        </w:rPr>
        <w:t>burdens and explain the reasons for the variance.  The cost of purchasing or contracting out information collection services should be a part of this cost burden estimate.  In developing cost</w:t>
      </w:r>
      <w:r w:rsidRPr="00E67EC4">
        <w:rPr>
          <w:b/>
        </w:rPr>
        <w:t xml:space="preserve"> burden estimates, agencies may consult with a sample of respondents (fewer than 10), utilize the 60-day pre-OMB submission public comment </w:t>
      </w:r>
      <w:r w:rsidRPr="00E67EC4">
        <w:rPr>
          <w:b/>
        </w:rPr>
        <w:t>process</w:t>
      </w:r>
      <w:r w:rsidRPr="00E67EC4">
        <w:rPr>
          <w:b/>
        </w:rPr>
        <w:t xml:space="preserve"> and use existing economic or regulatory impact analysis associated with the rulemaking containing the informa</w:t>
      </w:r>
      <w:r w:rsidRPr="00E67EC4">
        <w:rPr>
          <w:b/>
        </w:rPr>
        <w:t>tion collection, as appropriate.</w:t>
      </w:r>
    </w:p>
    <w:p w:rsidR="00ED269F" w:rsidRPr="00E67EC4" w:rsidP="002C5722" w14:paraId="2566441C" w14:textId="77777777">
      <w:pPr>
        <w:tabs>
          <w:tab w:val="left" w:pos="360"/>
        </w:tabs>
        <w:ind w:left="360" w:hanging="360"/>
        <w:rPr>
          <w:b/>
        </w:rPr>
      </w:pPr>
      <w:r w:rsidRPr="00E67EC4">
        <w:rPr>
          <w:b/>
        </w:rPr>
        <w:tab/>
        <w:t>*</w:t>
      </w:r>
      <w:r w:rsidRPr="00E67EC4">
        <w:rPr>
          <w:b/>
        </w:rPr>
        <w:tab/>
        <w:t>Generally, estimates should not include purchases of equipment or services, or portions thereof, made: (1) prior to October 1, 1995, (2) to achieve regulatory compliance with requirements not associated with the informat</w:t>
      </w:r>
      <w:r w:rsidRPr="00E67EC4">
        <w:rPr>
          <w:b/>
        </w:rPr>
        <w:t>ion collection, (3) for reasons other than to provide information or keep records for the government, or (4) as part of customary and usual business or private practices.</w:t>
      </w:r>
    </w:p>
    <w:p w:rsidR="00ED269F" w:rsidRPr="00E67EC4" w:rsidP="00D85EF1" w14:paraId="5F4FBEBD" w14:textId="28094DCE">
      <w:pPr>
        <w:pStyle w:val="NormalWeb"/>
        <w:rPr>
          <w:sz w:val="22"/>
          <w:szCs w:val="22"/>
        </w:rPr>
      </w:pPr>
      <w:r w:rsidRPr="00E67EC4">
        <w:rPr>
          <w:sz w:val="22"/>
          <w:szCs w:val="22"/>
        </w:rPr>
        <w:t>There is no non-hour cost burden, record</w:t>
      </w:r>
      <w:r w:rsidRPr="00E67EC4" w:rsidR="00BF1E72">
        <w:rPr>
          <w:sz w:val="22"/>
          <w:szCs w:val="22"/>
        </w:rPr>
        <w:t>-</w:t>
      </w:r>
      <w:r w:rsidRPr="00E67EC4">
        <w:rPr>
          <w:sz w:val="22"/>
          <w:szCs w:val="22"/>
        </w:rPr>
        <w:t xml:space="preserve">keeping nor any fees associated this </w:t>
      </w:r>
      <w:r w:rsidRPr="00E67EC4">
        <w:rPr>
          <w:sz w:val="22"/>
          <w:szCs w:val="22"/>
        </w:rPr>
        <w:t>collection</w:t>
      </w:r>
      <w:r w:rsidRPr="00E67EC4" w:rsidR="00B376B0">
        <w:rPr>
          <w:sz w:val="22"/>
          <w:szCs w:val="22"/>
        </w:rPr>
        <w:t xml:space="preserve">. </w:t>
      </w:r>
    </w:p>
    <w:p w:rsidR="00ED269F" w:rsidRPr="00E67EC4" w:rsidP="00AE14AE" w14:paraId="11553277" w14:textId="226F3163">
      <w:pPr>
        <w:tabs>
          <w:tab w:val="left" w:pos="360"/>
        </w:tabs>
        <w:rPr>
          <w:b/>
        </w:rPr>
      </w:pPr>
      <w:r w:rsidRPr="00E67EC4">
        <w:rPr>
          <w:b/>
        </w:rPr>
        <w:t>14.</w:t>
      </w:r>
      <w:r w:rsidRPr="00E67EC4">
        <w:rPr>
          <w:b/>
        </w:rPr>
        <w:tab/>
      </w:r>
      <w:r w:rsidRPr="00E67EC4" w:rsidR="002C5722">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E67EC4">
        <w:rPr>
          <w:b/>
        </w:rPr>
        <w:t>.</w:t>
      </w:r>
    </w:p>
    <w:p w:rsidR="0019741C" w:rsidP="004771FA" w14:paraId="36B457CA" w14:textId="77777777">
      <w:pPr>
        <w:spacing w:line="360" w:lineRule="auto"/>
      </w:pPr>
    </w:p>
    <w:p w:rsidR="00754ABB" w:rsidRPr="00754ABB" w:rsidP="004771FA" w14:paraId="3AB960EB" w14:textId="7387AAA8">
      <w:pPr>
        <w:spacing w:line="360" w:lineRule="auto"/>
      </w:pPr>
      <w:r w:rsidRPr="00754ABB">
        <w:t xml:space="preserve">We estimate the annual cost to the Federal Government to administer this information collection will be </w:t>
      </w:r>
      <w:r w:rsidRPr="00EB3DD4" w:rsidR="00EB3DD4">
        <w:t>$</w:t>
      </w:r>
      <w:r w:rsidRPr="00EB3DD4" w:rsidR="00EB3DD4">
        <w:rPr>
          <w:bCs/>
        </w:rPr>
        <w:t>2,4</w:t>
      </w:r>
      <w:r w:rsidR="007579D0">
        <w:rPr>
          <w:bCs/>
        </w:rPr>
        <w:t>3</w:t>
      </w:r>
      <w:r w:rsidR="0031280B">
        <w:rPr>
          <w:bCs/>
        </w:rPr>
        <w:t>3</w:t>
      </w:r>
      <w:r w:rsidR="007579D0">
        <w:rPr>
          <w:bCs/>
        </w:rPr>
        <w:t>,</w:t>
      </w:r>
      <w:r w:rsidR="0031280B">
        <w:rPr>
          <w:bCs/>
        </w:rPr>
        <w:t>101</w:t>
      </w:r>
      <w:r w:rsidRPr="00754ABB">
        <w:t xml:space="preserve">.  </w:t>
      </w:r>
      <w:r w:rsidRPr="00E67EC4" w:rsidR="00EB3DD4">
        <w:t xml:space="preserve">This includes federal salaries </w:t>
      </w:r>
      <w:r w:rsidR="0079583D">
        <w:t>(</w:t>
      </w:r>
      <w:r w:rsidR="004E5EBA">
        <w:t>Table 14.1</w:t>
      </w:r>
      <w:r w:rsidR="0079583D">
        <w:t xml:space="preserve">) </w:t>
      </w:r>
      <w:r w:rsidRPr="00E67EC4" w:rsidR="00EB3DD4">
        <w:t>and operational expenses</w:t>
      </w:r>
      <w:r w:rsidR="0079583D">
        <w:t xml:space="preserve"> </w:t>
      </w:r>
      <w:r w:rsidR="00512C3A">
        <w:t>(</w:t>
      </w:r>
      <w:r w:rsidR="004E5EBA">
        <w:t>Table 14.2</w:t>
      </w:r>
      <w:r w:rsidR="0079583D">
        <w:t>)</w:t>
      </w:r>
      <w:r w:rsidRPr="00E67EC4" w:rsidR="00EB3DD4">
        <w:t>.</w:t>
      </w:r>
      <w:r w:rsidRPr="00754ABB">
        <w:t xml:space="preserve">  We used the Office of Personnel Management Salary </w:t>
      </w:r>
      <w:hyperlink r:id="rId10" w:history="1">
        <w:r w:rsidRPr="00754ABB">
          <w:rPr>
            <w:color w:val="0000FF"/>
            <w:u w:val="single"/>
          </w:rPr>
          <w:t>Table 202</w:t>
        </w:r>
        <w:r w:rsidR="0031280B">
          <w:rPr>
            <w:color w:val="0000FF"/>
            <w:u w:val="single"/>
          </w:rPr>
          <w:t>3</w:t>
        </w:r>
        <w:r w:rsidRPr="00754ABB">
          <w:rPr>
            <w:color w:val="0000FF"/>
            <w:u w:val="single"/>
          </w:rPr>
          <w:t>-D</w:t>
        </w:r>
        <w:r>
          <w:rPr>
            <w:color w:val="0000FF"/>
            <w:u w:val="single"/>
          </w:rPr>
          <w:t>EN</w:t>
        </w:r>
      </w:hyperlink>
      <w:r w:rsidRPr="00754ABB">
        <w:t xml:space="preserve"> </w:t>
      </w:r>
      <w:r w:rsidR="00D20B13">
        <w:t xml:space="preserve">and </w:t>
      </w:r>
      <w:hyperlink r:id="rId11" w:history="1">
        <w:r w:rsidRPr="0031280B" w:rsidR="0031280B">
          <w:rPr>
            <w:rStyle w:val="Hyperlink"/>
            <w:rFonts w:cs="Arial"/>
          </w:rPr>
          <w:t>Table 2023-</w:t>
        </w:r>
        <w:r w:rsidRPr="0031280B" w:rsidR="00D20B13">
          <w:rPr>
            <w:rStyle w:val="Hyperlink"/>
            <w:rFonts w:cs="Arial"/>
          </w:rPr>
          <w:t>RUS</w:t>
        </w:r>
      </w:hyperlink>
      <w:r w:rsidR="00D20B13">
        <w:t xml:space="preserve"> </w:t>
      </w:r>
      <w:r w:rsidRPr="00754ABB">
        <w:t xml:space="preserve">to determine hourly wage rates. </w:t>
      </w:r>
      <w:r w:rsidR="00D20B13">
        <w:t xml:space="preserve"> </w:t>
      </w:r>
      <w:r w:rsidRPr="00754ABB">
        <w:t>To calculate benefits, we multiplied the hourly rate by 1.6, in</w:t>
      </w:r>
      <w:r w:rsidR="00661E6E">
        <w:t xml:space="preserve"> accordance with Bureau of Labor Statistics (BLS) News Release </w:t>
      </w:r>
      <w:hyperlink r:id="rId9" w:history="1">
        <w:r w:rsidRPr="00EA1FF0" w:rsidR="00661E6E">
          <w:rPr>
            <w:rStyle w:val="Hyperlink"/>
            <w:rFonts w:cs="Arial"/>
          </w:rPr>
          <w:t>USDL-22-1892</w:t>
        </w:r>
      </w:hyperlink>
      <w:r w:rsidR="00661E6E">
        <w:t>, September 2022 Employer Costs for Employee Compensation— released December 15, 2022.</w:t>
      </w:r>
      <w:r w:rsidRPr="00754ABB">
        <w:t xml:space="preserve"> </w:t>
      </w:r>
    </w:p>
    <w:p w:rsidR="00F50945" w:rsidP="004771FA" w14:paraId="6CDB91DC"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227F09" w:rsidP="006E2F01" w14:paraId="307E3FC5" w14:textId="556BB78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E67EC4">
        <w:t>Th</w:t>
      </w:r>
      <w:r w:rsidR="001762FF">
        <w:t>e</w:t>
      </w:r>
      <w:r w:rsidRPr="00E67EC4">
        <w:t xml:space="preserve"> estimate is based upon our experience</w:t>
      </w:r>
      <w:r w:rsidR="00E328C7">
        <w:t>. W</w:t>
      </w:r>
      <w:r w:rsidRPr="00E67EC4">
        <w:t xml:space="preserve">e have assumed </w:t>
      </w:r>
      <w:r w:rsidR="00117AA0">
        <w:t xml:space="preserve">that it will take no more than one (1) hour to complete </w:t>
      </w:r>
      <w:r w:rsidR="00C64F94">
        <w:t xml:space="preserve">and submit </w:t>
      </w:r>
      <w:r w:rsidRPr="00C64F94" w:rsidR="00C64F94">
        <w:rPr>
          <w:bCs/>
          <w:iCs/>
        </w:rPr>
        <w:t xml:space="preserve">NPS Form 10-201 </w:t>
      </w:r>
      <w:r w:rsidRPr="00C64F94" w:rsidR="00C64F94">
        <w:rPr>
          <w:bCs/>
          <w:i/>
        </w:rPr>
        <w:t>Programmatic Review and Clearance Process for NPS-Sponsored Public Surveys</w:t>
      </w:r>
      <w:r w:rsidR="00C64F94">
        <w:rPr>
          <w:bCs/>
          <w:i/>
        </w:rPr>
        <w:t xml:space="preserve">. </w:t>
      </w:r>
      <w:r w:rsidRPr="00E67EC4">
        <w:t xml:space="preserve">We estimate that </w:t>
      </w:r>
      <w:r w:rsidR="008C72A4">
        <w:t>we will receive</w:t>
      </w:r>
      <w:r w:rsidRPr="00E67EC4">
        <w:t xml:space="preserve"> </w:t>
      </w:r>
      <w:r w:rsidRPr="00E67EC4" w:rsidR="00AB67A6">
        <w:t xml:space="preserve">at least </w:t>
      </w:r>
      <w:r w:rsidRPr="00E67EC4">
        <w:t xml:space="preserve">20 </w:t>
      </w:r>
      <w:r w:rsidR="00782DB9">
        <w:t xml:space="preserve">generic requests </w:t>
      </w:r>
      <w:r w:rsidRPr="00E67EC4">
        <w:t xml:space="preserve">in </w:t>
      </w:r>
      <w:r w:rsidRPr="00E67EC4" w:rsidR="00AB67A6">
        <w:t>FY</w:t>
      </w:r>
      <w:r w:rsidRPr="00E67EC4" w:rsidR="00575ACB">
        <w:t>23</w:t>
      </w:r>
      <w:r w:rsidRPr="00E67EC4">
        <w:t xml:space="preserve">.  </w:t>
      </w:r>
      <w:r w:rsidR="00F176C7">
        <w:t>This estimate also includes th</w:t>
      </w:r>
      <w:r w:rsidR="00227469">
        <w:t>e</w:t>
      </w:r>
      <w:r w:rsidR="00F176C7">
        <w:t xml:space="preserve"> average time </w:t>
      </w:r>
      <w:r w:rsidR="00227469">
        <w:t xml:space="preserve">(20 hours) </w:t>
      </w:r>
      <w:r w:rsidR="00F176C7">
        <w:t xml:space="preserve">for the NPS ICRC to </w:t>
      </w:r>
      <w:r w:rsidR="00227469">
        <w:t xml:space="preserve">review, </w:t>
      </w:r>
      <w:r w:rsidR="00F176C7">
        <w:t>process, and subm</w:t>
      </w:r>
      <w:r w:rsidR="00227469">
        <w:t xml:space="preserve">it each request to OIRA. </w:t>
      </w:r>
    </w:p>
    <w:p w:rsidR="00062B4C" w:rsidRPr="00E67EC4" w:rsidP="00062B4C" w14:paraId="32E100F2" w14:textId="25A2324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b/>
        </w:rPr>
      </w:pPr>
      <w:r w:rsidRPr="00E67EC4">
        <w:rPr>
          <w:b/>
        </w:rPr>
        <w:t xml:space="preserve">14.1. </w:t>
      </w:r>
      <w:r w:rsidR="005E6F8D">
        <w:rPr>
          <w:b/>
        </w:rPr>
        <w:t>Annualized Cost to the Federal Government</w:t>
      </w:r>
    </w:p>
    <w:tbl>
      <w:tblPr>
        <w:tblW w:w="9607" w:type="dxa"/>
        <w:tblInd w:w="108" w:type="dxa"/>
        <w:tblLayout w:type="fixed"/>
        <w:tblLook w:val="0000"/>
      </w:tblPr>
      <w:tblGrid>
        <w:gridCol w:w="2767"/>
        <w:gridCol w:w="810"/>
        <w:gridCol w:w="990"/>
        <w:gridCol w:w="1440"/>
        <w:gridCol w:w="1350"/>
        <w:gridCol w:w="1260"/>
        <w:gridCol w:w="990"/>
      </w:tblGrid>
      <w:tr w14:paraId="16A89D2A" w14:textId="77777777" w:rsidTr="00A07006">
        <w:tblPrEx>
          <w:tblW w:w="9607" w:type="dxa"/>
          <w:tblInd w:w="108" w:type="dxa"/>
          <w:tblLayout w:type="fixed"/>
          <w:tblLook w:val="0000"/>
        </w:tblPrEx>
        <w:trPr>
          <w:trHeight w:val="1151"/>
          <w:tblHeader/>
        </w:trPr>
        <w:tc>
          <w:tcPr>
            <w:tcW w:w="2767" w:type="dxa"/>
            <w:tcBorders>
              <w:top w:val="single" w:sz="4" w:space="0" w:color="auto"/>
              <w:bottom w:val="single" w:sz="4" w:space="0" w:color="auto"/>
            </w:tcBorders>
            <w:shd w:val="clear" w:color="auto" w:fill="D6E3BC" w:themeFill="accent3" w:themeFillTint="66"/>
            <w:vAlign w:val="center"/>
          </w:tcPr>
          <w:p w:rsidR="00062B4C" w:rsidRPr="002D6138" w:rsidP="002D6138" w14:paraId="7CEE0805"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Position</w:t>
            </w:r>
          </w:p>
        </w:tc>
        <w:tc>
          <w:tcPr>
            <w:tcW w:w="810" w:type="dxa"/>
            <w:tcBorders>
              <w:top w:val="single" w:sz="4" w:space="0" w:color="auto"/>
              <w:bottom w:val="single" w:sz="4" w:space="0" w:color="auto"/>
            </w:tcBorders>
            <w:shd w:val="clear" w:color="auto" w:fill="D6E3BC" w:themeFill="accent3" w:themeFillTint="66"/>
            <w:vAlign w:val="center"/>
          </w:tcPr>
          <w:p w:rsidR="00062B4C" w:rsidRPr="002D6138" w:rsidP="002D6138" w14:paraId="52B6AC4A"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Grade/</w:t>
            </w:r>
          </w:p>
          <w:p w:rsidR="00062B4C" w:rsidRPr="002D6138" w:rsidP="002D6138" w14:paraId="44FC721E"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Step</w:t>
            </w:r>
          </w:p>
        </w:tc>
        <w:tc>
          <w:tcPr>
            <w:tcW w:w="990" w:type="dxa"/>
            <w:tcBorders>
              <w:top w:val="single" w:sz="4" w:space="0" w:color="auto"/>
              <w:bottom w:val="single" w:sz="4" w:space="0" w:color="auto"/>
            </w:tcBorders>
            <w:shd w:val="clear" w:color="auto" w:fill="D6E3BC" w:themeFill="accent3" w:themeFillTint="66"/>
            <w:vAlign w:val="center"/>
          </w:tcPr>
          <w:p w:rsidR="00062B4C" w:rsidRPr="002D6138" w:rsidP="002D6138" w14:paraId="23B2BD9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Hourly Rate</w:t>
            </w:r>
          </w:p>
        </w:tc>
        <w:tc>
          <w:tcPr>
            <w:tcW w:w="1440" w:type="dxa"/>
            <w:tcBorders>
              <w:top w:val="single" w:sz="4" w:space="0" w:color="auto"/>
              <w:bottom w:val="single" w:sz="4" w:space="0" w:color="auto"/>
            </w:tcBorders>
            <w:shd w:val="clear" w:color="auto" w:fill="D6E3BC" w:themeFill="accent3" w:themeFillTint="66"/>
            <w:vAlign w:val="center"/>
          </w:tcPr>
          <w:p w:rsidR="00062B4C" w:rsidRPr="002D6138" w:rsidP="002D6138" w14:paraId="1B1F474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Hourly Rate incl. benefits</w:t>
            </w:r>
          </w:p>
          <w:p w:rsidR="00062B4C" w:rsidRPr="002D6138" w:rsidP="002D6138" w14:paraId="19FD71D1" w14:textId="0D15FBA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(1.</w:t>
            </w:r>
            <w:r w:rsidRPr="002D6138" w:rsidR="00AB67A6">
              <w:rPr>
                <w:b/>
                <w:bCs/>
                <w:sz w:val="18"/>
                <w:szCs w:val="18"/>
              </w:rPr>
              <w:t xml:space="preserve">6 </w:t>
            </w:r>
            <w:r w:rsidRPr="002D6138">
              <w:rPr>
                <w:b/>
                <w:bCs/>
                <w:sz w:val="18"/>
                <w:szCs w:val="18"/>
              </w:rPr>
              <w:t>x hourly pay rate)</w:t>
            </w:r>
          </w:p>
        </w:tc>
        <w:tc>
          <w:tcPr>
            <w:tcW w:w="1350" w:type="dxa"/>
            <w:tcBorders>
              <w:top w:val="single" w:sz="4" w:space="0" w:color="auto"/>
              <w:bottom w:val="single" w:sz="4" w:space="0" w:color="auto"/>
            </w:tcBorders>
            <w:shd w:val="clear" w:color="auto" w:fill="D6E3BC" w:themeFill="accent3" w:themeFillTint="66"/>
            <w:vAlign w:val="center"/>
          </w:tcPr>
          <w:p w:rsidR="00AC0390" w:rsidP="002D6138" w14:paraId="7F777A86" w14:textId="3A647691">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 xml:space="preserve">Estimated time per </w:t>
            </w:r>
            <w:r w:rsidRPr="002D6138">
              <w:rPr>
                <w:b/>
                <w:bCs/>
                <w:sz w:val="18"/>
                <w:szCs w:val="18"/>
              </w:rPr>
              <w:t>submission</w:t>
            </w:r>
          </w:p>
          <w:p w:rsidR="00062B4C" w:rsidRPr="002D6138" w:rsidP="002D6138" w14:paraId="2B04134D" w14:textId="61CFE455">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(hours)</w:t>
            </w:r>
          </w:p>
        </w:tc>
        <w:tc>
          <w:tcPr>
            <w:tcW w:w="1260" w:type="dxa"/>
            <w:tcBorders>
              <w:top w:val="single" w:sz="4" w:space="0" w:color="auto"/>
              <w:bottom w:val="single" w:sz="4" w:space="0" w:color="auto"/>
            </w:tcBorders>
            <w:shd w:val="clear" w:color="auto" w:fill="D6E3BC" w:themeFill="accent3" w:themeFillTint="66"/>
            <w:vAlign w:val="center"/>
          </w:tcPr>
          <w:p w:rsidR="00062B4C" w:rsidRPr="002D6138" w:rsidP="002D6138" w14:paraId="56654989"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Cost</w:t>
            </w:r>
          </w:p>
          <w:p w:rsidR="00062B4C" w:rsidRPr="002D6138" w:rsidP="002D6138" w14:paraId="06C30170"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Per submission</w:t>
            </w:r>
          </w:p>
        </w:tc>
        <w:tc>
          <w:tcPr>
            <w:tcW w:w="990" w:type="dxa"/>
            <w:tcBorders>
              <w:top w:val="single" w:sz="4" w:space="0" w:color="auto"/>
              <w:bottom w:val="single" w:sz="4" w:space="0" w:color="auto"/>
            </w:tcBorders>
            <w:shd w:val="clear" w:color="auto" w:fill="D6E3BC" w:themeFill="accent3" w:themeFillTint="66"/>
            <w:vAlign w:val="center"/>
          </w:tcPr>
          <w:p w:rsidR="00062B4C" w:rsidRPr="002D6138" w:rsidP="002D6138" w14:paraId="021AD20D"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Annual</w:t>
            </w:r>
          </w:p>
          <w:p w:rsidR="00062B4C" w:rsidRPr="002D6138" w:rsidP="002D6138" w14:paraId="59F8DE37"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Cost</w:t>
            </w:r>
          </w:p>
          <w:p w:rsidR="00062B4C" w:rsidRPr="002D6138" w:rsidP="002D6138" w14:paraId="3B71C53E" w14:textId="6B98F32B">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jc w:val="center"/>
              <w:rPr>
                <w:b/>
                <w:bCs/>
                <w:sz w:val="18"/>
                <w:szCs w:val="18"/>
              </w:rPr>
            </w:pPr>
            <w:r w:rsidRPr="002D6138">
              <w:rPr>
                <w:b/>
                <w:bCs/>
                <w:sz w:val="18"/>
                <w:szCs w:val="18"/>
              </w:rPr>
              <w:t>(x2</w:t>
            </w:r>
            <w:r w:rsidR="003B5829">
              <w:rPr>
                <w:b/>
                <w:bCs/>
                <w:sz w:val="18"/>
                <w:szCs w:val="18"/>
              </w:rPr>
              <w:t>0</w:t>
            </w:r>
            <w:r w:rsidRPr="002D6138">
              <w:rPr>
                <w:b/>
                <w:bCs/>
                <w:sz w:val="18"/>
                <w:szCs w:val="18"/>
              </w:rPr>
              <w:t>)</w:t>
            </w:r>
          </w:p>
        </w:tc>
      </w:tr>
      <w:tr w14:paraId="1A4A5B4B" w14:textId="77777777" w:rsidTr="00A07006">
        <w:tblPrEx>
          <w:tblW w:w="9607" w:type="dxa"/>
          <w:tblInd w:w="108" w:type="dxa"/>
          <w:tblLayout w:type="fixed"/>
          <w:tblLook w:val="0000"/>
        </w:tblPrEx>
        <w:trPr>
          <w:trHeight w:val="593"/>
        </w:trPr>
        <w:tc>
          <w:tcPr>
            <w:tcW w:w="2767" w:type="dxa"/>
            <w:tcBorders>
              <w:top w:val="single" w:sz="4" w:space="0" w:color="auto"/>
            </w:tcBorders>
            <w:vAlign w:val="center"/>
          </w:tcPr>
          <w:p w:rsidR="00062B4C" w:rsidRPr="002D6138" w:rsidP="002D6138" w14:paraId="5DA20C3A" w14:textId="34705B5B">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sz w:val="20"/>
                <w:szCs w:val="20"/>
                <w:vertAlign w:val="superscript"/>
              </w:rPr>
            </w:pPr>
            <w:r>
              <w:rPr>
                <w:sz w:val="20"/>
                <w:szCs w:val="20"/>
              </w:rPr>
              <w:t xml:space="preserve">NPS </w:t>
            </w:r>
            <w:r w:rsidR="00092FFE">
              <w:rPr>
                <w:sz w:val="20"/>
                <w:szCs w:val="20"/>
              </w:rPr>
              <w:t>Information Collection Review Coordinator</w:t>
            </w:r>
            <w:r w:rsidR="00E102E3">
              <w:rPr>
                <w:sz w:val="20"/>
                <w:szCs w:val="20"/>
              </w:rPr>
              <w:t xml:space="preserve"> </w:t>
            </w:r>
          </w:p>
        </w:tc>
        <w:tc>
          <w:tcPr>
            <w:tcW w:w="810" w:type="dxa"/>
            <w:tcBorders>
              <w:top w:val="single" w:sz="4" w:space="0" w:color="auto"/>
            </w:tcBorders>
            <w:vAlign w:val="center"/>
          </w:tcPr>
          <w:p w:rsidR="00062B4C" w:rsidRPr="002D6138" w:rsidP="002D6138" w14:paraId="2CBC0136" w14:textId="3FFDA92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2D6138">
              <w:rPr>
                <w:sz w:val="20"/>
                <w:szCs w:val="20"/>
              </w:rPr>
              <w:t>12/</w:t>
            </w:r>
            <w:r w:rsidR="00402661">
              <w:rPr>
                <w:sz w:val="20"/>
                <w:szCs w:val="20"/>
              </w:rPr>
              <w:t>5</w:t>
            </w:r>
          </w:p>
        </w:tc>
        <w:tc>
          <w:tcPr>
            <w:tcW w:w="990" w:type="dxa"/>
            <w:tcBorders>
              <w:top w:val="single" w:sz="4" w:space="0" w:color="auto"/>
            </w:tcBorders>
            <w:noWrap/>
            <w:vAlign w:val="center"/>
          </w:tcPr>
          <w:p w:rsidR="00D768A0" w:rsidP="002D6138" w14:paraId="286CB65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(DEN)</w:t>
            </w:r>
          </w:p>
          <w:p w:rsidR="00062B4C" w:rsidRPr="002D6138" w:rsidP="002D6138" w14:paraId="43873CEC" w14:textId="1E21ABF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2D6138">
              <w:rPr>
                <w:sz w:val="20"/>
                <w:szCs w:val="20"/>
              </w:rPr>
              <w:t>$</w:t>
            </w:r>
            <w:r w:rsidR="0031280B">
              <w:rPr>
                <w:sz w:val="20"/>
                <w:szCs w:val="20"/>
              </w:rPr>
              <w:t>49.83</w:t>
            </w:r>
          </w:p>
        </w:tc>
        <w:tc>
          <w:tcPr>
            <w:tcW w:w="1440" w:type="dxa"/>
            <w:tcBorders>
              <w:top w:val="single" w:sz="4" w:space="0" w:color="auto"/>
            </w:tcBorders>
            <w:noWrap/>
            <w:vAlign w:val="center"/>
          </w:tcPr>
          <w:p w:rsidR="00062B4C" w:rsidRPr="002D6138" w:rsidP="002D6138" w14:paraId="36390E70" w14:textId="29A24474">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2D6138">
              <w:rPr>
                <w:sz w:val="20"/>
                <w:szCs w:val="20"/>
              </w:rPr>
              <w:t>$</w:t>
            </w:r>
            <w:r w:rsidR="0031280B">
              <w:rPr>
                <w:sz w:val="20"/>
                <w:szCs w:val="20"/>
              </w:rPr>
              <w:t>79.73</w:t>
            </w:r>
          </w:p>
        </w:tc>
        <w:tc>
          <w:tcPr>
            <w:tcW w:w="1350" w:type="dxa"/>
            <w:tcBorders>
              <w:top w:val="single" w:sz="4" w:space="0" w:color="auto"/>
            </w:tcBorders>
            <w:vAlign w:val="center"/>
          </w:tcPr>
          <w:p w:rsidR="00062B4C" w:rsidRPr="002D6138" w:rsidP="002D6138" w14:paraId="45EBBD52" w14:textId="6D6CEF8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2D6138">
              <w:rPr>
                <w:sz w:val="20"/>
                <w:szCs w:val="20"/>
              </w:rPr>
              <w:t>20</w:t>
            </w:r>
          </w:p>
        </w:tc>
        <w:tc>
          <w:tcPr>
            <w:tcW w:w="1260" w:type="dxa"/>
            <w:tcBorders>
              <w:top w:val="single" w:sz="4" w:space="0" w:color="auto"/>
            </w:tcBorders>
            <w:vAlign w:val="center"/>
          </w:tcPr>
          <w:p w:rsidR="00062B4C" w:rsidRPr="002D6138" w:rsidP="002D6138" w14:paraId="7FCADC6F" w14:textId="777B8A4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$1,5</w:t>
            </w:r>
            <w:r w:rsidR="0031280B">
              <w:rPr>
                <w:sz w:val="20"/>
                <w:szCs w:val="20"/>
              </w:rPr>
              <w:t>95</w:t>
            </w:r>
          </w:p>
        </w:tc>
        <w:tc>
          <w:tcPr>
            <w:tcW w:w="990" w:type="dxa"/>
            <w:tcBorders>
              <w:top w:val="single" w:sz="4" w:space="0" w:color="auto"/>
            </w:tcBorders>
            <w:vAlign w:val="center"/>
          </w:tcPr>
          <w:p w:rsidR="00062B4C" w:rsidRPr="002D6138" w:rsidP="002D6138" w14:paraId="247792E0" w14:textId="08473C9B">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sidRPr="002D6138">
              <w:rPr>
                <w:sz w:val="20"/>
                <w:szCs w:val="20"/>
              </w:rPr>
              <w:t>$</w:t>
            </w:r>
            <w:r w:rsidR="0031280B">
              <w:rPr>
                <w:sz w:val="20"/>
                <w:szCs w:val="20"/>
              </w:rPr>
              <w:t>31,900</w:t>
            </w:r>
          </w:p>
        </w:tc>
      </w:tr>
      <w:tr w14:paraId="5F072C1E" w14:textId="77777777" w:rsidTr="00A07006">
        <w:tblPrEx>
          <w:tblW w:w="9607" w:type="dxa"/>
          <w:tblInd w:w="108" w:type="dxa"/>
          <w:tblLayout w:type="fixed"/>
          <w:tblLook w:val="0000"/>
        </w:tblPrEx>
        <w:trPr>
          <w:trHeight w:val="593"/>
        </w:trPr>
        <w:tc>
          <w:tcPr>
            <w:tcW w:w="2767" w:type="dxa"/>
            <w:tcBorders>
              <w:bottom w:val="single" w:sz="4" w:space="0" w:color="auto"/>
            </w:tcBorders>
            <w:vAlign w:val="center"/>
          </w:tcPr>
          <w:p w:rsidR="00585E4B" w:rsidP="002D6138" w14:paraId="5D6661A0" w14:textId="06D218C8">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sz w:val="20"/>
                <w:szCs w:val="20"/>
              </w:rPr>
            </w:pPr>
            <w:r>
              <w:rPr>
                <w:sz w:val="20"/>
                <w:szCs w:val="20"/>
              </w:rPr>
              <w:t xml:space="preserve">NPS </w:t>
            </w:r>
            <w:r w:rsidR="00C73CF5">
              <w:rPr>
                <w:sz w:val="20"/>
                <w:szCs w:val="20"/>
              </w:rPr>
              <w:t xml:space="preserve">POC or </w:t>
            </w:r>
            <w:r>
              <w:rPr>
                <w:sz w:val="20"/>
                <w:szCs w:val="20"/>
              </w:rPr>
              <w:t xml:space="preserve">Program Manager </w:t>
            </w:r>
          </w:p>
        </w:tc>
        <w:tc>
          <w:tcPr>
            <w:tcW w:w="810" w:type="dxa"/>
            <w:tcBorders>
              <w:bottom w:val="single" w:sz="4" w:space="0" w:color="auto"/>
            </w:tcBorders>
            <w:vAlign w:val="center"/>
          </w:tcPr>
          <w:p w:rsidR="00585E4B" w:rsidRPr="002D6138" w:rsidP="002D6138" w14:paraId="3BBC324F" w14:textId="64DDAE0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11/5</w:t>
            </w:r>
          </w:p>
        </w:tc>
        <w:tc>
          <w:tcPr>
            <w:tcW w:w="990" w:type="dxa"/>
            <w:tcBorders>
              <w:bottom w:val="single" w:sz="4" w:space="0" w:color="auto"/>
            </w:tcBorders>
            <w:noWrap/>
            <w:vAlign w:val="center"/>
          </w:tcPr>
          <w:p w:rsidR="00D768A0" w:rsidP="002D6138" w14:paraId="4349401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(RUS)</w:t>
            </w:r>
          </w:p>
          <w:p w:rsidR="00585E4B" w:rsidRPr="002D6138" w:rsidP="002D6138" w14:paraId="3DE2CBDA" w14:textId="77DE1C40">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w:t>
            </w:r>
            <w:r w:rsidR="0031280B">
              <w:rPr>
                <w:sz w:val="20"/>
                <w:szCs w:val="20"/>
              </w:rPr>
              <w:t>37.53</w:t>
            </w:r>
          </w:p>
        </w:tc>
        <w:tc>
          <w:tcPr>
            <w:tcW w:w="1440" w:type="dxa"/>
            <w:tcBorders>
              <w:bottom w:val="single" w:sz="4" w:space="0" w:color="auto"/>
            </w:tcBorders>
            <w:noWrap/>
            <w:vAlign w:val="center"/>
          </w:tcPr>
          <w:p w:rsidR="00585E4B" w:rsidRPr="002D6138" w:rsidP="002D6138" w14:paraId="40B34B27" w14:textId="6E661EA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w:t>
            </w:r>
            <w:r w:rsidR="0031280B">
              <w:rPr>
                <w:sz w:val="20"/>
                <w:szCs w:val="20"/>
              </w:rPr>
              <w:t>60.05</w:t>
            </w:r>
          </w:p>
        </w:tc>
        <w:tc>
          <w:tcPr>
            <w:tcW w:w="1350" w:type="dxa"/>
            <w:tcBorders>
              <w:bottom w:val="single" w:sz="4" w:space="0" w:color="auto"/>
            </w:tcBorders>
            <w:vAlign w:val="center"/>
          </w:tcPr>
          <w:p w:rsidR="00585E4B" w:rsidRPr="002D6138" w:rsidP="002D6138" w14:paraId="3956F2A8" w14:textId="338A2D2C">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1</w:t>
            </w:r>
          </w:p>
        </w:tc>
        <w:tc>
          <w:tcPr>
            <w:tcW w:w="1260" w:type="dxa"/>
            <w:tcBorders>
              <w:bottom w:val="single" w:sz="4" w:space="0" w:color="auto"/>
            </w:tcBorders>
            <w:vAlign w:val="center"/>
          </w:tcPr>
          <w:p w:rsidR="00585E4B" w:rsidP="002D6138" w14:paraId="57A7E88D" w14:textId="5F7CF818">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w:t>
            </w:r>
            <w:r w:rsidR="0031280B">
              <w:rPr>
                <w:sz w:val="20"/>
                <w:szCs w:val="20"/>
              </w:rPr>
              <w:t>60.05</w:t>
            </w:r>
          </w:p>
        </w:tc>
        <w:tc>
          <w:tcPr>
            <w:tcW w:w="990" w:type="dxa"/>
            <w:tcBorders>
              <w:bottom w:val="single" w:sz="4" w:space="0" w:color="auto"/>
            </w:tcBorders>
            <w:vAlign w:val="center"/>
          </w:tcPr>
          <w:p w:rsidR="00585E4B" w:rsidRPr="002D6138" w:rsidP="002D6138" w14:paraId="5F915B0A" w14:textId="646CCDE3">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sz w:val="20"/>
                <w:szCs w:val="20"/>
              </w:rPr>
            </w:pPr>
            <w:r>
              <w:rPr>
                <w:sz w:val="20"/>
                <w:szCs w:val="20"/>
              </w:rPr>
              <w:t>$1,</w:t>
            </w:r>
            <w:r w:rsidR="0031280B">
              <w:rPr>
                <w:sz w:val="20"/>
                <w:szCs w:val="20"/>
              </w:rPr>
              <w:t>201</w:t>
            </w:r>
          </w:p>
        </w:tc>
      </w:tr>
      <w:tr w14:paraId="0177E59E" w14:textId="77777777" w:rsidTr="00A67562">
        <w:tblPrEx>
          <w:tblW w:w="9607" w:type="dxa"/>
          <w:tblInd w:w="108" w:type="dxa"/>
          <w:tblLayout w:type="fixed"/>
          <w:tblLook w:val="0000"/>
        </w:tblPrEx>
        <w:trPr>
          <w:cantSplit/>
          <w:trHeight w:val="593"/>
        </w:trPr>
        <w:tc>
          <w:tcPr>
            <w:tcW w:w="8617" w:type="dxa"/>
            <w:gridSpan w:val="6"/>
            <w:tcBorders>
              <w:top w:val="single" w:sz="4" w:space="0" w:color="auto"/>
            </w:tcBorders>
            <w:vAlign w:val="center"/>
          </w:tcPr>
          <w:p w:rsidR="00D768A0" w:rsidP="00A07006" w14:paraId="7D52B5CF" w14:textId="1A2321B9">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right"/>
              <w:rPr>
                <w:sz w:val="20"/>
                <w:szCs w:val="20"/>
              </w:rPr>
            </w:pPr>
            <w:r>
              <w:rPr>
                <w:sz w:val="20"/>
                <w:szCs w:val="20"/>
              </w:rPr>
              <w:t>Total</w:t>
            </w:r>
          </w:p>
        </w:tc>
        <w:tc>
          <w:tcPr>
            <w:tcW w:w="990" w:type="dxa"/>
            <w:tcBorders>
              <w:top w:val="single" w:sz="4" w:space="0" w:color="auto"/>
            </w:tcBorders>
            <w:vAlign w:val="center"/>
          </w:tcPr>
          <w:p w:rsidR="00D768A0" w:rsidRPr="002D6138" w:rsidP="0031280B" w14:paraId="6915B970" w14:textId="7730D51F">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0"/>
                <w:szCs w:val="20"/>
              </w:rPr>
            </w:pPr>
            <w:r>
              <w:rPr>
                <w:sz w:val="20"/>
                <w:szCs w:val="20"/>
              </w:rPr>
              <w:t>$33,101</w:t>
            </w:r>
          </w:p>
        </w:tc>
      </w:tr>
    </w:tbl>
    <w:p w:rsidR="00062B4C" w:rsidP="00380FFE" w14:paraId="40651784" w14:textId="0243FAA4">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rPr>
      </w:pPr>
      <w:r>
        <w:rPr>
          <w:bCs/>
        </w:rPr>
        <w:t>W</w:t>
      </w:r>
      <w:r w:rsidRPr="00E67EC4">
        <w:rPr>
          <w:bCs/>
        </w:rPr>
        <w:t xml:space="preserve">e estimate that the operational cost to the Federal Government to be </w:t>
      </w:r>
      <w:r w:rsidRPr="00E67EC4">
        <w:t>$</w:t>
      </w:r>
      <w:r w:rsidRPr="00E67EC4" w:rsidR="00AB67A6">
        <w:rPr>
          <w:bCs/>
        </w:rPr>
        <w:t>2,</w:t>
      </w:r>
      <w:r w:rsidRPr="00E67EC4" w:rsidR="006215AF">
        <w:rPr>
          <w:bCs/>
        </w:rPr>
        <w:t>4</w:t>
      </w:r>
      <w:r w:rsidRPr="00E67EC4" w:rsidR="00AB67A6">
        <w:rPr>
          <w:bCs/>
        </w:rPr>
        <w:t>00,000</w:t>
      </w:r>
      <w:r w:rsidRPr="00E67EC4">
        <w:rPr>
          <w:bCs/>
        </w:rPr>
        <w:t xml:space="preserve">.  </w:t>
      </w:r>
      <w:r w:rsidRPr="00E67EC4">
        <w:t xml:space="preserve">This cost includes </w:t>
      </w:r>
      <w:r w:rsidRPr="00E67EC4">
        <w:rPr>
          <w:bCs/>
        </w:rPr>
        <w:t xml:space="preserve">the expenses listed in Table </w:t>
      </w:r>
      <w:r w:rsidRPr="00E67EC4" w:rsidR="00AB67A6">
        <w:rPr>
          <w:bCs/>
        </w:rPr>
        <w:t>14.</w:t>
      </w:r>
      <w:r w:rsidRPr="00E67EC4">
        <w:rPr>
          <w:bCs/>
        </w:rPr>
        <w:t xml:space="preserve">2 below. </w:t>
      </w:r>
    </w:p>
    <w:p w:rsidR="006E2F01" w:rsidP="008C4A0B" w14:paraId="73A878B1"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bCs/>
        </w:rPr>
      </w:pPr>
    </w:p>
    <w:p w:rsidR="00062B4C" w:rsidRPr="00E67EC4" w:rsidP="00062B4C" w14:paraId="01440C15" w14:textId="035E509D">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b/>
          <w:bCs/>
        </w:rPr>
      </w:pPr>
      <w:r w:rsidRPr="00E67EC4">
        <w:rPr>
          <w:b/>
          <w:bCs/>
        </w:rPr>
        <w:t xml:space="preserve">Table </w:t>
      </w:r>
      <w:r w:rsidRPr="00E67EC4" w:rsidR="00AB67A6">
        <w:rPr>
          <w:b/>
          <w:bCs/>
        </w:rPr>
        <w:t>14.2</w:t>
      </w:r>
      <w:r w:rsidRPr="00E67EC4">
        <w:rPr>
          <w:b/>
          <w:bCs/>
        </w:rPr>
        <w:t xml:space="preserve">. </w:t>
      </w:r>
      <w:r w:rsidRPr="00E67EC4" w:rsidR="00AB67A6">
        <w:rPr>
          <w:b/>
          <w:bCs/>
        </w:rPr>
        <w:t>Operational Expenses</w:t>
      </w:r>
      <w:r w:rsidRPr="00E67EC4">
        <w:rPr>
          <w:b/>
          <w:bCs/>
        </w:rPr>
        <w:t xml:space="preserve"> associated with this information collection</w:t>
      </w:r>
    </w:p>
    <w:p w:rsidR="00062B4C" w:rsidRPr="00E67EC4" w:rsidP="00062B4C" w14:paraId="2A902F09"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pPr>
    </w:p>
    <w:tbl>
      <w:tblPr>
        <w:tblW w:w="9293" w:type="dxa"/>
        <w:tblInd w:w="-5" w:type="dxa"/>
        <w:tblLayout w:type="fixed"/>
        <w:tblLook w:val="0000"/>
      </w:tblPr>
      <w:tblGrid>
        <w:gridCol w:w="6300"/>
        <w:gridCol w:w="1620"/>
        <w:gridCol w:w="1373"/>
      </w:tblGrid>
      <w:tr w14:paraId="51E21081" w14:textId="77777777" w:rsidTr="003F3B47">
        <w:tblPrEx>
          <w:tblW w:w="9293" w:type="dxa"/>
          <w:tblInd w:w="-5" w:type="dxa"/>
          <w:tblLayout w:type="fixed"/>
          <w:tblLook w:val="0000"/>
        </w:tblPrEx>
        <w:trPr>
          <w:trHeight w:val="387"/>
        </w:trPr>
        <w:tc>
          <w:tcPr>
            <w:tcW w:w="6300" w:type="dxa"/>
            <w:tcBorders>
              <w:top w:val="single" w:sz="4" w:space="0" w:color="auto"/>
              <w:left w:val="single" w:sz="4" w:space="0" w:color="auto"/>
              <w:bottom w:val="single" w:sz="4" w:space="0" w:color="auto"/>
            </w:tcBorders>
            <w:shd w:val="clear" w:color="auto" w:fill="D6E3BC" w:themeFill="accent3" w:themeFillTint="66"/>
            <w:vAlign w:val="center"/>
          </w:tcPr>
          <w:p w:rsidR="00062B4C" w:rsidRPr="00E67EC4" w:rsidP="00062B4C" w14:paraId="786948F4"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rPr>
                <w:b/>
              </w:rPr>
            </w:pPr>
            <w:r w:rsidRPr="00E67EC4">
              <w:rPr>
                <w:b/>
              </w:rPr>
              <w:t>Operational Expenses</w:t>
            </w:r>
          </w:p>
        </w:tc>
        <w:tc>
          <w:tcPr>
            <w:tcW w:w="1620" w:type="dxa"/>
            <w:tcBorders>
              <w:top w:val="single" w:sz="4" w:space="0" w:color="auto"/>
              <w:bottom w:val="single" w:sz="4" w:space="0" w:color="auto"/>
              <w:right w:val="single" w:sz="4" w:space="0" w:color="auto"/>
            </w:tcBorders>
            <w:shd w:val="clear" w:color="auto" w:fill="D6E3BC" w:themeFill="accent3" w:themeFillTint="66"/>
            <w:noWrap/>
            <w:vAlign w:val="center"/>
          </w:tcPr>
          <w:p w:rsidR="00062B4C" w:rsidRPr="00E67EC4" w:rsidP="00062B4C" w14:paraId="7A20B86D"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b/>
              </w:rPr>
            </w:pPr>
            <w:r w:rsidRPr="00E67EC4">
              <w:rPr>
                <w:b/>
              </w:rPr>
              <w:t>Cost</w:t>
            </w:r>
          </w:p>
          <w:p w:rsidR="00062B4C" w:rsidRPr="00E67EC4" w:rsidP="00062B4C" w14:paraId="545038E3"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b/>
              </w:rPr>
            </w:pPr>
            <w:r w:rsidRPr="00E67EC4">
              <w:rPr>
                <w:b/>
              </w:rPr>
              <w:t>Per submission</w:t>
            </w:r>
          </w:p>
        </w:tc>
        <w:tc>
          <w:tcPr>
            <w:tcW w:w="1373" w:type="dxa"/>
            <w:tcBorders>
              <w:top w:val="single" w:sz="4" w:space="0" w:color="auto"/>
              <w:bottom w:val="single" w:sz="4" w:space="0" w:color="auto"/>
              <w:right w:val="single" w:sz="4" w:space="0" w:color="auto"/>
            </w:tcBorders>
            <w:shd w:val="clear" w:color="auto" w:fill="D6E3BC" w:themeFill="accent3" w:themeFillTint="66"/>
            <w:vAlign w:val="center"/>
          </w:tcPr>
          <w:p w:rsidR="00062B4C" w:rsidRPr="00E67EC4" w:rsidP="00062B4C" w14:paraId="24A3501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b/>
              </w:rPr>
            </w:pPr>
            <w:r w:rsidRPr="00E67EC4">
              <w:rPr>
                <w:b/>
              </w:rPr>
              <w:t>Annual</w:t>
            </w:r>
          </w:p>
          <w:p w:rsidR="00062B4C" w:rsidRPr="00E67EC4" w:rsidP="00062B4C" w14:paraId="2843F385" w14:textId="77777777">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rPr>
                <w:b/>
              </w:rPr>
            </w:pPr>
            <w:r w:rsidRPr="00E67EC4">
              <w:rPr>
                <w:b/>
              </w:rPr>
              <w:t>Cost (x 20)</w:t>
            </w:r>
          </w:p>
        </w:tc>
      </w:tr>
      <w:tr w14:paraId="601ABC5A" w14:textId="77777777" w:rsidTr="003F3B47">
        <w:tblPrEx>
          <w:tblW w:w="9293" w:type="dxa"/>
          <w:tblInd w:w="-5" w:type="dxa"/>
          <w:tblLayout w:type="fixed"/>
          <w:tblLook w:val="0000"/>
        </w:tblPrEx>
        <w:trPr>
          <w:trHeight w:val="1053"/>
        </w:trPr>
        <w:tc>
          <w:tcPr>
            <w:tcW w:w="6300" w:type="dxa"/>
            <w:tcBorders>
              <w:top w:val="single" w:sz="4" w:space="0" w:color="auto"/>
              <w:left w:val="single" w:sz="4" w:space="0" w:color="auto"/>
              <w:bottom w:val="single" w:sz="4" w:space="0" w:color="auto"/>
            </w:tcBorders>
            <w:vAlign w:val="center"/>
          </w:tcPr>
          <w:p w:rsidR="002A5793" w:rsidP="002A5793" w14:paraId="3B26115A" w14:textId="766A543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pPr>
            <w:r w:rsidRPr="00E67EC4">
              <w:t>Contracts and Support</w:t>
            </w:r>
          </w:p>
          <w:p w:rsidR="002A5793" w:rsidRPr="00E67EC4" w:rsidP="008C4A0B" w14:paraId="1742EC4E" w14:textId="4137C3F6">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ind w:left="345"/>
              <w:rPr>
                <w:b/>
              </w:rPr>
            </w:pPr>
            <w:r>
              <w:t xml:space="preserve">Travel, </w:t>
            </w:r>
            <w:r w:rsidRPr="00E67EC4">
              <w:t>Survey Design</w:t>
            </w:r>
            <w:r>
              <w:t>,</w:t>
            </w:r>
            <w:r w:rsidRPr="00E67EC4">
              <w:t xml:space="preserve"> Development</w:t>
            </w:r>
            <w:r>
              <w:t xml:space="preserve"> and </w:t>
            </w:r>
            <w:r w:rsidR="0069566C">
              <w:t>a</w:t>
            </w:r>
            <w:r w:rsidRPr="00E67EC4">
              <w:t xml:space="preserve">dministration, Data Collection, </w:t>
            </w:r>
            <w:r w:rsidR="00505FF5">
              <w:t>Supp</w:t>
            </w:r>
            <w:r w:rsidR="00435D48">
              <w:t>l</w:t>
            </w:r>
            <w:r w:rsidR="00505FF5">
              <w:t xml:space="preserve">ies, </w:t>
            </w:r>
            <w:r w:rsidRPr="00E67EC4">
              <w:t xml:space="preserve">Data entry, Data analysis and </w:t>
            </w:r>
            <w:r w:rsidRPr="00E67EC4">
              <w:t>Reporting)</w:t>
            </w:r>
          </w:p>
        </w:tc>
        <w:tc>
          <w:tcPr>
            <w:tcW w:w="1620" w:type="dxa"/>
            <w:tcBorders>
              <w:top w:val="single" w:sz="4" w:space="0" w:color="auto"/>
              <w:bottom w:val="single" w:sz="4" w:space="0" w:color="auto"/>
            </w:tcBorders>
            <w:noWrap/>
            <w:vAlign w:val="center"/>
          </w:tcPr>
          <w:p w:rsidR="002A5793" w:rsidRPr="00E67EC4" w:rsidP="00CD4D09" w14:paraId="7D7034F0" w14:textId="0D1D62CA">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pPr>
            <w:r w:rsidRPr="00BD2BC1">
              <w:t>$120,000</w:t>
            </w:r>
          </w:p>
        </w:tc>
        <w:tc>
          <w:tcPr>
            <w:tcW w:w="1373" w:type="dxa"/>
            <w:tcBorders>
              <w:top w:val="single" w:sz="4" w:space="0" w:color="auto"/>
              <w:bottom w:val="single" w:sz="4" w:space="0" w:color="auto"/>
              <w:right w:val="single" w:sz="4" w:space="0" w:color="auto"/>
            </w:tcBorders>
            <w:vAlign w:val="center"/>
          </w:tcPr>
          <w:p w:rsidR="002A5793" w:rsidRPr="00E67EC4" w:rsidP="00CD4D09" w14:paraId="54ABDBC3" w14:textId="39715FFD">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276" w:lineRule="auto"/>
              <w:jc w:val="center"/>
            </w:pPr>
            <w:r w:rsidRPr="00BD2BC1">
              <w:t>$2,400,000</w:t>
            </w:r>
          </w:p>
        </w:tc>
      </w:tr>
    </w:tbl>
    <w:p w:rsidR="003F3B47" w:rsidP="00AE14AE" w14:paraId="47FD941F" w14:textId="77777777">
      <w:pPr>
        <w:tabs>
          <w:tab w:val="left" w:pos="360"/>
        </w:tabs>
        <w:rPr>
          <w:b/>
        </w:rPr>
      </w:pPr>
    </w:p>
    <w:p w:rsidR="00ED269F" w:rsidRPr="00E67EC4" w:rsidP="00AE14AE" w14:paraId="4E402F38" w14:textId="2A883FA0">
      <w:pPr>
        <w:tabs>
          <w:tab w:val="left" w:pos="360"/>
        </w:tabs>
        <w:rPr>
          <w:b/>
        </w:rPr>
      </w:pPr>
      <w:r w:rsidRPr="00E67EC4">
        <w:rPr>
          <w:b/>
        </w:rPr>
        <w:t>15.</w:t>
      </w:r>
      <w:r w:rsidRPr="00E67EC4">
        <w:rPr>
          <w:b/>
        </w:rPr>
        <w:tab/>
      </w:r>
      <w:r w:rsidRPr="00E67EC4" w:rsidR="002C5722">
        <w:rPr>
          <w:b/>
        </w:rPr>
        <w:t>Explain the reasons for any program changes or adjustments in hour or cost burden</w:t>
      </w:r>
      <w:r w:rsidRPr="00E67EC4">
        <w:rPr>
          <w:b/>
        </w:rPr>
        <w:t>.</w:t>
      </w:r>
    </w:p>
    <w:p w:rsidR="00B124BD" w:rsidP="006B7DCC" w14:paraId="0E0F75FF" w14:textId="22F69038">
      <w:pPr>
        <w:spacing w:line="360" w:lineRule="auto"/>
        <w:rPr>
          <w:rFonts w:eastAsia="Calibri"/>
        </w:rPr>
      </w:pPr>
      <w:r w:rsidRPr="00023262">
        <w:rPr>
          <w:rFonts w:eastAsia="Calibri"/>
        </w:rPr>
        <w:t xml:space="preserve">There are no </w:t>
      </w:r>
      <w:r w:rsidRPr="00023262" w:rsidR="0031280B">
        <w:rPr>
          <w:rFonts w:eastAsia="Calibri"/>
        </w:rPr>
        <w:t>hour or cost burden</w:t>
      </w:r>
      <w:r w:rsidRPr="00023262">
        <w:rPr>
          <w:rFonts w:eastAsia="Calibri"/>
        </w:rPr>
        <w:t xml:space="preserve"> changes.</w:t>
      </w:r>
      <w:r w:rsidRPr="48969DCE">
        <w:rPr>
          <w:rFonts w:eastAsia="Calibri"/>
        </w:rPr>
        <w:t xml:space="preserve"> </w:t>
      </w:r>
    </w:p>
    <w:p w:rsidR="003B2538" w:rsidRPr="00E67EC4" w:rsidP="00541512" w14:paraId="5DB7CB7C" w14:textId="77777777"/>
    <w:p w:rsidR="00ED269F" w:rsidRPr="00E67EC4" w:rsidP="00AE14AE" w14:paraId="597037CE" w14:textId="46E25475">
      <w:pPr>
        <w:tabs>
          <w:tab w:val="left" w:pos="360"/>
        </w:tabs>
        <w:rPr>
          <w:b/>
        </w:rPr>
      </w:pPr>
      <w:r w:rsidRPr="00E67EC4">
        <w:rPr>
          <w:b/>
        </w:rPr>
        <w:t>16.</w:t>
      </w:r>
      <w:r w:rsidRPr="00E67EC4">
        <w:rPr>
          <w:b/>
        </w:rPr>
        <w:tab/>
      </w:r>
      <w:r w:rsidRPr="00E67EC4" w:rsidR="002C572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67EC4">
        <w:rPr>
          <w:b/>
        </w:rPr>
        <w:t>.</w:t>
      </w:r>
    </w:p>
    <w:p w:rsidR="00ED269F" w:rsidRPr="00E67EC4" w:rsidP="00D85EF1" w14:paraId="4119C030" w14:textId="77777777"/>
    <w:p w:rsidR="00062B4C" w:rsidRPr="00E67EC4" w:rsidP="00A23653" w14:paraId="19394C6D" w14:textId="3737311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r w:rsidRPr="00E67EC4">
        <w:t xml:space="preserve">Each information collection considered under the Programmatic Clearance Process will use </w:t>
      </w:r>
      <w:r w:rsidRPr="00435D48" w:rsidR="00435D48">
        <w:rPr>
          <w:bCs/>
          <w:iCs/>
        </w:rPr>
        <w:t xml:space="preserve">NPS Form 10-201 </w:t>
      </w:r>
      <w:r w:rsidRPr="00435D48" w:rsidR="00435D48">
        <w:rPr>
          <w:bCs/>
          <w:i/>
        </w:rPr>
        <w:t>Programmatic Review and Clearance Process for NPS-Sponsored Public Surveys</w:t>
      </w:r>
      <w:r w:rsidRPr="00E67EC4">
        <w:t xml:space="preserve"> to describe the proposed collection.  Each submission will include a method to check for non-respondent bias and the intended use of the results.</w:t>
      </w:r>
    </w:p>
    <w:p w:rsidR="00062B4C" w:rsidRPr="00E67EC4" w:rsidP="00A23653" w14:paraId="46359DF5" w14:textId="77777777">
      <w:pPr>
        <w:tabs>
          <w:tab w:val="clear" w:pos="-1080"/>
          <w:tab w:val="clear" w:pos="-72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60" w:lineRule="auto"/>
      </w:pPr>
    </w:p>
    <w:p w:rsidR="00ED269F" w:rsidP="00A23653" w14:paraId="13EECFED" w14:textId="4FDC3BA9">
      <w:pPr>
        <w:spacing w:line="360" w:lineRule="auto"/>
      </w:pPr>
      <w:r w:rsidRPr="00E67EC4">
        <w:t>Each information collection will provide an explanation of the specific tabulation methods to be used to syn</w:t>
      </w:r>
      <w:r w:rsidRPr="00E67EC4">
        <w:t>thesize, analyze, and aggregate the data collected.  The analyses will typically include response frequencies</w:t>
      </w:r>
      <w:r w:rsidR="17B4EDF5">
        <w:t xml:space="preserve"> and</w:t>
      </w:r>
      <w:r w:rsidRPr="00E67EC4">
        <w:t xml:space="preserve"> </w:t>
      </w:r>
      <w:r w:rsidR="40EB28B2">
        <w:t>distributions</w:t>
      </w:r>
      <w:r w:rsidR="00F171E3">
        <w:t xml:space="preserve"> </w:t>
      </w:r>
      <w:r w:rsidRPr="00E67EC4">
        <w:t>to address concrete management and planning issues. In the cases when expenditure data is collected, the NPS Money Generation Mo</w:t>
      </w:r>
      <w:r w:rsidRPr="00E67EC4">
        <w:t xml:space="preserve">del (MGM) may be used. This model </w:t>
      </w:r>
      <w:r w:rsidRPr="00E67EC4" w:rsidR="00A23653">
        <w:t>will</w:t>
      </w:r>
      <w:r w:rsidRPr="00E67EC4">
        <w:t xml:space="preserve"> estimate the economic impact of visitor spending on gateway regions. </w:t>
      </w:r>
      <w:r w:rsidRPr="00E67EC4" w:rsidR="00A23653">
        <w:t>S</w:t>
      </w:r>
      <w:r w:rsidRPr="00E67EC4">
        <w:t xml:space="preserve">ome </w:t>
      </w:r>
      <w:r w:rsidRPr="00E67EC4" w:rsidR="00A23653">
        <w:t>studies may use</w:t>
      </w:r>
      <w:r w:rsidRPr="00E67EC4">
        <w:t xml:space="preserve"> multivariate statistical analyse</w:t>
      </w:r>
      <w:r w:rsidRPr="00E67EC4" w:rsidR="00A23653">
        <w:t>s,</w:t>
      </w:r>
      <w:r w:rsidRPr="00E67EC4">
        <w:t xml:space="preserve"> as when estimating coefficients for models based on the Theory of Planned Behavior. In other</w:t>
      </w:r>
      <w:r w:rsidRPr="00E67EC4">
        <w:t xml:space="preserve"> cases, data from qualitative studies may involve transcripts of interviews or focus group discussions, followed by content analyses to identify general themes.</w:t>
      </w:r>
      <w:r w:rsidRPr="00E67EC4" w:rsidR="00117F40">
        <w:t xml:space="preserve"> </w:t>
      </w:r>
      <w:r w:rsidR="00C76DCE">
        <w:t>The intended use of data and planned reports will be summarized within the Programmatic Form.</w:t>
      </w:r>
    </w:p>
    <w:p w:rsidR="00380FFE" w:rsidP="00AE14AE" w14:paraId="33A181E7" w14:textId="77777777">
      <w:pPr>
        <w:tabs>
          <w:tab w:val="left" w:pos="360"/>
        </w:tabs>
        <w:rPr>
          <w:b/>
        </w:rPr>
      </w:pPr>
    </w:p>
    <w:p w:rsidR="00ED269F" w:rsidRPr="00E67EC4" w:rsidP="00AE14AE" w14:paraId="0A6C37D8" w14:textId="5691D4E7">
      <w:pPr>
        <w:tabs>
          <w:tab w:val="left" w:pos="360"/>
        </w:tabs>
        <w:rPr>
          <w:b/>
        </w:rPr>
      </w:pPr>
      <w:r w:rsidRPr="00E67EC4">
        <w:rPr>
          <w:b/>
        </w:rPr>
        <w:t>17.</w:t>
      </w:r>
      <w:r w:rsidRPr="00E67EC4">
        <w:rPr>
          <w:b/>
        </w:rPr>
        <w:tab/>
      </w:r>
      <w:r w:rsidRPr="00E67EC4" w:rsidR="002C5722">
        <w:rPr>
          <w:b/>
        </w:rPr>
        <w:t>If seeking approval to not display the expiration date for OMB approval of the information collection, explain the reasons that display would be inappropriate</w:t>
      </w:r>
      <w:r w:rsidRPr="00E67EC4">
        <w:rPr>
          <w:b/>
        </w:rPr>
        <w:t>.</w:t>
      </w:r>
    </w:p>
    <w:p w:rsidR="00ED269F" w:rsidRPr="00E67EC4" w:rsidP="00A23653" w14:paraId="4965FD8A" w14:textId="10BD964F">
      <w:pPr>
        <w:spacing w:line="360" w:lineRule="auto"/>
      </w:pPr>
      <w:r>
        <w:br/>
      </w:r>
      <w:r w:rsidRPr="00E67EC4" w:rsidR="00062B4C">
        <w:t>T</w:t>
      </w:r>
      <w:r w:rsidRPr="00E67EC4">
        <w:t>he OMB control number and expiration date</w:t>
      </w:r>
      <w:r w:rsidRPr="00E67EC4" w:rsidR="009B528C">
        <w:t xml:space="preserve"> </w:t>
      </w:r>
      <w:r w:rsidRPr="00E67EC4" w:rsidR="00062B4C">
        <w:t>will appear on all surveys instrument or via automated collection in any format</w:t>
      </w:r>
      <w:r w:rsidRPr="00E67EC4" w:rsidR="00045FC4">
        <w:t>.</w:t>
      </w:r>
    </w:p>
    <w:p w:rsidR="00ED269F" w:rsidRPr="00E67EC4" w:rsidP="00AE14AE" w14:paraId="223AFBA1" w14:textId="77777777">
      <w:pPr>
        <w:tabs>
          <w:tab w:val="left" w:pos="360"/>
        </w:tabs>
        <w:rPr>
          <w:b/>
        </w:rPr>
      </w:pPr>
      <w:r w:rsidRPr="00E67EC4">
        <w:rPr>
          <w:b/>
        </w:rPr>
        <w:t xml:space="preserve">18.  </w:t>
      </w:r>
      <w:r w:rsidRPr="00E67EC4" w:rsidR="002C5722">
        <w:rPr>
          <w:b/>
        </w:rPr>
        <w:t>Explain each exception to the topics of the certification statement identified in "Certification for Paperwork Reduction Act Submissions."</w:t>
      </w:r>
    </w:p>
    <w:p w:rsidR="00ED269F" w:rsidRPr="00E67EC4" w:rsidP="00D85EF1" w14:paraId="4BD40E5A" w14:textId="77777777"/>
    <w:p w:rsidR="00ED269F" w:rsidRPr="00E67EC4" w:rsidP="00D85EF1" w14:paraId="21377BBF" w14:textId="77777777">
      <w:r w:rsidRPr="00E67EC4">
        <w:t>There are no exceptions to the certification statement.</w:t>
      </w:r>
    </w:p>
    <w:p w:rsidR="00ED269F" w:rsidRPr="00E67EC4" w:rsidP="002D45B1" w14:paraId="68931B30" w14:textId="77777777"/>
    <w:p w:rsidR="000307D0" w:rsidRPr="00E67EC4" w:rsidP="002D45B1" w14:paraId="62021239" w14:textId="77777777"/>
    <w:p w:rsidR="000F0463" w:rsidP="00120E16" w14:paraId="3D1DE552" w14:textId="77777777"/>
    <w:p w:rsidR="00434F3D" w:rsidP="00120E16" w14:paraId="36E2AC81" w14:textId="77777777"/>
    <w:p w:rsidR="00434F3D" w:rsidP="00120E16" w14:paraId="02E09EB6" w14:textId="77777777"/>
    <w:p w:rsidR="00434F3D" w:rsidP="00120E16" w14:paraId="60FFF7A0" w14:textId="77777777"/>
    <w:p w:rsidR="00434F3D" w:rsidP="00120E16" w14:paraId="5A77A88E" w14:textId="77777777"/>
    <w:p w:rsidR="00434F3D" w:rsidP="00120E16" w14:paraId="41FBE2E3" w14:textId="77777777"/>
    <w:p w:rsidR="00DB6950" w:rsidP="00120E16" w14:paraId="5078739D" w14:textId="526F4910">
      <w:pPr>
        <w:pBdr>
          <w:bottom w:val="single" w:sz="12" w:space="1" w:color="365F91" w:themeColor="accent1" w:themeShade="BF"/>
        </w:pBdr>
      </w:pPr>
      <w:r>
        <w:br w:type="page"/>
      </w:r>
    </w:p>
    <w:p w:rsidR="00434F3D" w:rsidRPr="00E67EC4" w:rsidP="00120E16" w14:paraId="1252C2B5" w14:textId="77777777">
      <w:pPr>
        <w:pBdr>
          <w:bottom w:val="single" w:sz="12" w:space="1" w:color="365F91" w:themeColor="accent1" w:themeShade="BF"/>
        </w:pBdr>
      </w:pPr>
    </w:p>
    <w:p w:rsidR="00B003EF" w:rsidRPr="00E67EC4" w:rsidP="002D45B1" w14:paraId="4D67A197" w14:textId="77777777"/>
    <w:p w:rsidR="000307D0" w:rsidRPr="00E67EC4" w:rsidP="002D45B1" w14:paraId="0A3B84EB" w14:textId="3E524FDB">
      <w:pPr>
        <w:rPr>
          <w:b/>
          <w:bCs/>
        </w:rPr>
      </w:pPr>
      <w:r w:rsidRPr="00E67EC4">
        <w:rPr>
          <w:b/>
          <w:bCs/>
        </w:rPr>
        <w:t>References</w:t>
      </w:r>
    </w:p>
    <w:p w:rsidR="000307D0" w:rsidRPr="00E67EC4" w:rsidP="002D45B1" w14:paraId="65DE92A3" w14:textId="77777777">
      <w:pPr>
        <w:rPr>
          <w:b/>
          <w:bCs/>
        </w:rPr>
      </w:pPr>
    </w:p>
    <w:p w:rsidR="00B41D34" w:rsidRPr="00E67EC4" w:rsidP="00B41D34" w14:paraId="7BCCDFCE" w14:textId="64FFAEE2">
      <w:r w:rsidRPr="00E67EC4">
        <w:t>Chyung</w:t>
      </w:r>
      <w:r w:rsidRPr="00E67EC4">
        <w:t xml:space="preserve">, S. Y., Hutchinson, D., &amp; </w:t>
      </w:r>
      <w:r w:rsidRPr="00E67EC4">
        <w:t>Shamsy</w:t>
      </w:r>
      <w:r w:rsidRPr="00E67EC4">
        <w:t>, J. A. 2020. Evidence</w:t>
      </w:r>
      <w:r w:rsidRPr="00E67EC4">
        <w:rPr>
          <w:rFonts w:ascii="Cambria Math" w:hAnsi="Cambria Math" w:cs="Cambria Math"/>
        </w:rPr>
        <w:t>‐</w:t>
      </w:r>
      <w:r w:rsidRPr="00E67EC4">
        <w:t xml:space="preserve">based survey design: Ceiling effects associated with response scales. </w:t>
      </w:r>
      <w:r w:rsidRPr="00E67EC4">
        <w:rPr>
          <w:i/>
          <w:iCs/>
        </w:rPr>
        <w:t>Performance Improvement</w:t>
      </w:r>
      <w:r w:rsidRPr="00E67EC4">
        <w:t xml:space="preserve">, </w:t>
      </w:r>
      <w:r w:rsidRPr="00E67EC4">
        <w:rPr>
          <w:i/>
          <w:iCs/>
        </w:rPr>
        <w:t>59</w:t>
      </w:r>
      <w:r w:rsidRPr="00E67EC4">
        <w:t>(6)</w:t>
      </w:r>
      <w:r w:rsidR="00D82582">
        <w:t>:</w:t>
      </w:r>
      <w:r w:rsidRPr="00E67EC4">
        <w:t xml:space="preserve"> 6</w:t>
      </w:r>
      <w:r w:rsidRPr="00E67EC4">
        <w:rPr>
          <w:rFonts w:ascii="Cambria Math" w:hAnsi="Cambria Math" w:cs="Cambria Math"/>
        </w:rPr>
        <w:t>‐</w:t>
      </w:r>
      <w:r w:rsidRPr="00E67EC4">
        <w:t>13.</w:t>
      </w:r>
    </w:p>
    <w:p w:rsidR="00B41D34" w:rsidP="00B41D34" w14:paraId="75F9660C" w14:textId="77777777">
      <w:pPr>
        <w:rPr>
          <w:rFonts w:eastAsiaTheme="minorHAnsi"/>
          <w:color w:val="000000" w:themeColor="text1"/>
        </w:rPr>
      </w:pPr>
    </w:p>
    <w:p w:rsidR="00B41D34" w:rsidP="00B41D34" w14:paraId="457A304B" w14:textId="7B7D7882">
      <w:pPr>
        <w:rPr>
          <w:rFonts w:ascii="Times New Roman" w:hAnsi="Times New Roman" w:eastAsiaTheme="minorHAnsi" w:cs="Times New Roman"/>
          <w:color w:val="000000" w:themeColor="text1"/>
        </w:rPr>
      </w:pPr>
      <w:r>
        <w:rPr>
          <w:rFonts w:eastAsiaTheme="minorHAnsi"/>
          <w:color w:val="000000" w:themeColor="text1"/>
        </w:rPr>
        <w:t>Dawes, J. G. 2008. “Do Data Characteristics Change according to the Numbe</w:t>
      </w:r>
      <w:r>
        <w:rPr>
          <w:rFonts w:eastAsiaTheme="minorHAnsi"/>
          <w:color w:val="000000" w:themeColor="text1"/>
        </w:rPr>
        <w:t>r of Scale Points Used? An Experiment Using 5 Point, 7 Point and 10 Point Scales.” International Journal of Market Research 50 (1)</w:t>
      </w:r>
      <w:r w:rsidR="00D82582">
        <w:rPr>
          <w:rFonts w:eastAsiaTheme="minorHAnsi"/>
          <w:color w:val="000000" w:themeColor="text1"/>
        </w:rPr>
        <w:t>:</w:t>
      </w:r>
      <w:r>
        <w:rPr>
          <w:rFonts w:eastAsiaTheme="minorHAnsi"/>
          <w:color w:val="000000" w:themeColor="text1"/>
        </w:rPr>
        <w:t xml:space="preserve"> 61–77. doi:10.1177/147078530805000106.</w:t>
      </w:r>
    </w:p>
    <w:p w:rsidR="00B41D34" w:rsidP="00B41D34" w14:paraId="7B9B819D" w14:textId="77777777">
      <w:pPr>
        <w:rPr>
          <w:rFonts w:eastAsiaTheme="minorHAnsi"/>
          <w:color w:val="000000" w:themeColor="text1"/>
        </w:rPr>
      </w:pPr>
    </w:p>
    <w:p w:rsidR="00B41D34" w:rsidP="00B41D34" w14:paraId="17C8521C" w14:textId="77777777">
      <w:pPr>
        <w:rPr>
          <w:rFonts w:eastAsiaTheme="minorHAnsi"/>
          <w:color w:val="000000" w:themeColor="text1"/>
        </w:rPr>
      </w:pPr>
      <w:r>
        <w:rPr>
          <w:rFonts w:eastAsiaTheme="minorHAnsi"/>
          <w:color w:val="000000" w:themeColor="text1"/>
        </w:rPr>
        <w:t xml:space="preserve">Hawthorne, G. J. </w:t>
      </w:r>
      <w:r>
        <w:rPr>
          <w:rFonts w:eastAsiaTheme="minorHAnsi"/>
          <w:color w:val="000000" w:themeColor="text1"/>
        </w:rPr>
        <w:t>Mouthaan</w:t>
      </w:r>
      <w:r>
        <w:rPr>
          <w:rFonts w:eastAsiaTheme="minorHAnsi"/>
          <w:color w:val="000000" w:themeColor="text1"/>
        </w:rPr>
        <w:t xml:space="preserve">, D. Forbes, and R. W. </w:t>
      </w:r>
      <w:r>
        <w:rPr>
          <w:rFonts w:eastAsiaTheme="minorHAnsi"/>
          <w:color w:val="000000" w:themeColor="text1"/>
        </w:rPr>
        <w:t>Novaco</w:t>
      </w:r>
      <w:r>
        <w:rPr>
          <w:rFonts w:eastAsiaTheme="minorHAnsi"/>
          <w:color w:val="000000" w:themeColor="text1"/>
        </w:rPr>
        <w:t>. 2006. “Response Categories a</w:t>
      </w:r>
      <w:r>
        <w:rPr>
          <w:rFonts w:eastAsiaTheme="minorHAnsi"/>
          <w:color w:val="000000" w:themeColor="text1"/>
        </w:rPr>
        <w:t xml:space="preserve">nd Anger Measurement: do Fewer Categories Result in Poorer </w:t>
      </w:r>
      <w:r>
        <w:rPr>
          <w:rFonts w:eastAsiaTheme="minorHAnsi"/>
          <w:color w:val="000000" w:themeColor="text1"/>
        </w:rPr>
        <w:t>Measurement?.</w:t>
      </w:r>
      <w:r>
        <w:rPr>
          <w:rFonts w:eastAsiaTheme="minorHAnsi"/>
          <w:color w:val="000000" w:themeColor="text1"/>
        </w:rPr>
        <w:t>” Social Psychiatry and Psychiatric Epidemiology 41 (2):164–172. doi:10.1007/s00127-005-0986-y</w:t>
      </w:r>
    </w:p>
    <w:p w:rsidR="00B41D34" w:rsidP="00B41D34" w14:paraId="7B02A933" w14:textId="77777777">
      <w:pPr>
        <w:rPr>
          <w:rFonts w:eastAsiaTheme="minorHAnsi"/>
          <w:color w:val="000000" w:themeColor="text1"/>
        </w:rPr>
      </w:pPr>
    </w:p>
    <w:p w:rsidR="00B41D34" w:rsidP="00B41D34" w14:paraId="3022101A" w14:textId="511AF396">
      <w:pPr>
        <w:rPr>
          <w:rFonts w:eastAsiaTheme="minorHAnsi"/>
          <w:color w:val="000000" w:themeColor="text1"/>
        </w:rPr>
      </w:pPr>
      <w:r>
        <w:rPr>
          <w:rFonts w:eastAsiaTheme="minorHAnsi"/>
          <w:color w:val="000000" w:themeColor="text1"/>
        </w:rPr>
        <w:t>Huguet</w:t>
      </w:r>
      <w:r>
        <w:rPr>
          <w:rFonts w:eastAsiaTheme="minorHAnsi"/>
          <w:color w:val="000000" w:themeColor="text1"/>
        </w:rPr>
        <w:t>, A., J. N. Stinson, and P. J. McGrath. 2010. “Measurement of self-reported pain i</w:t>
      </w:r>
      <w:r>
        <w:rPr>
          <w:rFonts w:eastAsiaTheme="minorHAnsi"/>
          <w:color w:val="000000" w:themeColor="text1"/>
        </w:rPr>
        <w:t>ntensity in children and adolescents.” Journal of Psychosomatic Research 68 (4)</w:t>
      </w:r>
      <w:r w:rsidR="00D82582">
        <w:rPr>
          <w:rFonts w:eastAsiaTheme="minorHAnsi"/>
          <w:color w:val="000000" w:themeColor="text1"/>
        </w:rPr>
        <w:t>:</w:t>
      </w:r>
      <w:r>
        <w:rPr>
          <w:rFonts w:eastAsiaTheme="minorHAnsi"/>
          <w:color w:val="000000" w:themeColor="text1"/>
        </w:rPr>
        <w:t xml:space="preserve"> 329–336. </w:t>
      </w:r>
      <w:r>
        <w:rPr>
          <w:rFonts w:eastAsiaTheme="minorHAnsi"/>
          <w:color w:val="000000" w:themeColor="text1"/>
        </w:rPr>
        <w:t>doi:10.1016/j.jpsychores</w:t>
      </w:r>
      <w:r>
        <w:rPr>
          <w:rFonts w:eastAsiaTheme="minorHAnsi"/>
          <w:color w:val="000000" w:themeColor="text1"/>
        </w:rPr>
        <w:t>.2009.06.003.</w:t>
      </w:r>
    </w:p>
    <w:p w:rsidR="00B41D34" w:rsidP="00B41D34" w14:paraId="25D0719D" w14:textId="77777777">
      <w:pPr>
        <w:rPr>
          <w:rFonts w:eastAsiaTheme="minorHAnsi"/>
          <w:color w:val="000000" w:themeColor="text1"/>
        </w:rPr>
      </w:pPr>
    </w:p>
    <w:p w:rsidR="00B41D34" w:rsidP="00B41D34" w14:paraId="48A36867" w14:textId="29AA2E41">
      <w:pPr>
        <w:rPr>
          <w:color w:val="000000" w:themeColor="text1"/>
        </w:rPr>
      </w:pPr>
      <w:r>
        <w:rPr>
          <w:color w:val="000000" w:themeColor="text1"/>
        </w:rPr>
        <w:t xml:space="preserve">Lindqvist, A., </w:t>
      </w:r>
      <w:r>
        <w:rPr>
          <w:color w:val="000000" w:themeColor="text1"/>
        </w:rPr>
        <w:t>Sendén</w:t>
      </w:r>
      <w:r>
        <w:rPr>
          <w:color w:val="000000" w:themeColor="text1"/>
        </w:rPr>
        <w:t xml:space="preserve">, M. G., &amp; </w:t>
      </w:r>
      <w:r>
        <w:rPr>
          <w:color w:val="000000" w:themeColor="text1"/>
        </w:rPr>
        <w:t>Renström</w:t>
      </w:r>
      <w:r>
        <w:rPr>
          <w:color w:val="000000" w:themeColor="text1"/>
        </w:rPr>
        <w:t xml:space="preserve">, E. A. 2021. What is gender, anyway: a review of the options for </w:t>
      </w:r>
      <w:r>
        <w:rPr>
          <w:color w:val="000000" w:themeColor="text1"/>
        </w:rPr>
        <w:t>operationalising</w:t>
      </w:r>
      <w:r>
        <w:rPr>
          <w:color w:val="000000" w:themeColor="text1"/>
        </w:rPr>
        <w:t xml:space="preserve"> gender. Psychology &amp; sexuality, 12(4)</w:t>
      </w:r>
      <w:r w:rsidR="00D82582">
        <w:rPr>
          <w:color w:val="000000" w:themeColor="text1"/>
        </w:rPr>
        <w:t>:</w:t>
      </w:r>
      <w:r>
        <w:rPr>
          <w:color w:val="000000" w:themeColor="text1"/>
        </w:rPr>
        <w:t xml:space="preserve"> 332-344.</w:t>
      </w:r>
    </w:p>
    <w:p w:rsidR="00B41D34" w:rsidP="00B41D34" w14:paraId="3FE9257D" w14:textId="77777777">
      <w:pPr>
        <w:rPr>
          <w:color w:val="000000" w:themeColor="text1"/>
        </w:rPr>
      </w:pPr>
    </w:p>
    <w:p w:rsidR="00B41D34" w:rsidP="00B41D34" w14:paraId="6E4FFFBA" w14:textId="286B980B">
      <w:pPr>
        <w:rPr>
          <w:color w:val="000000" w:themeColor="text1"/>
        </w:rPr>
      </w:pPr>
      <w:r>
        <w:rPr>
          <w:color w:val="000000" w:themeColor="text1"/>
        </w:rPr>
        <w:t>Lussenhop</w:t>
      </w:r>
      <w:r>
        <w:rPr>
          <w:color w:val="000000" w:themeColor="text1"/>
        </w:rPr>
        <w:t>, A. (2018). Beyond the male/female binary: Gender equity and inclusion in evaluation surveys. Journal of Museum Education, 43(3)</w:t>
      </w:r>
      <w:r w:rsidR="00D82582">
        <w:rPr>
          <w:color w:val="000000" w:themeColor="text1"/>
        </w:rPr>
        <w:t>:</w:t>
      </w:r>
      <w:r>
        <w:rPr>
          <w:color w:val="000000" w:themeColor="text1"/>
        </w:rPr>
        <w:t xml:space="preserve"> 194-207.</w:t>
      </w:r>
    </w:p>
    <w:p w:rsidR="00B41D34" w:rsidP="00B41D34" w14:paraId="0E12822D" w14:textId="77777777">
      <w:pPr>
        <w:rPr>
          <w:rFonts w:eastAsiaTheme="minorHAnsi"/>
          <w:color w:val="000000" w:themeColor="text1"/>
        </w:rPr>
      </w:pPr>
    </w:p>
    <w:p w:rsidR="00B41D34" w:rsidP="00B41D34" w14:paraId="7718B8B5" w14:textId="2490FCE1">
      <w:pPr>
        <w:rPr>
          <w:rFonts w:eastAsiaTheme="minorHAnsi"/>
          <w:color w:val="000000" w:themeColor="text1"/>
        </w:rPr>
      </w:pPr>
      <w:r>
        <w:rPr>
          <w:rFonts w:eastAsiaTheme="minorHAnsi"/>
          <w:color w:val="000000" w:themeColor="text1"/>
        </w:rPr>
        <w:t>Manworren</w:t>
      </w:r>
      <w:r>
        <w:rPr>
          <w:rFonts w:eastAsiaTheme="minorHAnsi"/>
          <w:color w:val="000000" w:themeColor="text1"/>
        </w:rPr>
        <w:t xml:space="preserve">, R. C. B., and J. N. Stinson. </w:t>
      </w:r>
      <w:r>
        <w:rPr>
          <w:rFonts w:eastAsiaTheme="minorHAnsi"/>
          <w:color w:val="000000" w:themeColor="text1"/>
        </w:rPr>
        <w:t>2016. “Pediatric Pain Measurement, Assessment, and Evaluation.” Seminars in Pediatric Neurology 23 (3)</w:t>
      </w:r>
      <w:r w:rsidR="00D82582">
        <w:rPr>
          <w:rFonts w:eastAsiaTheme="minorHAnsi"/>
          <w:color w:val="000000" w:themeColor="text1"/>
        </w:rPr>
        <w:t>:</w:t>
      </w:r>
      <w:r>
        <w:rPr>
          <w:rFonts w:eastAsiaTheme="minorHAnsi"/>
          <w:color w:val="000000" w:themeColor="text1"/>
        </w:rPr>
        <w:t xml:space="preserve"> 189–200. </w:t>
      </w:r>
      <w:r>
        <w:rPr>
          <w:rFonts w:eastAsiaTheme="minorHAnsi"/>
          <w:color w:val="000000" w:themeColor="text1"/>
        </w:rPr>
        <w:t>doi:10.1016/j.spen</w:t>
      </w:r>
      <w:r>
        <w:rPr>
          <w:rFonts w:eastAsiaTheme="minorHAnsi"/>
          <w:color w:val="000000" w:themeColor="text1"/>
        </w:rPr>
        <w:t>.2016.10.001.</w:t>
      </w:r>
    </w:p>
    <w:p w:rsidR="00B41D34" w:rsidP="00B41D34" w14:paraId="0A72F915" w14:textId="77777777">
      <w:pPr>
        <w:rPr>
          <w:color w:val="000000" w:themeColor="text1"/>
        </w:rPr>
      </w:pPr>
    </w:p>
    <w:p w:rsidR="00B41D34" w:rsidP="00B41D34" w14:paraId="77CA61E2" w14:textId="77777777">
      <w:pPr>
        <w:rPr>
          <w:rFonts w:eastAsiaTheme="minorHAnsi"/>
          <w:color w:val="000000" w:themeColor="text1"/>
        </w:rPr>
      </w:pPr>
      <w:r>
        <w:rPr>
          <w:rFonts w:eastAsiaTheme="minorHAnsi"/>
          <w:color w:val="000000" w:themeColor="text1"/>
        </w:rPr>
        <w:t xml:space="preserve">Miller, Z. D. 2018. “Finding the Unicorn: Evidence-Based Best Practices for Improving Quantitative Measures.” </w:t>
      </w:r>
      <w:r>
        <w:rPr>
          <w:rFonts w:eastAsiaTheme="minorHAnsi"/>
          <w:color w:val="000000" w:themeColor="text1"/>
        </w:rPr>
        <w:t>Journal of Park and Recreation Administration 36 (4): 149–155. doi:10.18666/JPRA-2018-V36-I4-8889.</w:t>
      </w:r>
    </w:p>
    <w:p w:rsidR="00B41D34" w:rsidP="00B41D34" w14:paraId="2A1A1157" w14:textId="77777777">
      <w:pPr>
        <w:rPr>
          <w:rFonts w:eastAsiaTheme="minorHAnsi"/>
          <w:color w:val="000000" w:themeColor="text1"/>
        </w:rPr>
      </w:pPr>
    </w:p>
    <w:p w:rsidR="00B41D34" w:rsidP="00B41D34" w14:paraId="4518025C" w14:textId="77777777">
      <w:pPr>
        <w:rPr>
          <w:rFonts w:eastAsiaTheme="minorHAnsi"/>
          <w:color w:val="000000" w:themeColor="text1"/>
        </w:rPr>
      </w:pPr>
      <w:r>
        <w:rPr>
          <w:rFonts w:eastAsiaTheme="minorHAnsi"/>
          <w:color w:val="000000" w:themeColor="text1"/>
        </w:rPr>
        <w:t>Munshi, J. 2014. “A Method for Constructing Likert Scales.” Social Science Research Network. doi:10.2139/ssrn.2419366.</w:t>
      </w:r>
    </w:p>
    <w:p w:rsidR="00B41D34" w:rsidP="00B41D34" w14:paraId="451F4F66" w14:textId="77777777">
      <w:pPr>
        <w:pStyle w:val="Heading2"/>
        <w:rPr>
          <w:rFonts w:eastAsiaTheme="minorHAnsi"/>
          <w:color w:val="000000" w:themeColor="text1"/>
          <w:szCs w:val="24"/>
        </w:rPr>
      </w:pPr>
    </w:p>
    <w:p w:rsidR="00B41D34" w:rsidRPr="00651E40" w:rsidP="00B41D34" w14:paraId="5D35DCEF" w14:textId="1F3330BE">
      <w:pPr>
        <w:rPr>
          <w:bCs/>
        </w:rPr>
      </w:pPr>
      <w:r>
        <w:t xml:space="preserve">Powell, R.B., Stern, M. J., </w:t>
      </w:r>
      <w:r>
        <w:t>Frensley</w:t>
      </w:r>
      <w:r>
        <w:t xml:space="preserve">, B.T., &amp; Moore, D. </w:t>
      </w:r>
      <w:r w:rsidRPr="00C31BC1">
        <w:t>2019</w:t>
      </w:r>
      <w:r w:rsidR="00120E16">
        <w:t>.</w:t>
      </w:r>
      <w:r>
        <w:t xml:space="preserve"> Identifying and developing crosscutting environmental education outcomes for adolescents in the 21</w:t>
      </w:r>
      <w:r>
        <w:rPr>
          <w:vertAlign w:val="superscript"/>
        </w:rPr>
        <w:t>st</w:t>
      </w:r>
      <w:r>
        <w:t xml:space="preserve"> Century (EE21). Environmental Education Research, </w:t>
      </w:r>
      <w:r w:rsidRPr="00651E40">
        <w:rPr>
          <w:rStyle w:val="volumeissue"/>
          <w:bCs/>
          <w:color w:val="000000" w:themeColor="text1"/>
          <w:szCs w:val="24"/>
        </w:rPr>
        <w:t>25(9)</w:t>
      </w:r>
      <w:r w:rsidR="00D82582">
        <w:rPr>
          <w:rStyle w:val="volumeissue"/>
          <w:bCs/>
          <w:color w:val="000000" w:themeColor="text1"/>
          <w:szCs w:val="24"/>
        </w:rPr>
        <w:t>:</w:t>
      </w:r>
      <w:r w:rsidRPr="00651E40">
        <w:rPr>
          <w:bCs/>
        </w:rPr>
        <w:t xml:space="preserve"> </w:t>
      </w:r>
      <w:r w:rsidRPr="00651E40">
        <w:rPr>
          <w:rStyle w:val="pagerange"/>
          <w:bCs/>
          <w:color w:val="000000" w:themeColor="text1"/>
          <w:szCs w:val="24"/>
        </w:rPr>
        <w:t xml:space="preserve">1281-1299. </w:t>
      </w:r>
      <w:r w:rsidRPr="00651E40">
        <w:rPr>
          <w:bCs/>
        </w:rPr>
        <w:t>DOI:</w:t>
      </w:r>
      <w:r w:rsidRPr="00651E40">
        <w:rPr>
          <w:rStyle w:val="moveright"/>
          <w:bCs/>
          <w:color w:val="000000" w:themeColor="text1"/>
          <w:szCs w:val="24"/>
        </w:rPr>
        <w:t>10.1080/13504622.2019.1607259</w:t>
      </w:r>
    </w:p>
    <w:p w:rsidR="00B41D34" w:rsidP="00582FF6" w14:paraId="18568189" w14:textId="77777777"/>
    <w:p w:rsidR="00754345" w:rsidP="00754345" w14:paraId="110842CC" w14:textId="2F20ED77">
      <w:pPr>
        <w:rPr>
          <w:rFonts w:ascii="Times New Roman" w:hAnsi="Times New Roman" w:cs="Times New Roman"/>
          <w:color w:val="000000" w:themeColor="text1"/>
        </w:rPr>
      </w:pPr>
      <w:r>
        <w:rPr>
          <w:color w:val="000000" w:themeColor="text1"/>
        </w:rPr>
        <w:t xml:space="preserve">Salazar, G., </w:t>
      </w:r>
      <w:r>
        <w:rPr>
          <w:color w:val="000000" w:themeColor="text1"/>
        </w:rPr>
        <w:t xml:space="preserve">Monroe, M. C., Jordan, C., </w:t>
      </w:r>
      <w:r>
        <w:rPr>
          <w:color w:val="000000" w:themeColor="text1"/>
        </w:rPr>
        <w:t>Ardoin</w:t>
      </w:r>
      <w:r>
        <w:rPr>
          <w:color w:val="000000" w:themeColor="text1"/>
        </w:rPr>
        <w:t>, N. M., &amp; Beery, T. H. 2021. Improving assessments of connection to nature: A participatory approach. Frontiers in Ecology and Evolution, 498.</w:t>
      </w:r>
    </w:p>
    <w:p w:rsidR="009F6F8F" w:rsidP="00582FF6" w14:paraId="4584094A" w14:textId="77777777">
      <w:pPr>
        <w:rPr>
          <w:rStyle w:val="normaltextrun"/>
          <w:color w:val="000000"/>
          <w:shd w:val="clear" w:color="auto" w:fill="FFFFFF"/>
        </w:rPr>
      </w:pPr>
    </w:p>
    <w:p w:rsidR="00365D1D" w:rsidP="00582FF6" w14:paraId="60011357" w14:textId="71B3CF33">
      <w:pPr>
        <w:rPr>
          <w:rStyle w:val="normaltextrun"/>
          <w:color w:val="000000"/>
          <w:shd w:val="clear" w:color="auto" w:fill="FFFFFF"/>
        </w:rPr>
      </w:pPr>
      <w:r>
        <w:rPr>
          <w:rStyle w:val="normaltextrun"/>
          <w:color w:val="000000"/>
          <w:shd w:val="clear" w:color="auto" w:fill="FFFFFF"/>
        </w:rPr>
        <w:t>Vezeau</w:t>
      </w:r>
      <w:r>
        <w:rPr>
          <w:rStyle w:val="normaltextrun"/>
          <w:color w:val="000000"/>
          <w:shd w:val="clear" w:color="auto" w:fill="FFFFFF"/>
        </w:rPr>
        <w:t xml:space="preserve">, </w:t>
      </w:r>
      <w:r w:rsidR="00B30B77">
        <w:rPr>
          <w:rStyle w:val="normaltextrun"/>
          <w:color w:val="000000"/>
          <w:shd w:val="clear" w:color="auto" w:fill="FFFFFF"/>
        </w:rPr>
        <w:t>S.L., Powell, R.B., Stern, M.J., Moore, D., &amp; Wright, B. 2017</w:t>
      </w:r>
      <w:r w:rsidR="00120E16">
        <w:rPr>
          <w:rStyle w:val="normaltextrun"/>
          <w:color w:val="000000"/>
          <w:shd w:val="clear" w:color="auto" w:fill="FFFFFF"/>
        </w:rPr>
        <w:t xml:space="preserve">. </w:t>
      </w:r>
      <w:r w:rsidR="00B30B77">
        <w:rPr>
          <w:rStyle w:val="normaltextrun"/>
          <w:color w:val="000000"/>
          <w:shd w:val="clear" w:color="auto" w:fill="FFFFFF"/>
        </w:rPr>
        <w:t>Development and validation of two scales to measure elaboration and behaviors associated with stewardship in children.</w:t>
      </w:r>
      <w:r w:rsidR="002301A3">
        <w:rPr>
          <w:rStyle w:val="normaltextrun"/>
          <w:color w:val="000000"/>
          <w:shd w:val="clear" w:color="auto" w:fill="FFFFFF"/>
        </w:rPr>
        <w:t xml:space="preserve"> Environmental Education Research, </w:t>
      </w:r>
      <w:r w:rsidR="00305346">
        <w:rPr>
          <w:rStyle w:val="normaltextrun"/>
          <w:color w:val="000000"/>
          <w:shd w:val="clear" w:color="auto" w:fill="FFFFFF"/>
        </w:rPr>
        <w:t>23</w:t>
      </w:r>
      <w:r w:rsidR="006E2F01">
        <w:rPr>
          <w:rStyle w:val="normaltextrun"/>
          <w:color w:val="000000"/>
          <w:shd w:val="clear" w:color="auto" w:fill="FFFFFF"/>
        </w:rPr>
        <w:t>(2)</w:t>
      </w:r>
      <w:r w:rsidR="00D82582">
        <w:rPr>
          <w:rStyle w:val="normaltextrun"/>
          <w:color w:val="000000"/>
          <w:shd w:val="clear" w:color="auto" w:fill="FFFFFF"/>
        </w:rPr>
        <w:t>:</w:t>
      </w:r>
      <w:r w:rsidR="00305346">
        <w:rPr>
          <w:rStyle w:val="normaltextrun"/>
          <w:color w:val="000000"/>
          <w:shd w:val="clear" w:color="auto" w:fill="FFFFFF"/>
        </w:rPr>
        <w:t xml:space="preserve"> </w:t>
      </w:r>
      <w:r w:rsidR="00651E40">
        <w:rPr>
          <w:rStyle w:val="normaltextrun"/>
          <w:color w:val="000000"/>
          <w:shd w:val="clear" w:color="auto" w:fill="FFFFFF"/>
        </w:rPr>
        <w:t>192-213.</w:t>
      </w:r>
    </w:p>
    <w:p w:rsidR="00654D6A" w:rsidRPr="00E67EC4" w:rsidP="00582FF6" w14:paraId="1ADEC64D" w14:textId="30DE23B1"/>
    <w:sectPr w:rsidSect="00F54295">
      <w:footerReference w:type="default" r:id="rId12"/>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7E8" w:rsidP="00536446" w14:paraId="045F5D32" w14:textId="1B70E29D">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 </w:t>
    </w:r>
  </w:p>
  <w:p w:rsidR="00A227E8" w:rsidP="002D45B1" w14:paraId="5986E7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55ED" w:rsidP="002D45B1" w14:paraId="38DD670C" w14:textId="77777777">
      <w:r>
        <w:separator/>
      </w:r>
    </w:p>
  </w:footnote>
  <w:footnote w:type="continuationSeparator" w:id="1">
    <w:p w:rsidR="000E55ED" w:rsidP="002D45B1" w14:paraId="0FEBA334" w14:textId="77777777">
      <w:r>
        <w:continuationSeparator/>
      </w:r>
    </w:p>
  </w:footnote>
  <w:footnote w:type="continuationNotice" w:id="2">
    <w:p w:rsidR="000E55ED" w14:paraId="10896999" w14:textId="77777777"/>
  </w:footnote>
  <w:footnote w:id="3">
    <w:p w:rsidR="00DB65FC" w14:paraId="5C898B61" w14:textId="64DBB037">
      <w:pPr>
        <w:pStyle w:val="FootnoteText"/>
      </w:pPr>
      <w:r>
        <w:rPr>
          <w:rStyle w:val="FootnoteReference"/>
        </w:rPr>
        <w:footnoteRef/>
      </w:r>
      <w:r>
        <w:t xml:space="preserve"> </w:t>
      </w:r>
      <w:r w:rsidRPr="00CB672A">
        <w:rPr>
          <w:bCs/>
          <w:iCs/>
        </w:rPr>
        <w:t xml:space="preserve">These information collection methods are further detailed in the </w:t>
      </w:r>
      <w:r w:rsidRPr="00CB672A">
        <w:rPr>
          <w:bCs/>
          <w:i/>
        </w:rPr>
        <w:t>Guidelines for Programmatic Clearance for NPS-Sponsored Surveys</w:t>
      </w:r>
      <w:r w:rsidRPr="007E521E">
        <w:rPr>
          <w:bCs/>
          <w:iCs/>
        </w:rPr>
        <w:t xml:space="preserve"> (attached </w:t>
      </w:r>
      <w:r w:rsidRPr="00FF067D">
        <w:rPr>
          <w:bCs/>
          <w:iCs/>
        </w:rPr>
        <w:t>in ROCIS as a Supplementary Document).</w:t>
      </w:r>
    </w:p>
  </w:footnote>
  <w:footnote w:id="4">
    <w:p w:rsidR="00851485" w:rsidP="00851485" w14:paraId="0A1F3210" w14:textId="77777777">
      <w:pPr>
        <w:pStyle w:val="FootnoteText"/>
      </w:pPr>
      <w:r>
        <w:rPr>
          <w:rStyle w:val="FootnoteReference"/>
        </w:rPr>
        <w:footnoteRef/>
      </w:r>
      <w:r>
        <w:t xml:space="preserve"> </w:t>
      </w:r>
      <w:r w:rsidRPr="00CB672A">
        <w:rPr>
          <w:bCs/>
          <w:iCs/>
        </w:rPr>
        <w:t>The</w:t>
      </w:r>
      <w:r>
        <w:rPr>
          <w:bCs/>
          <w:iCs/>
        </w:rPr>
        <w:t xml:space="preserve"> </w:t>
      </w:r>
      <w:r>
        <w:rPr>
          <w:bCs/>
          <w:i/>
        </w:rPr>
        <w:t>Pool of Known Questions</w:t>
      </w:r>
      <w:r>
        <w:rPr>
          <w:bCs/>
          <w:iCs/>
        </w:rPr>
        <w:t xml:space="preserve"> is included as a Supplementary Document (attached in ROCIS)</w:t>
      </w:r>
      <w:r w:rsidRPr="00FF067D">
        <w:rPr>
          <w:bCs/>
          <w:iCs/>
        </w:rPr>
        <w:t>.</w:t>
      </w:r>
    </w:p>
  </w:footnote>
  <w:footnote w:id="5">
    <w:p w:rsidR="00C460C3" w:rsidP="00C460C3" w14:paraId="7416F583" w14:textId="77777777">
      <w:pPr>
        <w:pStyle w:val="FootnoteText"/>
      </w:pPr>
      <w:r>
        <w:rPr>
          <w:rStyle w:val="FootnoteReference"/>
        </w:rPr>
        <w:footnoteRef/>
      </w:r>
      <w:r>
        <w:t xml:space="preserve"> </w:t>
      </w:r>
      <w:r w:rsidRPr="00762B4B">
        <w:t xml:space="preserve">These topic areas are outlined in detail within the </w:t>
      </w:r>
      <w:r w:rsidRPr="00762B4B">
        <w:rPr>
          <w:i/>
          <w:iCs/>
        </w:rPr>
        <w:t>Guidelines for Programmatic Clearance for NPS-Sponsored Public Surveys</w:t>
      </w:r>
    </w:p>
  </w:footnote>
  <w:footnote w:id="6">
    <w:p w:rsidR="00A227E8" w:rsidP="00A323A1" w14:paraId="538AAA6D" w14:textId="76D0ABBC">
      <w:pPr>
        <w:pStyle w:val="FootnoteText"/>
      </w:pPr>
      <w:r>
        <w:rPr>
          <w:rStyle w:val="FootnoteReference"/>
        </w:rPr>
        <w:footnoteRef/>
      </w:r>
      <w:r>
        <w:t xml:space="preserve"> </w:t>
      </w:r>
      <w:r w:rsidRPr="00CC5E71">
        <w:rPr>
          <w:rFonts w:ascii="Calibri" w:hAnsi="Calibri"/>
          <w:sz w:val="18"/>
          <w:szCs w:val="22"/>
        </w:rPr>
        <w:t xml:space="preserve">These include the: </w:t>
      </w:r>
      <w:r w:rsidRPr="00CC5E71">
        <w:rPr>
          <w:rFonts w:ascii="Calibri" w:hAnsi="Calibri"/>
          <w:i/>
          <w:sz w:val="18"/>
          <w:szCs w:val="22"/>
        </w:rPr>
        <w:t>National Survey of</w:t>
      </w:r>
      <w:r>
        <w:rPr>
          <w:rFonts w:ascii="Calibri" w:hAnsi="Calibri"/>
          <w:i/>
          <w:sz w:val="18"/>
          <w:szCs w:val="22"/>
        </w:rPr>
        <w:t xml:space="preserve"> Hunting, Fishing, and Wildlif</w:t>
      </w:r>
      <w:r>
        <w:rPr>
          <w:rFonts w:ascii="Calibri" w:hAnsi="Calibri"/>
          <w:i/>
          <w:sz w:val="18"/>
          <w:szCs w:val="22"/>
        </w:rPr>
        <w:t>e and</w:t>
      </w:r>
      <w:r w:rsidRPr="00CC5E71">
        <w:rPr>
          <w:rFonts w:ascii="Calibri" w:hAnsi="Calibri"/>
          <w:i/>
          <w:sz w:val="18"/>
          <w:szCs w:val="22"/>
        </w:rPr>
        <w:t xml:space="preserve"> Recreation </w:t>
      </w:r>
      <w:r w:rsidRPr="00CC5E71">
        <w:rPr>
          <w:rFonts w:ascii="Calibri" w:hAnsi="Calibri"/>
          <w:sz w:val="18"/>
          <w:szCs w:val="22"/>
        </w:rPr>
        <w:t>(</w:t>
      </w:r>
      <w:r>
        <w:rPr>
          <w:rFonts w:ascii="Calibri" w:hAnsi="Calibri"/>
          <w:sz w:val="18"/>
          <w:szCs w:val="22"/>
        </w:rPr>
        <w:t>#1018-0088</w:t>
      </w:r>
      <w:r w:rsidRPr="00CC5E71">
        <w:rPr>
          <w:rFonts w:ascii="Calibri" w:hAnsi="Calibri"/>
          <w:sz w:val="18"/>
          <w:szCs w:val="22"/>
        </w:rPr>
        <w:t xml:space="preserve">); </w:t>
      </w:r>
      <w:r w:rsidRPr="00CC5E71">
        <w:rPr>
          <w:rFonts w:ascii="Calibri" w:hAnsi="Calibri"/>
          <w:i/>
          <w:sz w:val="18"/>
          <w:szCs w:val="22"/>
        </w:rPr>
        <w:t>National Survey on Recreation and the Environment</w:t>
      </w:r>
      <w:r w:rsidRPr="00CC5E71">
        <w:rPr>
          <w:rFonts w:ascii="Calibri" w:hAnsi="Calibri"/>
          <w:sz w:val="18"/>
          <w:szCs w:val="22"/>
        </w:rPr>
        <w:t xml:space="preserve"> (</w:t>
      </w:r>
      <w:r>
        <w:rPr>
          <w:rFonts w:ascii="Calibri" w:hAnsi="Calibri"/>
          <w:sz w:val="18"/>
          <w:szCs w:val="22"/>
        </w:rPr>
        <w:t>#0596-0127</w:t>
      </w:r>
      <w:r w:rsidRPr="00CC5E71">
        <w:rPr>
          <w:rFonts w:ascii="Calibri" w:hAnsi="Calibri"/>
          <w:sz w:val="18"/>
          <w:szCs w:val="22"/>
        </w:rPr>
        <w:t xml:space="preserve">); </w:t>
      </w:r>
      <w:r w:rsidRPr="00CC5E71">
        <w:rPr>
          <w:rFonts w:ascii="Calibri" w:hAnsi="Calibri"/>
          <w:i/>
          <w:sz w:val="18"/>
          <w:szCs w:val="22"/>
        </w:rPr>
        <w:t>NPS Comprehensive Survey of the American Public</w:t>
      </w:r>
      <w:r>
        <w:rPr>
          <w:rFonts w:ascii="Calibri" w:hAnsi="Calibri"/>
          <w:i/>
          <w:sz w:val="18"/>
          <w:szCs w:val="22"/>
        </w:rPr>
        <w:t xml:space="preserve"> (NPS)</w:t>
      </w:r>
      <w:r w:rsidRPr="00CC5E71">
        <w:rPr>
          <w:rFonts w:ascii="Calibri" w:hAnsi="Calibri"/>
          <w:i/>
          <w:sz w:val="18"/>
          <w:szCs w:val="22"/>
        </w:rPr>
        <w:t>;</w:t>
      </w:r>
      <w:r w:rsidRPr="00CC5E71">
        <w:rPr>
          <w:rFonts w:ascii="Calibri" w:hAnsi="Calibri"/>
          <w:sz w:val="18"/>
          <w:szCs w:val="22"/>
        </w:rPr>
        <w:t xml:space="preserve"> the National Visitor Use Monitoring Program</w:t>
      </w:r>
      <w:r>
        <w:rPr>
          <w:rFonts w:ascii="Calibri" w:hAnsi="Calibri"/>
          <w:sz w:val="18"/>
          <w:szCs w:val="22"/>
        </w:rPr>
        <w:t xml:space="preserve"> (#0596-0232)</w:t>
      </w:r>
      <w:r w:rsidR="00B804F3">
        <w:rPr>
          <w:rFonts w:ascii="Calibri" w:hAnsi="Calibri"/>
          <w:sz w:val="18"/>
          <w:szCs w:val="22"/>
        </w:rPr>
        <w:t xml:space="preserve"> </w:t>
      </w:r>
      <w:r>
        <w:rPr>
          <w:rFonts w:ascii="Calibri" w:hAnsi="Calibri"/>
          <w:sz w:val="18"/>
          <w:szCs w:val="22"/>
        </w:rPr>
        <w:t xml:space="preserve">and the </w:t>
      </w:r>
      <w:r w:rsidRPr="0037081D">
        <w:rPr>
          <w:rFonts w:ascii="Calibri" w:hAnsi="Calibri"/>
          <w:i/>
          <w:sz w:val="18"/>
          <w:szCs w:val="22"/>
        </w:rPr>
        <w:t xml:space="preserve">Interagency Recreation </w:t>
      </w:r>
      <w:r w:rsidR="00B804F3">
        <w:rPr>
          <w:rFonts w:ascii="Calibri" w:hAnsi="Calibri"/>
          <w:i/>
          <w:sz w:val="18"/>
          <w:szCs w:val="22"/>
        </w:rPr>
        <w:t>a</w:t>
      </w:r>
      <w:r w:rsidRPr="0037081D">
        <w:rPr>
          <w:rFonts w:ascii="Calibri" w:hAnsi="Calibri"/>
          <w:i/>
          <w:sz w:val="18"/>
          <w:szCs w:val="22"/>
        </w:rPr>
        <w:t>nd Transportation Survey (#0596-0236)</w:t>
      </w:r>
      <w:r>
        <w:rPr>
          <w:rFonts w:ascii="Calibri" w:hAnsi="Calibri"/>
          <w:sz w:val="18"/>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61EF5"/>
    <w:multiLevelType w:val="hybridMultilevel"/>
    <w:tmpl w:val="89586B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
    <w:nsid w:val="12D47FE3"/>
    <w:multiLevelType w:val="hybridMultilevel"/>
    <w:tmpl w:val="122C8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80033F"/>
    <w:multiLevelType w:val="hybridMultilevel"/>
    <w:tmpl w:val="A8402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B16C84"/>
    <w:multiLevelType w:val="hybridMultilevel"/>
    <w:tmpl w:val="BAAE3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0D2FEB"/>
    <w:multiLevelType w:val="hybridMultilevel"/>
    <w:tmpl w:val="ECC0FF1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5">
    <w:nsid w:val="48B17B1D"/>
    <w:multiLevelType w:val="hybridMultilevel"/>
    <w:tmpl w:val="E60E3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8"/>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114D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71800719">
    <w:abstractNumId w:val="2"/>
  </w:num>
  <w:num w:numId="2" w16cid:durableId="118961374">
    <w:abstractNumId w:val="5"/>
  </w:num>
  <w:num w:numId="3" w16cid:durableId="1593589609">
    <w:abstractNumId w:val="1"/>
  </w:num>
  <w:num w:numId="4" w16cid:durableId="1790082384">
    <w:abstractNumId w:val="6"/>
  </w:num>
  <w:num w:numId="5" w16cid:durableId="957294935">
    <w:abstractNumId w:val="3"/>
  </w:num>
  <w:num w:numId="6" w16cid:durableId="561216865">
    <w:abstractNumId w:val="4"/>
  </w:num>
  <w:num w:numId="7" w16cid:durableId="10794756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06AC"/>
    <w:rsid w:val="000006C0"/>
    <w:rsid w:val="00000B4C"/>
    <w:rsid w:val="00001ACE"/>
    <w:rsid w:val="000039C4"/>
    <w:rsid w:val="00003BC5"/>
    <w:rsid w:val="00005AA0"/>
    <w:rsid w:val="00005E57"/>
    <w:rsid w:val="00006F59"/>
    <w:rsid w:val="00007DBB"/>
    <w:rsid w:val="000115C9"/>
    <w:rsid w:val="00012830"/>
    <w:rsid w:val="00012DE8"/>
    <w:rsid w:val="00012F24"/>
    <w:rsid w:val="0001396B"/>
    <w:rsid w:val="00014C43"/>
    <w:rsid w:val="000150C0"/>
    <w:rsid w:val="000154EA"/>
    <w:rsid w:val="00015FFD"/>
    <w:rsid w:val="00017471"/>
    <w:rsid w:val="000207F0"/>
    <w:rsid w:val="00021592"/>
    <w:rsid w:val="000216D2"/>
    <w:rsid w:val="00021E13"/>
    <w:rsid w:val="00021F18"/>
    <w:rsid w:val="0002271E"/>
    <w:rsid w:val="00023262"/>
    <w:rsid w:val="0002388C"/>
    <w:rsid w:val="00023F86"/>
    <w:rsid w:val="000242C5"/>
    <w:rsid w:val="00024597"/>
    <w:rsid w:val="00024C60"/>
    <w:rsid w:val="000256CA"/>
    <w:rsid w:val="000264C4"/>
    <w:rsid w:val="00026D9E"/>
    <w:rsid w:val="0002706F"/>
    <w:rsid w:val="000307D0"/>
    <w:rsid w:val="0003090E"/>
    <w:rsid w:val="00030AB0"/>
    <w:rsid w:val="00030DE3"/>
    <w:rsid w:val="00031B33"/>
    <w:rsid w:val="00031E60"/>
    <w:rsid w:val="0003227C"/>
    <w:rsid w:val="000329B1"/>
    <w:rsid w:val="00032B69"/>
    <w:rsid w:val="0003394D"/>
    <w:rsid w:val="00033B64"/>
    <w:rsid w:val="0003475F"/>
    <w:rsid w:val="00034D80"/>
    <w:rsid w:val="000361EB"/>
    <w:rsid w:val="000372CA"/>
    <w:rsid w:val="00037703"/>
    <w:rsid w:val="000409DE"/>
    <w:rsid w:val="00040D71"/>
    <w:rsid w:val="00041690"/>
    <w:rsid w:val="00041C69"/>
    <w:rsid w:val="000428AF"/>
    <w:rsid w:val="0004315C"/>
    <w:rsid w:val="00044D76"/>
    <w:rsid w:val="00045F9D"/>
    <w:rsid w:val="00045FC4"/>
    <w:rsid w:val="00046382"/>
    <w:rsid w:val="00046F29"/>
    <w:rsid w:val="000475D5"/>
    <w:rsid w:val="00047E61"/>
    <w:rsid w:val="0005065D"/>
    <w:rsid w:val="00050A5F"/>
    <w:rsid w:val="00050B89"/>
    <w:rsid w:val="00050E56"/>
    <w:rsid w:val="000521B5"/>
    <w:rsid w:val="00052561"/>
    <w:rsid w:val="00052EED"/>
    <w:rsid w:val="0005370C"/>
    <w:rsid w:val="00053A39"/>
    <w:rsid w:val="00053AAC"/>
    <w:rsid w:val="00053C9D"/>
    <w:rsid w:val="00054B22"/>
    <w:rsid w:val="000565C0"/>
    <w:rsid w:val="00056745"/>
    <w:rsid w:val="00057190"/>
    <w:rsid w:val="0006041C"/>
    <w:rsid w:val="000608D6"/>
    <w:rsid w:val="00060CF3"/>
    <w:rsid w:val="00060E9C"/>
    <w:rsid w:val="00060EFD"/>
    <w:rsid w:val="000618E9"/>
    <w:rsid w:val="00061C50"/>
    <w:rsid w:val="00062B4C"/>
    <w:rsid w:val="00063D7C"/>
    <w:rsid w:val="000640DF"/>
    <w:rsid w:val="000652D1"/>
    <w:rsid w:val="00065638"/>
    <w:rsid w:val="00065643"/>
    <w:rsid w:val="00066914"/>
    <w:rsid w:val="00066A9C"/>
    <w:rsid w:val="00066D80"/>
    <w:rsid w:val="0006742C"/>
    <w:rsid w:val="000677D6"/>
    <w:rsid w:val="00067F69"/>
    <w:rsid w:val="0007112E"/>
    <w:rsid w:val="00071407"/>
    <w:rsid w:val="00071660"/>
    <w:rsid w:val="00071833"/>
    <w:rsid w:val="00071D74"/>
    <w:rsid w:val="00071F18"/>
    <w:rsid w:val="0007226D"/>
    <w:rsid w:val="00072546"/>
    <w:rsid w:val="000731A9"/>
    <w:rsid w:val="00073B44"/>
    <w:rsid w:val="0007468D"/>
    <w:rsid w:val="000753AA"/>
    <w:rsid w:val="0007636F"/>
    <w:rsid w:val="000763CA"/>
    <w:rsid w:val="00077261"/>
    <w:rsid w:val="000779FB"/>
    <w:rsid w:val="00080491"/>
    <w:rsid w:val="00081E10"/>
    <w:rsid w:val="000827AB"/>
    <w:rsid w:val="00082B9F"/>
    <w:rsid w:val="0008402B"/>
    <w:rsid w:val="000845FF"/>
    <w:rsid w:val="000846DF"/>
    <w:rsid w:val="00084829"/>
    <w:rsid w:val="00084913"/>
    <w:rsid w:val="0008548C"/>
    <w:rsid w:val="00085ACE"/>
    <w:rsid w:val="0008616C"/>
    <w:rsid w:val="00087965"/>
    <w:rsid w:val="00087FD2"/>
    <w:rsid w:val="0009094A"/>
    <w:rsid w:val="0009094B"/>
    <w:rsid w:val="00091667"/>
    <w:rsid w:val="000916C9"/>
    <w:rsid w:val="00091E2F"/>
    <w:rsid w:val="00092FFE"/>
    <w:rsid w:val="000934FD"/>
    <w:rsid w:val="0009372A"/>
    <w:rsid w:val="00094AA7"/>
    <w:rsid w:val="00095713"/>
    <w:rsid w:val="0009580D"/>
    <w:rsid w:val="0009597F"/>
    <w:rsid w:val="00095F18"/>
    <w:rsid w:val="0009718F"/>
    <w:rsid w:val="000975D2"/>
    <w:rsid w:val="000A026A"/>
    <w:rsid w:val="000A0B70"/>
    <w:rsid w:val="000A0D71"/>
    <w:rsid w:val="000A1480"/>
    <w:rsid w:val="000A209B"/>
    <w:rsid w:val="000A4CCB"/>
    <w:rsid w:val="000A4CE3"/>
    <w:rsid w:val="000A5C72"/>
    <w:rsid w:val="000A76B9"/>
    <w:rsid w:val="000A7B35"/>
    <w:rsid w:val="000B1812"/>
    <w:rsid w:val="000B1BBC"/>
    <w:rsid w:val="000B203B"/>
    <w:rsid w:val="000B227E"/>
    <w:rsid w:val="000B232B"/>
    <w:rsid w:val="000B2822"/>
    <w:rsid w:val="000B2B1A"/>
    <w:rsid w:val="000B3E08"/>
    <w:rsid w:val="000B41D9"/>
    <w:rsid w:val="000B4F28"/>
    <w:rsid w:val="000B5426"/>
    <w:rsid w:val="000B55CF"/>
    <w:rsid w:val="000B5A7C"/>
    <w:rsid w:val="000B5FA1"/>
    <w:rsid w:val="000B61D0"/>
    <w:rsid w:val="000B6849"/>
    <w:rsid w:val="000B7264"/>
    <w:rsid w:val="000B773D"/>
    <w:rsid w:val="000B7E7C"/>
    <w:rsid w:val="000C25CD"/>
    <w:rsid w:val="000C2CA5"/>
    <w:rsid w:val="000C2D5B"/>
    <w:rsid w:val="000C2DF0"/>
    <w:rsid w:val="000C3643"/>
    <w:rsid w:val="000C393E"/>
    <w:rsid w:val="000C3C8B"/>
    <w:rsid w:val="000C4173"/>
    <w:rsid w:val="000C4B5B"/>
    <w:rsid w:val="000C5A51"/>
    <w:rsid w:val="000C5AB1"/>
    <w:rsid w:val="000C745D"/>
    <w:rsid w:val="000C7710"/>
    <w:rsid w:val="000C7F8E"/>
    <w:rsid w:val="000D1473"/>
    <w:rsid w:val="000D1B00"/>
    <w:rsid w:val="000D1BD7"/>
    <w:rsid w:val="000D1E65"/>
    <w:rsid w:val="000D2548"/>
    <w:rsid w:val="000D2BCE"/>
    <w:rsid w:val="000D3CA1"/>
    <w:rsid w:val="000D498D"/>
    <w:rsid w:val="000D52E0"/>
    <w:rsid w:val="000D5AEA"/>
    <w:rsid w:val="000D5E2A"/>
    <w:rsid w:val="000D617B"/>
    <w:rsid w:val="000D62A6"/>
    <w:rsid w:val="000D6E9E"/>
    <w:rsid w:val="000D7112"/>
    <w:rsid w:val="000D77A3"/>
    <w:rsid w:val="000E037F"/>
    <w:rsid w:val="000E1488"/>
    <w:rsid w:val="000E17CF"/>
    <w:rsid w:val="000E1B82"/>
    <w:rsid w:val="000E1CB3"/>
    <w:rsid w:val="000E385B"/>
    <w:rsid w:val="000E3C24"/>
    <w:rsid w:val="000E4488"/>
    <w:rsid w:val="000E55ED"/>
    <w:rsid w:val="000E6C40"/>
    <w:rsid w:val="000E77F2"/>
    <w:rsid w:val="000F0044"/>
    <w:rsid w:val="000F0069"/>
    <w:rsid w:val="000F0463"/>
    <w:rsid w:val="000F051F"/>
    <w:rsid w:val="000F0B80"/>
    <w:rsid w:val="000F10D2"/>
    <w:rsid w:val="000F1182"/>
    <w:rsid w:val="000F1D1F"/>
    <w:rsid w:val="000F2E89"/>
    <w:rsid w:val="000F5B0D"/>
    <w:rsid w:val="000F6A2C"/>
    <w:rsid w:val="000F6B21"/>
    <w:rsid w:val="0010249A"/>
    <w:rsid w:val="00102B10"/>
    <w:rsid w:val="001050C1"/>
    <w:rsid w:val="00105356"/>
    <w:rsid w:val="0010587B"/>
    <w:rsid w:val="00105C96"/>
    <w:rsid w:val="00110129"/>
    <w:rsid w:val="00110516"/>
    <w:rsid w:val="00112768"/>
    <w:rsid w:val="00112ED8"/>
    <w:rsid w:val="00112F9C"/>
    <w:rsid w:val="00115140"/>
    <w:rsid w:val="00115368"/>
    <w:rsid w:val="00116FBC"/>
    <w:rsid w:val="001172E7"/>
    <w:rsid w:val="001175BF"/>
    <w:rsid w:val="00117AA0"/>
    <w:rsid w:val="00117F40"/>
    <w:rsid w:val="001201E9"/>
    <w:rsid w:val="00120372"/>
    <w:rsid w:val="00120CB6"/>
    <w:rsid w:val="00120E16"/>
    <w:rsid w:val="00121074"/>
    <w:rsid w:val="00121422"/>
    <w:rsid w:val="001229B3"/>
    <w:rsid w:val="00122B7A"/>
    <w:rsid w:val="00122E32"/>
    <w:rsid w:val="001230A5"/>
    <w:rsid w:val="0012326F"/>
    <w:rsid w:val="001237D2"/>
    <w:rsid w:val="001238D5"/>
    <w:rsid w:val="001249D7"/>
    <w:rsid w:val="00126A68"/>
    <w:rsid w:val="00127729"/>
    <w:rsid w:val="00130306"/>
    <w:rsid w:val="00130640"/>
    <w:rsid w:val="00131538"/>
    <w:rsid w:val="0013201D"/>
    <w:rsid w:val="00132662"/>
    <w:rsid w:val="00132DBC"/>
    <w:rsid w:val="00133032"/>
    <w:rsid w:val="00133349"/>
    <w:rsid w:val="00134AA6"/>
    <w:rsid w:val="00135EE9"/>
    <w:rsid w:val="001410F1"/>
    <w:rsid w:val="00141697"/>
    <w:rsid w:val="00142407"/>
    <w:rsid w:val="00143136"/>
    <w:rsid w:val="0014376A"/>
    <w:rsid w:val="00143B76"/>
    <w:rsid w:val="0014415D"/>
    <w:rsid w:val="00144254"/>
    <w:rsid w:val="001444EB"/>
    <w:rsid w:val="001444F5"/>
    <w:rsid w:val="00144CA4"/>
    <w:rsid w:val="001455B8"/>
    <w:rsid w:val="00145D13"/>
    <w:rsid w:val="00147871"/>
    <w:rsid w:val="00147B28"/>
    <w:rsid w:val="00147F2A"/>
    <w:rsid w:val="00150359"/>
    <w:rsid w:val="00150437"/>
    <w:rsid w:val="0015075B"/>
    <w:rsid w:val="0015109F"/>
    <w:rsid w:val="001512BE"/>
    <w:rsid w:val="001519F1"/>
    <w:rsid w:val="00153299"/>
    <w:rsid w:val="00153793"/>
    <w:rsid w:val="001537E1"/>
    <w:rsid w:val="001539C4"/>
    <w:rsid w:val="001545E0"/>
    <w:rsid w:val="00157494"/>
    <w:rsid w:val="00157807"/>
    <w:rsid w:val="00157AC8"/>
    <w:rsid w:val="00157F24"/>
    <w:rsid w:val="00161410"/>
    <w:rsid w:val="0016179D"/>
    <w:rsid w:val="00161984"/>
    <w:rsid w:val="00161B7F"/>
    <w:rsid w:val="001626BA"/>
    <w:rsid w:val="00162A65"/>
    <w:rsid w:val="00163227"/>
    <w:rsid w:val="0016366F"/>
    <w:rsid w:val="0016376E"/>
    <w:rsid w:val="00164DCF"/>
    <w:rsid w:val="00165195"/>
    <w:rsid w:val="00165946"/>
    <w:rsid w:val="00166571"/>
    <w:rsid w:val="00167ED7"/>
    <w:rsid w:val="00170368"/>
    <w:rsid w:val="0017088C"/>
    <w:rsid w:val="00170DFF"/>
    <w:rsid w:val="001710FD"/>
    <w:rsid w:val="00171307"/>
    <w:rsid w:val="00171EB2"/>
    <w:rsid w:val="00172036"/>
    <w:rsid w:val="00173758"/>
    <w:rsid w:val="00173954"/>
    <w:rsid w:val="001744BA"/>
    <w:rsid w:val="0017462E"/>
    <w:rsid w:val="00174D3F"/>
    <w:rsid w:val="001759A3"/>
    <w:rsid w:val="00175A41"/>
    <w:rsid w:val="001762FF"/>
    <w:rsid w:val="00176676"/>
    <w:rsid w:val="0017696E"/>
    <w:rsid w:val="0017766D"/>
    <w:rsid w:val="00180407"/>
    <w:rsid w:val="001825F3"/>
    <w:rsid w:val="0018513D"/>
    <w:rsid w:val="00185856"/>
    <w:rsid w:val="00185A2F"/>
    <w:rsid w:val="00186606"/>
    <w:rsid w:val="00186684"/>
    <w:rsid w:val="0018700F"/>
    <w:rsid w:val="001901E5"/>
    <w:rsid w:val="0019163A"/>
    <w:rsid w:val="00191FE8"/>
    <w:rsid w:val="0019249F"/>
    <w:rsid w:val="00194988"/>
    <w:rsid w:val="0019510D"/>
    <w:rsid w:val="00196E9E"/>
    <w:rsid w:val="001970A1"/>
    <w:rsid w:val="0019741C"/>
    <w:rsid w:val="00197997"/>
    <w:rsid w:val="001A0371"/>
    <w:rsid w:val="001A06CF"/>
    <w:rsid w:val="001A1789"/>
    <w:rsid w:val="001A237F"/>
    <w:rsid w:val="001A355E"/>
    <w:rsid w:val="001A4CF6"/>
    <w:rsid w:val="001A59E9"/>
    <w:rsid w:val="001A5C83"/>
    <w:rsid w:val="001A5E3A"/>
    <w:rsid w:val="001A74F1"/>
    <w:rsid w:val="001B096F"/>
    <w:rsid w:val="001B0FCA"/>
    <w:rsid w:val="001B1B1D"/>
    <w:rsid w:val="001B1BEB"/>
    <w:rsid w:val="001B316B"/>
    <w:rsid w:val="001B5AE1"/>
    <w:rsid w:val="001B5DD5"/>
    <w:rsid w:val="001B67B3"/>
    <w:rsid w:val="001B6CD3"/>
    <w:rsid w:val="001C0C00"/>
    <w:rsid w:val="001C0C67"/>
    <w:rsid w:val="001C187E"/>
    <w:rsid w:val="001C1A49"/>
    <w:rsid w:val="001C2671"/>
    <w:rsid w:val="001C284D"/>
    <w:rsid w:val="001C4F82"/>
    <w:rsid w:val="001C5D66"/>
    <w:rsid w:val="001C79A5"/>
    <w:rsid w:val="001D0E73"/>
    <w:rsid w:val="001D15A9"/>
    <w:rsid w:val="001D297D"/>
    <w:rsid w:val="001D2C9E"/>
    <w:rsid w:val="001D3442"/>
    <w:rsid w:val="001D4F0F"/>
    <w:rsid w:val="001D4F23"/>
    <w:rsid w:val="001D5466"/>
    <w:rsid w:val="001D5EDC"/>
    <w:rsid w:val="001D6A9F"/>
    <w:rsid w:val="001D7384"/>
    <w:rsid w:val="001D7E46"/>
    <w:rsid w:val="001E026A"/>
    <w:rsid w:val="001E0FF5"/>
    <w:rsid w:val="001E148F"/>
    <w:rsid w:val="001E204F"/>
    <w:rsid w:val="001E2921"/>
    <w:rsid w:val="001E2DC3"/>
    <w:rsid w:val="001E3148"/>
    <w:rsid w:val="001E45F6"/>
    <w:rsid w:val="001E492F"/>
    <w:rsid w:val="001E4C1E"/>
    <w:rsid w:val="001E58D6"/>
    <w:rsid w:val="001E79C0"/>
    <w:rsid w:val="001E7DE4"/>
    <w:rsid w:val="001F0189"/>
    <w:rsid w:val="001F05B8"/>
    <w:rsid w:val="001F150B"/>
    <w:rsid w:val="001F2AF6"/>
    <w:rsid w:val="001F41ED"/>
    <w:rsid w:val="001F4F6D"/>
    <w:rsid w:val="001F54E7"/>
    <w:rsid w:val="001F55C9"/>
    <w:rsid w:val="001F56BD"/>
    <w:rsid w:val="001F66A3"/>
    <w:rsid w:val="00200376"/>
    <w:rsid w:val="00200427"/>
    <w:rsid w:val="00201F0A"/>
    <w:rsid w:val="0020232E"/>
    <w:rsid w:val="00202B7D"/>
    <w:rsid w:val="00203C60"/>
    <w:rsid w:val="002041A6"/>
    <w:rsid w:val="00205699"/>
    <w:rsid w:val="00205AF0"/>
    <w:rsid w:val="002064A7"/>
    <w:rsid w:val="00206730"/>
    <w:rsid w:val="00207767"/>
    <w:rsid w:val="002105D4"/>
    <w:rsid w:val="00211FAC"/>
    <w:rsid w:val="0021253E"/>
    <w:rsid w:val="00212541"/>
    <w:rsid w:val="00213FA8"/>
    <w:rsid w:val="00214DDF"/>
    <w:rsid w:val="002153A3"/>
    <w:rsid w:val="0021594B"/>
    <w:rsid w:val="00216021"/>
    <w:rsid w:val="00216DB0"/>
    <w:rsid w:val="002170C7"/>
    <w:rsid w:val="002172ED"/>
    <w:rsid w:val="00217881"/>
    <w:rsid w:val="0021793F"/>
    <w:rsid w:val="00217E5F"/>
    <w:rsid w:val="0022200A"/>
    <w:rsid w:val="002226A3"/>
    <w:rsid w:val="00222799"/>
    <w:rsid w:val="002234A3"/>
    <w:rsid w:val="00223890"/>
    <w:rsid w:val="002244E6"/>
    <w:rsid w:val="00224777"/>
    <w:rsid w:val="0022482B"/>
    <w:rsid w:val="00225695"/>
    <w:rsid w:val="00225A4A"/>
    <w:rsid w:val="00226CF5"/>
    <w:rsid w:val="00227469"/>
    <w:rsid w:val="0022754A"/>
    <w:rsid w:val="002278D0"/>
    <w:rsid w:val="00227F09"/>
    <w:rsid w:val="002301A3"/>
    <w:rsid w:val="00230783"/>
    <w:rsid w:val="00230A18"/>
    <w:rsid w:val="0023119A"/>
    <w:rsid w:val="00232E32"/>
    <w:rsid w:val="00232E3F"/>
    <w:rsid w:val="00233D34"/>
    <w:rsid w:val="00233DAF"/>
    <w:rsid w:val="002348A5"/>
    <w:rsid w:val="00235653"/>
    <w:rsid w:val="002366C7"/>
    <w:rsid w:val="00236CD6"/>
    <w:rsid w:val="00236F8F"/>
    <w:rsid w:val="00237174"/>
    <w:rsid w:val="00241862"/>
    <w:rsid w:val="00241C5E"/>
    <w:rsid w:val="00241FB5"/>
    <w:rsid w:val="00242BA9"/>
    <w:rsid w:val="0024440B"/>
    <w:rsid w:val="002448BF"/>
    <w:rsid w:val="0024588D"/>
    <w:rsid w:val="00247ACD"/>
    <w:rsid w:val="00250815"/>
    <w:rsid w:val="0025095B"/>
    <w:rsid w:val="00251062"/>
    <w:rsid w:val="002512BC"/>
    <w:rsid w:val="002514F3"/>
    <w:rsid w:val="00251C1A"/>
    <w:rsid w:val="00252301"/>
    <w:rsid w:val="00252528"/>
    <w:rsid w:val="00253E51"/>
    <w:rsid w:val="00254001"/>
    <w:rsid w:val="002550B1"/>
    <w:rsid w:val="002550ED"/>
    <w:rsid w:val="00255D14"/>
    <w:rsid w:val="00255ECE"/>
    <w:rsid w:val="00255EF3"/>
    <w:rsid w:val="00260DEE"/>
    <w:rsid w:val="0026235E"/>
    <w:rsid w:val="00262CE5"/>
    <w:rsid w:val="0026307C"/>
    <w:rsid w:val="00263473"/>
    <w:rsid w:val="00263770"/>
    <w:rsid w:val="00264BE6"/>
    <w:rsid w:val="00266991"/>
    <w:rsid w:val="002677E5"/>
    <w:rsid w:val="00267EF9"/>
    <w:rsid w:val="002705B6"/>
    <w:rsid w:val="00270742"/>
    <w:rsid w:val="00271EA0"/>
    <w:rsid w:val="00271F50"/>
    <w:rsid w:val="0027279F"/>
    <w:rsid w:val="00272A30"/>
    <w:rsid w:val="00273208"/>
    <w:rsid w:val="002733C8"/>
    <w:rsid w:val="002739DB"/>
    <w:rsid w:val="00273CA6"/>
    <w:rsid w:val="00275569"/>
    <w:rsid w:val="00275570"/>
    <w:rsid w:val="00275A9C"/>
    <w:rsid w:val="0027647F"/>
    <w:rsid w:val="00276B08"/>
    <w:rsid w:val="002775D9"/>
    <w:rsid w:val="002778F7"/>
    <w:rsid w:val="00277DCD"/>
    <w:rsid w:val="00280667"/>
    <w:rsid w:val="00280BF6"/>
    <w:rsid w:val="00280F1C"/>
    <w:rsid w:val="00281515"/>
    <w:rsid w:val="002818EA"/>
    <w:rsid w:val="00281D75"/>
    <w:rsid w:val="00281DBE"/>
    <w:rsid w:val="00282CB7"/>
    <w:rsid w:val="00283D05"/>
    <w:rsid w:val="00284306"/>
    <w:rsid w:val="0028460C"/>
    <w:rsid w:val="00285862"/>
    <w:rsid w:val="0028645A"/>
    <w:rsid w:val="002865D9"/>
    <w:rsid w:val="002870C5"/>
    <w:rsid w:val="002872D9"/>
    <w:rsid w:val="00287E7D"/>
    <w:rsid w:val="00291104"/>
    <w:rsid w:val="00291C71"/>
    <w:rsid w:val="0029329B"/>
    <w:rsid w:val="002933B3"/>
    <w:rsid w:val="002944F8"/>
    <w:rsid w:val="0029470E"/>
    <w:rsid w:val="00294BE6"/>
    <w:rsid w:val="00295410"/>
    <w:rsid w:val="0029633E"/>
    <w:rsid w:val="00296D25"/>
    <w:rsid w:val="00297CEB"/>
    <w:rsid w:val="002A0C90"/>
    <w:rsid w:val="002A1287"/>
    <w:rsid w:val="002A22F8"/>
    <w:rsid w:val="002A2CBC"/>
    <w:rsid w:val="002A2DC2"/>
    <w:rsid w:val="002A3AB2"/>
    <w:rsid w:val="002A4751"/>
    <w:rsid w:val="002A47F9"/>
    <w:rsid w:val="002A4842"/>
    <w:rsid w:val="002A4A4E"/>
    <w:rsid w:val="002A4F8E"/>
    <w:rsid w:val="002A5793"/>
    <w:rsid w:val="002A5B01"/>
    <w:rsid w:val="002A670B"/>
    <w:rsid w:val="002A6CDF"/>
    <w:rsid w:val="002A6ED3"/>
    <w:rsid w:val="002A752F"/>
    <w:rsid w:val="002A787F"/>
    <w:rsid w:val="002A7CE2"/>
    <w:rsid w:val="002B049D"/>
    <w:rsid w:val="002B058B"/>
    <w:rsid w:val="002B09D6"/>
    <w:rsid w:val="002B10C5"/>
    <w:rsid w:val="002B140D"/>
    <w:rsid w:val="002B354A"/>
    <w:rsid w:val="002B3A1F"/>
    <w:rsid w:val="002B4C6D"/>
    <w:rsid w:val="002B5CCF"/>
    <w:rsid w:val="002B6623"/>
    <w:rsid w:val="002B6BE1"/>
    <w:rsid w:val="002B6D85"/>
    <w:rsid w:val="002B6EC0"/>
    <w:rsid w:val="002B78D2"/>
    <w:rsid w:val="002B7D78"/>
    <w:rsid w:val="002C07B5"/>
    <w:rsid w:val="002C07FD"/>
    <w:rsid w:val="002C158B"/>
    <w:rsid w:val="002C22F6"/>
    <w:rsid w:val="002C238B"/>
    <w:rsid w:val="002C4305"/>
    <w:rsid w:val="002C472F"/>
    <w:rsid w:val="002C4D19"/>
    <w:rsid w:val="002C53D4"/>
    <w:rsid w:val="002C5722"/>
    <w:rsid w:val="002C58DF"/>
    <w:rsid w:val="002C6705"/>
    <w:rsid w:val="002C6BE9"/>
    <w:rsid w:val="002C6F7E"/>
    <w:rsid w:val="002D3D86"/>
    <w:rsid w:val="002D438F"/>
    <w:rsid w:val="002D445E"/>
    <w:rsid w:val="002D45B1"/>
    <w:rsid w:val="002D49A7"/>
    <w:rsid w:val="002D49FE"/>
    <w:rsid w:val="002D5332"/>
    <w:rsid w:val="002D5EE4"/>
    <w:rsid w:val="002D6138"/>
    <w:rsid w:val="002D759D"/>
    <w:rsid w:val="002D7DDF"/>
    <w:rsid w:val="002E003B"/>
    <w:rsid w:val="002E0DA4"/>
    <w:rsid w:val="002E1037"/>
    <w:rsid w:val="002E15A3"/>
    <w:rsid w:val="002E15E9"/>
    <w:rsid w:val="002E3DF2"/>
    <w:rsid w:val="002E4577"/>
    <w:rsid w:val="002E4AFD"/>
    <w:rsid w:val="002E50FE"/>
    <w:rsid w:val="002E5702"/>
    <w:rsid w:val="002E7376"/>
    <w:rsid w:val="002F1D41"/>
    <w:rsid w:val="002F293E"/>
    <w:rsid w:val="002F3074"/>
    <w:rsid w:val="002F3A42"/>
    <w:rsid w:val="002F4B2B"/>
    <w:rsid w:val="002F5487"/>
    <w:rsid w:val="002F66E5"/>
    <w:rsid w:val="002F682F"/>
    <w:rsid w:val="002F6E7A"/>
    <w:rsid w:val="002F798F"/>
    <w:rsid w:val="00300510"/>
    <w:rsid w:val="00300AFE"/>
    <w:rsid w:val="00300EB5"/>
    <w:rsid w:val="00300F9C"/>
    <w:rsid w:val="00301D62"/>
    <w:rsid w:val="00302288"/>
    <w:rsid w:val="003024F1"/>
    <w:rsid w:val="003032BD"/>
    <w:rsid w:val="003033EA"/>
    <w:rsid w:val="003037CD"/>
    <w:rsid w:val="00303CEB"/>
    <w:rsid w:val="00305038"/>
    <w:rsid w:val="00305346"/>
    <w:rsid w:val="00305953"/>
    <w:rsid w:val="00305A57"/>
    <w:rsid w:val="0030640B"/>
    <w:rsid w:val="003066A7"/>
    <w:rsid w:val="00306C2C"/>
    <w:rsid w:val="00307244"/>
    <w:rsid w:val="00307346"/>
    <w:rsid w:val="003079BF"/>
    <w:rsid w:val="00307B63"/>
    <w:rsid w:val="00307CAB"/>
    <w:rsid w:val="003107DA"/>
    <w:rsid w:val="00311287"/>
    <w:rsid w:val="00311430"/>
    <w:rsid w:val="00311B31"/>
    <w:rsid w:val="00311F5F"/>
    <w:rsid w:val="0031280B"/>
    <w:rsid w:val="00312A78"/>
    <w:rsid w:val="00312D76"/>
    <w:rsid w:val="00313145"/>
    <w:rsid w:val="003154E4"/>
    <w:rsid w:val="00316546"/>
    <w:rsid w:val="0031798F"/>
    <w:rsid w:val="00317CB5"/>
    <w:rsid w:val="00317CE7"/>
    <w:rsid w:val="00322EAB"/>
    <w:rsid w:val="003240EB"/>
    <w:rsid w:val="003250E4"/>
    <w:rsid w:val="0032560A"/>
    <w:rsid w:val="00325DB4"/>
    <w:rsid w:val="00325FFE"/>
    <w:rsid w:val="00326F75"/>
    <w:rsid w:val="003304FB"/>
    <w:rsid w:val="00330B05"/>
    <w:rsid w:val="00330D90"/>
    <w:rsid w:val="00330E26"/>
    <w:rsid w:val="003311EB"/>
    <w:rsid w:val="00331ABB"/>
    <w:rsid w:val="00332E74"/>
    <w:rsid w:val="00335B0B"/>
    <w:rsid w:val="00336672"/>
    <w:rsid w:val="00336E52"/>
    <w:rsid w:val="00337BD3"/>
    <w:rsid w:val="00340506"/>
    <w:rsid w:val="0034143E"/>
    <w:rsid w:val="0034195A"/>
    <w:rsid w:val="00342F30"/>
    <w:rsid w:val="00343FF6"/>
    <w:rsid w:val="00344233"/>
    <w:rsid w:val="0034500F"/>
    <w:rsid w:val="00345E96"/>
    <w:rsid w:val="00346648"/>
    <w:rsid w:val="003469E4"/>
    <w:rsid w:val="00346A8D"/>
    <w:rsid w:val="00346AE5"/>
    <w:rsid w:val="00346F93"/>
    <w:rsid w:val="00347736"/>
    <w:rsid w:val="00347B33"/>
    <w:rsid w:val="00347D04"/>
    <w:rsid w:val="00351170"/>
    <w:rsid w:val="00351C47"/>
    <w:rsid w:val="003520E9"/>
    <w:rsid w:val="00352ED6"/>
    <w:rsid w:val="00353247"/>
    <w:rsid w:val="0035330A"/>
    <w:rsid w:val="00354227"/>
    <w:rsid w:val="00354BB2"/>
    <w:rsid w:val="00356480"/>
    <w:rsid w:val="00357122"/>
    <w:rsid w:val="00361579"/>
    <w:rsid w:val="0036230A"/>
    <w:rsid w:val="00363036"/>
    <w:rsid w:val="003631EB"/>
    <w:rsid w:val="00363243"/>
    <w:rsid w:val="00363A20"/>
    <w:rsid w:val="003640E4"/>
    <w:rsid w:val="00364C49"/>
    <w:rsid w:val="00365D1D"/>
    <w:rsid w:val="00365FAD"/>
    <w:rsid w:val="00366C1D"/>
    <w:rsid w:val="003702E6"/>
    <w:rsid w:val="0037081D"/>
    <w:rsid w:val="00370FBB"/>
    <w:rsid w:val="00372251"/>
    <w:rsid w:val="00372EDE"/>
    <w:rsid w:val="0037383D"/>
    <w:rsid w:val="00373DC0"/>
    <w:rsid w:val="0037427B"/>
    <w:rsid w:val="00375D25"/>
    <w:rsid w:val="003763FF"/>
    <w:rsid w:val="00376746"/>
    <w:rsid w:val="00376B0B"/>
    <w:rsid w:val="0037774D"/>
    <w:rsid w:val="0037797E"/>
    <w:rsid w:val="00377DD4"/>
    <w:rsid w:val="00377DFD"/>
    <w:rsid w:val="003807DC"/>
    <w:rsid w:val="003808E7"/>
    <w:rsid w:val="00380963"/>
    <w:rsid w:val="00380B95"/>
    <w:rsid w:val="00380FFE"/>
    <w:rsid w:val="003813E6"/>
    <w:rsid w:val="00381692"/>
    <w:rsid w:val="003823CC"/>
    <w:rsid w:val="00382429"/>
    <w:rsid w:val="00382572"/>
    <w:rsid w:val="00383317"/>
    <w:rsid w:val="0038338F"/>
    <w:rsid w:val="003833B5"/>
    <w:rsid w:val="00383521"/>
    <w:rsid w:val="00384A4E"/>
    <w:rsid w:val="00384DD6"/>
    <w:rsid w:val="0038506C"/>
    <w:rsid w:val="00385225"/>
    <w:rsid w:val="00386037"/>
    <w:rsid w:val="003861FF"/>
    <w:rsid w:val="0038629C"/>
    <w:rsid w:val="003865F1"/>
    <w:rsid w:val="00391CA8"/>
    <w:rsid w:val="00391F06"/>
    <w:rsid w:val="003923A3"/>
    <w:rsid w:val="00392E8C"/>
    <w:rsid w:val="00393992"/>
    <w:rsid w:val="003943FA"/>
    <w:rsid w:val="003944D2"/>
    <w:rsid w:val="003946D2"/>
    <w:rsid w:val="00395979"/>
    <w:rsid w:val="00396A65"/>
    <w:rsid w:val="00396DA0"/>
    <w:rsid w:val="003979A7"/>
    <w:rsid w:val="003A0D92"/>
    <w:rsid w:val="003A140C"/>
    <w:rsid w:val="003A17AD"/>
    <w:rsid w:val="003A2B13"/>
    <w:rsid w:val="003A2F0D"/>
    <w:rsid w:val="003A31EE"/>
    <w:rsid w:val="003A3900"/>
    <w:rsid w:val="003A576B"/>
    <w:rsid w:val="003A5BF8"/>
    <w:rsid w:val="003A6635"/>
    <w:rsid w:val="003A66F1"/>
    <w:rsid w:val="003A769D"/>
    <w:rsid w:val="003A7B17"/>
    <w:rsid w:val="003A7D5C"/>
    <w:rsid w:val="003A7E81"/>
    <w:rsid w:val="003B032A"/>
    <w:rsid w:val="003B0845"/>
    <w:rsid w:val="003B19B4"/>
    <w:rsid w:val="003B1EBC"/>
    <w:rsid w:val="003B2538"/>
    <w:rsid w:val="003B2810"/>
    <w:rsid w:val="003B2E05"/>
    <w:rsid w:val="003B37DC"/>
    <w:rsid w:val="003B3FA5"/>
    <w:rsid w:val="003B48E1"/>
    <w:rsid w:val="003B493E"/>
    <w:rsid w:val="003B5457"/>
    <w:rsid w:val="003B556B"/>
    <w:rsid w:val="003B559C"/>
    <w:rsid w:val="003B5829"/>
    <w:rsid w:val="003B6A4C"/>
    <w:rsid w:val="003B7614"/>
    <w:rsid w:val="003B7AD6"/>
    <w:rsid w:val="003B7CA7"/>
    <w:rsid w:val="003C0F42"/>
    <w:rsid w:val="003C0F6A"/>
    <w:rsid w:val="003C1A81"/>
    <w:rsid w:val="003C1F2A"/>
    <w:rsid w:val="003C2ACE"/>
    <w:rsid w:val="003C350A"/>
    <w:rsid w:val="003C3BBA"/>
    <w:rsid w:val="003C3BC5"/>
    <w:rsid w:val="003C4C96"/>
    <w:rsid w:val="003C4D11"/>
    <w:rsid w:val="003C50B7"/>
    <w:rsid w:val="003C56FF"/>
    <w:rsid w:val="003C5D79"/>
    <w:rsid w:val="003C5FBE"/>
    <w:rsid w:val="003C612A"/>
    <w:rsid w:val="003C6D03"/>
    <w:rsid w:val="003C6D79"/>
    <w:rsid w:val="003C7092"/>
    <w:rsid w:val="003C7E2C"/>
    <w:rsid w:val="003D0926"/>
    <w:rsid w:val="003D0C4B"/>
    <w:rsid w:val="003D1CAE"/>
    <w:rsid w:val="003D1D4B"/>
    <w:rsid w:val="003D1F44"/>
    <w:rsid w:val="003D2DED"/>
    <w:rsid w:val="003D3129"/>
    <w:rsid w:val="003D329A"/>
    <w:rsid w:val="003D4FF4"/>
    <w:rsid w:val="003D54F2"/>
    <w:rsid w:val="003D655D"/>
    <w:rsid w:val="003D7CA6"/>
    <w:rsid w:val="003E0A54"/>
    <w:rsid w:val="003E0AA6"/>
    <w:rsid w:val="003E0E29"/>
    <w:rsid w:val="003E196C"/>
    <w:rsid w:val="003E2D35"/>
    <w:rsid w:val="003E3360"/>
    <w:rsid w:val="003E36E9"/>
    <w:rsid w:val="003E3CF3"/>
    <w:rsid w:val="003E4E48"/>
    <w:rsid w:val="003E5423"/>
    <w:rsid w:val="003E559E"/>
    <w:rsid w:val="003E7DAC"/>
    <w:rsid w:val="003E7DFA"/>
    <w:rsid w:val="003F08C3"/>
    <w:rsid w:val="003F14A3"/>
    <w:rsid w:val="003F193E"/>
    <w:rsid w:val="003F3766"/>
    <w:rsid w:val="003F3B47"/>
    <w:rsid w:val="003F5639"/>
    <w:rsid w:val="003F5BD5"/>
    <w:rsid w:val="003F6939"/>
    <w:rsid w:val="003F6A9C"/>
    <w:rsid w:val="003F717D"/>
    <w:rsid w:val="003F763E"/>
    <w:rsid w:val="003F7DDD"/>
    <w:rsid w:val="00400730"/>
    <w:rsid w:val="00401F5C"/>
    <w:rsid w:val="00402661"/>
    <w:rsid w:val="00402E69"/>
    <w:rsid w:val="00404741"/>
    <w:rsid w:val="0040594B"/>
    <w:rsid w:val="00405C2D"/>
    <w:rsid w:val="00406607"/>
    <w:rsid w:val="00410100"/>
    <w:rsid w:val="00410625"/>
    <w:rsid w:val="0041088D"/>
    <w:rsid w:val="004111E4"/>
    <w:rsid w:val="00411C45"/>
    <w:rsid w:val="00411ED8"/>
    <w:rsid w:val="00413FC7"/>
    <w:rsid w:val="0041414E"/>
    <w:rsid w:val="0041514C"/>
    <w:rsid w:val="00415217"/>
    <w:rsid w:val="0041597D"/>
    <w:rsid w:val="004160A1"/>
    <w:rsid w:val="00416756"/>
    <w:rsid w:val="00417AA1"/>
    <w:rsid w:val="00417BFA"/>
    <w:rsid w:val="00420276"/>
    <w:rsid w:val="004203FF"/>
    <w:rsid w:val="004222AA"/>
    <w:rsid w:val="0042296F"/>
    <w:rsid w:val="004229FD"/>
    <w:rsid w:val="00423226"/>
    <w:rsid w:val="00424164"/>
    <w:rsid w:val="00425661"/>
    <w:rsid w:val="00425BF8"/>
    <w:rsid w:val="00425C82"/>
    <w:rsid w:val="00426001"/>
    <w:rsid w:val="004261F2"/>
    <w:rsid w:val="004264E4"/>
    <w:rsid w:val="004267BE"/>
    <w:rsid w:val="00430106"/>
    <w:rsid w:val="0043023E"/>
    <w:rsid w:val="00431C61"/>
    <w:rsid w:val="00431E6A"/>
    <w:rsid w:val="00433EF3"/>
    <w:rsid w:val="00434018"/>
    <w:rsid w:val="00434F3D"/>
    <w:rsid w:val="00435596"/>
    <w:rsid w:val="00435D48"/>
    <w:rsid w:val="00436A76"/>
    <w:rsid w:val="004372F8"/>
    <w:rsid w:val="00441094"/>
    <w:rsid w:val="00442983"/>
    <w:rsid w:val="00442F07"/>
    <w:rsid w:val="00444282"/>
    <w:rsid w:val="00444AC2"/>
    <w:rsid w:val="00444DC1"/>
    <w:rsid w:val="004450DE"/>
    <w:rsid w:val="00445497"/>
    <w:rsid w:val="00445576"/>
    <w:rsid w:val="004476CD"/>
    <w:rsid w:val="004479F4"/>
    <w:rsid w:val="00447F65"/>
    <w:rsid w:val="00450D56"/>
    <w:rsid w:val="00452144"/>
    <w:rsid w:val="004523DF"/>
    <w:rsid w:val="00452582"/>
    <w:rsid w:val="004537AD"/>
    <w:rsid w:val="00453873"/>
    <w:rsid w:val="00453AA0"/>
    <w:rsid w:val="0045435E"/>
    <w:rsid w:val="00454975"/>
    <w:rsid w:val="00455A11"/>
    <w:rsid w:val="00456409"/>
    <w:rsid w:val="00457559"/>
    <w:rsid w:val="004576F6"/>
    <w:rsid w:val="004613BF"/>
    <w:rsid w:val="0046205C"/>
    <w:rsid w:val="0046415C"/>
    <w:rsid w:val="004642E0"/>
    <w:rsid w:val="00464DFD"/>
    <w:rsid w:val="0046600F"/>
    <w:rsid w:val="004661B9"/>
    <w:rsid w:val="0046689E"/>
    <w:rsid w:val="00467594"/>
    <w:rsid w:val="0047037A"/>
    <w:rsid w:val="00471772"/>
    <w:rsid w:val="0047274C"/>
    <w:rsid w:val="00473544"/>
    <w:rsid w:val="00473A18"/>
    <w:rsid w:val="00473FFC"/>
    <w:rsid w:val="00475A2D"/>
    <w:rsid w:val="004767B7"/>
    <w:rsid w:val="004771FA"/>
    <w:rsid w:val="004776DD"/>
    <w:rsid w:val="004803B1"/>
    <w:rsid w:val="00480433"/>
    <w:rsid w:val="0048072A"/>
    <w:rsid w:val="00480B04"/>
    <w:rsid w:val="00481037"/>
    <w:rsid w:val="004810E6"/>
    <w:rsid w:val="004819FD"/>
    <w:rsid w:val="00483F4E"/>
    <w:rsid w:val="00484E55"/>
    <w:rsid w:val="00484F2E"/>
    <w:rsid w:val="00485CD1"/>
    <w:rsid w:val="00486D98"/>
    <w:rsid w:val="00487669"/>
    <w:rsid w:val="004877F8"/>
    <w:rsid w:val="00490D4D"/>
    <w:rsid w:val="00490E17"/>
    <w:rsid w:val="004928A6"/>
    <w:rsid w:val="004931A4"/>
    <w:rsid w:val="00493856"/>
    <w:rsid w:val="00494412"/>
    <w:rsid w:val="00494F7C"/>
    <w:rsid w:val="00496DB7"/>
    <w:rsid w:val="004970D6"/>
    <w:rsid w:val="00497231"/>
    <w:rsid w:val="0049752F"/>
    <w:rsid w:val="004A062B"/>
    <w:rsid w:val="004A1B3C"/>
    <w:rsid w:val="004A326B"/>
    <w:rsid w:val="004A35D2"/>
    <w:rsid w:val="004A47F9"/>
    <w:rsid w:val="004A4D84"/>
    <w:rsid w:val="004A5555"/>
    <w:rsid w:val="004A5E3A"/>
    <w:rsid w:val="004A64C2"/>
    <w:rsid w:val="004A68DA"/>
    <w:rsid w:val="004A6AAB"/>
    <w:rsid w:val="004A7A0F"/>
    <w:rsid w:val="004A7A97"/>
    <w:rsid w:val="004B2238"/>
    <w:rsid w:val="004B301A"/>
    <w:rsid w:val="004B3066"/>
    <w:rsid w:val="004B3167"/>
    <w:rsid w:val="004B376A"/>
    <w:rsid w:val="004B396B"/>
    <w:rsid w:val="004B46B6"/>
    <w:rsid w:val="004B478C"/>
    <w:rsid w:val="004B4D71"/>
    <w:rsid w:val="004B4F5C"/>
    <w:rsid w:val="004B5373"/>
    <w:rsid w:val="004B676A"/>
    <w:rsid w:val="004B731E"/>
    <w:rsid w:val="004B792A"/>
    <w:rsid w:val="004C0141"/>
    <w:rsid w:val="004C1369"/>
    <w:rsid w:val="004C21E0"/>
    <w:rsid w:val="004C2852"/>
    <w:rsid w:val="004C2BC6"/>
    <w:rsid w:val="004C4B4D"/>
    <w:rsid w:val="004C54AA"/>
    <w:rsid w:val="004C5F2D"/>
    <w:rsid w:val="004C693C"/>
    <w:rsid w:val="004C70CB"/>
    <w:rsid w:val="004C7D80"/>
    <w:rsid w:val="004D01B1"/>
    <w:rsid w:val="004D04B8"/>
    <w:rsid w:val="004D0764"/>
    <w:rsid w:val="004D2650"/>
    <w:rsid w:val="004D2869"/>
    <w:rsid w:val="004D2892"/>
    <w:rsid w:val="004D2FD3"/>
    <w:rsid w:val="004D32BE"/>
    <w:rsid w:val="004D373B"/>
    <w:rsid w:val="004D37F1"/>
    <w:rsid w:val="004D3934"/>
    <w:rsid w:val="004D4772"/>
    <w:rsid w:val="004D4C36"/>
    <w:rsid w:val="004D5EF0"/>
    <w:rsid w:val="004D62BB"/>
    <w:rsid w:val="004D7050"/>
    <w:rsid w:val="004D79B8"/>
    <w:rsid w:val="004D7C9E"/>
    <w:rsid w:val="004E0C6E"/>
    <w:rsid w:val="004E1676"/>
    <w:rsid w:val="004E26FC"/>
    <w:rsid w:val="004E3C86"/>
    <w:rsid w:val="004E583E"/>
    <w:rsid w:val="004E5EBA"/>
    <w:rsid w:val="004E60C1"/>
    <w:rsid w:val="004E65B2"/>
    <w:rsid w:val="004F093E"/>
    <w:rsid w:val="004F2E60"/>
    <w:rsid w:val="004F2F4E"/>
    <w:rsid w:val="004F386E"/>
    <w:rsid w:val="004F4FA3"/>
    <w:rsid w:val="004F565A"/>
    <w:rsid w:val="004F5E56"/>
    <w:rsid w:val="004F666E"/>
    <w:rsid w:val="004F6BB0"/>
    <w:rsid w:val="004F6DDA"/>
    <w:rsid w:val="004F79EF"/>
    <w:rsid w:val="005027D1"/>
    <w:rsid w:val="00502982"/>
    <w:rsid w:val="00502A24"/>
    <w:rsid w:val="00502E93"/>
    <w:rsid w:val="005035C2"/>
    <w:rsid w:val="00503FA9"/>
    <w:rsid w:val="00504114"/>
    <w:rsid w:val="005045F1"/>
    <w:rsid w:val="0050472F"/>
    <w:rsid w:val="00504856"/>
    <w:rsid w:val="005050FA"/>
    <w:rsid w:val="00505827"/>
    <w:rsid w:val="00505FF5"/>
    <w:rsid w:val="005061FD"/>
    <w:rsid w:val="0050623E"/>
    <w:rsid w:val="005065AE"/>
    <w:rsid w:val="005067C3"/>
    <w:rsid w:val="00506ED4"/>
    <w:rsid w:val="005079B3"/>
    <w:rsid w:val="00507A87"/>
    <w:rsid w:val="00510424"/>
    <w:rsid w:val="00510B2E"/>
    <w:rsid w:val="00511073"/>
    <w:rsid w:val="00511712"/>
    <w:rsid w:val="00511ADC"/>
    <w:rsid w:val="00512C3A"/>
    <w:rsid w:val="00512EC9"/>
    <w:rsid w:val="00513A16"/>
    <w:rsid w:val="00514772"/>
    <w:rsid w:val="005147B4"/>
    <w:rsid w:val="00515B9D"/>
    <w:rsid w:val="0051681E"/>
    <w:rsid w:val="00517892"/>
    <w:rsid w:val="0051FA8F"/>
    <w:rsid w:val="0052080C"/>
    <w:rsid w:val="00520AFD"/>
    <w:rsid w:val="00520BCB"/>
    <w:rsid w:val="0052264B"/>
    <w:rsid w:val="00522975"/>
    <w:rsid w:val="00523AA9"/>
    <w:rsid w:val="00523C97"/>
    <w:rsid w:val="00523DF1"/>
    <w:rsid w:val="005273E8"/>
    <w:rsid w:val="00530588"/>
    <w:rsid w:val="00530CEB"/>
    <w:rsid w:val="00531316"/>
    <w:rsid w:val="005315E0"/>
    <w:rsid w:val="00532638"/>
    <w:rsid w:val="00532A10"/>
    <w:rsid w:val="0053352A"/>
    <w:rsid w:val="00534956"/>
    <w:rsid w:val="00534FE7"/>
    <w:rsid w:val="00535D52"/>
    <w:rsid w:val="00536092"/>
    <w:rsid w:val="00536446"/>
    <w:rsid w:val="005370E7"/>
    <w:rsid w:val="005405A5"/>
    <w:rsid w:val="00541512"/>
    <w:rsid w:val="00541A47"/>
    <w:rsid w:val="00543D99"/>
    <w:rsid w:val="00543E5D"/>
    <w:rsid w:val="005443AD"/>
    <w:rsid w:val="0054518F"/>
    <w:rsid w:val="00545BBC"/>
    <w:rsid w:val="0054626F"/>
    <w:rsid w:val="005472E9"/>
    <w:rsid w:val="005474CB"/>
    <w:rsid w:val="0054786A"/>
    <w:rsid w:val="005479F3"/>
    <w:rsid w:val="00547A1E"/>
    <w:rsid w:val="0055079B"/>
    <w:rsid w:val="00550830"/>
    <w:rsid w:val="00551001"/>
    <w:rsid w:val="005517D7"/>
    <w:rsid w:val="00554280"/>
    <w:rsid w:val="0055440B"/>
    <w:rsid w:val="0055489D"/>
    <w:rsid w:val="005567EF"/>
    <w:rsid w:val="00556CF8"/>
    <w:rsid w:val="00556F62"/>
    <w:rsid w:val="00557C21"/>
    <w:rsid w:val="00560465"/>
    <w:rsid w:val="00560B2C"/>
    <w:rsid w:val="00562825"/>
    <w:rsid w:val="00562A5C"/>
    <w:rsid w:val="00562BB8"/>
    <w:rsid w:val="00563EC0"/>
    <w:rsid w:val="0056470B"/>
    <w:rsid w:val="0056473D"/>
    <w:rsid w:val="005647CC"/>
    <w:rsid w:val="00566BEE"/>
    <w:rsid w:val="00566D38"/>
    <w:rsid w:val="005676CA"/>
    <w:rsid w:val="00567A25"/>
    <w:rsid w:val="00567EFE"/>
    <w:rsid w:val="0057013F"/>
    <w:rsid w:val="00570663"/>
    <w:rsid w:val="00570AEF"/>
    <w:rsid w:val="005716B0"/>
    <w:rsid w:val="00571B1E"/>
    <w:rsid w:val="00571BBB"/>
    <w:rsid w:val="00571CF0"/>
    <w:rsid w:val="00572830"/>
    <w:rsid w:val="0057305B"/>
    <w:rsid w:val="00573F4D"/>
    <w:rsid w:val="005746E2"/>
    <w:rsid w:val="00574715"/>
    <w:rsid w:val="005749E4"/>
    <w:rsid w:val="00575ACB"/>
    <w:rsid w:val="0057609A"/>
    <w:rsid w:val="00576B34"/>
    <w:rsid w:val="0057752F"/>
    <w:rsid w:val="00577CAA"/>
    <w:rsid w:val="00580CF6"/>
    <w:rsid w:val="00581164"/>
    <w:rsid w:val="00582FF6"/>
    <w:rsid w:val="0058456A"/>
    <w:rsid w:val="005846EF"/>
    <w:rsid w:val="00585309"/>
    <w:rsid w:val="00585B50"/>
    <w:rsid w:val="00585E4B"/>
    <w:rsid w:val="0058676F"/>
    <w:rsid w:val="00586B29"/>
    <w:rsid w:val="00586CC9"/>
    <w:rsid w:val="00587207"/>
    <w:rsid w:val="005879A6"/>
    <w:rsid w:val="0059000A"/>
    <w:rsid w:val="00590941"/>
    <w:rsid w:val="005913DB"/>
    <w:rsid w:val="005918CE"/>
    <w:rsid w:val="00591F1D"/>
    <w:rsid w:val="0059243F"/>
    <w:rsid w:val="00593A03"/>
    <w:rsid w:val="00593FCA"/>
    <w:rsid w:val="00594994"/>
    <w:rsid w:val="005954CD"/>
    <w:rsid w:val="00596559"/>
    <w:rsid w:val="005A0410"/>
    <w:rsid w:val="005A04EB"/>
    <w:rsid w:val="005A1141"/>
    <w:rsid w:val="005A1237"/>
    <w:rsid w:val="005A1310"/>
    <w:rsid w:val="005A271C"/>
    <w:rsid w:val="005A3254"/>
    <w:rsid w:val="005A33DA"/>
    <w:rsid w:val="005A4BCB"/>
    <w:rsid w:val="005A4E8B"/>
    <w:rsid w:val="005A5582"/>
    <w:rsid w:val="005A560D"/>
    <w:rsid w:val="005A5BD9"/>
    <w:rsid w:val="005A5F61"/>
    <w:rsid w:val="005A617D"/>
    <w:rsid w:val="005A6D7C"/>
    <w:rsid w:val="005A6DE6"/>
    <w:rsid w:val="005A71E2"/>
    <w:rsid w:val="005A7348"/>
    <w:rsid w:val="005B04F5"/>
    <w:rsid w:val="005B0B7B"/>
    <w:rsid w:val="005B0F68"/>
    <w:rsid w:val="005B33F0"/>
    <w:rsid w:val="005B4559"/>
    <w:rsid w:val="005B59FE"/>
    <w:rsid w:val="005B5A58"/>
    <w:rsid w:val="005B61B7"/>
    <w:rsid w:val="005B69DB"/>
    <w:rsid w:val="005C00F2"/>
    <w:rsid w:val="005C0A99"/>
    <w:rsid w:val="005C0ACD"/>
    <w:rsid w:val="005C176C"/>
    <w:rsid w:val="005C305D"/>
    <w:rsid w:val="005C3A40"/>
    <w:rsid w:val="005C3C84"/>
    <w:rsid w:val="005C3EBB"/>
    <w:rsid w:val="005C419C"/>
    <w:rsid w:val="005C41D7"/>
    <w:rsid w:val="005C4795"/>
    <w:rsid w:val="005C5C24"/>
    <w:rsid w:val="005C6073"/>
    <w:rsid w:val="005C6418"/>
    <w:rsid w:val="005C6ED9"/>
    <w:rsid w:val="005C70D1"/>
    <w:rsid w:val="005C7EA8"/>
    <w:rsid w:val="005D0904"/>
    <w:rsid w:val="005D1287"/>
    <w:rsid w:val="005D16D7"/>
    <w:rsid w:val="005D1EBE"/>
    <w:rsid w:val="005D2097"/>
    <w:rsid w:val="005D3C16"/>
    <w:rsid w:val="005D4157"/>
    <w:rsid w:val="005D416B"/>
    <w:rsid w:val="005D41A6"/>
    <w:rsid w:val="005D4525"/>
    <w:rsid w:val="005D5063"/>
    <w:rsid w:val="005D55C3"/>
    <w:rsid w:val="005D6331"/>
    <w:rsid w:val="005D70FB"/>
    <w:rsid w:val="005D7CEB"/>
    <w:rsid w:val="005E03C1"/>
    <w:rsid w:val="005E1FA8"/>
    <w:rsid w:val="005E37C9"/>
    <w:rsid w:val="005E490F"/>
    <w:rsid w:val="005E5E8B"/>
    <w:rsid w:val="005E5F4B"/>
    <w:rsid w:val="005E6007"/>
    <w:rsid w:val="005E68C8"/>
    <w:rsid w:val="005E6DBC"/>
    <w:rsid w:val="005E6F0F"/>
    <w:rsid w:val="005E6F7C"/>
    <w:rsid w:val="005E6F8D"/>
    <w:rsid w:val="005F00EA"/>
    <w:rsid w:val="005F02D7"/>
    <w:rsid w:val="005F0C45"/>
    <w:rsid w:val="005F1116"/>
    <w:rsid w:val="005F186D"/>
    <w:rsid w:val="005F1D24"/>
    <w:rsid w:val="005F20FA"/>
    <w:rsid w:val="005F226E"/>
    <w:rsid w:val="005F29FE"/>
    <w:rsid w:val="005F3F65"/>
    <w:rsid w:val="005F4A3A"/>
    <w:rsid w:val="005F4B69"/>
    <w:rsid w:val="005F4C6B"/>
    <w:rsid w:val="005F5000"/>
    <w:rsid w:val="005F5EB1"/>
    <w:rsid w:val="005F6153"/>
    <w:rsid w:val="005F68BE"/>
    <w:rsid w:val="005F68D5"/>
    <w:rsid w:val="005F6A8A"/>
    <w:rsid w:val="005F763B"/>
    <w:rsid w:val="005F7768"/>
    <w:rsid w:val="005F7CC1"/>
    <w:rsid w:val="006004FF"/>
    <w:rsid w:val="006013ED"/>
    <w:rsid w:val="006042F3"/>
    <w:rsid w:val="00604F84"/>
    <w:rsid w:val="006050A9"/>
    <w:rsid w:val="00605699"/>
    <w:rsid w:val="00605BC9"/>
    <w:rsid w:val="00606425"/>
    <w:rsid w:val="00606BBF"/>
    <w:rsid w:val="006100D3"/>
    <w:rsid w:val="00610467"/>
    <w:rsid w:val="00611AAF"/>
    <w:rsid w:val="006128D6"/>
    <w:rsid w:val="00612F70"/>
    <w:rsid w:val="00613613"/>
    <w:rsid w:val="0061462D"/>
    <w:rsid w:val="00614709"/>
    <w:rsid w:val="0061637A"/>
    <w:rsid w:val="0061699F"/>
    <w:rsid w:val="00620251"/>
    <w:rsid w:val="006215AF"/>
    <w:rsid w:val="00621D1A"/>
    <w:rsid w:val="00621D5C"/>
    <w:rsid w:val="006222EA"/>
    <w:rsid w:val="00622412"/>
    <w:rsid w:val="006224C9"/>
    <w:rsid w:val="00622611"/>
    <w:rsid w:val="00623542"/>
    <w:rsid w:val="00623F57"/>
    <w:rsid w:val="0062453E"/>
    <w:rsid w:val="006255D7"/>
    <w:rsid w:val="00626077"/>
    <w:rsid w:val="0062617E"/>
    <w:rsid w:val="006264BE"/>
    <w:rsid w:val="006269BC"/>
    <w:rsid w:val="00626AFD"/>
    <w:rsid w:val="00627372"/>
    <w:rsid w:val="00630B0D"/>
    <w:rsid w:val="006310F6"/>
    <w:rsid w:val="00631663"/>
    <w:rsid w:val="00632348"/>
    <w:rsid w:val="0063283A"/>
    <w:rsid w:val="00632A0D"/>
    <w:rsid w:val="0063355C"/>
    <w:rsid w:val="0063397F"/>
    <w:rsid w:val="00633C8C"/>
    <w:rsid w:val="006346B5"/>
    <w:rsid w:val="00634770"/>
    <w:rsid w:val="00634E83"/>
    <w:rsid w:val="00635AA3"/>
    <w:rsid w:val="006369C6"/>
    <w:rsid w:val="00636D59"/>
    <w:rsid w:val="00637409"/>
    <w:rsid w:val="0063798D"/>
    <w:rsid w:val="00637DD2"/>
    <w:rsid w:val="0064005F"/>
    <w:rsid w:val="006400E9"/>
    <w:rsid w:val="00640611"/>
    <w:rsid w:val="00640E10"/>
    <w:rsid w:val="00641884"/>
    <w:rsid w:val="0064244B"/>
    <w:rsid w:val="006425B3"/>
    <w:rsid w:val="00643100"/>
    <w:rsid w:val="00643148"/>
    <w:rsid w:val="006455C0"/>
    <w:rsid w:val="006467CC"/>
    <w:rsid w:val="00646828"/>
    <w:rsid w:val="00650362"/>
    <w:rsid w:val="00650587"/>
    <w:rsid w:val="00650E25"/>
    <w:rsid w:val="00651CC9"/>
    <w:rsid w:val="00651E40"/>
    <w:rsid w:val="00653745"/>
    <w:rsid w:val="00654558"/>
    <w:rsid w:val="006548B2"/>
    <w:rsid w:val="00654C8D"/>
    <w:rsid w:val="00654D58"/>
    <w:rsid w:val="00654D6A"/>
    <w:rsid w:val="00655FFD"/>
    <w:rsid w:val="0065640C"/>
    <w:rsid w:val="006571F0"/>
    <w:rsid w:val="00660197"/>
    <w:rsid w:val="00661083"/>
    <w:rsid w:val="00661D6E"/>
    <w:rsid w:val="00661E6E"/>
    <w:rsid w:val="00662D51"/>
    <w:rsid w:val="00662F9A"/>
    <w:rsid w:val="0066339D"/>
    <w:rsid w:val="00663AEB"/>
    <w:rsid w:val="0066460A"/>
    <w:rsid w:val="00666DF3"/>
    <w:rsid w:val="00667A1F"/>
    <w:rsid w:val="00670629"/>
    <w:rsid w:val="0067156E"/>
    <w:rsid w:val="00672274"/>
    <w:rsid w:val="006727F9"/>
    <w:rsid w:val="00672D5A"/>
    <w:rsid w:val="00672F58"/>
    <w:rsid w:val="00673307"/>
    <w:rsid w:val="0067397F"/>
    <w:rsid w:val="006740A6"/>
    <w:rsid w:val="00675A1D"/>
    <w:rsid w:val="00677325"/>
    <w:rsid w:val="00677500"/>
    <w:rsid w:val="00677713"/>
    <w:rsid w:val="00677EA6"/>
    <w:rsid w:val="006801B8"/>
    <w:rsid w:val="006802A1"/>
    <w:rsid w:val="00680797"/>
    <w:rsid w:val="00680D08"/>
    <w:rsid w:val="00681474"/>
    <w:rsid w:val="0068164D"/>
    <w:rsid w:val="00681C47"/>
    <w:rsid w:val="00681E2B"/>
    <w:rsid w:val="006824A8"/>
    <w:rsid w:val="006824BF"/>
    <w:rsid w:val="00682830"/>
    <w:rsid w:val="00683A15"/>
    <w:rsid w:val="00684037"/>
    <w:rsid w:val="006841B3"/>
    <w:rsid w:val="00684E10"/>
    <w:rsid w:val="00686675"/>
    <w:rsid w:val="00690971"/>
    <w:rsid w:val="00690DEE"/>
    <w:rsid w:val="00691707"/>
    <w:rsid w:val="00691A96"/>
    <w:rsid w:val="0069348D"/>
    <w:rsid w:val="006945B3"/>
    <w:rsid w:val="006945FE"/>
    <w:rsid w:val="00694689"/>
    <w:rsid w:val="00694809"/>
    <w:rsid w:val="00694E24"/>
    <w:rsid w:val="0069566C"/>
    <w:rsid w:val="00695B03"/>
    <w:rsid w:val="00697440"/>
    <w:rsid w:val="006977E3"/>
    <w:rsid w:val="006A2E98"/>
    <w:rsid w:val="006A35C7"/>
    <w:rsid w:val="006A3ADA"/>
    <w:rsid w:val="006A450C"/>
    <w:rsid w:val="006A49DA"/>
    <w:rsid w:val="006A4D42"/>
    <w:rsid w:val="006A4DCA"/>
    <w:rsid w:val="006A532A"/>
    <w:rsid w:val="006A56FB"/>
    <w:rsid w:val="006A5787"/>
    <w:rsid w:val="006A5A98"/>
    <w:rsid w:val="006A5D3E"/>
    <w:rsid w:val="006A640E"/>
    <w:rsid w:val="006A6C33"/>
    <w:rsid w:val="006A7549"/>
    <w:rsid w:val="006A7AB8"/>
    <w:rsid w:val="006A7CBD"/>
    <w:rsid w:val="006B0F5D"/>
    <w:rsid w:val="006B11F5"/>
    <w:rsid w:val="006B1576"/>
    <w:rsid w:val="006B1FE7"/>
    <w:rsid w:val="006B27AB"/>
    <w:rsid w:val="006B342F"/>
    <w:rsid w:val="006B4C60"/>
    <w:rsid w:val="006B5454"/>
    <w:rsid w:val="006B59DA"/>
    <w:rsid w:val="006B5B52"/>
    <w:rsid w:val="006B620A"/>
    <w:rsid w:val="006B652E"/>
    <w:rsid w:val="006B6B60"/>
    <w:rsid w:val="006B769C"/>
    <w:rsid w:val="006B7DCC"/>
    <w:rsid w:val="006C016F"/>
    <w:rsid w:val="006C05FA"/>
    <w:rsid w:val="006C0711"/>
    <w:rsid w:val="006C077C"/>
    <w:rsid w:val="006C099F"/>
    <w:rsid w:val="006C149D"/>
    <w:rsid w:val="006C1538"/>
    <w:rsid w:val="006C1F90"/>
    <w:rsid w:val="006C2DF6"/>
    <w:rsid w:val="006C364A"/>
    <w:rsid w:val="006C3DE8"/>
    <w:rsid w:val="006C4687"/>
    <w:rsid w:val="006C4E52"/>
    <w:rsid w:val="006C5385"/>
    <w:rsid w:val="006C6833"/>
    <w:rsid w:val="006C6D9A"/>
    <w:rsid w:val="006D0616"/>
    <w:rsid w:val="006D06C8"/>
    <w:rsid w:val="006D26A7"/>
    <w:rsid w:val="006D2E78"/>
    <w:rsid w:val="006D424E"/>
    <w:rsid w:val="006D4376"/>
    <w:rsid w:val="006D4D8D"/>
    <w:rsid w:val="006D5116"/>
    <w:rsid w:val="006D53D1"/>
    <w:rsid w:val="006D57F6"/>
    <w:rsid w:val="006D5A87"/>
    <w:rsid w:val="006D60F4"/>
    <w:rsid w:val="006D719A"/>
    <w:rsid w:val="006D7FB8"/>
    <w:rsid w:val="006E1295"/>
    <w:rsid w:val="006E1875"/>
    <w:rsid w:val="006E1988"/>
    <w:rsid w:val="006E1A1D"/>
    <w:rsid w:val="006E1A4D"/>
    <w:rsid w:val="006E1E51"/>
    <w:rsid w:val="006E2100"/>
    <w:rsid w:val="006E2F01"/>
    <w:rsid w:val="006E3C22"/>
    <w:rsid w:val="006E3E3B"/>
    <w:rsid w:val="006E6D84"/>
    <w:rsid w:val="006E71AB"/>
    <w:rsid w:val="006F0099"/>
    <w:rsid w:val="006F0277"/>
    <w:rsid w:val="006F0AEB"/>
    <w:rsid w:val="006F3100"/>
    <w:rsid w:val="006F32A6"/>
    <w:rsid w:val="006F350A"/>
    <w:rsid w:val="006F39A0"/>
    <w:rsid w:val="006F4228"/>
    <w:rsid w:val="006F5286"/>
    <w:rsid w:val="006F5D0D"/>
    <w:rsid w:val="006F6995"/>
    <w:rsid w:val="006F6CA7"/>
    <w:rsid w:val="006F7AD6"/>
    <w:rsid w:val="006F7D49"/>
    <w:rsid w:val="007006E0"/>
    <w:rsid w:val="00700997"/>
    <w:rsid w:val="00700F46"/>
    <w:rsid w:val="00700FAD"/>
    <w:rsid w:val="00701AF0"/>
    <w:rsid w:val="00701B3B"/>
    <w:rsid w:val="00701DC9"/>
    <w:rsid w:val="00702D3F"/>
    <w:rsid w:val="00703DCE"/>
    <w:rsid w:val="00703F49"/>
    <w:rsid w:val="0070456F"/>
    <w:rsid w:val="00705C30"/>
    <w:rsid w:val="0070602D"/>
    <w:rsid w:val="00706564"/>
    <w:rsid w:val="007065FC"/>
    <w:rsid w:val="007075B3"/>
    <w:rsid w:val="00707915"/>
    <w:rsid w:val="00710DA7"/>
    <w:rsid w:val="00710DF2"/>
    <w:rsid w:val="007115E9"/>
    <w:rsid w:val="00711BF5"/>
    <w:rsid w:val="00711C0D"/>
    <w:rsid w:val="00711FA1"/>
    <w:rsid w:val="0071257C"/>
    <w:rsid w:val="00712D98"/>
    <w:rsid w:val="00712E85"/>
    <w:rsid w:val="00713173"/>
    <w:rsid w:val="007132CC"/>
    <w:rsid w:val="007132FE"/>
    <w:rsid w:val="00713308"/>
    <w:rsid w:val="00713594"/>
    <w:rsid w:val="0071380A"/>
    <w:rsid w:val="007149FD"/>
    <w:rsid w:val="00714FFD"/>
    <w:rsid w:val="007153BD"/>
    <w:rsid w:val="00715D54"/>
    <w:rsid w:val="00716906"/>
    <w:rsid w:val="00716AB8"/>
    <w:rsid w:val="00717F41"/>
    <w:rsid w:val="007208C0"/>
    <w:rsid w:val="00720E9F"/>
    <w:rsid w:val="00721311"/>
    <w:rsid w:val="00721575"/>
    <w:rsid w:val="007217B1"/>
    <w:rsid w:val="00721DE2"/>
    <w:rsid w:val="007234AC"/>
    <w:rsid w:val="00723915"/>
    <w:rsid w:val="00723C2E"/>
    <w:rsid w:val="007244D3"/>
    <w:rsid w:val="00724F2F"/>
    <w:rsid w:val="007256FF"/>
    <w:rsid w:val="00725E13"/>
    <w:rsid w:val="00726650"/>
    <w:rsid w:val="00726A33"/>
    <w:rsid w:val="00726DE6"/>
    <w:rsid w:val="00727673"/>
    <w:rsid w:val="0072793B"/>
    <w:rsid w:val="00727E95"/>
    <w:rsid w:val="00727ECD"/>
    <w:rsid w:val="00727F29"/>
    <w:rsid w:val="00731DF6"/>
    <w:rsid w:val="007328E1"/>
    <w:rsid w:val="00733633"/>
    <w:rsid w:val="00734929"/>
    <w:rsid w:val="00736147"/>
    <w:rsid w:val="007364D7"/>
    <w:rsid w:val="00736516"/>
    <w:rsid w:val="00736C7D"/>
    <w:rsid w:val="00740303"/>
    <w:rsid w:val="00740812"/>
    <w:rsid w:val="0074103D"/>
    <w:rsid w:val="0074173C"/>
    <w:rsid w:val="0074265F"/>
    <w:rsid w:val="00742C34"/>
    <w:rsid w:val="00742DBA"/>
    <w:rsid w:val="0074309E"/>
    <w:rsid w:val="00746747"/>
    <w:rsid w:val="00750E34"/>
    <w:rsid w:val="00751A3F"/>
    <w:rsid w:val="00752ECA"/>
    <w:rsid w:val="007534C2"/>
    <w:rsid w:val="00753510"/>
    <w:rsid w:val="00753B66"/>
    <w:rsid w:val="00754345"/>
    <w:rsid w:val="00754ABB"/>
    <w:rsid w:val="00754C84"/>
    <w:rsid w:val="007557F5"/>
    <w:rsid w:val="00755B01"/>
    <w:rsid w:val="007573A8"/>
    <w:rsid w:val="007579D0"/>
    <w:rsid w:val="007603EF"/>
    <w:rsid w:val="0076095A"/>
    <w:rsid w:val="00760C33"/>
    <w:rsid w:val="00761810"/>
    <w:rsid w:val="00761FCF"/>
    <w:rsid w:val="00762B4B"/>
    <w:rsid w:val="00764A13"/>
    <w:rsid w:val="007652B5"/>
    <w:rsid w:val="00765A39"/>
    <w:rsid w:val="00767014"/>
    <w:rsid w:val="00767B30"/>
    <w:rsid w:val="00767C81"/>
    <w:rsid w:val="00767FA9"/>
    <w:rsid w:val="00770153"/>
    <w:rsid w:val="007703A0"/>
    <w:rsid w:val="007703C0"/>
    <w:rsid w:val="00770A43"/>
    <w:rsid w:val="007710B6"/>
    <w:rsid w:val="0077282B"/>
    <w:rsid w:val="00772F06"/>
    <w:rsid w:val="0077360E"/>
    <w:rsid w:val="0077364C"/>
    <w:rsid w:val="00774F1C"/>
    <w:rsid w:val="00775759"/>
    <w:rsid w:val="00775993"/>
    <w:rsid w:val="00775999"/>
    <w:rsid w:val="00777601"/>
    <w:rsid w:val="00777642"/>
    <w:rsid w:val="0078023B"/>
    <w:rsid w:val="00780279"/>
    <w:rsid w:val="00781C20"/>
    <w:rsid w:val="0078236F"/>
    <w:rsid w:val="00782397"/>
    <w:rsid w:val="00782AD0"/>
    <w:rsid w:val="00782DB9"/>
    <w:rsid w:val="00782F5A"/>
    <w:rsid w:val="00784D4B"/>
    <w:rsid w:val="007857EA"/>
    <w:rsid w:val="007861CD"/>
    <w:rsid w:val="00786265"/>
    <w:rsid w:val="00786CFA"/>
    <w:rsid w:val="00787813"/>
    <w:rsid w:val="007903F6"/>
    <w:rsid w:val="00790C06"/>
    <w:rsid w:val="00791168"/>
    <w:rsid w:val="00791525"/>
    <w:rsid w:val="00792023"/>
    <w:rsid w:val="007921E0"/>
    <w:rsid w:val="007931AB"/>
    <w:rsid w:val="0079489D"/>
    <w:rsid w:val="00795018"/>
    <w:rsid w:val="00795349"/>
    <w:rsid w:val="0079583D"/>
    <w:rsid w:val="007964C4"/>
    <w:rsid w:val="0079667A"/>
    <w:rsid w:val="00797213"/>
    <w:rsid w:val="007973CF"/>
    <w:rsid w:val="00797680"/>
    <w:rsid w:val="00797FAC"/>
    <w:rsid w:val="007A0F76"/>
    <w:rsid w:val="007A0FE7"/>
    <w:rsid w:val="007A1560"/>
    <w:rsid w:val="007A2381"/>
    <w:rsid w:val="007A5190"/>
    <w:rsid w:val="007A565F"/>
    <w:rsid w:val="007A5696"/>
    <w:rsid w:val="007A5FD3"/>
    <w:rsid w:val="007A68B5"/>
    <w:rsid w:val="007A7618"/>
    <w:rsid w:val="007B0874"/>
    <w:rsid w:val="007B08EC"/>
    <w:rsid w:val="007B0ADC"/>
    <w:rsid w:val="007B0EA8"/>
    <w:rsid w:val="007B1656"/>
    <w:rsid w:val="007B16F3"/>
    <w:rsid w:val="007B1756"/>
    <w:rsid w:val="007B1C1A"/>
    <w:rsid w:val="007B1EC7"/>
    <w:rsid w:val="007B2703"/>
    <w:rsid w:val="007B281E"/>
    <w:rsid w:val="007B2C2C"/>
    <w:rsid w:val="007B3F2E"/>
    <w:rsid w:val="007B45A5"/>
    <w:rsid w:val="007B4A15"/>
    <w:rsid w:val="007B546F"/>
    <w:rsid w:val="007B5EBA"/>
    <w:rsid w:val="007B6779"/>
    <w:rsid w:val="007B7A96"/>
    <w:rsid w:val="007B7AC1"/>
    <w:rsid w:val="007C0E52"/>
    <w:rsid w:val="007C23EB"/>
    <w:rsid w:val="007C3839"/>
    <w:rsid w:val="007C3F4F"/>
    <w:rsid w:val="007C43FA"/>
    <w:rsid w:val="007C4B19"/>
    <w:rsid w:val="007C51E6"/>
    <w:rsid w:val="007C5513"/>
    <w:rsid w:val="007C5A8D"/>
    <w:rsid w:val="007C5EA4"/>
    <w:rsid w:val="007C5EAC"/>
    <w:rsid w:val="007C6421"/>
    <w:rsid w:val="007C64A5"/>
    <w:rsid w:val="007C6998"/>
    <w:rsid w:val="007C703F"/>
    <w:rsid w:val="007C72E1"/>
    <w:rsid w:val="007C7EA8"/>
    <w:rsid w:val="007C7F85"/>
    <w:rsid w:val="007D075B"/>
    <w:rsid w:val="007D0845"/>
    <w:rsid w:val="007D0A55"/>
    <w:rsid w:val="007D0C1C"/>
    <w:rsid w:val="007D3BCC"/>
    <w:rsid w:val="007D41C3"/>
    <w:rsid w:val="007D536C"/>
    <w:rsid w:val="007D590C"/>
    <w:rsid w:val="007D5E5C"/>
    <w:rsid w:val="007D6477"/>
    <w:rsid w:val="007D6587"/>
    <w:rsid w:val="007D6B51"/>
    <w:rsid w:val="007D6E63"/>
    <w:rsid w:val="007D7C54"/>
    <w:rsid w:val="007E0601"/>
    <w:rsid w:val="007E0A9F"/>
    <w:rsid w:val="007E2FD8"/>
    <w:rsid w:val="007E3060"/>
    <w:rsid w:val="007E4ADF"/>
    <w:rsid w:val="007E51F3"/>
    <w:rsid w:val="007E521E"/>
    <w:rsid w:val="007E61A5"/>
    <w:rsid w:val="007E6457"/>
    <w:rsid w:val="007E7004"/>
    <w:rsid w:val="007E7800"/>
    <w:rsid w:val="007F009B"/>
    <w:rsid w:val="007F0552"/>
    <w:rsid w:val="007F068A"/>
    <w:rsid w:val="007F1112"/>
    <w:rsid w:val="007F1533"/>
    <w:rsid w:val="007F2643"/>
    <w:rsid w:val="007F3FDC"/>
    <w:rsid w:val="007F45EF"/>
    <w:rsid w:val="007F4B0E"/>
    <w:rsid w:val="007F4BAB"/>
    <w:rsid w:val="007F4C29"/>
    <w:rsid w:val="007F4C7D"/>
    <w:rsid w:val="007F586A"/>
    <w:rsid w:val="007F5F61"/>
    <w:rsid w:val="007F6743"/>
    <w:rsid w:val="007F71F1"/>
    <w:rsid w:val="007FDFDF"/>
    <w:rsid w:val="0080116B"/>
    <w:rsid w:val="008014F5"/>
    <w:rsid w:val="0080152D"/>
    <w:rsid w:val="00803012"/>
    <w:rsid w:val="00804428"/>
    <w:rsid w:val="008047A0"/>
    <w:rsid w:val="00804920"/>
    <w:rsid w:val="00805BDF"/>
    <w:rsid w:val="00805E74"/>
    <w:rsid w:val="00806647"/>
    <w:rsid w:val="008069DA"/>
    <w:rsid w:val="008075F1"/>
    <w:rsid w:val="00807641"/>
    <w:rsid w:val="0080768A"/>
    <w:rsid w:val="008076DB"/>
    <w:rsid w:val="0080772B"/>
    <w:rsid w:val="00807CA3"/>
    <w:rsid w:val="00810874"/>
    <w:rsid w:val="0081097F"/>
    <w:rsid w:val="00810EDC"/>
    <w:rsid w:val="00811124"/>
    <w:rsid w:val="0081147D"/>
    <w:rsid w:val="00811D50"/>
    <w:rsid w:val="008123A2"/>
    <w:rsid w:val="00812DA6"/>
    <w:rsid w:val="00812DCA"/>
    <w:rsid w:val="0081326A"/>
    <w:rsid w:val="008132DF"/>
    <w:rsid w:val="0081421C"/>
    <w:rsid w:val="008145FD"/>
    <w:rsid w:val="00814BC8"/>
    <w:rsid w:val="00816A69"/>
    <w:rsid w:val="00820128"/>
    <w:rsid w:val="008202A5"/>
    <w:rsid w:val="0082030C"/>
    <w:rsid w:val="0082076F"/>
    <w:rsid w:val="00820DBB"/>
    <w:rsid w:val="00821C65"/>
    <w:rsid w:val="00822686"/>
    <w:rsid w:val="0082272E"/>
    <w:rsid w:val="00822C63"/>
    <w:rsid w:val="00822F98"/>
    <w:rsid w:val="00824151"/>
    <w:rsid w:val="0082474B"/>
    <w:rsid w:val="00824997"/>
    <w:rsid w:val="00825436"/>
    <w:rsid w:val="0082674E"/>
    <w:rsid w:val="008272E1"/>
    <w:rsid w:val="00827403"/>
    <w:rsid w:val="00827D6C"/>
    <w:rsid w:val="0083063C"/>
    <w:rsid w:val="00830669"/>
    <w:rsid w:val="00832283"/>
    <w:rsid w:val="0083307C"/>
    <w:rsid w:val="00833F91"/>
    <w:rsid w:val="008346F9"/>
    <w:rsid w:val="008347F5"/>
    <w:rsid w:val="008349E9"/>
    <w:rsid w:val="00834D89"/>
    <w:rsid w:val="008350FF"/>
    <w:rsid w:val="00835275"/>
    <w:rsid w:val="008362A8"/>
    <w:rsid w:val="00840CCE"/>
    <w:rsid w:val="00840D0C"/>
    <w:rsid w:val="00840EBD"/>
    <w:rsid w:val="008416DE"/>
    <w:rsid w:val="00843B3A"/>
    <w:rsid w:val="00844A74"/>
    <w:rsid w:val="008468E4"/>
    <w:rsid w:val="008503C0"/>
    <w:rsid w:val="00851485"/>
    <w:rsid w:val="00851703"/>
    <w:rsid w:val="008519D3"/>
    <w:rsid w:val="0085301E"/>
    <w:rsid w:val="0085332B"/>
    <w:rsid w:val="008540E3"/>
    <w:rsid w:val="00856102"/>
    <w:rsid w:val="00856D41"/>
    <w:rsid w:val="00860016"/>
    <w:rsid w:val="00860316"/>
    <w:rsid w:val="0086096D"/>
    <w:rsid w:val="00861D71"/>
    <w:rsid w:val="00862342"/>
    <w:rsid w:val="008630E2"/>
    <w:rsid w:val="00863281"/>
    <w:rsid w:val="00863ED8"/>
    <w:rsid w:val="00864834"/>
    <w:rsid w:val="008654AF"/>
    <w:rsid w:val="00867054"/>
    <w:rsid w:val="00867584"/>
    <w:rsid w:val="008679B9"/>
    <w:rsid w:val="00870E5E"/>
    <w:rsid w:val="008710A2"/>
    <w:rsid w:val="0087154B"/>
    <w:rsid w:val="00871929"/>
    <w:rsid w:val="00871AB7"/>
    <w:rsid w:val="00871CC8"/>
    <w:rsid w:val="00872A16"/>
    <w:rsid w:val="00873F2D"/>
    <w:rsid w:val="008752DB"/>
    <w:rsid w:val="00875B1E"/>
    <w:rsid w:val="00876312"/>
    <w:rsid w:val="008764E6"/>
    <w:rsid w:val="00876AF0"/>
    <w:rsid w:val="00877686"/>
    <w:rsid w:val="00877AA8"/>
    <w:rsid w:val="00880091"/>
    <w:rsid w:val="0088111E"/>
    <w:rsid w:val="00881164"/>
    <w:rsid w:val="00881354"/>
    <w:rsid w:val="008822C1"/>
    <w:rsid w:val="00882BA3"/>
    <w:rsid w:val="008831E3"/>
    <w:rsid w:val="008835B1"/>
    <w:rsid w:val="00883DC2"/>
    <w:rsid w:val="00884F04"/>
    <w:rsid w:val="00885572"/>
    <w:rsid w:val="00886899"/>
    <w:rsid w:val="0088716A"/>
    <w:rsid w:val="00890F2E"/>
    <w:rsid w:val="00891401"/>
    <w:rsid w:val="00891B94"/>
    <w:rsid w:val="008929C7"/>
    <w:rsid w:val="00892D47"/>
    <w:rsid w:val="0089320C"/>
    <w:rsid w:val="0089404B"/>
    <w:rsid w:val="008941C4"/>
    <w:rsid w:val="00894386"/>
    <w:rsid w:val="00895A8B"/>
    <w:rsid w:val="00896562"/>
    <w:rsid w:val="00897B4B"/>
    <w:rsid w:val="008A0313"/>
    <w:rsid w:val="008A088A"/>
    <w:rsid w:val="008A1022"/>
    <w:rsid w:val="008A1647"/>
    <w:rsid w:val="008A1A86"/>
    <w:rsid w:val="008A1C67"/>
    <w:rsid w:val="008A20B9"/>
    <w:rsid w:val="008A2DDB"/>
    <w:rsid w:val="008A39DB"/>
    <w:rsid w:val="008A4B6C"/>
    <w:rsid w:val="008A4C67"/>
    <w:rsid w:val="008A4C81"/>
    <w:rsid w:val="008A5577"/>
    <w:rsid w:val="008A5B6D"/>
    <w:rsid w:val="008A5B84"/>
    <w:rsid w:val="008A7063"/>
    <w:rsid w:val="008B0D07"/>
    <w:rsid w:val="008B0E20"/>
    <w:rsid w:val="008B1A30"/>
    <w:rsid w:val="008B251C"/>
    <w:rsid w:val="008B25AB"/>
    <w:rsid w:val="008B2907"/>
    <w:rsid w:val="008B3AF6"/>
    <w:rsid w:val="008B3DC1"/>
    <w:rsid w:val="008B4817"/>
    <w:rsid w:val="008B50E7"/>
    <w:rsid w:val="008B741E"/>
    <w:rsid w:val="008C0430"/>
    <w:rsid w:val="008C069D"/>
    <w:rsid w:val="008C0A1A"/>
    <w:rsid w:val="008C0A66"/>
    <w:rsid w:val="008C0E9F"/>
    <w:rsid w:val="008C13A7"/>
    <w:rsid w:val="008C1C13"/>
    <w:rsid w:val="008C2538"/>
    <w:rsid w:val="008C2EC4"/>
    <w:rsid w:val="008C40C5"/>
    <w:rsid w:val="008C4A0B"/>
    <w:rsid w:val="008C5016"/>
    <w:rsid w:val="008C53B6"/>
    <w:rsid w:val="008C588A"/>
    <w:rsid w:val="008C5E6F"/>
    <w:rsid w:val="008C72A4"/>
    <w:rsid w:val="008C7A2A"/>
    <w:rsid w:val="008C7EEA"/>
    <w:rsid w:val="008D02F2"/>
    <w:rsid w:val="008D27BA"/>
    <w:rsid w:val="008D2DD1"/>
    <w:rsid w:val="008D2F21"/>
    <w:rsid w:val="008D2F8B"/>
    <w:rsid w:val="008D3C9B"/>
    <w:rsid w:val="008D3CC1"/>
    <w:rsid w:val="008D4619"/>
    <w:rsid w:val="008D786E"/>
    <w:rsid w:val="008D7DF9"/>
    <w:rsid w:val="008E0619"/>
    <w:rsid w:val="008E10EF"/>
    <w:rsid w:val="008E146B"/>
    <w:rsid w:val="008E1B83"/>
    <w:rsid w:val="008E1F8B"/>
    <w:rsid w:val="008E221A"/>
    <w:rsid w:val="008E25EF"/>
    <w:rsid w:val="008E276E"/>
    <w:rsid w:val="008E2C01"/>
    <w:rsid w:val="008E324D"/>
    <w:rsid w:val="008E3769"/>
    <w:rsid w:val="008E382D"/>
    <w:rsid w:val="008E4AC4"/>
    <w:rsid w:val="008E5983"/>
    <w:rsid w:val="008E6311"/>
    <w:rsid w:val="008E635E"/>
    <w:rsid w:val="008E6EA8"/>
    <w:rsid w:val="008E7270"/>
    <w:rsid w:val="008E7577"/>
    <w:rsid w:val="008E76AA"/>
    <w:rsid w:val="008E793B"/>
    <w:rsid w:val="008E7B78"/>
    <w:rsid w:val="008F029B"/>
    <w:rsid w:val="008F06D7"/>
    <w:rsid w:val="008F0B14"/>
    <w:rsid w:val="008F0C9F"/>
    <w:rsid w:val="008F242D"/>
    <w:rsid w:val="008F3B8C"/>
    <w:rsid w:val="008F3ED2"/>
    <w:rsid w:val="008F531B"/>
    <w:rsid w:val="008F5E15"/>
    <w:rsid w:val="008F6033"/>
    <w:rsid w:val="008F6754"/>
    <w:rsid w:val="008F685D"/>
    <w:rsid w:val="008F6EEF"/>
    <w:rsid w:val="0090068B"/>
    <w:rsid w:val="0090116F"/>
    <w:rsid w:val="00901A5B"/>
    <w:rsid w:val="00901B57"/>
    <w:rsid w:val="00901BF6"/>
    <w:rsid w:val="009024AF"/>
    <w:rsid w:val="009028E6"/>
    <w:rsid w:val="0090304F"/>
    <w:rsid w:val="00903A52"/>
    <w:rsid w:val="00903B54"/>
    <w:rsid w:val="00904C21"/>
    <w:rsid w:val="00904CEF"/>
    <w:rsid w:val="00904FB0"/>
    <w:rsid w:val="0090546E"/>
    <w:rsid w:val="0090678B"/>
    <w:rsid w:val="00906D42"/>
    <w:rsid w:val="00906E0C"/>
    <w:rsid w:val="009071C9"/>
    <w:rsid w:val="00907E2C"/>
    <w:rsid w:val="00907EC4"/>
    <w:rsid w:val="009100BF"/>
    <w:rsid w:val="009105DE"/>
    <w:rsid w:val="00910778"/>
    <w:rsid w:val="009112B2"/>
    <w:rsid w:val="00911382"/>
    <w:rsid w:val="00913659"/>
    <w:rsid w:val="009136D1"/>
    <w:rsid w:val="00913719"/>
    <w:rsid w:val="00913AE8"/>
    <w:rsid w:val="00913D5A"/>
    <w:rsid w:val="00914803"/>
    <w:rsid w:val="0091530F"/>
    <w:rsid w:val="00916BC0"/>
    <w:rsid w:val="00916CD6"/>
    <w:rsid w:val="00916EC9"/>
    <w:rsid w:val="00917FC1"/>
    <w:rsid w:val="009201CF"/>
    <w:rsid w:val="00920C73"/>
    <w:rsid w:val="00923923"/>
    <w:rsid w:val="00924383"/>
    <w:rsid w:val="00924B90"/>
    <w:rsid w:val="009251D0"/>
    <w:rsid w:val="0092538A"/>
    <w:rsid w:val="00925932"/>
    <w:rsid w:val="00925A4D"/>
    <w:rsid w:val="00925D0F"/>
    <w:rsid w:val="00925F0F"/>
    <w:rsid w:val="00926054"/>
    <w:rsid w:val="00926DA7"/>
    <w:rsid w:val="009272A3"/>
    <w:rsid w:val="00927B0E"/>
    <w:rsid w:val="00927C8D"/>
    <w:rsid w:val="00927DCF"/>
    <w:rsid w:val="00930076"/>
    <w:rsid w:val="00930E50"/>
    <w:rsid w:val="009315C6"/>
    <w:rsid w:val="0093294B"/>
    <w:rsid w:val="0093324B"/>
    <w:rsid w:val="0093402D"/>
    <w:rsid w:val="00935DDE"/>
    <w:rsid w:val="0093658C"/>
    <w:rsid w:val="0093752A"/>
    <w:rsid w:val="00937B62"/>
    <w:rsid w:val="00940AD7"/>
    <w:rsid w:val="00941349"/>
    <w:rsid w:val="00941D31"/>
    <w:rsid w:val="0094242D"/>
    <w:rsid w:val="0094272D"/>
    <w:rsid w:val="009446B3"/>
    <w:rsid w:val="00944840"/>
    <w:rsid w:val="00944E32"/>
    <w:rsid w:val="00945089"/>
    <w:rsid w:val="00945ABD"/>
    <w:rsid w:val="00945F80"/>
    <w:rsid w:val="00946359"/>
    <w:rsid w:val="00946929"/>
    <w:rsid w:val="009479FC"/>
    <w:rsid w:val="009500F8"/>
    <w:rsid w:val="00950CF7"/>
    <w:rsid w:val="00950D1D"/>
    <w:rsid w:val="00953518"/>
    <w:rsid w:val="00953563"/>
    <w:rsid w:val="0095362B"/>
    <w:rsid w:val="0095519A"/>
    <w:rsid w:val="00955685"/>
    <w:rsid w:val="009557FA"/>
    <w:rsid w:val="00956089"/>
    <w:rsid w:val="009566BC"/>
    <w:rsid w:val="00956B42"/>
    <w:rsid w:val="00957986"/>
    <w:rsid w:val="00960713"/>
    <w:rsid w:val="0096077C"/>
    <w:rsid w:val="00961133"/>
    <w:rsid w:val="00962091"/>
    <w:rsid w:val="009633EB"/>
    <w:rsid w:val="009647C2"/>
    <w:rsid w:val="00965C4E"/>
    <w:rsid w:val="00965C88"/>
    <w:rsid w:val="00966591"/>
    <w:rsid w:val="00966E8B"/>
    <w:rsid w:val="009672F3"/>
    <w:rsid w:val="0097058C"/>
    <w:rsid w:val="009709D0"/>
    <w:rsid w:val="00970DCF"/>
    <w:rsid w:val="00970DF6"/>
    <w:rsid w:val="009713EB"/>
    <w:rsid w:val="009718EE"/>
    <w:rsid w:val="00971CE8"/>
    <w:rsid w:val="00971DE1"/>
    <w:rsid w:val="009722F7"/>
    <w:rsid w:val="00972574"/>
    <w:rsid w:val="00972875"/>
    <w:rsid w:val="00972ACF"/>
    <w:rsid w:val="00973FE6"/>
    <w:rsid w:val="0097462A"/>
    <w:rsid w:val="00975360"/>
    <w:rsid w:val="009753E3"/>
    <w:rsid w:val="00976499"/>
    <w:rsid w:val="00976945"/>
    <w:rsid w:val="009777C6"/>
    <w:rsid w:val="00977DA5"/>
    <w:rsid w:val="00977F01"/>
    <w:rsid w:val="00981792"/>
    <w:rsid w:val="00982374"/>
    <w:rsid w:val="0098378B"/>
    <w:rsid w:val="00983DC0"/>
    <w:rsid w:val="00983E73"/>
    <w:rsid w:val="0098402B"/>
    <w:rsid w:val="00984628"/>
    <w:rsid w:val="009848A5"/>
    <w:rsid w:val="00984CE1"/>
    <w:rsid w:val="0098633D"/>
    <w:rsid w:val="00986C10"/>
    <w:rsid w:val="00987087"/>
    <w:rsid w:val="00987134"/>
    <w:rsid w:val="0098723C"/>
    <w:rsid w:val="00987DE8"/>
    <w:rsid w:val="00990662"/>
    <w:rsid w:val="00990B11"/>
    <w:rsid w:val="00992330"/>
    <w:rsid w:val="0099330C"/>
    <w:rsid w:val="00993466"/>
    <w:rsid w:val="00993ABD"/>
    <w:rsid w:val="00993AC3"/>
    <w:rsid w:val="0099401E"/>
    <w:rsid w:val="0099445F"/>
    <w:rsid w:val="00995189"/>
    <w:rsid w:val="009960A2"/>
    <w:rsid w:val="00996862"/>
    <w:rsid w:val="00997554"/>
    <w:rsid w:val="009A1238"/>
    <w:rsid w:val="009A1F16"/>
    <w:rsid w:val="009A22C1"/>
    <w:rsid w:val="009A29D0"/>
    <w:rsid w:val="009A314F"/>
    <w:rsid w:val="009A3628"/>
    <w:rsid w:val="009A3D38"/>
    <w:rsid w:val="009A4071"/>
    <w:rsid w:val="009A4A79"/>
    <w:rsid w:val="009A51B7"/>
    <w:rsid w:val="009A6254"/>
    <w:rsid w:val="009A6841"/>
    <w:rsid w:val="009A7151"/>
    <w:rsid w:val="009B05B1"/>
    <w:rsid w:val="009B0F96"/>
    <w:rsid w:val="009B1CDE"/>
    <w:rsid w:val="009B273B"/>
    <w:rsid w:val="009B3DC5"/>
    <w:rsid w:val="009B45B6"/>
    <w:rsid w:val="009B4E48"/>
    <w:rsid w:val="009B4F91"/>
    <w:rsid w:val="009B5089"/>
    <w:rsid w:val="009B528C"/>
    <w:rsid w:val="009B5780"/>
    <w:rsid w:val="009B584D"/>
    <w:rsid w:val="009B589C"/>
    <w:rsid w:val="009B5970"/>
    <w:rsid w:val="009B6FC6"/>
    <w:rsid w:val="009B7300"/>
    <w:rsid w:val="009B767D"/>
    <w:rsid w:val="009B79D9"/>
    <w:rsid w:val="009C0652"/>
    <w:rsid w:val="009C14DB"/>
    <w:rsid w:val="009C28E6"/>
    <w:rsid w:val="009C2BE2"/>
    <w:rsid w:val="009C3425"/>
    <w:rsid w:val="009C4652"/>
    <w:rsid w:val="009C4AFB"/>
    <w:rsid w:val="009C4EAC"/>
    <w:rsid w:val="009C5765"/>
    <w:rsid w:val="009C5766"/>
    <w:rsid w:val="009C59CC"/>
    <w:rsid w:val="009C6D4C"/>
    <w:rsid w:val="009C6E78"/>
    <w:rsid w:val="009C766F"/>
    <w:rsid w:val="009C7694"/>
    <w:rsid w:val="009D0C25"/>
    <w:rsid w:val="009D1434"/>
    <w:rsid w:val="009D18C7"/>
    <w:rsid w:val="009D2A96"/>
    <w:rsid w:val="009D308E"/>
    <w:rsid w:val="009D3288"/>
    <w:rsid w:val="009D369E"/>
    <w:rsid w:val="009D4BB2"/>
    <w:rsid w:val="009D54B4"/>
    <w:rsid w:val="009D5F64"/>
    <w:rsid w:val="009D6DC1"/>
    <w:rsid w:val="009D724F"/>
    <w:rsid w:val="009D7363"/>
    <w:rsid w:val="009D7C9E"/>
    <w:rsid w:val="009E0149"/>
    <w:rsid w:val="009E021C"/>
    <w:rsid w:val="009E0293"/>
    <w:rsid w:val="009E08FB"/>
    <w:rsid w:val="009E0B7D"/>
    <w:rsid w:val="009E0DE8"/>
    <w:rsid w:val="009E1699"/>
    <w:rsid w:val="009E18E5"/>
    <w:rsid w:val="009E257D"/>
    <w:rsid w:val="009E2AA2"/>
    <w:rsid w:val="009E3348"/>
    <w:rsid w:val="009E4036"/>
    <w:rsid w:val="009E42E8"/>
    <w:rsid w:val="009E4AD7"/>
    <w:rsid w:val="009E546A"/>
    <w:rsid w:val="009E5AB3"/>
    <w:rsid w:val="009E5E18"/>
    <w:rsid w:val="009E654E"/>
    <w:rsid w:val="009E6DFA"/>
    <w:rsid w:val="009E7576"/>
    <w:rsid w:val="009F208A"/>
    <w:rsid w:val="009F20B9"/>
    <w:rsid w:val="009F624D"/>
    <w:rsid w:val="009F6524"/>
    <w:rsid w:val="009F6D2A"/>
    <w:rsid w:val="009F6F8F"/>
    <w:rsid w:val="00A004C4"/>
    <w:rsid w:val="00A00E93"/>
    <w:rsid w:val="00A011CB"/>
    <w:rsid w:val="00A0166F"/>
    <w:rsid w:val="00A017B5"/>
    <w:rsid w:val="00A01B93"/>
    <w:rsid w:val="00A024AE"/>
    <w:rsid w:val="00A025CB"/>
    <w:rsid w:val="00A02F1E"/>
    <w:rsid w:val="00A038C3"/>
    <w:rsid w:val="00A03B99"/>
    <w:rsid w:val="00A0485F"/>
    <w:rsid w:val="00A064B1"/>
    <w:rsid w:val="00A06AE6"/>
    <w:rsid w:val="00A07006"/>
    <w:rsid w:val="00A11F10"/>
    <w:rsid w:val="00A12258"/>
    <w:rsid w:val="00A146AA"/>
    <w:rsid w:val="00A14BE5"/>
    <w:rsid w:val="00A15C98"/>
    <w:rsid w:val="00A1613B"/>
    <w:rsid w:val="00A1706B"/>
    <w:rsid w:val="00A170F2"/>
    <w:rsid w:val="00A17167"/>
    <w:rsid w:val="00A176D3"/>
    <w:rsid w:val="00A179B9"/>
    <w:rsid w:val="00A20980"/>
    <w:rsid w:val="00A20988"/>
    <w:rsid w:val="00A20AEF"/>
    <w:rsid w:val="00A21CD3"/>
    <w:rsid w:val="00A227E8"/>
    <w:rsid w:val="00A230A7"/>
    <w:rsid w:val="00A23653"/>
    <w:rsid w:val="00A23CB4"/>
    <w:rsid w:val="00A24441"/>
    <w:rsid w:val="00A24865"/>
    <w:rsid w:val="00A24D36"/>
    <w:rsid w:val="00A25798"/>
    <w:rsid w:val="00A25E22"/>
    <w:rsid w:val="00A26D88"/>
    <w:rsid w:val="00A26FEA"/>
    <w:rsid w:val="00A27765"/>
    <w:rsid w:val="00A277C1"/>
    <w:rsid w:val="00A307B6"/>
    <w:rsid w:val="00A31324"/>
    <w:rsid w:val="00A323A1"/>
    <w:rsid w:val="00A32C57"/>
    <w:rsid w:val="00A33406"/>
    <w:rsid w:val="00A33BA9"/>
    <w:rsid w:val="00A35F14"/>
    <w:rsid w:val="00A35FF6"/>
    <w:rsid w:val="00A362EF"/>
    <w:rsid w:val="00A36417"/>
    <w:rsid w:val="00A364CC"/>
    <w:rsid w:val="00A36F13"/>
    <w:rsid w:val="00A370AC"/>
    <w:rsid w:val="00A379C0"/>
    <w:rsid w:val="00A400B5"/>
    <w:rsid w:val="00A40647"/>
    <w:rsid w:val="00A409B7"/>
    <w:rsid w:val="00A40CA6"/>
    <w:rsid w:val="00A4195C"/>
    <w:rsid w:val="00A41E63"/>
    <w:rsid w:val="00A423F7"/>
    <w:rsid w:val="00A4298C"/>
    <w:rsid w:val="00A43061"/>
    <w:rsid w:val="00A445F3"/>
    <w:rsid w:val="00A464D2"/>
    <w:rsid w:val="00A4658F"/>
    <w:rsid w:val="00A4698F"/>
    <w:rsid w:val="00A47D84"/>
    <w:rsid w:val="00A500DF"/>
    <w:rsid w:val="00A50685"/>
    <w:rsid w:val="00A50B56"/>
    <w:rsid w:val="00A50F7D"/>
    <w:rsid w:val="00A5303A"/>
    <w:rsid w:val="00A53227"/>
    <w:rsid w:val="00A5352A"/>
    <w:rsid w:val="00A535B2"/>
    <w:rsid w:val="00A53785"/>
    <w:rsid w:val="00A545DF"/>
    <w:rsid w:val="00A5511A"/>
    <w:rsid w:val="00A554FA"/>
    <w:rsid w:val="00A56122"/>
    <w:rsid w:val="00A564BD"/>
    <w:rsid w:val="00A57F7A"/>
    <w:rsid w:val="00A6012C"/>
    <w:rsid w:val="00A60A16"/>
    <w:rsid w:val="00A616C3"/>
    <w:rsid w:val="00A61C01"/>
    <w:rsid w:val="00A620AB"/>
    <w:rsid w:val="00A62A13"/>
    <w:rsid w:val="00A632A5"/>
    <w:rsid w:val="00A633D1"/>
    <w:rsid w:val="00A63A2D"/>
    <w:rsid w:val="00A6419E"/>
    <w:rsid w:val="00A6423B"/>
    <w:rsid w:val="00A64720"/>
    <w:rsid w:val="00A64854"/>
    <w:rsid w:val="00A64AAE"/>
    <w:rsid w:val="00A64BC1"/>
    <w:rsid w:val="00A659B0"/>
    <w:rsid w:val="00A65C7D"/>
    <w:rsid w:val="00A66760"/>
    <w:rsid w:val="00A66E93"/>
    <w:rsid w:val="00A67562"/>
    <w:rsid w:val="00A70AB1"/>
    <w:rsid w:val="00A70DC5"/>
    <w:rsid w:val="00A75EAF"/>
    <w:rsid w:val="00A76351"/>
    <w:rsid w:val="00A76FD9"/>
    <w:rsid w:val="00A774DB"/>
    <w:rsid w:val="00A77F47"/>
    <w:rsid w:val="00A804A4"/>
    <w:rsid w:val="00A80CD1"/>
    <w:rsid w:val="00A81296"/>
    <w:rsid w:val="00A82CB7"/>
    <w:rsid w:val="00A83428"/>
    <w:rsid w:val="00A83B86"/>
    <w:rsid w:val="00A846D7"/>
    <w:rsid w:val="00A8507F"/>
    <w:rsid w:val="00A8522A"/>
    <w:rsid w:val="00A854A1"/>
    <w:rsid w:val="00A859E9"/>
    <w:rsid w:val="00A85E22"/>
    <w:rsid w:val="00A86010"/>
    <w:rsid w:val="00A87E95"/>
    <w:rsid w:val="00A91220"/>
    <w:rsid w:val="00A92576"/>
    <w:rsid w:val="00A929ED"/>
    <w:rsid w:val="00A92DCF"/>
    <w:rsid w:val="00A93B7A"/>
    <w:rsid w:val="00A94167"/>
    <w:rsid w:val="00A957C1"/>
    <w:rsid w:val="00A961ED"/>
    <w:rsid w:val="00A97006"/>
    <w:rsid w:val="00A9779F"/>
    <w:rsid w:val="00AA0B02"/>
    <w:rsid w:val="00AA1DE7"/>
    <w:rsid w:val="00AA27BF"/>
    <w:rsid w:val="00AA2F0B"/>
    <w:rsid w:val="00AA44B2"/>
    <w:rsid w:val="00AA5C74"/>
    <w:rsid w:val="00AA77BB"/>
    <w:rsid w:val="00AA78E7"/>
    <w:rsid w:val="00AA7D47"/>
    <w:rsid w:val="00AB06B3"/>
    <w:rsid w:val="00AB09A2"/>
    <w:rsid w:val="00AB22C8"/>
    <w:rsid w:val="00AB281D"/>
    <w:rsid w:val="00AB2879"/>
    <w:rsid w:val="00AB2A2B"/>
    <w:rsid w:val="00AB3AF0"/>
    <w:rsid w:val="00AB4BA6"/>
    <w:rsid w:val="00AB5420"/>
    <w:rsid w:val="00AB5B51"/>
    <w:rsid w:val="00AB640A"/>
    <w:rsid w:val="00AB67A6"/>
    <w:rsid w:val="00AB6C8C"/>
    <w:rsid w:val="00AB6EB2"/>
    <w:rsid w:val="00AB74AB"/>
    <w:rsid w:val="00AC0390"/>
    <w:rsid w:val="00AC0897"/>
    <w:rsid w:val="00AC2131"/>
    <w:rsid w:val="00AC325A"/>
    <w:rsid w:val="00AC45ED"/>
    <w:rsid w:val="00AC4C4B"/>
    <w:rsid w:val="00AC501F"/>
    <w:rsid w:val="00AC5481"/>
    <w:rsid w:val="00AC5FFC"/>
    <w:rsid w:val="00AC60D4"/>
    <w:rsid w:val="00AC7F76"/>
    <w:rsid w:val="00AD01E4"/>
    <w:rsid w:val="00AD68D7"/>
    <w:rsid w:val="00AD7396"/>
    <w:rsid w:val="00AD7BC9"/>
    <w:rsid w:val="00AE071A"/>
    <w:rsid w:val="00AE0AD5"/>
    <w:rsid w:val="00AE120B"/>
    <w:rsid w:val="00AE14AE"/>
    <w:rsid w:val="00AE1721"/>
    <w:rsid w:val="00AE1A18"/>
    <w:rsid w:val="00AE1AE1"/>
    <w:rsid w:val="00AE1B1B"/>
    <w:rsid w:val="00AE2205"/>
    <w:rsid w:val="00AE2870"/>
    <w:rsid w:val="00AE2897"/>
    <w:rsid w:val="00AE2CA6"/>
    <w:rsid w:val="00AE3303"/>
    <w:rsid w:val="00AE36D8"/>
    <w:rsid w:val="00AE3F7B"/>
    <w:rsid w:val="00AE4375"/>
    <w:rsid w:val="00AE4FE7"/>
    <w:rsid w:val="00AE59BF"/>
    <w:rsid w:val="00AE5FFF"/>
    <w:rsid w:val="00AE672E"/>
    <w:rsid w:val="00AE6A5F"/>
    <w:rsid w:val="00AF068F"/>
    <w:rsid w:val="00AF1210"/>
    <w:rsid w:val="00AF14C3"/>
    <w:rsid w:val="00AF26BF"/>
    <w:rsid w:val="00AF26CE"/>
    <w:rsid w:val="00AF2984"/>
    <w:rsid w:val="00AF2CF6"/>
    <w:rsid w:val="00AF3660"/>
    <w:rsid w:val="00AF3B9B"/>
    <w:rsid w:val="00AF5D37"/>
    <w:rsid w:val="00AF6074"/>
    <w:rsid w:val="00AF645E"/>
    <w:rsid w:val="00AF7FF0"/>
    <w:rsid w:val="00B003EF"/>
    <w:rsid w:val="00B004AD"/>
    <w:rsid w:val="00B014ED"/>
    <w:rsid w:val="00B02BAF"/>
    <w:rsid w:val="00B02D69"/>
    <w:rsid w:val="00B03832"/>
    <w:rsid w:val="00B0420B"/>
    <w:rsid w:val="00B0516F"/>
    <w:rsid w:val="00B0631C"/>
    <w:rsid w:val="00B07ED8"/>
    <w:rsid w:val="00B1056F"/>
    <w:rsid w:val="00B10AC1"/>
    <w:rsid w:val="00B10CC1"/>
    <w:rsid w:val="00B11314"/>
    <w:rsid w:val="00B11656"/>
    <w:rsid w:val="00B118E5"/>
    <w:rsid w:val="00B1241E"/>
    <w:rsid w:val="00B124BD"/>
    <w:rsid w:val="00B12778"/>
    <w:rsid w:val="00B129D1"/>
    <w:rsid w:val="00B139F8"/>
    <w:rsid w:val="00B13AE6"/>
    <w:rsid w:val="00B1463F"/>
    <w:rsid w:val="00B15051"/>
    <w:rsid w:val="00B152EC"/>
    <w:rsid w:val="00B15864"/>
    <w:rsid w:val="00B15A0D"/>
    <w:rsid w:val="00B15A37"/>
    <w:rsid w:val="00B15C13"/>
    <w:rsid w:val="00B16CE6"/>
    <w:rsid w:val="00B20540"/>
    <w:rsid w:val="00B20BF3"/>
    <w:rsid w:val="00B21BF0"/>
    <w:rsid w:val="00B22BCB"/>
    <w:rsid w:val="00B23229"/>
    <w:rsid w:val="00B234DC"/>
    <w:rsid w:val="00B23ED1"/>
    <w:rsid w:val="00B25159"/>
    <w:rsid w:val="00B2531E"/>
    <w:rsid w:val="00B260EC"/>
    <w:rsid w:val="00B26401"/>
    <w:rsid w:val="00B2789D"/>
    <w:rsid w:val="00B2793F"/>
    <w:rsid w:val="00B27A5D"/>
    <w:rsid w:val="00B3065D"/>
    <w:rsid w:val="00B30B77"/>
    <w:rsid w:val="00B30D28"/>
    <w:rsid w:val="00B31864"/>
    <w:rsid w:val="00B331A6"/>
    <w:rsid w:val="00B331FA"/>
    <w:rsid w:val="00B333D8"/>
    <w:rsid w:val="00B35632"/>
    <w:rsid w:val="00B36C10"/>
    <w:rsid w:val="00B37517"/>
    <w:rsid w:val="00B376B0"/>
    <w:rsid w:val="00B40E8E"/>
    <w:rsid w:val="00B4120B"/>
    <w:rsid w:val="00B41D34"/>
    <w:rsid w:val="00B428E9"/>
    <w:rsid w:val="00B43612"/>
    <w:rsid w:val="00B43A5F"/>
    <w:rsid w:val="00B43AC2"/>
    <w:rsid w:val="00B441EA"/>
    <w:rsid w:val="00B449EA"/>
    <w:rsid w:val="00B45252"/>
    <w:rsid w:val="00B45D26"/>
    <w:rsid w:val="00B4615F"/>
    <w:rsid w:val="00B464FF"/>
    <w:rsid w:val="00B47003"/>
    <w:rsid w:val="00B47586"/>
    <w:rsid w:val="00B51632"/>
    <w:rsid w:val="00B52935"/>
    <w:rsid w:val="00B5297D"/>
    <w:rsid w:val="00B53B4F"/>
    <w:rsid w:val="00B53DDB"/>
    <w:rsid w:val="00B54263"/>
    <w:rsid w:val="00B5572E"/>
    <w:rsid w:val="00B564F2"/>
    <w:rsid w:val="00B56CC6"/>
    <w:rsid w:val="00B5758E"/>
    <w:rsid w:val="00B578AE"/>
    <w:rsid w:val="00B60880"/>
    <w:rsid w:val="00B608B0"/>
    <w:rsid w:val="00B60A01"/>
    <w:rsid w:val="00B60B63"/>
    <w:rsid w:val="00B61650"/>
    <w:rsid w:val="00B62C3D"/>
    <w:rsid w:val="00B62F5A"/>
    <w:rsid w:val="00B63896"/>
    <w:rsid w:val="00B64C5E"/>
    <w:rsid w:val="00B67004"/>
    <w:rsid w:val="00B716C4"/>
    <w:rsid w:val="00B71CCB"/>
    <w:rsid w:val="00B7258E"/>
    <w:rsid w:val="00B72849"/>
    <w:rsid w:val="00B72A83"/>
    <w:rsid w:val="00B73020"/>
    <w:rsid w:val="00B7330B"/>
    <w:rsid w:val="00B761EC"/>
    <w:rsid w:val="00B764E4"/>
    <w:rsid w:val="00B769FD"/>
    <w:rsid w:val="00B77870"/>
    <w:rsid w:val="00B804F3"/>
    <w:rsid w:val="00B80E35"/>
    <w:rsid w:val="00B81CC3"/>
    <w:rsid w:val="00B81FC8"/>
    <w:rsid w:val="00B82B80"/>
    <w:rsid w:val="00B82EF9"/>
    <w:rsid w:val="00B8348C"/>
    <w:rsid w:val="00B8371A"/>
    <w:rsid w:val="00B84A9C"/>
    <w:rsid w:val="00B85F9C"/>
    <w:rsid w:val="00B86D81"/>
    <w:rsid w:val="00B871B0"/>
    <w:rsid w:val="00B87DBC"/>
    <w:rsid w:val="00B90484"/>
    <w:rsid w:val="00B91AF6"/>
    <w:rsid w:val="00B9201F"/>
    <w:rsid w:val="00B92A77"/>
    <w:rsid w:val="00B94803"/>
    <w:rsid w:val="00B948B6"/>
    <w:rsid w:val="00B94DC9"/>
    <w:rsid w:val="00BA03AB"/>
    <w:rsid w:val="00BA093E"/>
    <w:rsid w:val="00BA1056"/>
    <w:rsid w:val="00BA1163"/>
    <w:rsid w:val="00BA117E"/>
    <w:rsid w:val="00BA19A8"/>
    <w:rsid w:val="00BA1F88"/>
    <w:rsid w:val="00BA2789"/>
    <w:rsid w:val="00BA2BC2"/>
    <w:rsid w:val="00BA3DC1"/>
    <w:rsid w:val="00BA4391"/>
    <w:rsid w:val="00BA45D4"/>
    <w:rsid w:val="00BA5751"/>
    <w:rsid w:val="00BA5FB7"/>
    <w:rsid w:val="00BA7D4B"/>
    <w:rsid w:val="00BB07A4"/>
    <w:rsid w:val="00BB07AE"/>
    <w:rsid w:val="00BB0BFE"/>
    <w:rsid w:val="00BB0E92"/>
    <w:rsid w:val="00BB0EDF"/>
    <w:rsid w:val="00BB1980"/>
    <w:rsid w:val="00BB1DED"/>
    <w:rsid w:val="00BB1E01"/>
    <w:rsid w:val="00BB1EDD"/>
    <w:rsid w:val="00BB308E"/>
    <w:rsid w:val="00BB31AA"/>
    <w:rsid w:val="00BB4462"/>
    <w:rsid w:val="00BB4A08"/>
    <w:rsid w:val="00BB50CA"/>
    <w:rsid w:val="00BB5A59"/>
    <w:rsid w:val="00BB7E02"/>
    <w:rsid w:val="00BC1B51"/>
    <w:rsid w:val="00BC2212"/>
    <w:rsid w:val="00BC24C1"/>
    <w:rsid w:val="00BC3F50"/>
    <w:rsid w:val="00BC5690"/>
    <w:rsid w:val="00BC6485"/>
    <w:rsid w:val="00BC6625"/>
    <w:rsid w:val="00BC6C4D"/>
    <w:rsid w:val="00BC78A3"/>
    <w:rsid w:val="00BD024D"/>
    <w:rsid w:val="00BD0763"/>
    <w:rsid w:val="00BD1098"/>
    <w:rsid w:val="00BD1667"/>
    <w:rsid w:val="00BD1771"/>
    <w:rsid w:val="00BD19C3"/>
    <w:rsid w:val="00BD2BC1"/>
    <w:rsid w:val="00BD3CF2"/>
    <w:rsid w:val="00BD5078"/>
    <w:rsid w:val="00BD5439"/>
    <w:rsid w:val="00BD58FF"/>
    <w:rsid w:val="00BD61FC"/>
    <w:rsid w:val="00BD7121"/>
    <w:rsid w:val="00BD72A7"/>
    <w:rsid w:val="00BD73E4"/>
    <w:rsid w:val="00BD7539"/>
    <w:rsid w:val="00BE0993"/>
    <w:rsid w:val="00BE0FFF"/>
    <w:rsid w:val="00BE1ADD"/>
    <w:rsid w:val="00BE1B4F"/>
    <w:rsid w:val="00BE1D96"/>
    <w:rsid w:val="00BE2F61"/>
    <w:rsid w:val="00BE3731"/>
    <w:rsid w:val="00BE3CD9"/>
    <w:rsid w:val="00BE42D5"/>
    <w:rsid w:val="00BE45D3"/>
    <w:rsid w:val="00BE48F8"/>
    <w:rsid w:val="00BE4B32"/>
    <w:rsid w:val="00BE5C6C"/>
    <w:rsid w:val="00BE5EDB"/>
    <w:rsid w:val="00BE6411"/>
    <w:rsid w:val="00BE64B4"/>
    <w:rsid w:val="00BE695D"/>
    <w:rsid w:val="00BE7279"/>
    <w:rsid w:val="00BF030D"/>
    <w:rsid w:val="00BF0317"/>
    <w:rsid w:val="00BF1B75"/>
    <w:rsid w:val="00BF1CEF"/>
    <w:rsid w:val="00BF1E72"/>
    <w:rsid w:val="00BF21F1"/>
    <w:rsid w:val="00BF255A"/>
    <w:rsid w:val="00BF2782"/>
    <w:rsid w:val="00BF2EE7"/>
    <w:rsid w:val="00BF2FDB"/>
    <w:rsid w:val="00BF4985"/>
    <w:rsid w:val="00BF4AF6"/>
    <w:rsid w:val="00BF5445"/>
    <w:rsid w:val="00BF59D5"/>
    <w:rsid w:val="00BF5A2D"/>
    <w:rsid w:val="00BF7190"/>
    <w:rsid w:val="00C012F4"/>
    <w:rsid w:val="00C039CC"/>
    <w:rsid w:val="00C03A13"/>
    <w:rsid w:val="00C0757F"/>
    <w:rsid w:val="00C07877"/>
    <w:rsid w:val="00C079BA"/>
    <w:rsid w:val="00C07FE8"/>
    <w:rsid w:val="00C1033C"/>
    <w:rsid w:val="00C116F7"/>
    <w:rsid w:val="00C11B7A"/>
    <w:rsid w:val="00C11C60"/>
    <w:rsid w:val="00C125C8"/>
    <w:rsid w:val="00C12698"/>
    <w:rsid w:val="00C12ED0"/>
    <w:rsid w:val="00C133A8"/>
    <w:rsid w:val="00C138B9"/>
    <w:rsid w:val="00C14636"/>
    <w:rsid w:val="00C14B1D"/>
    <w:rsid w:val="00C200E1"/>
    <w:rsid w:val="00C23ED0"/>
    <w:rsid w:val="00C2594E"/>
    <w:rsid w:val="00C2605E"/>
    <w:rsid w:val="00C262E8"/>
    <w:rsid w:val="00C27E87"/>
    <w:rsid w:val="00C27FC7"/>
    <w:rsid w:val="00C3012F"/>
    <w:rsid w:val="00C30954"/>
    <w:rsid w:val="00C30AD9"/>
    <w:rsid w:val="00C30EAC"/>
    <w:rsid w:val="00C310EF"/>
    <w:rsid w:val="00C3178D"/>
    <w:rsid w:val="00C31BC1"/>
    <w:rsid w:val="00C32498"/>
    <w:rsid w:val="00C32B85"/>
    <w:rsid w:val="00C32E6C"/>
    <w:rsid w:val="00C343A6"/>
    <w:rsid w:val="00C35092"/>
    <w:rsid w:val="00C35C3F"/>
    <w:rsid w:val="00C368FF"/>
    <w:rsid w:val="00C36AE5"/>
    <w:rsid w:val="00C36C7E"/>
    <w:rsid w:val="00C3743C"/>
    <w:rsid w:val="00C37580"/>
    <w:rsid w:val="00C37E0B"/>
    <w:rsid w:val="00C41C58"/>
    <w:rsid w:val="00C41D22"/>
    <w:rsid w:val="00C42A5E"/>
    <w:rsid w:val="00C437D7"/>
    <w:rsid w:val="00C445FC"/>
    <w:rsid w:val="00C4532C"/>
    <w:rsid w:val="00C453D9"/>
    <w:rsid w:val="00C454B3"/>
    <w:rsid w:val="00C458A2"/>
    <w:rsid w:val="00C4590E"/>
    <w:rsid w:val="00C460C3"/>
    <w:rsid w:val="00C461BA"/>
    <w:rsid w:val="00C47375"/>
    <w:rsid w:val="00C47781"/>
    <w:rsid w:val="00C50D7F"/>
    <w:rsid w:val="00C51141"/>
    <w:rsid w:val="00C528B9"/>
    <w:rsid w:val="00C5363A"/>
    <w:rsid w:val="00C53BA8"/>
    <w:rsid w:val="00C54DF6"/>
    <w:rsid w:val="00C55579"/>
    <w:rsid w:val="00C5559B"/>
    <w:rsid w:val="00C55B90"/>
    <w:rsid w:val="00C55D46"/>
    <w:rsid w:val="00C56B00"/>
    <w:rsid w:val="00C571C8"/>
    <w:rsid w:val="00C6013C"/>
    <w:rsid w:val="00C60195"/>
    <w:rsid w:val="00C60D5C"/>
    <w:rsid w:val="00C613EC"/>
    <w:rsid w:val="00C62163"/>
    <w:rsid w:val="00C6261D"/>
    <w:rsid w:val="00C636F0"/>
    <w:rsid w:val="00C63B4F"/>
    <w:rsid w:val="00C63D63"/>
    <w:rsid w:val="00C640EF"/>
    <w:rsid w:val="00C64920"/>
    <w:rsid w:val="00C64D8C"/>
    <w:rsid w:val="00C64F94"/>
    <w:rsid w:val="00C65752"/>
    <w:rsid w:val="00C65C96"/>
    <w:rsid w:val="00C66046"/>
    <w:rsid w:val="00C70F99"/>
    <w:rsid w:val="00C72F2B"/>
    <w:rsid w:val="00C738C1"/>
    <w:rsid w:val="00C73CF5"/>
    <w:rsid w:val="00C74815"/>
    <w:rsid w:val="00C749F8"/>
    <w:rsid w:val="00C74F98"/>
    <w:rsid w:val="00C75832"/>
    <w:rsid w:val="00C7590E"/>
    <w:rsid w:val="00C75DBE"/>
    <w:rsid w:val="00C76924"/>
    <w:rsid w:val="00C76DCE"/>
    <w:rsid w:val="00C7736C"/>
    <w:rsid w:val="00C77DFB"/>
    <w:rsid w:val="00C80EC2"/>
    <w:rsid w:val="00C81D8E"/>
    <w:rsid w:val="00C81DD7"/>
    <w:rsid w:val="00C822EB"/>
    <w:rsid w:val="00C82883"/>
    <w:rsid w:val="00C84A46"/>
    <w:rsid w:val="00C84E6E"/>
    <w:rsid w:val="00C85649"/>
    <w:rsid w:val="00C85A0A"/>
    <w:rsid w:val="00C867F6"/>
    <w:rsid w:val="00C87AA7"/>
    <w:rsid w:val="00C904D6"/>
    <w:rsid w:val="00C91A34"/>
    <w:rsid w:val="00C91A7D"/>
    <w:rsid w:val="00C921D5"/>
    <w:rsid w:val="00C93250"/>
    <w:rsid w:val="00C935C3"/>
    <w:rsid w:val="00C93F22"/>
    <w:rsid w:val="00C94BEA"/>
    <w:rsid w:val="00C96FDB"/>
    <w:rsid w:val="00CA08BD"/>
    <w:rsid w:val="00CA09FC"/>
    <w:rsid w:val="00CA0AE6"/>
    <w:rsid w:val="00CA110C"/>
    <w:rsid w:val="00CA1771"/>
    <w:rsid w:val="00CA17BA"/>
    <w:rsid w:val="00CA197A"/>
    <w:rsid w:val="00CA2A8E"/>
    <w:rsid w:val="00CA3784"/>
    <w:rsid w:val="00CA4211"/>
    <w:rsid w:val="00CA4F1D"/>
    <w:rsid w:val="00CA5600"/>
    <w:rsid w:val="00CA5B1F"/>
    <w:rsid w:val="00CA61EC"/>
    <w:rsid w:val="00CA6432"/>
    <w:rsid w:val="00CA704A"/>
    <w:rsid w:val="00CA70DF"/>
    <w:rsid w:val="00CA71DB"/>
    <w:rsid w:val="00CA76E7"/>
    <w:rsid w:val="00CB1CAC"/>
    <w:rsid w:val="00CB43DA"/>
    <w:rsid w:val="00CB672A"/>
    <w:rsid w:val="00CB6DDD"/>
    <w:rsid w:val="00CB75DA"/>
    <w:rsid w:val="00CB7DC9"/>
    <w:rsid w:val="00CC134B"/>
    <w:rsid w:val="00CC27EC"/>
    <w:rsid w:val="00CC2C4C"/>
    <w:rsid w:val="00CC3120"/>
    <w:rsid w:val="00CC31D8"/>
    <w:rsid w:val="00CC39B7"/>
    <w:rsid w:val="00CC3EFC"/>
    <w:rsid w:val="00CC4CA6"/>
    <w:rsid w:val="00CC53AE"/>
    <w:rsid w:val="00CC5E71"/>
    <w:rsid w:val="00CC613B"/>
    <w:rsid w:val="00CC6616"/>
    <w:rsid w:val="00CC6FBF"/>
    <w:rsid w:val="00CC78E3"/>
    <w:rsid w:val="00CC7B42"/>
    <w:rsid w:val="00CC7EE2"/>
    <w:rsid w:val="00CD0117"/>
    <w:rsid w:val="00CD3705"/>
    <w:rsid w:val="00CD3C91"/>
    <w:rsid w:val="00CD4777"/>
    <w:rsid w:val="00CD4D09"/>
    <w:rsid w:val="00CD5AD0"/>
    <w:rsid w:val="00CD66D7"/>
    <w:rsid w:val="00CD6A06"/>
    <w:rsid w:val="00CD6EC2"/>
    <w:rsid w:val="00CD75E5"/>
    <w:rsid w:val="00CD7AB1"/>
    <w:rsid w:val="00CE1BA9"/>
    <w:rsid w:val="00CE1F65"/>
    <w:rsid w:val="00CE26C8"/>
    <w:rsid w:val="00CE29E6"/>
    <w:rsid w:val="00CE3683"/>
    <w:rsid w:val="00CE3925"/>
    <w:rsid w:val="00CE3D14"/>
    <w:rsid w:val="00CE5AC2"/>
    <w:rsid w:val="00CE5ACA"/>
    <w:rsid w:val="00CF0207"/>
    <w:rsid w:val="00CF11C7"/>
    <w:rsid w:val="00CF212A"/>
    <w:rsid w:val="00CF2660"/>
    <w:rsid w:val="00CF2F4F"/>
    <w:rsid w:val="00CF426D"/>
    <w:rsid w:val="00CF4E03"/>
    <w:rsid w:val="00CF4F55"/>
    <w:rsid w:val="00CF5CDF"/>
    <w:rsid w:val="00CF621D"/>
    <w:rsid w:val="00CF6582"/>
    <w:rsid w:val="00CF686B"/>
    <w:rsid w:val="00CF6E55"/>
    <w:rsid w:val="00CF76CE"/>
    <w:rsid w:val="00D00558"/>
    <w:rsid w:val="00D00F3D"/>
    <w:rsid w:val="00D00F51"/>
    <w:rsid w:val="00D0129F"/>
    <w:rsid w:val="00D01307"/>
    <w:rsid w:val="00D03013"/>
    <w:rsid w:val="00D034BA"/>
    <w:rsid w:val="00D0443E"/>
    <w:rsid w:val="00D04E09"/>
    <w:rsid w:val="00D054DC"/>
    <w:rsid w:val="00D0664D"/>
    <w:rsid w:val="00D0780A"/>
    <w:rsid w:val="00D1077A"/>
    <w:rsid w:val="00D11C52"/>
    <w:rsid w:val="00D1212E"/>
    <w:rsid w:val="00D12937"/>
    <w:rsid w:val="00D12F81"/>
    <w:rsid w:val="00D133E9"/>
    <w:rsid w:val="00D1437B"/>
    <w:rsid w:val="00D144CE"/>
    <w:rsid w:val="00D147DE"/>
    <w:rsid w:val="00D15226"/>
    <w:rsid w:val="00D158F9"/>
    <w:rsid w:val="00D16B7E"/>
    <w:rsid w:val="00D16C41"/>
    <w:rsid w:val="00D1779A"/>
    <w:rsid w:val="00D17FFB"/>
    <w:rsid w:val="00D20B13"/>
    <w:rsid w:val="00D20F06"/>
    <w:rsid w:val="00D21164"/>
    <w:rsid w:val="00D22201"/>
    <w:rsid w:val="00D23914"/>
    <w:rsid w:val="00D243D1"/>
    <w:rsid w:val="00D24679"/>
    <w:rsid w:val="00D246E3"/>
    <w:rsid w:val="00D24E07"/>
    <w:rsid w:val="00D2546E"/>
    <w:rsid w:val="00D27664"/>
    <w:rsid w:val="00D30DFC"/>
    <w:rsid w:val="00D31375"/>
    <w:rsid w:val="00D31D13"/>
    <w:rsid w:val="00D31E15"/>
    <w:rsid w:val="00D325AA"/>
    <w:rsid w:val="00D329DF"/>
    <w:rsid w:val="00D3383A"/>
    <w:rsid w:val="00D342F3"/>
    <w:rsid w:val="00D3467C"/>
    <w:rsid w:val="00D34EF9"/>
    <w:rsid w:val="00D35750"/>
    <w:rsid w:val="00D36519"/>
    <w:rsid w:val="00D36F97"/>
    <w:rsid w:val="00D4098E"/>
    <w:rsid w:val="00D4162E"/>
    <w:rsid w:val="00D419F3"/>
    <w:rsid w:val="00D41F03"/>
    <w:rsid w:val="00D429D7"/>
    <w:rsid w:val="00D4383C"/>
    <w:rsid w:val="00D43C84"/>
    <w:rsid w:val="00D44174"/>
    <w:rsid w:val="00D44B8E"/>
    <w:rsid w:val="00D4587C"/>
    <w:rsid w:val="00D464C1"/>
    <w:rsid w:val="00D46DDE"/>
    <w:rsid w:val="00D47080"/>
    <w:rsid w:val="00D47B59"/>
    <w:rsid w:val="00D47EA8"/>
    <w:rsid w:val="00D50285"/>
    <w:rsid w:val="00D50C24"/>
    <w:rsid w:val="00D51745"/>
    <w:rsid w:val="00D519A2"/>
    <w:rsid w:val="00D51AB7"/>
    <w:rsid w:val="00D530AC"/>
    <w:rsid w:val="00D5401D"/>
    <w:rsid w:val="00D550DF"/>
    <w:rsid w:val="00D5562A"/>
    <w:rsid w:val="00D56082"/>
    <w:rsid w:val="00D56272"/>
    <w:rsid w:val="00D56731"/>
    <w:rsid w:val="00D57104"/>
    <w:rsid w:val="00D574D8"/>
    <w:rsid w:val="00D6139B"/>
    <w:rsid w:val="00D62B10"/>
    <w:rsid w:val="00D62CD0"/>
    <w:rsid w:val="00D63163"/>
    <w:rsid w:val="00D635CA"/>
    <w:rsid w:val="00D63894"/>
    <w:rsid w:val="00D638E5"/>
    <w:rsid w:val="00D64539"/>
    <w:rsid w:val="00D6453B"/>
    <w:rsid w:val="00D64F0B"/>
    <w:rsid w:val="00D64FD8"/>
    <w:rsid w:val="00D661E4"/>
    <w:rsid w:val="00D67983"/>
    <w:rsid w:val="00D7007E"/>
    <w:rsid w:val="00D703C5"/>
    <w:rsid w:val="00D70C2B"/>
    <w:rsid w:val="00D71024"/>
    <w:rsid w:val="00D7106F"/>
    <w:rsid w:val="00D7213C"/>
    <w:rsid w:val="00D72262"/>
    <w:rsid w:val="00D727CD"/>
    <w:rsid w:val="00D72B35"/>
    <w:rsid w:val="00D7359C"/>
    <w:rsid w:val="00D73B58"/>
    <w:rsid w:val="00D74464"/>
    <w:rsid w:val="00D749A0"/>
    <w:rsid w:val="00D7501E"/>
    <w:rsid w:val="00D751D7"/>
    <w:rsid w:val="00D75EF7"/>
    <w:rsid w:val="00D76281"/>
    <w:rsid w:val="00D76342"/>
    <w:rsid w:val="00D768A0"/>
    <w:rsid w:val="00D803FF"/>
    <w:rsid w:val="00D81172"/>
    <w:rsid w:val="00D814DD"/>
    <w:rsid w:val="00D81C08"/>
    <w:rsid w:val="00D82582"/>
    <w:rsid w:val="00D825BF"/>
    <w:rsid w:val="00D829EA"/>
    <w:rsid w:val="00D82B10"/>
    <w:rsid w:val="00D82E1E"/>
    <w:rsid w:val="00D83174"/>
    <w:rsid w:val="00D84A83"/>
    <w:rsid w:val="00D859EC"/>
    <w:rsid w:val="00D85EF1"/>
    <w:rsid w:val="00D8606C"/>
    <w:rsid w:val="00D866F3"/>
    <w:rsid w:val="00D86857"/>
    <w:rsid w:val="00D87211"/>
    <w:rsid w:val="00D906CD"/>
    <w:rsid w:val="00D90B95"/>
    <w:rsid w:val="00D90BE8"/>
    <w:rsid w:val="00D91EDE"/>
    <w:rsid w:val="00D9403E"/>
    <w:rsid w:val="00D943E1"/>
    <w:rsid w:val="00D94B91"/>
    <w:rsid w:val="00D94B99"/>
    <w:rsid w:val="00D94FFF"/>
    <w:rsid w:val="00D95083"/>
    <w:rsid w:val="00D95685"/>
    <w:rsid w:val="00D95841"/>
    <w:rsid w:val="00D972F2"/>
    <w:rsid w:val="00D97326"/>
    <w:rsid w:val="00D978A8"/>
    <w:rsid w:val="00D97983"/>
    <w:rsid w:val="00DA1190"/>
    <w:rsid w:val="00DA12DD"/>
    <w:rsid w:val="00DA16DA"/>
    <w:rsid w:val="00DA17DF"/>
    <w:rsid w:val="00DA31FD"/>
    <w:rsid w:val="00DA3718"/>
    <w:rsid w:val="00DA3A73"/>
    <w:rsid w:val="00DA408A"/>
    <w:rsid w:val="00DA4C05"/>
    <w:rsid w:val="00DA4E48"/>
    <w:rsid w:val="00DA55A8"/>
    <w:rsid w:val="00DA6E86"/>
    <w:rsid w:val="00DA7029"/>
    <w:rsid w:val="00DA778B"/>
    <w:rsid w:val="00DB04CB"/>
    <w:rsid w:val="00DB051F"/>
    <w:rsid w:val="00DB069E"/>
    <w:rsid w:val="00DB06B0"/>
    <w:rsid w:val="00DB0EAF"/>
    <w:rsid w:val="00DB3EAB"/>
    <w:rsid w:val="00DB4D1D"/>
    <w:rsid w:val="00DB5220"/>
    <w:rsid w:val="00DB65FC"/>
    <w:rsid w:val="00DB6950"/>
    <w:rsid w:val="00DB6FF7"/>
    <w:rsid w:val="00DB7204"/>
    <w:rsid w:val="00DB79D0"/>
    <w:rsid w:val="00DC0BBC"/>
    <w:rsid w:val="00DC1396"/>
    <w:rsid w:val="00DC1585"/>
    <w:rsid w:val="00DC27B6"/>
    <w:rsid w:val="00DC2ABE"/>
    <w:rsid w:val="00DC42F9"/>
    <w:rsid w:val="00DC484F"/>
    <w:rsid w:val="00DC4894"/>
    <w:rsid w:val="00DC4A5D"/>
    <w:rsid w:val="00DC4B23"/>
    <w:rsid w:val="00DC4E06"/>
    <w:rsid w:val="00DC5885"/>
    <w:rsid w:val="00DC61D2"/>
    <w:rsid w:val="00DC6E91"/>
    <w:rsid w:val="00DD0A21"/>
    <w:rsid w:val="00DD0C01"/>
    <w:rsid w:val="00DD0EA7"/>
    <w:rsid w:val="00DD10BE"/>
    <w:rsid w:val="00DD18C9"/>
    <w:rsid w:val="00DD1A69"/>
    <w:rsid w:val="00DD1D56"/>
    <w:rsid w:val="00DD20FC"/>
    <w:rsid w:val="00DD21FB"/>
    <w:rsid w:val="00DD2306"/>
    <w:rsid w:val="00DD2775"/>
    <w:rsid w:val="00DD2A0F"/>
    <w:rsid w:val="00DD360F"/>
    <w:rsid w:val="00DD458B"/>
    <w:rsid w:val="00DD45A5"/>
    <w:rsid w:val="00DD5048"/>
    <w:rsid w:val="00DD7417"/>
    <w:rsid w:val="00DD7811"/>
    <w:rsid w:val="00DD7A1D"/>
    <w:rsid w:val="00DD7DC4"/>
    <w:rsid w:val="00DE0777"/>
    <w:rsid w:val="00DE07E0"/>
    <w:rsid w:val="00DE0AFD"/>
    <w:rsid w:val="00DE13CD"/>
    <w:rsid w:val="00DE143C"/>
    <w:rsid w:val="00DE173B"/>
    <w:rsid w:val="00DE177B"/>
    <w:rsid w:val="00DE1BBC"/>
    <w:rsid w:val="00DE224F"/>
    <w:rsid w:val="00DE330E"/>
    <w:rsid w:val="00DE33C3"/>
    <w:rsid w:val="00DE3D7F"/>
    <w:rsid w:val="00DE3FB8"/>
    <w:rsid w:val="00DE5BC4"/>
    <w:rsid w:val="00DE6A53"/>
    <w:rsid w:val="00DE74AA"/>
    <w:rsid w:val="00DF0143"/>
    <w:rsid w:val="00DF09AB"/>
    <w:rsid w:val="00DF17DA"/>
    <w:rsid w:val="00DF2087"/>
    <w:rsid w:val="00DF25C4"/>
    <w:rsid w:val="00DF27A6"/>
    <w:rsid w:val="00DF29DF"/>
    <w:rsid w:val="00DF387D"/>
    <w:rsid w:val="00DF3C7E"/>
    <w:rsid w:val="00DF42FF"/>
    <w:rsid w:val="00DF43EF"/>
    <w:rsid w:val="00DF4912"/>
    <w:rsid w:val="00DF4FE5"/>
    <w:rsid w:val="00DF6854"/>
    <w:rsid w:val="00DF6BFF"/>
    <w:rsid w:val="00DF725E"/>
    <w:rsid w:val="00E00C56"/>
    <w:rsid w:val="00E01156"/>
    <w:rsid w:val="00E01951"/>
    <w:rsid w:val="00E0201D"/>
    <w:rsid w:val="00E02083"/>
    <w:rsid w:val="00E0231C"/>
    <w:rsid w:val="00E02457"/>
    <w:rsid w:val="00E02FA3"/>
    <w:rsid w:val="00E04DEF"/>
    <w:rsid w:val="00E06861"/>
    <w:rsid w:val="00E068F0"/>
    <w:rsid w:val="00E06C57"/>
    <w:rsid w:val="00E07795"/>
    <w:rsid w:val="00E07C4C"/>
    <w:rsid w:val="00E102E3"/>
    <w:rsid w:val="00E10C0A"/>
    <w:rsid w:val="00E10DE6"/>
    <w:rsid w:val="00E10E88"/>
    <w:rsid w:val="00E11464"/>
    <w:rsid w:val="00E12507"/>
    <w:rsid w:val="00E12D9B"/>
    <w:rsid w:val="00E12F39"/>
    <w:rsid w:val="00E13E00"/>
    <w:rsid w:val="00E1762E"/>
    <w:rsid w:val="00E17FB0"/>
    <w:rsid w:val="00E20ABE"/>
    <w:rsid w:val="00E20C3F"/>
    <w:rsid w:val="00E21053"/>
    <w:rsid w:val="00E214FA"/>
    <w:rsid w:val="00E220EA"/>
    <w:rsid w:val="00E2310A"/>
    <w:rsid w:val="00E2354D"/>
    <w:rsid w:val="00E2361B"/>
    <w:rsid w:val="00E23AC8"/>
    <w:rsid w:val="00E23F56"/>
    <w:rsid w:val="00E24719"/>
    <w:rsid w:val="00E24924"/>
    <w:rsid w:val="00E2599E"/>
    <w:rsid w:val="00E26440"/>
    <w:rsid w:val="00E27A2F"/>
    <w:rsid w:val="00E27FEB"/>
    <w:rsid w:val="00E302EB"/>
    <w:rsid w:val="00E30529"/>
    <w:rsid w:val="00E3121F"/>
    <w:rsid w:val="00E31535"/>
    <w:rsid w:val="00E31EAF"/>
    <w:rsid w:val="00E31FDD"/>
    <w:rsid w:val="00E32309"/>
    <w:rsid w:val="00E328C7"/>
    <w:rsid w:val="00E32B2B"/>
    <w:rsid w:val="00E3488C"/>
    <w:rsid w:val="00E34EFE"/>
    <w:rsid w:val="00E35060"/>
    <w:rsid w:val="00E3577F"/>
    <w:rsid w:val="00E35B0D"/>
    <w:rsid w:val="00E35BCA"/>
    <w:rsid w:val="00E36362"/>
    <w:rsid w:val="00E37332"/>
    <w:rsid w:val="00E3758A"/>
    <w:rsid w:val="00E404BB"/>
    <w:rsid w:val="00E40677"/>
    <w:rsid w:val="00E40CA6"/>
    <w:rsid w:val="00E40E95"/>
    <w:rsid w:val="00E41789"/>
    <w:rsid w:val="00E4499A"/>
    <w:rsid w:val="00E44B42"/>
    <w:rsid w:val="00E45023"/>
    <w:rsid w:val="00E46AEB"/>
    <w:rsid w:val="00E474BA"/>
    <w:rsid w:val="00E47B42"/>
    <w:rsid w:val="00E507B7"/>
    <w:rsid w:val="00E50C17"/>
    <w:rsid w:val="00E50C26"/>
    <w:rsid w:val="00E50E89"/>
    <w:rsid w:val="00E5217F"/>
    <w:rsid w:val="00E52214"/>
    <w:rsid w:val="00E523DC"/>
    <w:rsid w:val="00E52FEB"/>
    <w:rsid w:val="00E53237"/>
    <w:rsid w:val="00E53D1F"/>
    <w:rsid w:val="00E542A4"/>
    <w:rsid w:val="00E5443B"/>
    <w:rsid w:val="00E5549B"/>
    <w:rsid w:val="00E55F7C"/>
    <w:rsid w:val="00E576E3"/>
    <w:rsid w:val="00E57AD1"/>
    <w:rsid w:val="00E57BF0"/>
    <w:rsid w:val="00E6053E"/>
    <w:rsid w:val="00E60A9A"/>
    <w:rsid w:val="00E60E0F"/>
    <w:rsid w:val="00E61176"/>
    <w:rsid w:val="00E62053"/>
    <w:rsid w:val="00E6212B"/>
    <w:rsid w:val="00E63C78"/>
    <w:rsid w:val="00E64004"/>
    <w:rsid w:val="00E647A9"/>
    <w:rsid w:val="00E648DC"/>
    <w:rsid w:val="00E66206"/>
    <w:rsid w:val="00E6624B"/>
    <w:rsid w:val="00E66F8A"/>
    <w:rsid w:val="00E67EC4"/>
    <w:rsid w:val="00E7099F"/>
    <w:rsid w:val="00E71A56"/>
    <w:rsid w:val="00E71D8E"/>
    <w:rsid w:val="00E71DDB"/>
    <w:rsid w:val="00E72058"/>
    <w:rsid w:val="00E7299E"/>
    <w:rsid w:val="00E72A96"/>
    <w:rsid w:val="00E72CC3"/>
    <w:rsid w:val="00E732EB"/>
    <w:rsid w:val="00E734F5"/>
    <w:rsid w:val="00E74C57"/>
    <w:rsid w:val="00E75792"/>
    <w:rsid w:val="00E75AC5"/>
    <w:rsid w:val="00E76D4A"/>
    <w:rsid w:val="00E77A01"/>
    <w:rsid w:val="00E80B36"/>
    <w:rsid w:val="00E81F59"/>
    <w:rsid w:val="00E83CED"/>
    <w:rsid w:val="00E83E48"/>
    <w:rsid w:val="00E8587C"/>
    <w:rsid w:val="00E858BB"/>
    <w:rsid w:val="00E86410"/>
    <w:rsid w:val="00E8797C"/>
    <w:rsid w:val="00E87FB2"/>
    <w:rsid w:val="00E90B0C"/>
    <w:rsid w:val="00E91135"/>
    <w:rsid w:val="00E91BF8"/>
    <w:rsid w:val="00E92BE2"/>
    <w:rsid w:val="00E93C18"/>
    <w:rsid w:val="00E942F1"/>
    <w:rsid w:val="00E947F6"/>
    <w:rsid w:val="00E94F80"/>
    <w:rsid w:val="00E9589C"/>
    <w:rsid w:val="00E96798"/>
    <w:rsid w:val="00E96D94"/>
    <w:rsid w:val="00E9711B"/>
    <w:rsid w:val="00E976B1"/>
    <w:rsid w:val="00E97FBE"/>
    <w:rsid w:val="00EA01C0"/>
    <w:rsid w:val="00EA0385"/>
    <w:rsid w:val="00EA0833"/>
    <w:rsid w:val="00EA1FEE"/>
    <w:rsid w:val="00EA1FF0"/>
    <w:rsid w:val="00EA3C3E"/>
    <w:rsid w:val="00EA3EF0"/>
    <w:rsid w:val="00EA4274"/>
    <w:rsid w:val="00EA4BC1"/>
    <w:rsid w:val="00EA4E28"/>
    <w:rsid w:val="00EA574B"/>
    <w:rsid w:val="00EA6524"/>
    <w:rsid w:val="00EA7895"/>
    <w:rsid w:val="00EB06B3"/>
    <w:rsid w:val="00EB111B"/>
    <w:rsid w:val="00EB1356"/>
    <w:rsid w:val="00EB1483"/>
    <w:rsid w:val="00EB1EF8"/>
    <w:rsid w:val="00EB22C6"/>
    <w:rsid w:val="00EB2583"/>
    <w:rsid w:val="00EB2A4A"/>
    <w:rsid w:val="00EB2C06"/>
    <w:rsid w:val="00EB3DD4"/>
    <w:rsid w:val="00EB3E7A"/>
    <w:rsid w:val="00EB480A"/>
    <w:rsid w:val="00EB4DDE"/>
    <w:rsid w:val="00EB577A"/>
    <w:rsid w:val="00EB604A"/>
    <w:rsid w:val="00EB69AA"/>
    <w:rsid w:val="00EB6F6A"/>
    <w:rsid w:val="00EC043C"/>
    <w:rsid w:val="00EC1064"/>
    <w:rsid w:val="00EC1A56"/>
    <w:rsid w:val="00EC27EB"/>
    <w:rsid w:val="00EC2C62"/>
    <w:rsid w:val="00EC52F3"/>
    <w:rsid w:val="00EC5D53"/>
    <w:rsid w:val="00EC6F8E"/>
    <w:rsid w:val="00EC714B"/>
    <w:rsid w:val="00EC723E"/>
    <w:rsid w:val="00EC7AB0"/>
    <w:rsid w:val="00EC7AD7"/>
    <w:rsid w:val="00EC7BEB"/>
    <w:rsid w:val="00ED0A98"/>
    <w:rsid w:val="00ED0E05"/>
    <w:rsid w:val="00ED0F21"/>
    <w:rsid w:val="00ED13EC"/>
    <w:rsid w:val="00ED1F39"/>
    <w:rsid w:val="00ED269F"/>
    <w:rsid w:val="00ED409A"/>
    <w:rsid w:val="00ED4962"/>
    <w:rsid w:val="00ED520C"/>
    <w:rsid w:val="00ED55BD"/>
    <w:rsid w:val="00ED5AD8"/>
    <w:rsid w:val="00ED5AFA"/>
    <w:rsid w:val="00ED6F94"/>
    <w:rsid w:val="00ED7CB6"/>
    <w:rsid w:val="00EE0435"/>
    <w:rsid w:val="00EE07E0"/>
    <w:rsid w:val="00EE0890"/>
    <w:rsid w:val="00EE19B5"/>
    <w:rsid w:val="00EE1CAF"/>
    <w:rsid w:val="00EE32E2"/>
    <w:rsid w:val="00EE34DC"/>
    <w:rsid w:val="00EE588A"/>
    <w:rsid w:val="00EE5C24"/>
    <w:rsid w:val="00EE61DB"/>
    <w:rsid w:val="00EE6AB1"/>
    <w:rsid w:val="00EF09CD"/>
    <w:rsid w:val="00EF11F5"/>
    <w:rsid w:val="00EF13B8"/>
    <w:rsid w:val="00EF1CC5"/>
    <w:rsid w:val="00EF2206"/>
    <w:rsid w:val="00EF3EFB"/>
    <w:rsid w:val="00EF44DF"/>
    <w:rsid w:val="00EF4514"/>
    <w:rsid w:val="00EF5337"/>
    <w:rsid w:val="00EF5DB2"/>
    <w:rsid w:val="00EF6752"/>
    <w:rsid w:val="00EF6BD3"/>
    <w:rsid w:val="00EF6DCC"/>
    <w:rsid w:val="00EF725B"/>
    <w:rsid w:val="00EF7C9A"/>
    <w:rsid w:val="00F00A35"/>
    <w:rsid w:val="00F01C0E"/>
    <w:rsid w:val="00F02209"/>
    <w:rsid w:val="00F02419"/>
    <w:rsid w:val="00F03863"/>
    <w:rsid w:val="00F03A3D"/>
    <w:rsid w:val="00F03C9D"/>
    <w:rsid w:val="00F04DCA"/>
    <w:rsid w:val="00F05523"/>
    <w:rsid w:val="00F055EB"/>
    <w:rsid w:val="00F056AD"/>
    <w:rsid w:val="00F06542"/>
    <w:rsid w:val="00F11BA1"/>
    <w:rsid w:val="00F11C52"/>
    <w:rsid w:val="00F12F8D"/>
    <w:rsid w:val="00F13AFA"/>
    <w:rsid w:val="00F143CB"/>
    <w:rsid w:val="00F145D3"/>
    <w:rsid w:val="00F147F6"/>
    <w:rsid w:val="00F14921"/>
    <w:rsid w:val="00F149A0"/>
    <w:rsid w:val="00F14BF6"/>
    <w:rsid w:val="00F15C69"/>
    <w:rsid w:val="00F171E3"/>
    <w:rsid w:val="00F176C7"/>
    <w:rsid w:val="00F1794B"/>
    <w:rsid w:val="00F2240B"/>
    <w:rsid w:val="00F22657"/>
    <w:rsid w:val="00F237D4"/>
    <w:rsid w:val="00F23A7B"/>
    <w:rsid w:val="00F23E52"/>
    <w:rsid w:val="00F24A9F"/>
    <w:rsid w:val="00F251E5"/>
    <w:rsid w:val="00F2594E"/>
    <w:rsid w:val="00F2596C"/>
    <w:rsid w:val="00F26E58"/>
    <w:rsid w:val="00F278B5"/>
    <w:rsid w:val="00F2792D"/>
    <w:rsid w:val="00F310B1"/>
    <w:rsid w:val="00F31DAE"/>
    <w:rsid w:val="00F31FF3"/>
    <w:rsid w:val="00F325F5"/>
    <w:rsid w:val="00F32EBA"/>
    <w:rsid w:val="00F3360C"/>
    <w:rsid w:val="00F344B6"/>
    <w:rsid w:val="00F34F6B"/>
    <w:rsid w:val="00F358C7"/>
    <w:rsid w:val="00F368F5"/>
    <w:rsid w:val="00F373A1"/>
    <w:rsid w:val="00F37A7A"/>
    <w:rsid w:val="00F37C0E"/>
    <w:rsid w:val="00F4000E"/>
    <w:rsid w:val="00F40618"/>
    <w:rsid w:val="00F4072D"/>
    <w:rsid w:val="00F40BF9"/>
    <w:rsid w:val="00F411EB"/>
    <w:rsid w:val="00F4152E"/>
    <w:rsid w:val="00F41666"/>
    <w:rsid w:val="00F416E1"/>
    <w:rsid w:val="00F41AC7"/>
    <w:rsid w:val="00F41AEA"/>
    <w:rsid w:val="00F42105"/>
    <w:rsid w:val="00F4316E"/>
    <w:rsid w:val="00F4368D"/>
    <w:rsid w:val="00F4396D"/>
    <w:rsid w:val="00F446E3"/>
    <w:rsid w:val="00F45016"/>
    <w:rsid w:val="00F45037"/>
    <w:rsid w:val="00F45CCA"/>
    <w:rsid w:val="00F47EF0"/>
    <w:rsid w:val="00F50712"/>
    <w:rsid w:val="00F50945"/>
    <w:rsid w:val="00F509BD"/>
    <w:rsid w:val="00F50B04"/>
    <w:rsid w:val="00F523B9"/>
    <w:rsid w:val="00F527C0"/>
    <w:rsid w:val="00F529EB"/>
    <w:rsid w:val="00F52F15"/>
    <w:rsid w:val="00F530BC"/>
    <w:rsid w:val="00F536EB"/>
    <w:rsid w:val="00F53C1C"/>
    <w:rsid w:val="00F541A5"/>
    <w:rsid w:val="00F54295"/>
    <w:rsid w:val="00F54BA6"/>
    <w:rsid w:val="00F5532C"/>
    <w:rsid w:val="00F55E1B"/>
    <w:rsid w:val="00F55E36"/>
    <w:rsid w:val="00F566DD"/>
    <w:rsid w:val="00F56F1E"/>
    <w:rsid w:val="00F57240"/>
    <w:rsid w:val="00F60066"/>
    <w:rsid w:val="00F604F4"/>
    <w:rsid w:val="00F61454"/>
    <w:rsid w:val="00F63108"/>
    <w:rsid w:val="00F63388"/>
    <w:rsid w:val="00F6593F"/>
    <w:rsid w:val="00F659C5"/>
    <w:rsid w:val="00F66333"/>
    <w:rsid w:val="00F66C0B"/>
    <w:rsid w:val="00F66FCD"/>
    <w:rsid w:val="00F70CF7"/>
    <w:rsid w:val="00F70DA5"/>
    <w:rsid w:val="00F71742"/>
    <w:rsid w:val="00F7182E"/>
    <w:rsid w:val="00F718CD"/>
    <w:rsid w:val="00F739D2"/>
    <w:rsid w:val="00F741E8"/>
    <w:rsid w:val="00F76528"/>
    <w:rsid w:val="00F76A78"/>
    <w:rsid w:val="00F771DA"/>
    <w:rsid w:val="00F77645"/>
    <w:rsid w:val="00F77943"/>
    <w:rsid w:val="00F80123"/>
    <w:rsid w:val="00F80620"/>
    <w:rsid w:val="00F81859"/>
    <w:rsid w:val="00F81953"/>
    <w:rsid w:val="00F82353"/>
    <w:rsid w:val="00F82452"/>
    <w:rsid w:val="00F83C6D"/>
    <w:rsid w:val="00F84B66"/>
    <w:rsid w:val="00F84C41"/>
    <w:rsid w:val="00F853D1"/>
    <w:rsid w:val="00F8577C"/>
    <w:rsid w:val="00F85C57"/>
    <w:rsid w:val="00F85E1A"/>
    <w:rsid w:val="00F86CA4"/>
    <w:rsid w:val="00F87508"/>
    <w:rsid w:val="00F87E4D"/>
    <w:rsid w:val="00F900E3"/>
    <w:rsid w:val="00F913B1"/>
    <w:rsid w:val="00F918CD"/>
    <w:rsid w:val="00F91989"/>
    <w:rsid w:val="00F92169"/>
    <w:rsid w:val="00F92238"/>
    <w:rsid w:val="00F9254E"/>
    <w:rsid w:val="00F92983"/>
    <w:rsid w:val="00F92EFA"/>
    <w:rsid w:val="00F93B65"/>
    <w:rsid w:val="00F93D68"/>
    <w:rsid w:val="00F93FFF"/>
    <w:rsid w:val="00F948BC"/>
    <w:rsid w:val="00F94E2F"/>
    <w:rsid w:val="00F961B4"/>
    <w:rsid w:val="00F9643A"/>
    <w:rsid w:val="00F96A10"/>
    <w:rsid w:val="00F97949"/>
    <w:rsid w:val="00F97EC4"/>
    <w:rsid w:val="00FA0621"/>
    <w:rsid w:val="00FA06EA"/>
    <w:rsid w:val="00FA094F"/>
    <w:rsid w:val="00FA0D4D"/>
    <w:rsid w:val="00FA11AB"/>
    <w:rsid w:val="00FA1ABE"/>
    <w:rsid w:val="00FA2344"/>
    <w:rsid w:val="00FA23C1"/>
    <w:rsid w:val="00FA24B1"/>
    <w:rsid w:val="00FA26DE"/>
    <w:rsid w:val="00FA2C37"/>
    <w:rsid w:val="00FA2E30"/>
    <w:rsid w:val="00FA468B"/>
    <w:rsid w:val="00FA4CBA"/>
    <w:rsid w:val="00FA4DE2"/>
    <w:rsid w:val="00FA4ED3"/>
    <w:rsid w:val="00FA5605"/>
    <w:rsid w:val="00FA5670"/>
    <w:rsid w:val="00FA5BD2"/>
    <w:rsid w:val="00FA626E"/>
    <w:rsid w:val="00FA636D"/>
    <w:rsid w:val="00FA64FA"/>
    <w:rsid w:val="00FA65D4"/>
    <w:rsid w:val="00FA6B61"/>
    <w:rsid w:val="00FA6FDD"/>
    <w:rsid w:val="00FB0FE7"/>
    <w:rsid w:val="00FB18C3"/>
    <w:rsid w:val="00FB1DA7"/>
    <w:rsid w:val="00FB2A96"/>
    <w:rsid w:val="00FB2FD7"/>
    <w:rsid w:val="00FB38BD"/>
    <w:rsid w:val="00FB4273"/>
    <w:rsid w:val="00FB530E"/>
    <w:rsid w:val="00FB5D2F"/>
    <w:rsid w:val="00FB67D6"/>
    <w:rsid w:val="00FB7789"/>
    <w:rsid w:val="00FB7D02"/>
    <w:rsid w:val="00FC12AE"/>
    <w:rsid w:val="00FC43DC"/>
    <w:rsid w:val="00FC4709"/>
    <w:rsid w:val="00FC62BA"/>
    <w:rsid w:val="00FC6B32"/>
    <w:rsid w:val="00FC7280"/>
    <w:rsid w:val="00FD0E2E"/>
    <w:rsid w:val="00FD10D5"/>
    <w:rsid w:val="00FD26BB"/>
    <w:rsid w:val="00FD2C46"/>
    <w:rsid w:val="00FD4405"/>
    <w:rsid w:val="00FD5B63"/>
    <w:rsid w:val="00FD5BA4"/>
    <w:rsid w:val="00FD5D60"/>
    <w:rsid w:val="00FD628C"/>
    <w:rsid w:val="00FD697C"/>
    <w:rsid w:val="00FD7F2F"/>
    <w:rsid w:val="00FE0F10"/>
    <w:rsid w:val="00FE175C"/>
    <w:rsid w:val="00FE1C0E"/>
    <w:rsid w:val="00FE1FFD"/>
    <w:rsid w:val="00FE2FDA"/>
    <w:rsid w:val="00FE393D"/>
    <w:rsid w:val="00FE40EC"/>
    <w:rsid w:val="00FE56D0"/>
    <w:rsid w:val="00FE570F"/>
    <w:rsid w:val="00FE597E"/>
    <w:rsid w:val="00FE6594"/>
    <w:rsid w:val="00FE6B1F"/>
    <w:rsid w:val="00FE7A3B"/>
    <w:rsid w:val="00FE7B68"/>
    <w:rsid w:val="00FF067D"/>
    <w:rsid w:val="00FF257E"/>
    <w:rsid w:val="00FF312A"/>
    <w:rsid w:val="00FF4678"/>
    <w:rsid w:val="00FF6141"/>
    <w:rsid w:val="00FF6912"/>
    <w:rsid w:val="00FF7D0F"/>
    <w:rsid w:val="00FF7D7B"/>
    <w:rsid w:val="00FF7F68"/>
    <w:rsid w:val="013BF502"/>
    <w:rsid w:val="015988AD"/>
    <w:rsid w:val="01611B19"/>
    <w:rsid w:val="018BB302"/>
    <w:rsid w:val="019D032A"/>
    <w:rsid w:val="01A58D77"/>
    <w:rsid w:val="01ADE973"/>
    <w:rsid w:val="01CBFFA7"/>
    <w:rsid w:val="022323BD"/>
    <w:rsid w:val="026C29E6"/>
    <w:rsid w:val="0297E07B"/>
    <w:rsid w:val="02B6780D"/>
    <w:rsid w:val="02C2355E"/>
    <w:rsid w:val="02C29973"/>
    <w:rsid w:val="032D937B"/>
    <w:rsid w:val="034536EB"/>
    <w:rsid w:val="035C996E"/>
    <w:rsid w:val="03755C16"/>
    <w:rsid w:val="04972417"/>
    <w:rsid w:val="04DD10CA"/>
    <w:rsid w:val="05245D04"/>
    <w:rsid w:val="054C5B78"/>
    <w:rsid w:val="0560D1CB"/>
    <w:rsid w:val="0599E630"/>
    <w:rsid w:val="061551E9"/>
    <w:rsid w:val="06357F52"/>
    <w:rsid w:val="0647D943"/>
    <w:rsid w:val="066DB8EB"/>
    <w:rsid w:val="06B0B475"/>
    <w:rsid w:val="06EF0CFC"/>
    <w:rsid w:val="06FC06CD"/>
    <w:rsid w:val="07A79D1B"/>
    <w:rsid w:val="07C25184"/>
    <w:rsid w:val="07CE4C29"/>
    <w:rsid w:val="08150927"/>
    <w:rsid w:val="082202D5"/>
    <w:rsid w:val="082383EB"/>
    <w:rsid w:val="083ED893"/>
    <w:rsid w:val="08753271"/>
    <w:rsid w:val="08945C82"/>
    <w:rsid w:val="08F9BDCB"/>
    <w:rsid w:val="094579F2"/>
    <w:rsid w:val="09BF97F0"/>
    <w:rsid w:val="09D7FF28"/>
    <w:rsid w:val="09E4EBC5"/>
    <w:rsid w:val="09F4D028"/>
    <w:rsid w:val="09FD5ACF"/>
    <w:rsid w:val="0A1B5B67"/>
    <w:rsid w:val="0A249023"/>
    <w:rsid w:val="0A6D5833"/>
    <w:rsid w:val="0AC2DA91"/>
    <w:rsid w:val="0ADA085C"/>
    <w:rsid w:val="0B66C2CA"/>
    <w:rsid w:val="0B959299"/>
    <w:rsid w:val="0BAD21F7"/>
    <w:rsid w:val="0BB10EA9"/>
    <w:rsid w:val="0BC68072"/>
    <w:rsid w:val="0C405163"/>
    <w:rsid w:val="0C7ECF71"/>
    <w:rsid w:val="0CB01079"/>
    <w:rsid w:val="0CBAAB97"/>
    <w:rsid w:val="0D438DD7"/>
    <w:rsid w:val="0D8E6191"/>
    <w:rsid w:val="0DD69BE5"/>
    <w:rsid w:val="0DFDFF92"/>
    <w:rsid w:val="0EF64190"/>
    <w:rsid w:val="0F8D5190"/>
    <w:rsid w:val="0F9CE474"/>
    <w:rsid w:val="0FB32329"/>
    <w:rsid w:val="0FE581CF"/>
    <w:rsid w:val="108F4D95"/>
    <w:rsid w:val="10CFE5A3"/>
    <w:rsid w:val="11570CAE"/>
    <w:rsid w:val="1179D824"/>
    <w:rsid w:val="118E603D"/>
    <w:rsid w:val="11F7E613"/>
    <w:rsid w:val="127996DC"/>
    <w:rsid w:val="12A43FD9"/>
    <w:rsid w:val="12BB5DFD"/>
    <w:rsid w:val="12BC431E"/>
    <w:rsid w:val="12DD9EDD"/>
    <w:rsid w:val="12F6B94F"/>
    <w:rsid w:val="130F51FD"/>
    <w:rsid w:val="13C22ACF"/>
    <w:rsid w:val="1444C2AD"/>
    <w:rsid w:val="149FD7A4"/>
    <w:rsid w:val="14A0B8C8"/>
    <w:rsid w:val="153C1BFF"/>
    <w:rsid w:val="158B9431"/>
    <w:rsid w:val="1598D98A"/>
    <w:rsid w:val="15F6694A"/>
    <w:rsid w:val="162F9B1F"/>
    <w:rsid w:val="164248B9"/>
    <w:rsid w:val="164BFCE8"/>
    <w:rsid w:val="16580325"/>
    <w:rsid w:val="16A1DDFB"/>
    <w:rsid w:val="16A5CCC5"/>
    <w:rsid w:val="16DE4E14"/>
    <w:rsid w:val="16E10070"/>
    <w:rsid w:val="1731CAC0"/>
    <w:rsid w:val="1745B2EC"/>
    <w:rsid w:val="1763637F"/>
    <w:rsid w:val="1789EF9A"/>
    <w:rsid w:val="17B4EDF5"/>
    <w:rsid w:val="1830DB2F"/>
    <w:rsid w:val="185DEE63"/>
    <w:rsid w:val="186E3002"/>
    <w:rsid w:val="18CFE2D4"/>
    <w:rsid w:val="19087B97"/>
    <w:rsid w:val="190A01D9"/>
    <w:rsid w:val="19101A6D"/>
    <w:rsid w:val="191A73AF"/>
    <w:rsid w:val="193CED2F"/>
    <w:rsid w:val="19522190"/>
    <w:rsid w:val="19B78C6B"/>
    <w:rsid w:val="19C5BBE7"/>
    <w:rsid w:val="19E5223D"/>
    <w:rsid w:val="1AD9FD13"/>
    <w:rsid w:val="1AF4392C"/>
    <w:rsid w:val="1B0F758C"/>
    <w:rsid w:val="1B1F4B47"/>
    <w:rsid w:val="1B3B2F7A"/>
    <w:rsid w:val="1B722EC1"/>
    <w:rsid w:val="1B7299E7"/>
    <w:rsid w:val="1B90A09E"/>
    <w:rsid w:val="1BC5385D"/>
    <w:rsid w:val="1BD158E4"/>
    <w:rsid w:val="1C1BF769"/>
    <w:rsid w:val="1C3F3B1E"/>
    <w:rsid w:val="1C86A3D6"/>
    <w:rsid w:val="1CB91221"/>
    <w:rsid w:val="1DD7B35E"/>
    <w:rsid w:val="1DD913E0"/>
    <w:rsid w:val="1DDF02D5"/>
    <w:rsid w:val="1DF338DB"/>
    <w:rsid w:val="1E39BB45"/>
    <w:rsid w:val="1E586D8E"/>
    <w:rsid w:val="1E7AC228"/>
    <w:rsid w:val="1E88F972"/>
    <w:rsid w:val="1EA9B382"/>
    <w:rsid w:val="1EFE4536"/>
    <w:rsid w:val="1F770D57"/>
    <w:rsid w:val="1FAFF56C"/>
    <w:rsid w:val="1FD5C1F5"/>
    <w:rsid w:val="20024C24"/>
    <w:rsid w:val="200718B9"/>
    <w:rsid w:val="20A9A772"/>
    <w:rsid w:val="20B45312"/>
    <w:rsid w:val="2108EAF3"/>
    <w:rsid w:val="210A82EC"/>
    <w:rsid w:val="21290DB5"/>
    <w:rsid w:val="212A3936"/>
    <w:rsid w:val="2141AE57"/>
    <w:rsid w:val="218966AE"/>
    <w:rsid w:val="21CFDDAF"/>
    <w:rsid w:val="21E784A0"/>
    <w:rsid w:val="21FA0E5E"/>
    <w:rsid w:val="2229B215"/>
    <w:rsid w:val="2256E820"/>
    <w:rsid w:val="22A0389D"/>
    <w:rsid w:val="22E35232"/>
    <w:rsid w:val="22EC54F3"/>
    <w:rsid w:val="22F01EA0"/>
    <w:rsid w:val="23607B0B"/>
    <w:rsid w:val="23C5CC25"/>
    <w:rsid w:val="243F444A"/>
    <w:rsid w:val="24603D8D"/>
    <w:rsid w:val="24AE0AC6"/>
    <w:rsid w:val="24E8D242"/>
    <w:rsid w:val="25A8C107"/>
    <w:rsid w:val="25AC9C9D"/>
    <w:rsid w:val="25BE3FED"/>
    <w:rsid w:val="2600F5FD"/>
    <w:rsid w:val="26064521"/>
    <w:rsid w:val="26158189"/>
    <w:rsid w:val="26294A2D"/>
    <w:rsid w:val="2667AF1C"/>
    <w:rsid w:val="26C7445E"/>
    <w:rsid w:val="26D83EAE"/>
    <w:rsid w:val="26EF74F9"/>
    <w:rsid w:val="2701DCEE"/>
    <w:rsid w:val="273CBB48"/>
    <w:rsid w:val="27B093C2"/>
    <w:rsid w:val="27DC465E"/>
    <w:rsid w:val="281441D6"/>
    <w:rsid w:val="286AE551"/>
    <w:rsid w:val="288354C6"/>
    <w:rsid w:val="28838797"/>
    <w:rsid w:val="294C8906"/>
    <w:rsid w:val="299BC30E"/>
    <w:rsid w:val="29AE0E52"/>
    <w:rsid w:val="29F72A8D"/>
    <w:rsid w:val="2A538BD7"/>
    <w:rsid w:val="2A59950B"/>
    <w:rsid w:val="2A5ADAD7"/>
    <w:rsid w:val="2A631FF7"/>
    <w:rsid w:val="2A76419C"/>
    <w:rsid w:val="2A7D2275"/>
    <w:rsid w:val="2A96AB4F"/>
    <w:rsid w:val="2AFA2F9B"/>
    <w:rsid w:val="2B1467BD"/>
    <w:rsid w:val="2B23A98C"/>
    <w:rsid w:val="2C00B8AC"/>
    <w:rsid w:val="2C0C0AC9"/>
    <w:rsid w:val="2C105A11"/>
    <w:rsid w:val="2C57A3D6"/>
    <w:rsid w:val="2C83D2F1"/>
    <w:rsid w:val="2CB60432"/>
    <w:rsid w:val="2CD17689"/>
    <w:rsid w:val="2D229C31"/>
    <w:rsid w:val="2D47A894"/>
    <w:rsid w:val="2D72ED3B"/>
    <w:rsid w:val="2D74FC89"/>
    <w:rsid w:val="2D784CB6"/>
    <w:rsid w:val="2DDA886F"/>
    <w:rsid w:val="2E39A8DE"/>
    <w:rsid w:val="2E5840F2"/>
    <w:rsid w:val="2E66C61B"/>
    <w:rsid w:val="2E72ACDB"/>
    <w:rsid w:val="2F2FBF04"/>
    <w:rsid w:val="2F9B5A0D"/>
    <w:rsid w:val="2FCF20BD"/>
    <w:rsid w:val="2FFC5971"/>
    <w:rsid w:val="30022680"/>
    <w:rsid w:val="30316D7C"/>
    <w:rsid w:val="30E23E14"/>
    <w:rsid w:val="3189E453"/>
    <w:rsid w:val="31D63055"/>
    <w:rsid w:val="31DAD769"/>
    <w:rsid w:val="31E17FBF"/>
    <w:rsid w:val="32485797"/>
    <w:rsid w:val="326E34C3"/>
    <w:rsid w:val="328A951E"/>
    <w:rsid w:val="32F699A9"/>
    <w:rsid w:val="330D13A1"/>
    <w:rsid w:val="33B8A67D"/>
    <w:rsid w:val="34132BC2"/>
    <w:rsid w:val="346760B0"/>
    <w:rsid w:val="34DAF8C1"/>
    <w:rsid w:val="351A052F"/>
    <w:rsid w:val="353A69F2"/>
    <w:rsid w:val="3599C4B2"/>
    <w:rsid w:val="360E5925"/>
    <w:rsid w:val="3610A3D2"/>
    <w:rsid w:val="361AD436"/>
    <w:rsid w:val="3677EE30"/>
    <w:rsid w:val="36908657"/>
    <w:rsid w:val="36FD8270"/>
    <w:rsid w:val="37E3A8E8"/>
    <w:rsid w:val="3841EEC6"/>
    <w:rsid w:val="3870091A"/>
    <w:rsid w:val="38968ECB"/>
    <w:rsid w:val="38A54CB7"/>
    <w:rsid w:val="38BDF20F"/>
    <w:rsid w:val="38F28BA0"/>
    <w:rsid w:val="3914FE70"/>
    <w:rsid w:val="39218A0E"/>
    <w:rsid w:val="395979F0"/>
    <w:rsid w:val="397B0236"/>
    <w:rsid w:val="39996819"/>
    <w:rsid w:val="39EB2C1D"/>
    <w:rsid w:val="3A0D24DF"/>
    <w:rsid w:val="3A3EA548"/>
    <w:rsid w:val="3A67AA58"/>
    <w:rsid w:val="3A97C8F3"/>
    <w:rsid w:val="3ABD944C"/>
    <w:rsid w:val="3B2FCC66"/>
    <w:rsid w:val="3B9B0055"/>
    <w:rsid w:val="3BB0046A"/>
    <w:rsid w:val="3BD33A01"/>
    <w:rsid w:val="3BDD01EC"/>
    <w:rsid w:val="3BF1A6DF"/>
    <w:rsid w:val="3C56B112"/>
    <w:rsid w:val="3C780B4D"/>
    <w:rsid w:val="3C82886D"/>
    <w:rsid w:val="3C89308D"/>
    <w:rsid w:val="3CA43797"/>
    <w:rsid w:val="3CE7E61A"/>
    <w:rsid w:val="3D1D5875"/>
    <w:rsid w:val="3D65C090"/>
    <w:rsid w:val="3DCB374A"/>
    <w:rsid w:val="3DD161F3"/>
    <w:rsid w:val="3DF6E6D0"/>
    <w:rsid w:val="3DF920C5"/>
    <w:rsid w:val="3E5A9692"/>
    <w:rsid w:val="3E710A09"/>
    <w:rsid w:val="3E981163"/>
    <w:rsid w:val="3EA51863"/>
    <w:rsid w:val="3EE1C944"/>
    <w:rsid w:val="3EEE35CC"/>
    <w:rsid w:val="3F33F229"/>
    <w:rsid w:val="3F376F38"/>
    <w:rsid w:val="3F9D6743"/>
    <w:rsid w:val="3FD3E177"/>
    <w:rsid w:val="4029E68C"/>
    <w:rsid w:val="40562F75"/>
    <w:rsid w:val="407B1AFF"/>
    <w:rsid w:val="40A8EB2B"/>
    <w:rsid w:val="40EB28B2"/>
    <w:rsid w:val="40FFFCC1"/>
    <w:rsid w:val="412607C1"/>
    <w:rsid w:val="41B10BAD"/>
    <w:rsid w:val="42162083"/>
    <w:rsid w:val="422DA871"/>
    <w:rsid w:val="4255CAC8"/>
    <w:rsid w:val="4277A42A"/>
    <w:rsid w:val="42809F84"/>
    <w:rsid w:val="42B8E35F"/>
    <w:rsid w:val="4300E544"/>
    <w:rsid w:val="4321E391"/>
    <w:rsid w:val="43347267"/>
    <w:rsid w:val="43592EC0"/>
    <w:rsid w:val="438372DA"/>
    <w:rsid w:val="439F6FB8"/>
    <w:rsid w:val="444A2462"/>
    <w:rsid w:val="4467795F"/>
    <w:rsid w:val="4479F466"/>
    <w:rsid w:val="44A062CF"/>
    <w:rsid w:val="44D20E3B"/>
    <w:rsid w:val="44EAA170"/>
    <w:rsid w:val="44EBE395"/>
    <w:rsid w:val="4519CE1B"/>
    <w:rsid w:val="4533632B"/>
    <w:rsid w:val="4539BFEE"/>
    <w:rsid w:val="4540121B"/>
    <w:rsid w:val="459A30D2"/>
    <w:rsid w:val="464303F9"/>
    <w:rsid w:val="466B0187"/>
    <w:rsid w:val="4683A903"/>
    <w:rsid w:val="46A881F8"/>
    <w:rsid w:val="46E7736E"/>
    <w:rsid w:val="470DC124"/>
    <w:rsid w:val="474EAB4E"/>
    <w:rsid w:val="4812B8D0"/>
    <w:rsid w:val="4817B88E"/>
    <w:rsid w:val="481B01B6"/>
    <w:rsid w:val="48326446"/>
    <w:rsid w:val="4858AA33"/>
    <w:rsid w:val="485BCC91"/>
    <w:rsid w:val="48969DCE"/>
    <w:rsid w:val="48A455D0"/>
    <w:rsid w:val="48E35872"/>
    <w:rsid w:val="48EF76C4"/>
    <w:rsid w:val="48F7CAE9"/>
    <w:rsid w:val="49C1A561"/>
    <w:rsid w:val="4A082F57"/>
    <w:rsid w:val="4A2938B3"/>
    <w:rsid w:val="4A865914"/>
    <w:rsid w:val="4A9FD9DE"/>
    <w:rsid w:val="4AB23628"/>
    <w:rsid w:val="4ABD2F56"/>
    <w:rsid w:val="4AC89C19"/>
    <w:rsid w:val="4AE52E03"/>
    <w:rsid w:val="4B04646C"/>
    <w:rsid w:val="4B25623F"/>
    <w:rsid w:val="4B39FB76"/>
    <w:rsid w:val="4B416E74"/>
    <w:rsid w:val="4B472CFB"/>
    <w:rsid w:val="4B5EB0FF"/>
    <w:rsid w:val="4B7A4C4D"/>
    <w:rsid w:val="4BA710AE"/>
    <w:rsid w:val="4BDD01C5"/>
    <w:rsid w:val="4BDE9D1F"/>
    <w:rsid w:val="4BE12AA0"/>
    <w:rsid w:val="4BE6BB09"/>
    <w:rsid w:val="4C03CB4C"/>
    <w:rsid w:val="4C37BDE1"/>
    <w:rsid w:val="4C5ABA69"/>
    <w:rsid w:val="4CB69128"/>
    <w:rsid w:val="4CF6B2A3"/>
    <w:rsid w:val="4D1DCBEF"/>
    <w:rsid w:val="4D50B016"/>
    <w:rsid w:val="4D6907DF"/>
    <w:rsid w:val="4D6E0C1A"/>
    <w:rsid w:val="4DBD5B71"/>
    <w:rsid w:val="4E444F9B"/>
    <w:rsid w:val="4E51C6D5"/>
    <w:rsid w:val="4E5BB354"/>
    <w:rsid w:val="4E723B36"/>
    <w:rsid w:val="4EF8CD77"/>
    <w:rsid w:val="4F0CEA8C"/>
    <w:rsid w:val="4F39D8D6"/>
    <w:rsid w:val="4F66AFA5"/>
    <w:rsid w:val="4F8F0CE2"/>
    <w:rsid w:val="4FCBC277"/>
    <w:rsid w:val="4FFD9F87"/>
    <w:rsid w:val="5013D0FD"/>
    <w:rsid w:val="501BEC84"/>
    <w:rsid w:val="505E59AC"/>
    <w:rsid w:val="507A2399"/>
    <w:rsid w:val="509AF8BD"/>
    <w:rsid w:val="50D41DDB"/>
    <w:rsid w:val="51109722"/>
    <w:rsid w:val="51137B4E"/>
    <w:rsid w:val="52075B3D"/>
    <w:rsid w:val="523EB101"/>
    <w:rsid w:val="52418E41"/>
    <w:rsid w:val="5259D656"/>
    <w:rsid w:val="52ADF581"/>
    <w:rsid w:val="530BAAD1"/>
    <w:rsid w:val="53520B25"/>
    <w:rsid w:val="53B61DE8"/>
    <w:rsid w:val="5404C8AB"/>
    <w:rsid w:val="544F736A"/>
    <w:rsid w:val="54C8FC8E"/>
    <w:rsid w:val="54EEDD07"/>
    <w:rsid w:val="556D701C"/>
    <w:rsid w:val="55BA2E08"/>
    <w:rsid w:val="55C6124E"/>
    <w:rsid w:val="55CFE554"/>
    <w:rsid w:val="55DE6CA0"/>
    <w:rsid w:val="55E89A0F"/>
    <w:rsid w:val="5625C009"/>
    <w:rsid w:val="56314ACD"/>
    <w:rsid w:val="56382145"/>
    <w:rsid w:val="565E484F"/>
    <w:rsid w:val="56ABCF06"/>
    <w:rsid w:val="57166D54"/>
    <w:rsid w:val="5747142F"/>
    <w:rsid w:val="5767DCDA"/>
    <w:rsid w:val="57A07AA2"/>
    <w:rsid w:val="57A6733C"/>
    <w:rsid w:val="58773587"/>
    <w:rsid w:val="588C7FF9"/>
    <w:rsid w:val="589AA475"/>
    <w:rsid w:val="58C3D9B2"/>
    <w:rsid w:val="58DB9C01"/>
    <w:rsid w:val="594E57E9"/>
    <w:rsid w:val="59BF4493"/>
    <w:rsid w:val="59FB990F"/>
    <w:rsid w:val="59FC3AD1"/>
    <w:rsid w:val="5A10EFA1"/>
    <w:rsid w:val="5A11F617"/>
    <w:rsid w:val="5A498324"/>
    <w:rsid w:val="5A4F7150"/>
    <w:rsid w:val="5A6656DD"/>
    <w:rsid w:val="5B2C2070"/>
    <w:rsid w:val="5B582BAB"/>
    <w:rsid w:val="5B7BEB1D"/>
    <w:rsid w:val="5B7E9254"/>
    <w:rsid w:val="5BC0FF54"/>
    <w:rsid w:val="5BCCE6D1"/>
    <w:rsid w:val="5BE8C77A"/>
    <w:rsid w:val="5C2116C7"/>
    <w:rsid w:val="5C58222D"/>
    <w:rsid w:val="5CB0D564"/>
    <w:rsid w:val="5CE6A984"/>
    <w:rsid w:val="5D586938"/>
    <w:rsid w:val="5DD8F064"/>
    <w:rsid w:val="5E2E480F"/>
    <w:rsid w:val="5E5BD36B"/>
    <w:rsid w:val="5E5F0818"/>
    <w:rsid w:val="5F9B6B29"/>
    <w:rsid w:val="5FAC1EBD"/>
    <w:rsid w:val="5FF86636"/>
    <w:rsid w:val="604DF46F"/>
    <w:rsid w:val="606A8E5F"/>
    <w:rsid w:val="608805E9"/>
    <w:rsid w:val="6097EF45"/>
    <w:rsid w:val="60C6ED40"/>
    <w:rsid w:val="60D645A5"/>
    <w:rsid w:val="60D9E065"/>
    <w:rsid w:val="60FB3C84"/>
    <w:rsid w:val="614B2C5E"/>
    <w:rsid w:val="617E2921"/>
    <w:rsid w:val="61BBCAE7"/>
    <w:rsid w:val="62187FBB"/>
    <w:rsid w:val="62416C2D"/>
    <w:rsid w:val="62744B13"/>
    <w:rsid w:val="629ECC27"/>
    <w:rsid w:val="62AFE3AF"/>
    <w:rsid w:val="62B59568"/>
    <w:rsid w:val="62F338C6"/>
    <w:rsid w:val="62F796FF"/>
    <w:rsid w:val="6301CF32"/>
    <w:rsid w:val="63372284"/>
    <w:rsid w:val="63373255"/>
    <w:rsid w:val="634F21D0"/>
    <w:rsid w:val="63B69DA6"/>
    <w:rsid w:val="63FB0132"/>
    <w:rsid w:val="6433EEC1"/>
    <w:rsid w:val="6434DFE2"/>
    <w:rsid w:val="6490463E"/>
    <w:rsid w:val="6491250D"/>
    <w:rsid w:val="64C73F67"/>
    <w:rsid w:val="64C8E4B4"/>
    <w:rsid w:val="64D16DE3"/>
    <w:rsid w:val="64D19C68"/>
    <w:rsid w:val="65A7A7C3"/>
    <w:rsid w:val="65C95B78"/>
    <w:rsid w:val="661718C0"/>
    <w:rsid w:val="66A21FAA"/>
    <w:rsid w:val="6714C992"/>
    <w:rsid w:val="673A207B"/>
    <w:rsid w:val="67426334"/>
    <w:rsid w:val="674D7C93"/>
    <w:rsid w:val="67AD8008"/>
    <w:rsid w:val="67AEAEFA"/>
    <w:rsid w:val="68204750"/>
    <w:rsid w:val="68317CC1"/>
    <w:rsid w:val="686E616B"/>
    <w:rsid w:val="689C9780"/>
    <w:rsid w:val="68A45529"/>
    <w:rsid w:val="68C6EA71"/>
    <w:rsid w:val="69026AEC"/>
    <w:rsid w:val="6932FFA0"/>
    <w:rsid w:val="694177E6"/>
    <w:rsid w:val="69A66F06"/>
    <w:rsid w:val="69BAF54C"/>
    <w:rsid w:val="6A408CF2"/>
    <w:rsid w:val="6A5F9FD4"/>
    <w:rsid w:val="6A9F505D"/>
    <w:rsid w:val="6ADE3060"/>
    <w:rsid w:val="6B320446"/>
    <w:rsid w:val="6B329963"/>
    <w:rsid w:val="6B405B93"/>
    <w:rsid w:val="6B82F713"/>
    <w:rsid w:val="6B889377"/>
    <w:rsid w:val="6BB096EC"/>
    <w:rsid w:val="6BB159F9"/>
    <w:rsid w:val="6BD6ECC1"/>
    <w:rsid w:val="6BD8A18A"/>
    <w:rsid w:val="6BEA7C78"/>
    <w:rsid w:val="6C1965D2"/>
    <w:rsid w:val="6C9B8BA3"/>
    <w:rsid w:val="6CABD9E9"/>
    <w:rsid w:val="6CC38D23"/>
    <w:rsid w:val="6D5BE69B"/>
    <w:rsid w:val="6D8CA941"/>
    <w:rsid w:val="6DC36034"/>
    <w:rsid w:val="6E054266"/>
    <w:rsid w:val="6E0F455D"/>
    <w:rsid w:val="6E23466C"/>
    <w:rsid w:val="6E6B9A18"/>
    <w:rsid w:val="6E87D018"/>
    <w:rsid w:val="6EC3D194"/>
    <w:rsid w:val="6EDCC3DB"/>
    <w:rsid w:val="6F3B61DA"/>
    <w:rsid w:val="6F779E8D"/>
    <w:rsid w:val="6FB06827"/>
    <w:rsid w:val="6FBD8F3D"/>
    <w:rsid w:val="7028A05A"/>
    <w:rsid w:val="703FEF1C"/>
    <w:rsid w:val="7065B092"/>
    <w:rsid w:val="7069BC14"/>
    <w:rsid w:val="70B7247F"/>
    <w:rsid w:val="70D8DA19"/>
    <w:rsid w:val="716F00A5"/>
    <w:rsid w:val="71F805C8"/>
    <w:rsid w:val="7234E175"/>
    <w:rsid w:val="7246C382"/>
    <w:rsid w:val="7263915C"/>
    <w:rsid w:val="72CC93AC"/>
    <w:rsid w:val="72E1210B"/>
    <w:rsid w:val="737CC6E0"/>
    <w:rsid w:val="73D593FB"/>
    <w:rsid w:val="73F36A13"/>
    <w:rsid w:val="73F39CE4"/>
    <w:rsid w:val="7417F37B"/>
    <w:rsid w:val="74262C95"/>
    <w:rsid w:val="747E33AF"/>
    <w:rsid w:val="75148AB7"/>
    <w:rsid w:val="753DDD7D"/>
    <w:rsid w:val="7592B99A"/>
    <w:rsid w:val="75ABEB65"/>
    <w:rsid w:val="75CD3E9C"/>
    <w:rsid w:val="75F30716"/>
    <w:rsid w:val="760F428E"/>
    <w:rsid w:val="7623C91C"/>
    <w:rsid w:val="76ABA32A"/>
    <w:rsid w:val="76C22E40"/>
    <w:rsid w:val="76E5AF3F"/>
    <w:rsid w:val="7721536B"/>
    <w:rsid w:val="77A9CF4E"/>
    <w:rsid w:val="78275F68"/>
    <w:rsid w:val="785B2EE1"/>
    <w:rsid w:val="798E34B2"/>
    <w:rsid w:val="7998F0E7"/>
    <w:rsid w:val="79DCDE5D"/>
    <w:rsid w:val="7A01881B"/>
    <w:rsid w:val="7A2C11C7"/>
    <w:rsid w:val="7A3F98D9"/>
    <w:rsid w:val="7A76B533"/>
    <w:rsid w:val="7AC97431"/>
    <w:rsid w:val="7AE99617"/>
    <w:rsid w:val="7AF32821"/>
    <w:rsid w:val="7B1BD39F"/>
    <w:rsid w:val="7B30AB95"/>
    <w:rsid w:val="7B3C50E3"/>
    <w:rsid w:val="7B579D7A"/>
    <w:rsid w:val="7B80DFE7"/>
    <w:rsid w:val="7B972193"/>
    <w:rsid w:val="7BB9E273"/>
    <w:rsid w:val="7C0234B4"/>
    <w:rsid w:val="7C987AD7"/>
    <w:rsid w:val="7CB502B1"/>
    <w:rsid w:val="7CD0E2F8"/>
    <w:rsid w:val="7CEC7B30"/>
    <w:rsid w:val="7CFB051E"/>
    <w:rsid w:val="7D115A9A"/>
    <w:rsid w:val="7D1CF4D3"/>
    <w:rsid w:val="7D616779"/>
    <w:rsid w:val="7D884739"/>
    <w:rsid w:val="7D93F1D7"/>
    <w:rsid w:val="7D9B0F39"/>
    <w:rsid w:val="7DCCEA54"/>
    <w:rsid w:val="7E08DCFC"/>
    <w:rsid w:val="7E49AFD5"/>
    <w:rsid w:val="7E4E8C4A"/>
    <w:rsid w:val="7E5E7129"/>
    <w:rsid w:val="7E95670D"/>
    <w:rsid w:val="7EECA4C5"/>
    <w:rsid w:val="7F15A12C"/>
    <w:rsid w:val="7F8A5917"/>
    <w:rsid w:val="7F91BD23"/>
    <w:rsid w:val="7FC43EA8"/>
    <w:rsid w:val="7FC92128"/>
    <w:rsid w:val="7FCB0AA0"/>
    <w:rsid w:val="7FE708E0"/>
    <w:rsid w:val="7FF70C8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427FE9"/>
  <w15:docId w15:val="{7A7358B1-F819-4696-95B5-C78E929B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paragraph" w:styleId="Heading2">
    <w:name w:val="heading 2"/>
    <w:basedOn w:val="Normal"/>
    <w:next w:val="Normal"/>
    <w:link w:val="Heading2Char"/>
    <w:unhideWhenUsed/>
    <w:qFormat/>
    <w:locked/>
    <w:rsid w:val="00B251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B251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enter" w:pos="4680"/>
        <w:tab w:val="clear" w:pos="5040"/>
        <w:tab w:val="clear" w:pos="5760"/>
        <w:tab w:val="clear" w:pos="6480"/>
        <w:tab w:val="clear" w:pos="7200"/>
        <w:tab w:val="clear" w:pos="7920"/>
        <w:tab w:val="clear" w:pos="864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 w:type="table" w:customStyle="1" w:styleId="TableGrid1">
    <w:name w:val="Table Grid1"/>
    <w:basedOn w:val="TableNormal"/>
    <w:next w:val="TableGrid"/>
    <w:uiPriority w:val="99"/>
    <w:rsid w:val="009A6254"/>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1">
    <w:name w:val="Body Text I1"/>
    <w:basedOn w:val="Normal"/>
    <w:rsid w:val="00A323A1"/>
    <w:pPr>
      <w:tabs>
        <w:tab w:val="clear" w:pos="-1080"/>
        <w:tab w:val="clear" w:pos="-720"/>
        <w:tab w:val="clear" w:pos="0"/>
        <w:tab w:val="left" w:pos="360"/>
        <w:tab w:val="clear" w:pos="1080"/>
        <w:tab w:val="left" w:pos="2160"/>
        <w:tab w:val="left" w:pos="2880"/>
        <w:tab w:val="right"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ind w:left="360" w:hanging="360"/>
    </w:pPr>
    <w:rPr>
      <w:rFonts w:ascii="Times New Roman" w:hAnsi="Times New Roman" w:cs="Times New Roman"/>
      <w:b/>
      <w:sz w:val="24"/>
      <w:szCs w:val="20"/>
    </w:rPr>
  </w:style>
  <w:style w:type="paragraph" w:styleId="FootnoteText">
    <w:name w:val="footnote text"/>
    <w:basedOn w:val="Normal"/>
    <w:link w:val="FootnoteTextChar"/>
    <w:semiHidden/>
    <w:rsid w:val="00A323A1"/>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A323A1"/>
    <w:rPr>
      <w:sz w:val="20"/>
      <w:szCs w:val="20"/>
    </w:rPr>
  </w:style>
  <w:style w:type="character" w:styleId="FootnoteReference">
    <w:name w:val="footnote reference"/>
    <w:semiHidden/>
    <w:rsid w:val="00A323A1"/>
    <w:rPr>
      <w:vertAlign w:val="superscript"/>
    </w:rPr>
  </w:style>
  <w:style w:type="character" w:styleId="UnresolvedMention">
    <w:name w:val="Unresolved Mention"/>
    <w:basedOn w:val="DefaultParagraphFont"/>
    <w:uiPriority w:val="99"/>
    <w:unhideWhenUsed/>
    <w:rsid w:val="00580CF6"/>
    <w:rPr>
      <w:color w:val="605E5C"/>
      <w:shd w:val="clear" w:color="auto" w:fill="E1DFDD"/>
    </w:rPr>
  </w:style>
  <w:style w:type="character" w:styleId="Mention">
    <w:name w:val="Mention"/>
    <w:basedOn w:val="DefaultParagraphFont"/>
    <w:uiPriority w:val="99"/>
    <w:unhideWhenUsed/>
    <w:rsid w:val="00580CF6"/>
    <w:rPr>
      <w:color w:val="2B579A"/>
      <w:shd w:val="clear" w:color="auto" w:fill="E1DFDD"/>
    </w:rPr>
  </w:style>
  <w:style w:type="character" w:customStyle="1" w:styleId="Heading2Char">
    <w:name w:val="Heading 2 Char"/>
    <w:basedOn w:val="DefaultParagraphFont"/>
    <w:link w:val="Heading2"/>
    <w:rsid w:val="00B251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25159"/>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643100"/>
  </w:style>
  <w:style w:type="character" w:customStyle="1" w:styleId="eop">
    <w:name w:val="eop"/>
    <w:basedOn w:val="DefaultParagraphFont"/>
    <w:rsid w:val="00643100"/>
  </w:style>
  <w:style w:type="character" w:customStyle="1" w:styleId="moveright">
    <w:name w:val="moveright"/>
    <w:basedOn w:val="DefaultParagraphFont"/>
    <w:rsid w:val="00B41D34"/>
  </w:style>
  <w:style w:type="character" w:customStyle="1" w:styleId="volumeissue">
    <w:name w:val="volume_issue"/>
    <w:basedOn w:val="DefaultParagraphFont"/>
    <w:rsid w:val="00B41D34"/>
  </w:style>
  <w:style w:type="character" w:customStyle="1" w:styleId="pagerange">
    <w:name w:val="page_range"/>
    <w:basedOn w:val="DefaultParagraphFont"/>
    <w:rsid w:val="00B41D34"/>
  </w:style>
  <w:style w:type="paragraph" w:styleId="NoSpacing">
    <w:name w:val="No Spacing"/>
    <w:link w:val="NoSpacingChar"/>
    <w:uiPriority w:val="1"/>
    <w:qFormat/>
    <w:rsid w:val="00B72849"/>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B72849"/>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EN_h.pdf" TargetMode="External" /><Relationship Id="rId11" Type="http://schemas.openxmlformats.org/officeDocument/2006/relationships/hyperlink" Target="https://www.opm.gov/policy-data-oversight/pay-leave/salaries-wages/salary-tables/pdf/2023/RUS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354FD-BA2B-4490-9898-96E9D00507E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6EDE01AB-3DBA-4F5C-BC27-E31623B6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D49A9-B3D0-4B47-9B01-85555C39BD51}">
  <ds:schemaRefs>
    <ds:schemaRef ds:uri="http://schemas.openxmlformats.org/officeDocument/2006/bibliography"/>
  </ds:schemaRefs>
</ds:datastoreItem>
</file>

<file path=customXml/itemProps4.xml><?xml version="1.0" encoding="utf-8"?>
<ds:datastoreItem xmlns:ds="http://schemas.openxmlformats.org/officeDocument/2006/customXml" ds:itemID="{135FC19F-8785-45D0-B126-4770421B8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6574</Words>
  <Characters>39012</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2022-10-28T14:17:00Z</cp:lastPrinted>
  <dcterms:created xsi:type="dcterms:W3CDTF">2023-02-10T16:48:00Z</dcterms:created>
  <dcterms:modified xsi:type="dcterms:W3CDTF">2023-02-10T16:48:00Z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