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3628" w14:paraId="7BA47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napToGrid/>
          <w:szCs w:val="24"/>
        </w:rPr>
      </w:pPr>
      <w:r>
        <w:rPr>
          <w:rFonts w:ascii="Times New Roman" w:hAnsi="Times New Roman"/>
          <w:szCs w:val="24"/>
        </w:rPr>
        <w:tab/>
      </w:r>
      <w:r>
        <w:rPr>
          <w:rFonts w:ascii="Times New Roman" w:hAnsi="Times New Roman"/>
          <w:b/>
          <w:bCs/>
          <w:snapToGrid/>
          <w:szCs w:val="24"/>
        </w:rPr>
        <w:t xml:space="preserve">Supporting </w:t>
      </w:r>
      <w:r>
        <w:rPr>
          <w:rFonts w:ascii="Times New Roman" w:hAnsi="Times New Roman"/>
          <w:b/>
          <w:bCs/>
          <w:snapToGrid/>
          <w:szCs w:val="24"/>
        </w:rPr>
        <w:t>Statement</w:t>
      </w:r>
      <w:r>
        <w:rPr>
          <w:rFonts w:ascii="Times New Roman" w:hAnsi="Times New Roman"/>
          <w:b/>
          <w:bCs/>
          <w:snapToGrid/>
          <w:szCs w:val="24"/>
        </w:rPr>
        <w:t xml:space="preserve"> A</w:t>
      </w:r>
    </w:p>
    <w:p w:rsidR="00923628" w14:paraId="6EDD3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4"/>
        </w:rPr>
      </w:pPr>
      <w:r>
        <w:rPr>
          <w:rFonts w:ascii="Times New Roman" w:hAnsi="Times New Roman"/>
          <w:b/>
          <w:bCs/>
          <w:snapToGrid/>
          <w:szCs w:val="24"/>
        </w:rPr>
        <w:t xml:space="preserve">30 CFR 732 - </w:t>
      </w:r>
      <w:r>
        <w:rPr>
          <w:rFonts w:ascii="Times New Roman" w:hAnsi="Times New Roman"/>
          <w:b/>
          <w:szCs w:val="24"/>
        </w:rPr>
        <w:t>Procedures and Criteria for Approval or Disapproval of State Program Submissions</w:t>
      </w:r>
    </w:p>
    <w:p w:rsidR="00923628" w14:paraId="384E7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bCs/>
          <w:snapToGrid/>
          <w:szCs w:val="24"/>
        </w:rPr>
      </w:pPr>
    </w:p>
    <w:p w:rsidR="00923628" w14:paraId="364C6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b/>
          <w:bCs/>
          <w:snapToGrid/>
          <w:szCs w:val="24"/>
        </w:rPr>
        <w:t>OMB Control Number 1029-0024</w:t>
      </w:r>
    </w:p>
    <w:p w:rsidR="00923628" w14:paraId="2B206B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15BD27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14A3C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szCs w:val="24"/>
        </w:rPr>
      </w:pPr>
      <w:r>
        <w:rPr>
          <w:rFonts w:ascii="Times New Roman" w:hAnsi="Times New Roman"/>
          <w:szCs w:val="24"/>
        </w:rPr>
        <w:t xml:space="preserve">Terms of Clearance:  None </w:t>
      </w:r>
      <w:r>
        <w:rPr>
          <w:rFonts w:ascii="Times New Roman" w:hAnsi="Times New Roman"/>
          <w:szCs w:val="24"/>
        </w:rPr>
        <w:cr/>
      </w:r>
    </w:p>
    <w:p w:rsidR="00923628" w14:paraId="6B1644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Pr>
          <w:rFonts w:ascii="Times New Roman" w:hAnsi="Times New Roman"/>
          <w:b/>
          <w:bCs/>
          <w:i/>
          <w:szCs w:val="24"/>
        </w:rPr>
        <w:t>General Instructions</w:t>
      </w:r>
      <w:r>
        <w:rPr>
          <w:rFonts w:ascii="Times New Roman" w:hAnsi="Times New Roman"/>
          <w:i/>
          <w:szCs w:val="24"/>
        </w:rPr>
        <w:t xml:space="preserve"> </w:t>
      </w:r>
    </w:p>
    <w:p w:rsidR="00923628" w14:paraId="50428C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p>
    <w:p w:rsidR="00923628" w14:paraId="24224FA7" w14:textId="3A6463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23628" w14:paraId="53568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p>
    <w:p w:rsidR="00923628" w14:paraId="395D6B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u w:val="single"/>
        </w:rPr>
      </w:pPr>
      <w:r>
        <w:rPr>
          <w:rFonts w:ascii="Times New Roman" w:hAnsi="Times New Roman"/>
          <w:b/>
          <w:szCs w:val="24"/>
          <w:u w:val="single"/>
        </w:rPr>
        <w:t>Introduction</w:t>
      </w:r>
    </w:p>
    <w:p w:rsidR="00923628" w14:paraId="4FEA79BC" w14:textId="77777777">
      <w:pPr>
        <w:jc w:val="center"/>
        <w:rPr>
          <w:rFonts w:ascii="Times New Roman" w:hAnsi="Times New Roman"/>
          <w:szCs w:val="24"/>
        </w:rPr>
      </w:pPr>
    </w:p>
    <w:p w:rsidR="00923628" w14:paraId="30E3C40B" w14:textId="34288B3A">
      <w:pPr>
        <w:rPr>
          <w:rFonts w:ascii="Times New Roman" w:hAnsi="Times New Roman"/>
          <w:szCs w:val="24"/>
        </w:rPr>
      </w:pPr>
      <w:r>
        <w:rPr>
          <w:rFonts w:ascii="Times New Roman" w:hAnsi="Times New Roman"/>
          <w:szCs w:val="24"/>
        </w:rPr>
        <w:t xml:space="preserve">This information collection clearance package is being submitted by the Office of Surface Mining Reclamation and Enforcement (OSMRE) to request an extension of the current Office of Management and Budget (OMB) approval to collect information under 30 CFR Part 732, OMB control number 1029-0024.  The regulations govern the submission of information regarding the effective implementation of State programs regulating surface coal mining and reclamation operations.  The information collection requirements contained in 30 CFR Part 732 are needed to meet the requirements of the Surface Mining Control and Reclamation Act of 1977 (the Act). </w:t>
      </w:r>
    </w:p>
    <w:p w:rsidR="00923628" w14:paraId="2CE4AE71" w14:textId="77777777">
      <w:pPr>
        <w:rPr>
          <w:rFonts w:ascii="Times New Roman" w:hAnsi="Times New Roman"/>
          <w:szCs w:val="24"/>
        </w:rPr>
      </w:pPr>
    </w:p>
    <w:p w:rsidR="00923628" w14:paraId="5C04F3B9" w14:textId="77777777">
      <w:pPr>
        <w:ind w:right="-180"/>
        <w:rPr>
          <w:rFonts w:ascii="Times New Roman" w:hAnsi="Times New Roman"/>
          <w:szCs w:val="24"/>
        </w:rPr>
      </w:pPr>
      <w:r>
        <w:rPr>
          <w:rFonts w:ascii="Times New Roman" w:hAnsi="Times New Roman"/>
          <w:szCs w:val="24"/>
        </w:rPr>
        <w:t xml:space="preserve">The information collection requirements for this part are contained in 30 CFR 732.16(a), 30 CFR 732.17(b), and 732.17(f) and (g). The justification statements that follow discuss each section separately. </w:t>
      </w:r>
    </w:p>
    <w:p w:rsidR="00923628" w14:paraId="4506F5C5" w14:textId="77777777">
      <w:pPr>
        <w:ind w:right="-270"/>
        <w:rPr>
          <w:rFonts w:ascii="Times New Roman" w:hAnsi="Times New Roman"/>
          <w:szCs w:val="24"/>
        </w:rPr>
      </w:pPr>
    </w:p>
    <w:p w:rsidR="00923628" w14:paraId="370F602E" w14:textId="77777777">
      <w:pPr>
        <w:ind w:right="-270"/>
        <w:rPr>
          <w:rFonts w:ascii="Times New Roman" w:hAnsi="Times New Roman"/>
          <w:szCs w:val="24"/>
        </w:rPr>
      </w:pPr>
    </w:p>
    <w:p w:rsidR="00923628" w14:paraId="63E9A7D7" w14:textId="77777777">
      <w:pPr>
        <w:ind w:right="-270"/>
        <w:rPr>
          <w:rFonts w:ascii="Times New Roman" w:hAnsi="Times New Roman"/>
          <w:szCs w:val="24"/>
        </w:rPr>
      </w:pPr>
    </w:p>
    <w:p w:rsidR="00923628" w14:paraId="15D8C8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23628" w14:paraId="389E6D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r>
        <w:rPr>
          <w:rFonts w:ascii="Times New Roman" w:hAnsi="Times New Roman"/>
          <w:b/>
          <w:bCs/>
          <w:i/>
          <w:szCs w:val="24"/>
        </w:rPr>
        <w:t>Specific Instructions</w:t>
      </w:r>
    </w:p>
    <w:p w:rsidR="00923628" w14:paraId="30C955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23628" w14:paraId="36E1CC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bCs/>
          <w:i/>
          <w:szCs w:val="24"/>
          <w:u w:val="single"/>
        </w:rPr>
        <w:t>Justification</w:t>
      </w:r>
    </w:p>
    <w:p w:rsidR="00923628" w14:paraId="0F71B1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23628" w14:paraId="17C4272C" w14:textId="77777777">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zCs w:val="24"/>
        </w:rPr>
      </w:pPr>
      <w:r>
        <w:rPr>
          <w:rFonts w:ascii="Times New Roman" w:hAnsi="Times New Roman"/>
          <w:b/>
          <w:i/>
          <w:szCs w:val="24"/>
        </w:rPr>
        <w:t>Explain the circumstances that make the collection of information necessary.  Identify any legal or administrative requirements that necessitate the collection.</w:t>
      </w:r>
    </w:p>
    <w:p w:rsidR="00923628" w14:paraId="5B1F747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60C2C207"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Section 732.16(a) authorizes the Director to establish, as necessary, terms and conditions for the operation of a State program including establishment of a system for the State to regularly report to OSMRE on information collected by the State during the </w:t>
      </w:r>
      <w:r>
        <w:rPr>
          <w:rFonts w:ascii="Times New Roman" w:hAnsi="Times New Roman"/>
          <w:szCs w:val="24"/>
        </w:rPr>
        <w:t>administration of its program.  Authority for this regulation comes from section 201(c) and 706 of the Act.</w:t>
      </w:r>
    </w:p>
    <w:p w:rsidR="00923628" w14:paraId="2A9A82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048C466F" w14:textId="77777777">
      <w:pPr>
        <w:ind w:left="720"/>
        <w:rPr>
          <w:rFonts w:ascii="Times New Roman" w:hAnsi="Times New Roman"/>
          <w:szCs w:val="24"/>
        </w:rPr>
      </w:pPr>
      <w:r>
        <w:rPr>
          <w:rFonts w:ascii="Times New Roman" w:hAnsi="Times New Roman"/>
          <w:szCs w:val="24"/>
        </w:rPr>
        <w:t>Section 732.17(b) requires States operating under approved programs to notify the Director, in writing, of any significant events that affect implementation, administration or enforcement of a State program.  This notification is necessary because States were given approval to regulate surface coal mining and reclamation operations within the State based on the facts presented at the time approval was requested.  If these facts change or events occur that might impair the State from enforcing the requirements of the Act contained in its approved program, then OSMRE must be notified.  The authority for section 732.17(b) is found in sections 201(c)(1), 201(c)(2) and 503 of the Act.</w:t>
      </w:r>
    </w:p>
    <w:p w:rsidR="00923628" w14:paraId="1476C8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2BE639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Sections 732.17(f) and (g) require States operating under approved programs to submit to the Director, as amendments, any proposed changes to laws and regulations that make up the State program.  The authority for these sections is found in sections 201(c)(1), 201(c)(2) and 503 of the Act.  </w:t>
      </w:r>
    </w:p>
    <w:p w:rsidR="00923628" w14:paraId="3A4335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3F6C12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2.</w:t>
      </w:r>
      <w:r>
        <w:rPr>
          <w:rFonts w:ascii="Times New Roman" w:hAnsi="Times New Roman"/>
          <w:b/>
          <w:i/>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23628" w14:paraId="300198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4834AB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The reporting requirements contained in 30 CFR 732.16(a) are necessary for the Director to fulfill the responsibilities outlined in Section 201(c) of the Act to administer the program for controlling surface coal mining operations and to make those investigations and inspections necessary to ensure compliance with the Act. The information submitted by the State is used by OSMRE in evaluating whether the State is meeting the provisions of the approved State program.  Each State has already generated the data for its own programmatic use.  The State only transmits this data to OSMRE for use in oversight.  In addition, the information collected from the State is used by OSMRE in preparing the annual report required by section 706 of the Act and other programmatic information to ensure the effective administration and operation of the State program.  If the information were not collected OSMRE would be unable to determine if the State regulatory </w:t>
      </w:r>
      <w:r>
        <w:rPr>
          <w:rFonts w:ascii="Times New Roman" w:hAnsi="Times New Roman"/>
          <w:szCs w:val="24"/>
        </w:rPr>
        <w:t>authority(</w:t>
      </w:r>
      <w:r>
        <w:rPr>
          <w:rFonts w:ascii="Times New Roman" w:hAnsi="Times New Roman"/>
          <w:szCs w:val="24"/>
        </w:rPr>
        <w:t>SRA’s) were properly enforcing the requirements of the Act, would not have the data necessary to prepare the annual report required by section 706 and ensure program implementation of the State program.</w:t>
      </w:r>
    </w:p>
    <w:p w:rsidR="00923628" w14:paraId="27A28012" w14:textId="77777777">
      <w:pPr>
        <w:tabs>
          <w:tab w:val="left" w:pos="-1440"/>
          <w:tab w:val="left" w:pos="720"/>
        </w:tabs>
        <w:ind w:left="720" w:hanging="720"/>
        <w:rPr>
          <w:rFonts w:ascii="Times New Roman" w:hAnsi="Times New Roman"/>
          <w:szCs w:val="24"/>
        </w:rPr>
      </w:pPr>
    </w:p>
    <w:p w:rsidR="00923628" w14:paraId="201800D7" w14:textId="77777777">
      <w:pPr>
        <w:tabs>
          <w:tab w:val="left" w:pos="-1440"/>
          <w:tab w:val="left" w:pos="720"/>
        </w:tabs>
        <w:ind w:left="720" w:hanging="720"/>
        <w:rPr>
          <w:rFonts w:ascii="Times New Roman" w:hAnsi="Times New Roman"/>
          <w:szCs w:val="24"/>
        </w:rPr>
      </w:pPr>
      <w:r>
        <w:rPr>
          <w:rFonts w:ascii="Times New Roman" w:hAnsi="Times New Roman"/>
          <w:szCs w:val="24"/>
        </w:rPr>
        <w:tab/>
        <w:t xml:space="preserve">The notification and information submitted by a State pursuant to section 732.17(b) is used by the Director to determine whether a State is still capable of enforcing its regulatory program as approved by the Secretary.  The Director must review the information submitted by the State within 30 days.  The Director may determine that the event does not have a significant impact on the approved program and therefore no action is required by the State.  On the other hand, the Director may determine that in view of the changes that have occurred, it is necessary to either require a State program </w:t>
      </w:r>
      <w:r>
        <w:rPr>
          <w:rFonts w:ascii="Times New Roman" w:hAnsi="Times New Roman"/>
          <w:szCs w:val="24"/>
        </w:rPr>
        <w:t>amendment or implement a Federal program for the State.  Subparagraphs (1) through (7) list the minimal events which OSMRE believes would require notification by the State because their occurrence could impair the State's ability to enforce the State program approved by the Secretary.</w:t>
      </w:r>
    </w:p>
    <w:p w:rsidR="00923628" w14:paraId="53E50AD3" w14:textId="77777777">
      <w:pPr>
        <w:tabs>
          <w:tab w:val="left" w:pos="1350"/>
        </w:tabs>
        <w:ind w:left="720" w:hanging="720"/>
        <w:rPr>
          <w:rFonts w:ascii="Times New Roman" w:hAnsi="Times New Roman"/>
          <w:szCs w:val="24"/>
        </w:rPr>
      </w:pPr>
    </w:p>
    <w:p w:rsidR="00923628" w14:paraId="14DD2EE0" w14:textId="77777777">
      <w:pPr>
        <w:tabs>
          <w:tab w:val="left" w:pos="720"/>
          <w:tab w:val="left" w:pos="1350"/>
        </w:tabs>
        <w:ind w:left="720" w:hanging="720"/>
        <w:rPr>
          <w:rFonts w:ascii="Times New Roman" w:hAnsi="Times New Roman"/>
          <w:szCs w:val="24"/>
        </w:rPr>
      </w:pPr>
      <w:r>
        <w:rPr>
          <w:rFonts w:ascii="Times New Roman" w:hAnsi="Times New Roman"/>
          <w:szCs w:val="24"/>
        </w:rPr>
        <w:tab/>
        <w:t>If this information were not collected, OSMRE would not be able to determine if the State were still capable of regulating surface coal mining and reclamation operations in accordance with the State program approved by the Secretary.</w:t>
      </w:r>
    </w:p>
    <w:p w:rsidR="00923628" w14:paraId="045C02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58CFE210" w14:textId="77777777">
      <w:pPr>
        <w:tabs>
          <w:tab w:val="left" w:pos="-1440"/>
        </w:tabs>
        <w:ind w:left="720" w:hanging="720"/>
        <w:rPr>
          <w:rFonts w:ascii="Times New Roman" w:hAnsi="Times New Roman"/>
          <w:szCs w:val="24"/>
        </w:rPr>
      </w:pPr>
      <w:r>
        <w:rPr>
          <w:rFonts w:ascii="Times New Roman" w:hAnsi="Times New Roman"/>
          <w:szCs w:val="24"/>
        </w:rPr>
        <w:tab/>
        <w:t>State program amendments submitted pursuant to section 732.17(f) and (g) are reviewed by the Director, as well as published in the Federal Register.  Before approving amendments, the Director is required to publish a notice of receipt in the Federal Register.  The notice of receipt also outlines the public comment period and other pertinent information.  Upon the close of the comment period, the Director considers all relevant information to determine if the amendment should be approved and prepares a final rule that notifies the State and the public of the approval.</w:t>
      </w:r>
    </w:p>
    <w:p w:rsidR="00923628" w14:paraId="3A2067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082475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3.</w:t>
      </w:r>
      <w:r>
        <w:rPr>
          <w:rFonts w:ascii="Times New Roman" w:hAnsi="Times New Roman"/>
          <w:b/>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23628" w14:paraId="79CD1A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4C732890" w14:textId="23210D8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The information for section 732.16(a) is unique to each respondent.  Respondents are State regulatory authorities that submit information to OSMRE to be evaluated for compliance with the approved State program.  </w:t>
      </w:r>
      <w:r w:rsidR="00AC7AC6">
        <w:rPr>
          <w:rFonts w:ascii="Times New Roman" w:hAnsi="Times New Roman"/>
          <w:szCs w:val="24"/>
        </w:rPr>
        <w:t xml:space="preserve">OSMRE has implemented an electronic tracking for known as </w:t>
      </w:r>
      <w:r w:rsidRPr="00AC7AC6" w:rsidR="00AC7AC6">
        <w:rPr>
          <w:rFonts w:ascii="Times New Roman" w:hAnsi="Times New Roman"/>
          <w:szCs w:val="24"/>
        </w:rPr>
        <w:t xml:space="preserve">SPATS (State Program Amendment Tracking) database. </w:t>
      </w:r>
      <w:r w:rsidR="008A75FE">
        <w:rPr>
          <w:rFonts w:ascii="Times New Roman" w:hAnsi="Times New Roman"/>
          <w:szCs w:val="24"/>
        </w:rPr>
        <w:t xml:space="preserve"> This provides standardized process for uploading documents </w:t>
      </w:r>
      <w:r>
        <w:rPr>
          <w:rFonts w:ascii="Times New Roman" w:hAnsi="Times New Roman"/>
          <w:szCs w:val="24"/>
        </w:rPr>
        <w:t>and electronic</w:t>
      </w:r>
      <w:r w:rsidR="008A75FE">
        <w:rPr>
          <w:rFonts w:ascii="Times New Roman" w:hAnsi="Times New Roman"/>
          <w:szCs w:val="24"/>
        </w:rPr>
        <w:t xml:space="preserve"> submission and </w:t>
      </w:r>
      <w:r w:rsidR="008A75FE">
        <w:rPr>
          <w:rFonts w:ascii="Times New Roman" w:hAnsi="Times New Roman"/>
          <w:szCs w:val="24"/>
        </w:rPr>
        <w:t xml:space="preserve">review </w:t>
      </w:r>
      <w:r>
        <w:rPr>
          <w:rFonts w:ascii="Times New Roman" w:hAnsi="Times New Roman"/>
          <w:szCs w:val="24"/>
        </w:rPr>
        <w:t>.</w:t>
      </w:r>
      <w:r>
        <w:rPr>
          <w:rFonts w:ascii="Times New Roman" w:hAnsi="Times New Roman"/>
          <w:szCs w:val="24"/>
        </w:rPr>
        <w:t xml:space="preserve">  The SRAs complete the tables and electronically </w:t>
      </w:r>
      <w:r w:rsidR="008A75FE">
        <w:rPr>
          <w:rFonts w:ascii="Times New Roman" w:hAnsi="Times New Roman"/>
          <w:szCs w:val="24"/>
        </w:rPr>
        <w:t xml:space="preserve">transmits </w:t>
      </w:r>
      <w:r>
        <w:rPr>
          <w:rFonts w:ascii="Times New Roman" w:hAnsi="Times New Roman"/>
          <w:szCs w:val="24"/>
        </w:rPr>
        <w:t xml:space="preserve">them to OSMRE.  </w:t>
      </w:r>
    </w:p>
    <w:p w:rsidR="00923628" w14:paraId="78E7F6E6" w14:textId="77777777">
      <w:pPr>
        <w:ind w:right="-270"/>
        <w:rPr>
          <w:rFonts w:ascii="Times New Roman" w:hAnsi="Times New Roman"/>
          <w:szCs w:val="24"/>
        </w:rPr>
      </w:pPr>
    </w:p>
    <w:p w:rsidR="00923628" w14:paraId="75F7C68B" w14:textId="6B47156A">
      <w:pPr>
        <w:tabs>
          <w:tab w:val="left" w:pos="-1440"/>
          <w:tab w:val="left" w:pos="720"/>
        </w:tabs>
        <w:ind w:left="720" w:hanging="720"/>
        <w:rPr>
          <w:rFonts w:ascii="Times New Roman" w:hAnsi="Times New Roman"/>
          <w:szCs w:val="24"/>
        </w:rPr>
      </w:pPr>
      <w:r>
        <w:rPr>
          <w:rFonts w:ascii="Times New Roman" w:hAnsi="Times New Roman"/>
          <w:szCs w:val="24"/>
        </w:rPr>
        <w:tab/>
        <w:t xml:space="preserve">The information for section 732.17(b) is unique to each respondent.  Respondents are State regulatory authorities that submit a written notification to the Director, OSMRE, of any significant event that affects the implementation, </w:t>
      </w:r>
      <w:r>
        <w:rPr>
          <w:rFonts w:ascii="Times New Roman" w:hAnsi="Times New Roman"/>
          <w:szCs w:val="24"/>
        </w:rPr>
        <w:t>administration</w:t>
      </w:r>
      <w:r>
        <w:rPr>
          <w:rFonts w:ascii="Times New Roman" w:hAnsi="Times New Roman"/>
          <w:szCs w:val="24"/>
        </w:rPr>
        <w:t xml:space="preserve"> or enforcement of the State program.  </w:t>
      </w:r>
    </w:p>
    <w:p w:rsidR="00923628" w14:paraId="3D88BF6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4223A477" w14:textId="77777777">
      <w:pPr>
        <w:tabs>
          <w:tab w:val="left" w:pos="-1440"/>
        </w:tabs>
        <w:ind w:left="720" w:hanging="720"/>
        <w:rPr>
          <w:rFonts w:ascii="Times New Roman" w:hAnsi="Times New Roman"/>
          <w:szCs w:val="24"/>
        </w:rPr>
      </w:pPr>
      <w:r>
        <w:rPr>
          <w:rFonts w:ascii="Times New Roman" w:hAnsi="Times New Roman"/>
          <w:szCs w:val="24"/>
        </w:rPr>
        <w:tab/>
        <w:t>The information for section 732.17(f) and (g) is unique to each respondent.  Respondents are State regulatory authorities that submit information to OSMRE to be evaluated for compliance with the approved State program.  Information submitted includes:</w:t>
      </w:r>
    </w:p>
    <w:p w:rsidR="00923628" w14:paraId="6C693F19" w14:textId="77777777">
      <w:pPr>
        <w:ind w:left="720"/>
        <w:rPr>
          <w:rFonts w:ascii="Times New Roman" w:hAnsi="Times New Roman"/>
          <w:szCs w:val="24"/>
        </w:rPr>
      </w:pPr>
    </w:p>
    <w:p w:rsidR="00923628" w14:paraId="1CA68211" w14:textId="77777777">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t xml:space="preserve">if the revisions significantly differ from the corresponding Federal provision, the rational for the changes, any technical justification for the changes, and their legal effect; </w:t>
      </w:r>
    </w:p>
    <w:p w:rsidR="00923628" w14:paraId="3AD893E1" w14:textId="77777777">
      <w:pPr>
        <w:ind w:left="720"/>
        <w:rPr>
          <w:rFonts w:ascii="Times New Roman" w:hAnsi="Times New Roman"/>
          <w:szCs w:val="24"/>
        </w:rPr>
      </w:pPr>
    </w:p>
    <w:p w:rsidR="00923628" w14:paraId="21ADE014" w14:textId="77777777">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t xml:space="preserve">a precise identification of existing language being </w:t>
      </w:r>
      <w:r>
        <w:rPr>
          <w:rFonts w:ascii="Times New Roman" w:hAnsi="Times New Roman"/>
          <w:szCs w:val="24"/>
        </w:rPr>
        <w:t>deleted</w:t>
      </w:r>
      <w:r>
        <w:rPr>
          <w:rFonts w:ascii="Times New Roman" w:hAnsi="Times New Roman"/>
          <w:szCs w:val="24"/>
        </w:rPr>
        <w:t xml:space="preserve"> and new language </w:t>
      </w:r>
      <w:r>
        <w:rPr>
          <w:rFonts w:ascii="Times New Roman" w:hAnsi="Times New Roman"/>
          <w:szCs w:val="24"/>
        </w:rPr>
        <w:t>being added, by means of underlining, bracketing or striking out;</w:t>
      </w:r>
    </w:p>
    <w:p w:rsidR="00923628" w14:paraId="267A21BB" w14:textId="77777777">
      <w:pPr>
        <w:ind w:left="720"/>
        <w:rPr>
          <w:rFonts w:ascii="Times New Roman" w:hAnsi="Times New Roman"/>
          <w:szCs w:val="24"/>
        </w:rPr>
      </w:pPr>
    </w:p>
    <w:p w:rsidR="00923628" w14:paraId="366CBAD5" w14:textId="77777777">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t>a legal opinion from the attorney general of the State or Chief legal officer of the State regulatory authority.</w:t>
      </w:r>
    </w:p>
    <w:p w:rsidR="00923628" w14:paraId="04484431" w14:textId="77777777">
      <w:pPr>
        <w:tabs>
          <w:tab w:val="left" w:pos="3011"/>
        </w:tabs>
        <w:ind w:left="720"/>
        <w:rPr>
          <w:rFonts w:ascii="Times New Roman" w:hAnsi="Times New Roman"/>
          <w:szCs w:val="24"/>
        </w:rPr>
      </w:pPr>
      <w:r>
        <w:rPr>
          <w:rFonts w:ascii="Times New Roman" w:hAnsi="Times New Roman"/>
          <w:szCs w:val="24"/>
        </w:rPr>
        <w:tab/>
      </w:r>
    </w:p>
    <w:p w:rsidR="00923628" w14:paraId="5BF04F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2D2B1C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4.</w:t>
      </w:r>
      <w:r>
        <w:rPr>
          <w:rFonts w:ascii="Times New Roman" w:hAnsi="Times New Roman"/>
          <w:b/>
          <w:i/>
          <w:szCs w:val="24"/>
        </w:rPr>
        <w:tab/>
        <w:t>Describe efforts to identify duplication.  Show specifically why any similar information already available cannot be used or modified for use for the purposes described in Item 2 above.</w:t>
      </w:r>
    </w:p>
    <w:p w:rsidR="00923628" w14:paraId="69E55BB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1EFB71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No other Federal agency collects this information.  Responses are specific to requirements found in the Act.</w:t>
      </w:r>
    </w:p>
    <w:p w:rsidR="00923628" w14:paraId="2F42657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213C0A89" w14:textId="77777777">
      <w:pPr>
        <w:tabs>
          <w:tab w:val="left" w:pos="-1440"/>
          <w:tab w:val="left" w:pos="720"/>
        </w:tabs>
        <w:ind w:left="720" w:hanging="720"/>
        <w:rPr>
          <w:rFonts w:ascii="Times New Roman" w:hAnsi="Times New Roman"/>
          <w:b/>
          <w:i/>
          <w:szCs w:val="24"/>
        </w:rPr>
      </w:pPr>
      <w:r>
        <w:rPr>
          <w:rFonts w:ascii="Times New Roman" w:hAnsi="Times New Roman"/>
          <w:b/>
          <w:i/>
          <w:szCs w:val="24"/>
        </w:rPr>
        <w:t>5.</w:t>
      </w:r>
      <w:r>
        <w:rPr>
          <w:rFonts w:ascii="Times New Roman" w:hAnsi="Times New Roman"/>
          <w:b/>
          <w:i/>
          <w:szCs w:val="24"/>
        </w:rPr>
        <w:tab/>
        <w:t>If the collection of information impacts small businesses or other small entities, describe any methods used to minimize burden.</w:t>
      </w:r>
    </w:p>
    <w:p w:rsidR="00923628" w14:paraId="176CD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468D4A44" w14:textId="77777777">
      <w:pPr>
        <w:tabs>
          <w:tab w:val="left" w:pos="-1440"/>
        </w:tabs>
        <w:ind w:left="720" w:hanging="720"/>
        <w:rPr>
          <w:rFonts w:ascii="Times New Roman" w:hAnsi="Times New Roman"/>
          <w:szCs w:val="24"/>
        </w:rPr>
      </w:pPr>
      <w:r>
        <w:rPr>
          <w:rFonts w:ascii="Times New Roman" w:hAnsi="Times New Roman"/>
          <w:szCs w:val="24"/>
        </w:rPr>
        <w:tab/>
        <w:t>There are no small organizations involved in this collection.  Respondents are the 25 State and 4 Tribal regulatory authorities that oversee the coal industry.</w:t>
      </w:r>
    </w:p>
    <w:p w:rsidR="00923628" w14:paraId="3566E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480EE7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6.</w:t>
      </w:r>
      <w:r>
        <w:rPr>
          <w:rFonts w:ascii="Times New Roman" w:hAnsi="Times New Roman"/>
          <w:b/>
          <w:i/>
          <w:szCs w:val="24"/>
        </w:rPr>
        <w:tab/>
        <w:t>Describe the consequence to Federal program or policy activities if the collection is not conducted or is conducted less frequently, as well as any technical or legal obstacles to reducing burden.</w:t>
      </w:r>
    </w:p>
    <w:p w:rsidR="00923628" w14:paraId="7EE1B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336FA9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Information collected for 732.16(a) is collected annually to provide OSMRE with sufficient oversight capabilities.  If the information were collected less frequently, OSMRE would not be able to properly monitor the State's enforcement of the Act.</w:t>
      </w:r>
    </w:p>
    <w:p w:rsidR="00923628" w14:paraId="5DC254F1" w14:textId="77777777">
      <w:pPr>
        <w:tabs>
          <w:tab w:val="left" w:pos="-1080"/>
          <w:tab w:val="left" w:pos="-720"/>
          <w:tab w:val="left" w:pos="0"/>
        </w:tabs>
        <w:rPr>
          <w:rFonts w:ascii="Times New Roman" w:hAnsi="Times New Roman"/>
          <w:szCs w:val="24"/>
        </w:rPr>
      </w:pPr>
    </w:p>
    <w:p w:rsidR="00923628" w14:paraId="034185CF" w14:textId="77777777">
      <w:pPr>
        <w:tabs>
          <w:tab w:val="left" w:pos="-1440"/>
          <w:tab w:val="left" w:pos="720"/>
        </w:tabs>
        <w:ind w:left="720" w:hanging="720"/>
        <w:rPr>
          <w:rFonts w:ascii="Times New Roman" w:hAnsi="Times New Roman"/>
          <w:szCs w:val="24"/>
        </w:rPr>
      </w:pPr>
      <w:r>
        <w:rPr>
          <w:rFonts w:ascii="Times New Roman" w:hAnsi="Times New Roman"/>
          <w:szCs w:val="24"/>
        </w:rPr>
        <w:tab/>
        <w:t>Information collected for section 732.17(b) is collected once when a significant event affecting an approved State program occurs.  The frequency of collection can therefore not be reduced.</w:t>
      </w:r>
    </w:p>
    <w:p w:rsidR="00923628" w14:paraId="03B70B07" w14:textId="77777777">
      <w:pPr>
        <w:tabs>
          <w:tab w:val="left" w:pos="-1080"/>
          <w:tab w:val="left" w:pos="-720"/>
          <w:tab w:val="left" w:pos="0"/>
        </w:tabs>
        <w:rPr>
          <w:rFonts w:ascii="Times New Roman" w:hAnsi="Times New Roman"/>
          <w:szCs w:val="24"/>
        </w:rPr>
      </w:pPr>
    </w:p>
    <w:p w:rsidR="00923628" w14:paraId="202EC132" w14:textId="77777777">
      <w:pPr>
        <w:tabs>
          <w:tab w:val="left" w:pos="-1440"/>
        </w:tabs>
        <w:ind w:left="720" w:hanging="720"/>
        <w:rPr>
          <w:rFonts w:ascii="Times New Roman" w:hAnsi="Times New Roman"/>
          <w:szCs w:val="24"/>
        </w:rPr>
      </w:pPr>
      <w:r>
        <w:rPr>
          <w:rFonts w:ascii="Times New Roman" w:hAnsi="Times New Roman"/>
          <w:szCs w:val="24"/>
        </w:rPr>
        <w:tab/>
        <w:t>Information collected for 732.17(f) and (g) occurs only when a State submits documents to amend its rules.  The frequency of collection can therefore not be reduced.</w:t>
      </w:r>
    </w:p>
    <w:p w:rsidR="00923628" w14:paraId="3CB667BB" w14:textId="77777777">
      <w:pPr>
        <w:tabs>
          <w:tab w:val="left" w:pos="-1080"/>
          <w:tab w:val="left" w:pos="-720"/>
          <w:tab w:val="left" w:pos="0"/>
        </w:tabs>
        <w:rPr>
          <w:rFonts w:ascii="Times New Roman" w:hAnsi="Times New Roman"/>
          <w:szCs w:val="24"/>
        </w:rPr>
      </w:pPr>
    </w:p>
    <w:p w:rsidR="00923628" w14:paraId="3CB653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7.</w:t>
      </w:r>
      <w:r>
        <w:rPr>
          <w:rFonts w:ascii="Times New Roman" w:hAnsi="Times New Roman"/>
          <w:b/>
          <w:i/>
          <w:szCs w:val="24"/>
        </w:rPr>
        <w:tab/>
        <w:t>Explain any special circumstances that would cause an information collection to be conducted in a manner:</w:t>
      </w:r>
    </w:p>
    <w:p w:rsidR="00923628" w14:paraId="39BF7F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report information to the agency more often than quarterly;</w:t>
      </w:r>
    </w:p>
    <w:p w:rsidR="00923628" w14:paraId="0293AC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prepare a written response to a collection of information in fewer than 30 days after receipt of it;</w:t>
      </w:r>
    </w:p>
    <w:p w:rsidR="00923628" w14:paraId="763A8D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submit more than an original and two copies of any document;</w:t>
      </w:r>
    </w:p>
    <w:p w:rsidR="00923628" w14:paraId="3F4DEA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retain records, other than health, medical, government contract, grant-in-aid, or tax records, for more than three years;</w:t>
      </w:r>
    </w:p>
    <w:p w:rsidR="00923628" w14:paraId="2B3B45A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in connection with a statistical survey that is not designed to produce valid and reliable results that can be generalized to the universe of study;</w:t>
      </w:r>
    </w:p>
    <w:p w:rsidR="00923628" w14:paraId="1BEC7F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the use of a statistical data classification that has not been reviewed and approved by OMB;</w:t>
      </w:r>
    </w:p>
    <w:p w:rsidR="00923628" w14:paraId="5ADE45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3628" w14:paraId="1C0D28F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923628" w14:paraId="3FE992F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7EB85556" w14:textId="77777777">
      <w:pPr>
        <w:tabs>
          <w:tab w:val="left" w:pos="-1440"/>
        </w:tabs>
        <w:ind w:left="720" w:hanging="720"/>
        <w:rPr>
          <w:rFonts w:ascii="Times New Roman" w:hAnsi="Times New Roman"/>
          <w:szCs w:val="24"/>
        </w:rPr>
      </w:pPr>
      <w:r>
        <w:rPr>
          <w:rFonts w:ascii="Times New Roman" w:hAnsi="Times New Roman"/>
          <w:szCs w:val="24"/>
        </w:rPr>
        <w:tab/>
        <w:t>The guidelines in 5 CFR 1320.5(d)(2) are not exceeded.</w:t>
      </w:r>
    </w:p>
    <w:p w:rsidR="00923628" w14:paraId="00AEC0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4B1222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8.</w:t>
      </w:r>
      <w:r>
        <w:rPr>
          <w:rFonts w:ascii="Times New Roman" w:hAnsi="Times New Roman"/>
          <w:b/>
          <w:i/>
          <w:szCs w:val="24"/>
        </w:rPr>
        <w:tab/>
        <w:t xml:space="preserve">If applicable, provide a copy and identify the date and page number of </w:t>
      </w:r>
      <w:r>
        <w:rPr>
          <w:rFonts w:ascii="Times New Roman" w:hAnsi="Times New Roman"/>
          <w:b/>
          <w:i/>
          <w:szCs w:val="24"/>
        </w:rPr>
        <w:t>publication</w:t>
      </w:r>
      <w:r>
        <w:rPr>
          <w:rFonts w:ascii="Times New Roman" w:hAnsi="Times New Roman"/>
          <w:b/>
          <w:i/>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23628" w14:paraId="11BEAA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rsidR="00923628" w14:paraId="5A9B0B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Pr>
          <w:rFonts w:ascii="Times New Roman" w:hAnsi="Times New Roman"/>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23628" w14:paraId="09218D8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p>
    <w:p w:rsidR="00923628" w14:paraId="673F08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Pr>
          <w:rFonts w:ascii="Times New Roman" w:hAnsi="Times New Roman"/>
          <w:b/>
          <w:i/>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23628" w14:paraId="783300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23628" w14:paraId="4032B2E3" w14:textId="77579DD6">
      <w:pPr>
        <w:ind w:left="720"/>
        <w:rPr>
          <w:rFonts w:ascii="Times New Roman" w:hAnsi="Times New Roman"/>
          <w:szCs w:val="24"/>
        </w:rPr>
      </w:pPr>
      <w:r w:rsidRPr="000036DE">
        <w:rPr>
          <w:rFonts w:ascii="Times New Roman" w:hAnsi="Times New Roman"/>
          <w:szCs w:val="24"/>
        </w:rPr>
        <w:t xml:space="preserve">State regulatory programs and field offices were consulted regarding the burden imposed by this information collection.  </w:t>
      </w:r>
    </w:p>
    <w:p w:rsidR="002E28C6" w14:paraId="51D0E26B" w14:textId="77777777">
      <w:pPr>
        <w:ind w:firstLine="1440"/>
        <w:rPr>
          <w:rFonts w:ascii="Times New Roman" w:hAnsi="Times New Roman"/>
          <w:szCs w:val="24"/>
        </w:rPr>
      </w:pPr>
    </w:p>
    <w:p w:rsidR="002E28C6" w:rsidRPr="002E28C6" w:rsidP="002E28C6" w14:paraId="200AB3B3" w14:textId="7B9722E0">
      <w:pPr>
        <w:ind w:firstLine="1440"/>
        <w:rPr>
          <w:rFonts w:ascii="Times New Roman" w:hAnsi="Times New Roman"/>
          <w:szCs w:val="24"/>
        </w:rPr>
      </w:pPr>
      <w:r w:rsidRPr="002E28C6">
        <w:rPr>
          <w:rFonts w:ascii="Times New Roman" w:hAnsi="Times New Roman"/>
          <w:szCs w:val="24"/>
        </w:rPr>
        <w:t>Montana Department of Environmental Quality</w:t>
      </w:r>
    </w:p>
    <w:p w:rsidR="002E28C6" w:rsidRPr="002E28C6" w:rsidP="002E28C6" w14:paraId="559CABD9" w14:textId="77777777">
      <w:pPr>
        <w:ind w:firstLine="1440"/>
        <w:rPr>
          <w:rFonts w:ascii="Times New Roman" w:hAnsi="Times New Roman"/>
          <w:szCs w:val="24"/>
        </w:rPr>
      </w:pPr>
      <w:r w:rsidRPr="002E28C6">
        <w:rPr>
          <w:rFonts w:ascii="Times New Roman" w:hAnsi="Times New Roman"/>
          <w:szCs w:val="24"/>
        </w:rPr>
        <w:t>Coal and Opencut Mining Bureau</w:t>
      </w:r>
    </w:p>
    <w:p w:rsidR="002E28C6" w:rsidRPr="002E28C6" w:rsidP="002E28C6" w14:paraId="767996A8" w14:textId="77777777">
      <w:pPr>
        <w:ind w:firstLine="1440"/>
        <w:rPr>
          <w:rFonts w:ascii="Times New Roman" w:hAnsi="Times New Roman"/>
          <w:szCs w:val="24"/>
        </w:rPr>
      </w:pPr>
      <w:r w:rsidRPr="002E28C6">
        <w:rPr>
          <w:rFonts w:ascii="Times New Roman" w:hAnsi="Times New Roman"/>
          <w:szCs w:val="24"/>
        </w:rPr>
        <w:t>1216 East 6th Avenue</w:t>
      </w:r>
    </w:p>
    <w:p w:rsidR="002E28C6" w:rsidRPr="002E28C6" w:rsidP="002E28C6" w14:paraId="3195A611" w14:textId="77777777">
      <w:pPr>
        <w:ind w:firstLine="1440"/>
        <w:rPr>
          <w:rFonts w:ascii="Times New Roman" w:hAnsi="Times New Roman"/>
          <w:szCs w:val="24"/>
        </w:rPr>
      </w:pPr>
      <w:r w:rsidRPr="002E28C6">
        <w:rPr>
          <w:rFonts w:ascii="Times New Roman" w:hAnsi="Times New Roman"/>
          <w:szCs w:val="24"/>
        </w:rPr>
        <w:t xml:space="preserve">Helena, Montana </w:t>
      </w:r>
    </w:p>
    <w:p w:rsidR="002E28C6" w:rsidRPr="002E28C6" w:rsidP="002E28C6" w14:paraId="5510978B" w14:textId="77777777">
      <w:pPr>
        <w:ind w:firstLine="1440"/>
        <w:rPr>
          <w:rFonts w:ascii="Times New Roman" w:hAnsi="Times New Roman"/>
          <w:szCs w:val="24"/>
        </w:rPr>
      </w:pPr>
      <w:r w:rsidRPr="002E28C6">
        <w:rPr>
          <w:rFonts w:ascii="Times New Roman" w:hAnsi="Times New Roman"/>
          <w:szCs w:val="24"/>
        </w:rPr>
        <w:t>59620-0901</w:t>
      </w:r>
    </w:p>
    <w:p w:rsidR="002E28C6" w:rsidRPr="002E28C6" w:rsidP="002E28C6" w14:paraId="78928044" w14:textId="77777777">
      <w:pPr>
        <w:ind w:firstLine="1440"/>
        <w:rPr>
          <w:rFonts w:ascii="Times New Roman" w:hAnsi="Times New Roman"/>
          <w:szCs w:val="24"/>
        </w:rPr>
      </w:pPr>
    </w:p>
    <w:p w:rsidR="002E28C6" w:rsidRPr="002E28C6" w:rsidP="002E28C6" w14:paraId="5728119D" w14:textId="77777777">
      <w:pPr>
        <w:ind w:firstLine="1440"/>
        <w:rPr>
          <w:rFonts w:ascii="Times New Roman" w:hAnsi="Times New Roman"/>
          <w:szCs w:val="24"/>
        </w:rPr>
      </w:pPr>
    </w:p>
    <w:p w:rsidR="003538AB" w:rsidP="002E28C6" w14:paraId="178CAD4B" w14:textId="77777777">
      <w:pPr>
        <w:ind w:firstLine="1440"/>
        <w:rPr>
          <w:rFonts w:ascii="Times New Roman" w:hAnsi="Times New Roman"/>
          <w:szCs w:val="24"/>
        </w:rPr>
      </w:pPr>
    </w:p>
    <w:p w:rsidR="002E28C6" w:rsidRPr="002E28C6" w:rsidP="002E28C6" w14:paraId="3738A627" w14:textId="344A0ACA">
      <w:pPr>
        <w:ind w:firstLine="1440"/>
        <w:rPr>
          <w:rFonts w:ascii="Times New Roman" w:hAnsi="Times New Roman"/>
          <w:szCs w:val="24"/>
        </w:rPr>
      </w:pPr>
      <w:r w:rsidRPr="002E28C6">
        <w:rPr>
          <w:rFonts w:ascii="Times New Roman" w:hAnsi="Times New Roman"/>
          <w:szCs w:val="24"/>
        </w:rPr>
        <w:t>Wyoming Department of Environmental Quality</w:t>
      </w:r>
    </w:p>
    <w:p w:rsidR="002E28C6" w:rsidRPr="002E28C6" w:rsidP="002E28C6" w14:paraId="134AF226" w14:textId="77777777">
      <w:pPr>
        <w:ind w:firstLine="1440"/>
        <w:rPr>
          <w:rFonts w:ascii="Times New Roman" w:hAnsi="Times New Roman"/>
          <w:szCs w:val="24"/>
        </w:rPr>
      </w:pPr>
      <w:r w:rsidRPr="002E28C6">
        <w:rPr>
          <w:rFonts w:ascii="Times New Roman" w:hAnsi="Times New Roman"/>
          <w:szCs w:val="24"/>
        </w:rPr>
        <w:t>Land Quality Division</w:t>
      </w:r>
    </w:p>
    <w:p w:rsidR="002E28C6" w:rsidRPr="002E28C6" w:rsidP="002E28C6" w14:paraId="3D385653" w14:textId="77777777">
      <w:pPr>
        <w:ind w:firstLine="1440"/>
        <w:rPr>
          <w:rFonts w:ascii="Times New Roman" w:hAnsi="Times New Roman"/>
          <w:szCs w:val="24"/>
        </w:rPr>
      </w:pPr>
      <w:r w:rsidRPr="002E28C6">
        <w:rPr>
          <w:rFonts w:ascii="Times New Roman" w:hAnsi="Times New Roman"/>
          <w:szCs w:val="24"/>
        </w:rPr>
        <w:t>200 W. 17th Street, Suite 10</w:t>
      </w:r>
    </w:p>
    <w:p w:rsidR="002E28C6" w:rsidRPr="002E28C6" w:rsidP="002E28C6" w14:paraId="355482AC" w14:textId="505206B7">
      <w:pPr>
        <w:ind w:firstLine="1440"/>
        <w:rPr>
          <w:rFonts w:ascii="Times New Roman" w:hAnsi="Times New Roman"/>
          <w:szCs w:val="24"/>
        </w:rPr>
      </w:pPr>
      <w:r w:rsidRPr="002E28C6">
        <w:rPr>
          <w:rFonts w:ascii="Times New Roman" w:hAnsi="Times New Roman"/>
          <w:szCs w:val="24"/>
        </w:rPr>
        <w:t>Cheyenne, Wyoming 82002</w:t>
      </w:r>
    </w:p>
    <w:p w:rsidR="002E28C6" w:rsidRPr="002E28C6" w:rsidP="002E28C6" w14:paraId="0625D622" w14:textId="77777777">
      <w:pPr>
        <w:ind w:firstLine="1440"/>
        <w:rPr>
          <w:rFonts w:ascii="Times New Roman" w:hAnsi="Times New Roman"/>
          <w:szCs w:val="24"/>
        </w:rPr>
      </w:pPr>
    </w:p>
    <w:p w:rsidR="002E28C6" w:rsidRPr="002E28C6" w:rsidP="002E28C6" w14:paraId="7F421529" w14:textId="77777777">
      <w:pPr>
        <w:ind w:firstLine="1440"/>
        <w:rPr>
          <w:rFonts w:ascii="Times New Roman" w:hAnsi="Times New Roman"/>
          <w:szCs w:val="24"/>
        </w:rPr>
      </w:pPr>
    </w:p>
    <w:p w:rsidR="002E28C6" w:rsidRPr="002E28C6" w:rsidP="002E28C6" w14:paraId="2532CBF1" w14:textId="77777777">
      <w:pPr>
        <w:ind w:firstLine="1440"/>
        <w:rPr>
          <w:rFonts w:ascii="Times New Roman" w:hAnsi="Times New Roman"/>
          <w:szCs w:val="24"/>
        </w:rPr>
      </w:pPr>
      <w:r w:rsidRPr="002E28C6">
        <w:rPr>
          <w:rFonts w:ascii="Times New Roman" w:hAnsi="Times New Roman"/>
          <w:szCs w:val="24"/>
        </w:rPr>
        <w:t>Permit Coordinator/Assessor</w:t>
      </w:r>
    </w:p>
    <w:p w:rsidR="002E28C6" w:rsidRPr="002E28C6" w:rsidP="002E28C6" w14:paraId="28C6B4BE" w14:textId="77777777">
      <w:pPr>
        <w:ind w:firstLine="1440"/>
        <w:rPr>
          <w:rFonts w:ascii="Times New Roman" w:hAnsi="Times New Roman"/>
          <w:szCs w:val="24"/>
        </w:rPr>
      </w:pPr>
      <w:r w:rsidRPr="002E28C6">
        <w:rPr>
          <w:rFonts w:ascii="Times New Roman" w:hAnsi="Times New Roman"/>
          <w:szCs w:val="24"/>
        </w:rPr>
        <w:t>OSMRE-Casper Area Office</w:t>
      </w:r>
    </w:p>
    <w:p w:rsidR="002E28C6" w:rsidRPr="002E28C6" w:rsidP="002E28C6" w14:paraId="6A10AED8" w14:textId="77777777">
      <w:pPr>
        <w:ind w:firstLine="1440"/>
        <w:rPr>
          <w:rFonts w:ascii="Times New Roman" w:hAnsi="Times New Roman"/>
          <w:szCs w:val="24"/>
        </w:rPr>
      </w:pPr>
      <w:r w:rsidRPr="002E28C6">
        <w:rPr>
          <w:rFonts w:ascii="Times New Roman" w:hAnsi="Times New Roman"/>
          <w:szCs w:val="24"/>
        </w:rPr>
        <w:t>100 East B Street</w:t>
      </w:r>
    </w:p>
    <w:p w:rsidR="002E28C6" w:rsidRPr="002E28C6" w:rsidP="002E28C6" w14:paraId="1D107BCC" w14:textId="77777777">
      <w:pPr>
        <w:ind w:firstLine="1440"/>
        <w:rPr>
          <w:rFonts w:ascii="Times New Roman" w:hAnsi="Times New Roman"/>
          <w:szCs w:val="24"/>
        </w:rPr>
      </w:pPr>
      <w:r w:rsidRPr="002E28C6">
        <w:rPr>
          <w:rFonts w:ascii="Times New Roman" w:hAnsi="Times New Roman"/>
          <w:szCs w:val="24"/>
        </w:rPr>
        <w:t>Room 4100</w:t>
      </w:r>
    </w:p>
    <w:p w:rsidR="002E28C6" w:rsidRPr="002E28C6" w:rsidP="002E28C6" w14:paraId="1C6A0718" w14:textId="77777777">
      <w:pPr>
        <w:ind w:firstLine="1440"/>
        <w:rPr>
          <w:rFonts w:ascii="Times New Roman" w:hAnsi="Times New Roman"/>
          <w:szCs w:val="24"/>
        </w:rPr>
      </w:pPr>
      <w:r w:rsidRPr="002E28C6">
        <w:rPr>
          <w:rFonts w:ascii="Times New Roman" w:hAnsi="Times New Roman"/>
          <w:szCs w:val="24"/>
        </w:rPr>
        <w:t>Casper, WY  82601</w:t>
      </w:r>
    </w:p>
    <w:p w:rsidR="002E28C6" w14:paraId="5AD0B587" w14:textId="77777777">
      <w:pPr>
        <w:ind w:firstLine="1440"/>
        <w:rPr>
          <w:rFonts w:ascii="Times New Roman" w:hAnsi="Times New Roman"/>
          <w:szCs w:val="24"/>
        </w:rPr>
      </w:pPr>
    </w:p>
    <w:p w:rsidR="002E28C6" w14:paraId="6088CF39" w14:textId="77777777">
      <w:pPr>
        <w:ind w:firstLine="1440"/>
        <w:rPr>
          <w:rFonts w:ascii="Times New Roman" w:hAnsi="Times New Roman"/>
          <w:szCs w:val="24"/>
        </w:rPr>
      </w:pPr>
    </w:p>
    <w:p w:rsidR="00923628" w14:paraId="43715626" w14:textId="3D1735A5">
      <w:pPr>
        <w:ind w:left="720"/>
        <w:rPr>
          <w:rFonts w:ascii="Times New Roman" w:hAnsi="Times New Roman"/>
          <w:szCs w:val="24"/>
        </w:rPr>
      </w:pPr>
      <w:r w:rsidRPr="00B14D12">
        <w:rPr>
          <w:rFonts w:ascii="Times New Roman" w:hAnsi="Times New Roman"/>
          <w:szCs w:val="24"/>
        </w:rPr>
        <w:t>The State of Montana submitted the most amendments of any state during the last two years.</w:t>
      </w:r>
      <w:r>
        <w:rPr>
          <w:rFonts w:ascii="Times New Roman" w:hAnsi="Times New Roman"/>
          <w:szCs w:val="24"/>
        </w:rPr>
        <w:t xml:space="preserve"> There</w:t>
      </w:r>
      <w:r w:rsidRPr="002E28C6" w:rsidR="002E28C6">
        <w:rPr>
          <w:rFonts w:ascii="Times New Roman" w:hAnsi="Times New Roman"/>
          <w:szCs w:val="24"/>
        </w:rPr>
        <w:t xml:space="preserve"> were no comments suggesting changes in burden hours per response from the previous information collection</w:t>
      </w:r>
      <w:r w:rsidR="00371B23">
        <w:rPr>
          <w:rFonts w:ascii="Times New Roman" w:hAnsi="Times New Roman"/>
          <w:szCs w:val="24"/>
        </w:rPr>
        <w:t xml:space="preserve"> request</w:t>
      </w:r>
      <w:r w:rsidRPr="002E28C6" w:rsidR="002E28C6">
        <w:rPr>
          <w:rFonts w:ascii="Times New Roman" w:hAnsi="Times New Roman"/>
          <w:szCs w:val="24"/>
        </w:rPr>
        <w:t>.</w:t>
      </w:r>
      <w:r w:rsidR="002E28C6">
        <w:rPr>
          <w:rFonts w:ascii="Times New Roman" w:hAnsi="Times New Roman"/>
          <w:szCs w:val="24"/>
        </w:rPr>
        <w:t xml:space="preserve"> </w:t>
      </w:r>
      <w:r w:rsidR="002E28C6">
        <w:rPr>
          <w:rFonts w:ascii="Times New Roman" w:hAnsi="Times New Roman"/>
          <w:szCs w:val="24"/>
        </w:rPr>
        <w:br/>
      </w:r>
      <w:r w:rsidR="002E28C6">
        <w:rPr>
          <w:rFonts w:ascii="Times New Roman" w:hAnsi="Times New Roman"/>
          <w:szCs w:val="24"/>
        </w:rPr>
        <w:br/>
        <w:t>O</w:t>
      </w:r>
      <w:r w:rsidRPr="006A2BAD" w:rsidR="006A2BAD">
        <w:rPr>
          <w:rFonts w:ascii="Times New Roman" w:hAnsi="Times New Roman"/>
          <w:szCs w:val="24"/>
        </w:rPr>
        <w:t>n February 21, 2023, OSMRE published in the Federal Register (88 FR 10538)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923628" w14:paraId="6E02C8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923628" w14:paraId="7BDC12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9.</w:t>
      </w:r>
      <w:r>
        <w:rPr>
          <w:rFonts w:ascii="Times New Roman" w:hAnsi="Times New Roman"/>
          <w:b/>
          <w:i/>
          <w:szCs w:val="24"/>
        </w:rPr>
        <w:tab/>
        <w:t>Explain any decision to provide any payment or gift to respondents, other than remuneration of contractors or grantees.</w:t>
      </w:r>
    </w:p>
    <w:p w:rsidR="00923628" w14:paraId="44B1B9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713511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OSMRE does not provide payments or gifts to respondents beyond grant money authorized by Congress.</w:t>
      </w:r>
    </w:p>
    <w:p w:rsidR="00923628" w14:paraId="1BE1E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453FB6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10.</w:t>
      </w:r>
      <w:r>
        <w:rPr>
          <w:rFonts w:ascii="Times New Roman" w:hAnsi="Times New Roman"/>
          <w:b/>
          <w:i/>
          <w:szCs w:val="24"/>
        </w:rPr>
        <w:tab/>
        <w:t>Describe any assurance of confidentiality provided to respondents and the basis for the assurance in statute, regulation, or agency policy.</w:t>
      </w:r>
    </w:p>
    <w:p w:rsidR="00923628" w14:paraId="38428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rsidR="00923628" w14:paraId="6B22B8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No confidential information is solicited.</w:t>
      </w:r>
    </w:p>
    <w:p w:rsidR="00923628" w14:paraId="2E196B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rsidR="00923628" w14:paraId="2033F5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11.</w:t>
      </w:r>
      <w:r>
        <w:rPr>
          <w:rFonts w:ascii="Times New Roman" w:hAnsi="Times New Roman"/>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3628" w14:paraId="045570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5CD416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Sensitive questions are not asked.</w:t>
      </w:r>
    </w:p>
    <w:p w:rsidR="00923628" w14:paraId="4F6E0E4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4C274F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12.</w:t>
      </w:r>
      <w:r>
        <w:rPr>
          <w:rFonts w:ascii="Times New Roman" w:hAnsi="Times New Roman"/>
          <w:b/>
          <w:i/>
          <w:szCs w:val="24"/>
        </w:rPr>
        <w:tab/>
        <w:t xml:space="preserve">Provide estimates of the hour burden of the collection of information.  The statement </w:t>
      </w:r>
      <w:r>
        <w:rPr>
          <w:rFonts w:ascii="Times New Roman" w:hAnsi="Times New Roman"/>
          <w:b/>
          <w:i/>
          <w:szCs w:val="24"/>
        </w:rPr>
        <w:t>should:</w:t>
      </w:r>
    </w:p>
    <w:p w:rsidR="00923628" w14:paraId="1B183B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23628" w14:paraId="0BB6CF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If this request for approval covers more than one form, provide separate hour burden estimates for each form and aggregate the hour burdens.</w:t>
      </w:r>
    </w:p>
    <w:p w:rsidR="00923628" w14:paraId="7F3B2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3628" w14:paraId="1BB397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53D807C8" w14:textId="77777777">
      <w:pPr>
        <w:rPr>
          <w:rFonts w:ascii="Times New Roman" w:hAnsi="Times New Roman"/>
          <w:szCs w:val="24"/>
        </w:rPr>
      </w:pPr>
      <w:r>
        <w:rPr>
          <w:rFonts w:ascii="Times New Roman" w:hAnsi="Times New Roman"/>
          <w:szCs w:val="24"/>
        </w:rPr>
        <w:tab/>
      </w:r>
      <w:r>
        <w:rPr>
          <w:rFonts w:ascii="Times New Roman" w:hAnsi="Times New Roman"/>
          <w:szCs w:val="24"/>
          <w:u w:val="single"/>
        </w:rPr>
        <w:t>Reporting and Reviewing Burden</w:t>
      </w:r>
    </w:p>
    <w:p w:rsidR="00923628" w14:paraId="21AF75B3" w14:textId="77777777">
      <w:pPr>
        <w:rPr>
          <w:rFonts w:ascii="Times New Roman" w:hAnsi="Times New Roman"/>
          <w:szCs w:val="24"/>
        </w:rPr>
      </w:pPr>
    </w:p>
    <w:p w:rsidR="00923628" w14:paraId="63431909" w14:textId="77777777">
      <w:pPr>
        <w:numPr>
          <w:ilvl w:val="0"/>
          <w:numId w:val="2"/>
        </w:numPr>
        <w:tabs>
          <w:tab w:val="left" w:pos="-1440"/>
          <w:tab w:val="clear" w:pos="2160"/>
        </w:tabs>
        <w:ind w:left="1440"/>
        <w:rPr>
          <w:rFonts w:ascii="Times New Roman" w:hAnsi="Times New Roman"/>
          <w:szCs w:val="24"/>
          <w:u w:val="single"/>
        </w:rPr>
      </w:pPr>
      <w:r>
        <w:rPr>
          <w:rFonts w:ascii="Times New Roman" w:hAnsi="Times New Roman"/>
          <w:szCs w:val="24"/>
          <w:u w:val="single"/>
        </w:rPr>
        <w:t>Estimate of Burden to Respondents</w:t>
      </w:r>
    </w:p>
    <w:p w:rsidR="00923628" w14:paraId="20245346" w14:textId="77777777">
      <w:pPr>
        <w:tabs>
          <w:tab w:val="left" w:pos="-1440"/>
        </w:tabs>
        <w:ind w:left="1440"/>
        <w:rPr>
          <w:rFonts w:ascii="Times New Roman" w:hAnsi="Times New Roman"/>
          <w:szCs w:val="24"/>
          <w:u w:val="single"/>
        </w:rPr>
      </w:pPr>
    </w:p>
    <w:p w:rsidR="00923628" w14:paraId="2C9B7893" w14:textId="77777777">
      <w:pPr>
        <w:tabs>
          <w:tab w:val="left" w:pos="720"/>
        </w:tabs>
        <w:ind w:left="720"/>
        <w:rPr>
          <w:rFonts w:ascii="Times New Roman" w:hAnsi="Times New Roman"/>
          <w:szCs w:val="24"/>
        </w:rPr>
      </w:pPr>
      <w:r>
        <w:rPr>
          <w:rFonts w:ascii="Times New Roman" w:hAnsi="Times New Roman"/>
          <w:szCs w:val="24"/>
        </w:rPr>
        <w:t xml:space="preserve">Respondents are the State and Tribal regulatory authorities. The burden estimates include the time for reviewing instructions, searching existing data sources, gathering and maintaining the data needed, and completing and reviewing the collection of information.  Responses are required to obtain a benefit.  We estimate the total annual burden is </w:t>
      </w:r>
      <w:r>
        <w:rPr>
          <w:rFonts w:ascii="Times New Roman" w:hAnsi="Times New Roman"/>
          <w:color w:val="000000" w:themeColor="text1"/>
          <w:szCs w:val="24"/>
        </w:rPr>
        <w:t xml:space="preserve">4,405 </w:t>
      </w:r>
      <w:r>
        <w:rPr>
          <w:rFonts w:ascii="Times New Roman" w:hAnsi="Times New Roman"/>
          <w:szCs w:val="24"/>
        </w:rPr>
        <w:t xml:space="preserve">hours, a reduction of </w:t>
      </w:r>
      <w:r>
        <w:rPr>
          <w:rFonts w:ascii="Times New Roman" w:hAnsi="Times New Roman"/>
          <w:color w:val="000000" w:themeColor="text1"/>
          <w:szCs w:val="24"/>
        </w:rPr>
        <w:t>360</w:t>
      </w:r>
      <w:r>
        <w:rPr>
          <w:rFonts w:ascii="Times New Roman" w:hAnsi="Times New Roman"/>
          <w:szCs w:val="24"/>
        </w:rPr>
        <w:t xml:space="preserve"> hours due to adjustments.  The changes in respondent burden are adjustments based on information provided by respondents identified in item 8, above.  Refer to the table for a breakdown of the burdens. </w:t>
      </w:r>
    </w:p>
    <w:p w:rsidR="00F94F3C" w14:paraId="20CAF3B6" w14:textId="6DD36A7D">
      <w:pPr>
        <w:tabs>
          <w:tab w:val="left" w:pos="-1440"/>
        </w:tabs>
        <w:ind w:left="1440" w:hanging="720"/>
        <w:rPr>
          <w:rFonts w:ascii="Times New Roman" w:hAnsi="Times New Roman"/>
          <w:szCs w:val="24"/>
        </w:rPr>
      </w:pPr>
    </w:p>
    <w:p w:rsidR="00641C77" w14:paraId="7A3D7DD8" w14:textId="4774CA4F">
      <w:pPr>
        <w:tabs>
          <w:tab w:val="left" w:pos="-1440"/>
        </w:tabs>
        <w:ind w:left="1440" w:hanging="720"/>
        <w:rPr>
          <w:rFonts w:ascii="Times New Roman" w:hAnsi="Times New Roman"/>
          <w:snapToGrid/>
          <w:sz w:val="20"/>
        </w:rPr>
      </w:pPr>
      <w:r>
        <w:fldChar w:fldCharType="begin"/>
      </w:r>
      <w:r>
        <w:instrText xml:space="preserve"> LINK </w:instrText>
      </w:r>
      <w:r w:rsidR="00DE2BFF">
        <w:instrText xml:space="preserve">Excel.Sheet.12 "https://doimspp-my.sharepoint.com/personal/mgehlhar_osmre_gov/Documents/Documents/Work Plan 2023/ICR FY 2023/FY 2023 Renewals/ICR 1029-0024 Part 732/SSA/Check 732.xlsx" "Burden Hours!R16C18:R21C23" </w:instrText>
      </w:r>
      <w:r>
        <w:instrText xml:space="preserve">\a \f 4 \h </w:instrText>
      </w:r>
      <w:r>
        <w:fldChar w:fldCharType="separate"/>
      </w:r>
    </w:p>
    <w:tbl>
      <w:tblPr>
        <w:tblW w:w="9560" w:type="dxa"/>
        <w:tblInd w:w="108" w:type="dxa"/>
        <w:tblLook w:val="04A0"/>
      </w:tblPr>
      <w:tblGrid>
        <w:gridCol w:w="1920"/>
        <w:gridCol w:w="1480"/>
        <w:gridCol w:w="1340"/>
        <w:gridCol w:w="1620"/>
        <w:gridCol w:w="1180"/>
        <w:gridCol w:w="1540"/>
        <w:gridCol w:w="480"/>
      </w:tblGrid>
      <w:tr w14:paraId="675C7E1E" w14:textId="77777777" w:rsidTr="00641C77">
        <w:tblPrEx>
          <w:tblW w:w="9560" w:type="dxa"/>
          <w:tblInd w:w="108" w:type="dxa"/>
          <w:tblLook w:val="04A0"/>
        </w:tblPrEx>
        <w:trPr>
          <w:gridAfter w:val="1"/>
          <w:wAfter w:w="480" w:type="dxa"/>
          <w:trHeight w:val="310"/>
        </w:trPr>
        <w:tc>
          <w:tcPr>
            <w:tcW w:w="192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41C77" w:rsidRPr="00611B71" w:rsidP="00611B71" w14:paraId="4E3987EF" w14:textId="5921A17F">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Section</w:t>
            </w:r>
          </w:p>
        </w:tc>
        <w:tc>
          <w:tcPr>
            <w:tcW w:w="1480"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641C77" w:rsidRPr="00611B71" w:rsidP="00611B71" w14:paraId="1020BAB0" w14:textId="77777777">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Responses</w:t>
            </w:r>
          </w:p>
        </w:tc>
        <w:tc>
          <w:tcPr>
            <w:tcW w:w="1340"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641C77" w:rsidRPr="00611B71" w:rsidP="00611B71" w14:paraId="52A6A3C4" w14:textId="77777777">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 xml:space="preserve">Hours per Response </w:t>
            </w:r>
          </w:p>
        </w:tc>
        <w:tc>
          <w:tcPr>
            <w:tcW w:w="1620"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641C77" w:rsidRPr="00611B71" w:rsidP="00611B71" w14:paraId="5DE56806" w14:textId="77777777">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Total Hours Requested</w:t>
            </w:r>
          </w:p>
        </w:tc>
        <w:tc>
          <w:tcPr>
            <w:tcW w:w="1180"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641C77" w:rsidRPr="00611B71" w:rsidP="00611B71" w14:paraId="44D49581" w14:textId="77777777">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Current</w:t>
            </w:r>
          </w:p>
        </w:tc>
        <w:tc>
          <w:tcPr>
            <w:tcW w:w="1540" w:type="dxa"/>
            <w:vMerge w:val="restart"/>
            <w:tcBorders>
              <w:top w:val="double" w:sz="6" w:space="0" w:color="auto"/>
              <w:left w:val="single" w:sz="8" w:space="0" w:color="auto"/>
              <w:bottom w:val="single" w:sz="8" w:space="0" w:color="000000"/>
              <w:right w:val="double" w:sz="6" w:space="0" w:color="auto"/>
            </w:tcBorders>
            <w:shd w:val="clear" w:color="auto" w:fill="auto"/>
            <w:vAlign w:val="bottom"/>
            <w:hideMark/>
          </w:tcPr>
          <w:p w:rsidR="00641C77" w:rsidRPr="00611B71" w:rsidP="00611B71" w14:paraId="2A786236" w14:textId="77777777">
            <w:pPr>
              <w:widowControl/>
              <w:jc w:val="center"/>
              <w:rPr>
                <w:rFonts w:ascii="Times New Roman" w:hAnsi="Times New Roman"/>
                <w:b/>
                <w:bCs/>
                <w:snapToGrid/>
                <w:color w:val="000000"/>
                <w:szCs w:val="24"/>
              </w:rPr>
            </w:pPr>
            <w:r w:rsidRPr="00611B71">
              <w:rPr>
                <w:rFonts w:ascii="Times New Roman" w:hAnsi="Times New Roman"/>
                <w:b/>
                <w:bCs/>
                <w:snapToGrid/>
                <w:color w:val="000000"/>
                <w:szCs w:val="24"/>
              </w:rPr>
              <w:t>Difference</w:t>
            </w:r>
          </w:p>
        </w:tc>
      </w:tr>
      <w:tr w14:paraId="484017BB" w14:textId="77777777" w:rsidTr="00611B71">
        <w:tblPrEx>
          <w:tblW w:w="9560" w:type="dxa"/>
          <w:tblInd w:w="108" w:type="dxa"/>
          <w:tblLook w:val="04A0"/>
        </w:tblPrEx>
        <w:trPr>
          <w:trHeight w:val="310"/>
        </w:trPr>
        <w:tc>
          <w:tcPr>
            <w:tcW w:w="1920" w:type="dxa"/>
            <w:vMerge/>
            <w:tcBorders>
              <w:top w:val="double" w:sz="6" w:space="0" w:color="auto"/>
              <w:left w:val="double" w:sz="6" w:space="0" w:color="auto"/>
              <w:bottom w:val="single" w:sz="8" w:space="0" w:color="000000"/>
              <w:right w:val="single" w:sz="8" w:space="0" w:color="auto"/>
            </w:tcBorders>
            <w:vAlign w:val="center"/>
            <w:hideMark/>
          </w:tcPr>
          <w:p w:rsidR="00641C77" w:rsidRPr="00611B71" w:rsidP="00611B71" w14:paraId="625F3032" w14:textId="77777777">
            <w:pPr>
              <w:widowControl/>
              <w:rPr>
                <w:rFonts w:ascii="Times New Roman" w:hAnsi="Times New Roman"/>
                <w:b/>
                <w:bCs/>
                <w:snapToGrid/>
                <w:color w:val="000000"/>
                <w:szCs w:val="24"/>
              </w:rPr>
            </w:pPr>
          </w:p>
        </w:tc>
        <w:tc>
          <w:tcPr>
            <w:tcW w:w="1480" w:type="dxa"/>
            <w:vMerge/>
            <w:tcBorders>
              <w:top w:val="double" w:sz="6" w:space="0" w:color="auto"/>
              <w:left w:val="single" w:sz="8" w:space="0" w:color="auto"/>
              <w:bottom w:val="single" w:sz="8" w:space="0" w:color="000000"/>
              <w:right w:val="single" w:sz="8" w:space="0" w:color="auto"/>
            </w:tcBorders>
            <w:vAlign w:val="center"/>
            <w:hideMark/>
          </w:tcPr>
          <w:p w:rsidR="00641C77" w:rsidRPr="00611B71" w:rsidP="00611B71" w14:paraId="78C8CC32" w14:textId="77777777">
            <w:pPr>
              <w:widowControl/>
              <w:rPr>
                <w:rFonts w:ascii="Times New Roman" w:hAnsi="Times New Roman"/>
                <w:b/>
                <w:bCs/>
                <w:snapToGrid/>
                <w:color w:val="000000"/>
                <w:szCs w:val="24"/>
              </w:rPr>
            </w:pPr>
          </w:p>
        </w:tc>
        <w:tc>
          <w:tcPr>
            <w:tcW w:w="1340" w:type="dxa"/>
            <w:vMerge/>
            <w:tcBorders>
              <w:top w:val="double" w:sz="6" w:space="0" w:color="auto"/>
              <w:left w:val="single" w:sz="8" w:space="0" w:color="auto"/>
              <w:bottom w:val="single" w:sz="8" w:space="0" w:color="000000"/>
              <w:right w:val="single" w:sz="8" w:space="0" w:color="auto"/>
            </w:tcBorders>
            <w:vAlign w:val="center"/>
            <w:hideMark/>
          </w:tcPr>
          <w:p w:rsidR="00641C77" w:rsidRPr="00611B71" w:rsidP="00611B71" w14:paraId="4A4E98CB" w14:textId="77777777">
            <w:pPr>
              <w:widowControl/>
              <w:rPr>
                <w:rFonts w:ascii="Times New Roman" w:hAnsi="Times New Roman"/>
                <w:b/>
                <w:bCs/>
                <w:snapToGrid/>
                <w:color w:val="000000"/>
                <w:szCs w:val="24"/>
              </w:rPr>
            </w:pPr>
          </w:p>
        </w:tc>
        <w:tc>
          <w:tcPr>
            <w:tcW w:w="1620" w:type="dxa"/>
            <w:vMerge/>
            <w:tcBorders>
              <w:top w:val="double" w:sz="6" w:space="0" w:color="auto"/>
              <w:left w:val="single" w:sz="8" w:space="0" w:color="auto"/>
              <w:bottom w:val="single" w:sz="8" w:space="0" w:color="000000"/>
              <w:right w:val="single" w:sz="8" w:space="0" w:color="auto"/>
            </w:tcBorders>
            <w:vAlign w:val="center"/>
            <w:hideMark/>
          </w:tcPr>
          <w:p w:rsidR="00641C77" w:rsidRPr="00611B71" w:rsidP="00611B71" w14:paraId="44487CB0" w14:textId="77777777">
            <w:pPr>
              <w:widowControl/>
              <w:rPr>
                <w:rFonts w:ascii="Times New Roman" w:hAnsi="Times New Roman"/>
                <w:b/>
                <w:bCs/>
                <w:snapToGrid/>
                <w:color w:val="000000"/>
                <w:szCs w:val="24"/>
              </w:rPr>
            </w:pPr>
          </w:p>
        </w:tc>
        <w:tc>
          <w:tcPr>
            <w:tcW w:w="1180" w:type="dxa"/>
            <w:vMerge/>
            <w:tcBorders>
              <w:top w:val="double" w:sz="6" w:space="0" w:color="auto"/>
              <w:left w:val="single" w:sz="8" w:space="0" w:color="auto"/>
              <w:bottom w:val="single" w:sz="8" w:space="0" w:color="000000"/>
              <w:right w:val="single" w:sz="8" w:space="0" w:color="auto"/>
            </w:tcBorders>
            <w:vAlign w:val="center"/>
            <w:hideMark/>
          </w:tcPr>
          <w:p w:rsidR="00641C77" w:rsidRPr="00611B71" w:rsidP="00611B71" w14:paraId="2BE436B8" w14:textId="77777777">
            <w:pPr>
              <w:widowControl/>
              <w:rPr>
                <w:rFonts w:ascii="Times New Roman" w:hAnsi="Times New Roman"/>
                <w:b/>
                <w:bCs/>
                <w:snapToGrid/>
                <w:color w:val="000000"/>
                <w:szCs w:val="24"/>
              </w:rPr>
            </w:pPr>
          </w:p>
        </w:tc>
        <w:tc>
          <w:tcPr>
            <w:tcW w:w="1540" w:type="dxa"/>
            <w:vMerge/>
            <w:tcBorders>
              <w:top w:val="double" w:sz="6" w:space="0" w:color="auto"/>
              <w:left w:val="single" w:sz="8" w:space="0" w:color="auto"/>
              <w:bottom w:val="single" w:sz="8" w:space="0" w:color="000000"/>
              <w:right w:val="double" w:sz="6" w:space="0" w:color="auto"/>
            </w:tcBorders>
            <w:vAlign w:val="center"/>
            <w:hideMark/>
          </w:tcPr>
          <w:p w:rsidR="00641C77" w:rsidRPr="00611B71" w:rsidP="00611B71" w14:paraId="6D13EEF5" w14:textId="77777777">
            <w:pPr>
              <w:widowControl/>
              <w:rPr>
                <w:rFonts w:ascii="Times New Roman" w:hAnsi="Times New Roman"/>
                <w:b/>
                <w:bCs/>
                <w:snapToGrid/>
                <w:color w:val="000000"/>
                <w:szCs w:val="24"/>
              </w:rPr>
            </w:pPr>
          </w:p>
        </w:tc>
        <w:tc>
          <w:tcPr>
            <w:tcW w:w="480" w:type="dxa"/>
            <w:tcBorders>
              <w:top w:val="nil"/>
              <w:left w:val="nil"/>
              <w:bottom w:val="nil"/>
              <w:right w:val="nil"/>
            </w:tcBorders>
            <w:shd w:val="clear" w:color="auto" w:fill="auto"/>
            <w:noWrap/>
            <w:vAlign w:val="bottom"/>
            <w:hideMark/>
          </w:tcPr>
          <w:p w:rsidR="00641C77" w:rsidRPr="00611B71" w:rsidP="00611B71" w14:paraId="30C31D19" w14:textId="77777777">
            <w:pPr>
              <w:widowControl/>
              <w:jc w:val="center"/>
              <w:rPr>
                <w:rFonts w:ascii="Times New Roman" w:hAnsi="Times New Roman"/>
                <w:b/>
                <w:bCs/>
                <w:snapToGrid/>
                <w:color w:val="000000"/>
                <w:szCs w:val="24"/>
              </w:rPr>
            </w:pPr>
          </w:p>
        </w:tc>
      </w:tr>
      <w:tr w14:paraId="68B12557" w14:textId="77777777" w:rsidTr="00641C77">
        <w:tblPrEx>
          <w:tblW w:w="9560" w:type="dxa"/>
          <w:tblInd w:w="108" w:type="dxa"/>
          <w:tblLook w:val="04A0"/>
        </w:tblPrEx>
        <w:trPr>
          <w:trHeight w:val="630"/>
        </w:trPr>
        <w:tc>
          <w:tcPr>
            <w:tcW w:w="1920" w:type="dxa"/>
            <w:tcBorders>
              <w:top w:val="nil"/>
              <w:left w:val="double" w:sz="6" w:space="0" w:color="auto"/>
              <w:bottom w:val="dashed" w:sz="4" w:space="0" w:color="auto"/>
              <w:right w:val="dashed" w:sz="4" w:space="0" w:color="auto"/>
            </w:tcBorders>
            <w:shd w:val="clear" w:color="auto" w:fill="auto"/>
            <w:vAlign w:val="center"/>
            <w:hideMark/>
          </w:tcPr>
          <w:p w:rsidR="00641C77" w:rsidRPr="00611B71" w:rsidP="00611B71" w14:paraId="5DDB3DFE" w14:textId="77777777">
            <w:pPr>
              <w:widowControl/>
              <w:rPr>
                <w:rFonts w:ascii="Times New Roman" w:hAnsi="Times New Roman"/>
                <w:snapToGrid/>
                <w:color w:val="000000"/>
                <w:szCs w:val="24"/>
              </w:rPr>
            </w:pPr>
            <w:r w:rsidRPr="00611B71">
              <w:rPr>
                <w:rFonts w:ascii="Times New Roman" w:hAnsi="Times New Roman"/>
                <w:snapToGrid/>
                <w:color w:val="000000"/>
                <w:szCs w:val="24"/>
              </w:rPr>
              <w:t>732.16(a)</w:t>
            </w:r>
          </w:p>
        </w:tc>
        <w:tc>
          <w:tcPr>
            <w:tcW w:w="1480" w:type="dxa"/>
            <w:tcBorders>
              <w:top w:val="nil"/>
              <w:left w:val="nil"/>
              <w:bottom w:val="dashed" w:sz="4" w:space="0" w:color="auto"/>
              <w:right w:val="dashed" w:sz="4" w:space="0" w:color="auto"/>
            </w:tcBorders>
            <w:shd w:val="clear" w:color="auto" w:fill="auto"/>
            <w:vAlign w:val="center"/>
            <w:hideMark/>
          </w:tcPr>
          <w:p w:rsidR="00641C77" w:rsidRPr="00611B71" w:rsidP="00611B71" w14:paraId="3EE62A0A"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24</w:t>
            </w:r>
          </w:p>
        </w:tc>
        <w:tc>
          <w:tcPr>
            <w:tcW w:w="1340" w:type="dxa"/>
            <w:tcBorders>
              <w:top w:val="nil"/>
              <w:left w:val="nil"/>
              <w:bottom w:val="dashed" w:sz="4" w:space="0" w:color="auto"/>
              <w:right w:val="dashed" w:sz="4" w:space="0" w:color="auto"/>
            </w:tcBorders>
            <w:shd w:val="clear" w:color="auto" w:fill="auto"/>
            <w:vAlign w:val="center"/>
            <w:hideMark/>
          </w:tcPr>
          <w:p w:rsidR="00641C77" w:rsidRPr="00611B71" w:rsidP="00611B71" w14:paraId="1EE7A9A3"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120</w:t>
            </w:r>
          </w:p>
        </w:tc>
        <w:tc>
          <w:tcPr>
            <w:tcW w:w="1620" w:type="dxa"/>
            <w:tcBorders>
              <w:top w:val="nil"/>
              <w:left w:val="nil"/>
              <w:bottom w:val="dashed" w:sz="4" w:space="0" w:color="auto"/>
              <w:right w:val="dashed" w:sz="4" w:space="0" w:color="auto"/>
            </w:tcBorders>
            <w:shd w:val="clear" w:color="auto" w:fill="auto"/>
            <w:vAlign w:val="center"/>
            <w:hideMark/>
          </w:tcPr>
          <w:p w:rsidR="00641C77" w:rsidRPr="00611B71" w:rsidP="00611B71" w14:paraId="38638A30"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2,880</w:t>
            </w:r>
          </w:p>
        </w:tc>
        <w:tc>
          <w:tcPr>
            <w:tcW w:w="1180" w:type="dxa"/>
            <w:tcBorders>
              <w:top w:val="nil"/>
              <w:left w:val="nil"/>
              <w:bottom w:val="dashed" w:sz="4" w:space="0" w:color="auto"/>
              <w:right w:val="dashed" w:sz="4" w:space="0" w:color="auto"/>
            </w:tcBorders>
            <w:shd w:val="clear" w:color="auto" w:fill="auto"/>
            <w:vAlign w:val="center"/>
            <w:hideMark/>
          </w:tcPr>
          <w:p w:rsidR="00641C77" w:rsidRPr="00611B71" w:rsidP="00611B71" w14:paraId="5DB92136"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3,000</w:t>
            </w:r>
          </w:p>
        </w:tc>
        <w:tc>
          <w:tcPr>
            <w:tcW w:w="1540" w:type="dxa"/>
            <w:tcBorders>
              <w:top w:val="nil"/>
              <w:left w:val="nil"/>
              <w:bottom w:val="dashed" w:sz="4" w:space="0" w:color="auto"/>
              <w:right w:val="double" w:sz="6" w:space="0" w:color="auto"/>
            </w:tcBorders>
            <w:shd w:val="clear" w:color="auto" w:fill="auto"/>
            <w:vAlign w:val="center"/>
            <w:hideMark/>
          </w:tcPr>
          <w:p w:rsidR="00641C77" w:rsidRPr="00611B71" w:rsidP="00611B71" w14:paraId="223C034A"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-120</w:t>
            </w:r>
          </w:p>
        </w:tc>
        <w:tc>
          <w:tcPr>
            <w:tcW w:w="480" w:type="dxa"/>
            <w:vAlign w:val="center"/>
            <w:hideMark/>
          </w:tcPr>
          <w:p w:rsidR="00641C77" w:rsidRPr="00611B71" w:rsidP="00611B71" w14:paraId="7356EC38" w14:textId="77777777">
            <w:pPr>
              <w:widowControl/>
              <w:rPr>
                <w:rFonts w:ascii="Times New Roman" w:hAnsi="Times New Roman"/>
                <w:snapToGrid/>
                <w:sz w:val="20"/>
              </w:rPr>
            </w:pPr>
          </w:p>
        </w:tc>
      </w:tr>
      <w:tr w14:paraId="72B3E2AD" w14:textId="77777777" w:rsidTr="00641C77">
        <w:tblPrEx>
          <w:tblW w:w="9560" w:type="dxa"/>
          <w:tblInd w:w="108" w:type="dxa"/>
          <w:tblLook w:val="04A0"/>
        </w:tblPrEx>
        <w:trPr>
          <w:trHeight w:val="430"/>
        </w:trPr>
        <w:tc>
          <w:tcPr>
            <w:tcW w:w="1920" w:type="dxa"/>
            <w:tcBorders>
              <w:top w:val="nil"/>
              <w:left w:val="double" w:sz="6" w:space="0" w:color="auto"/>
              <w:bottom w:val="dashed" w:sz="4" w:space="0" w:color="auto"/>
              <w:right w:val="dashed" w:sz="4" w:space="0" w:color="auto"/>
            </w:tcBorders>
            <w:shd w:val="clear" w:color="auto" w:fill="auto"/>
            <w:vAlign w:val="center"/>
            <w:hideMark/>
          </w:tcPr>
          <w:p w:rsidR="00641C77" w:rsidRPr="00611B71" w:rsidP="00611B71" w14:paraId="6EF26454" w14:textId="77777777">
            <w:pPr>
              <w:widowControl/>
              <w:rPr>
                <w:rFonts w:ascii="Times New Roman" w:hAnsi="Times New Roman"/>
                <w:snapToGrid/>
                <w:color w:val="000000"/>
                <w:szCs w:val="24"/>
              </w:rPr>
            </w:pPr>
            <w:r w:rsidRPr="00611B71">
              <w:rPr>
                <w:rFonts w:ascii="Times New Roman" w:hAnsi="Times New Roman"/>
                <w:snapToGrid/>
                <w:color w:val="000000"/>
                <w:szCs w:val="24"/>
              </w:rPr>
              <w:t>732.17(b)</w:t>
            </w:r>
          </w:p>
        </w:tc>
        <w:tc>
          <w:tcPr>
            <w:tcW w:w="1480" w:type="dxa"/>
            <w:tcBorders>
              <w:top w:val="nil"/>
              <w:left w:val="nil"/>
              <w:bottom w:val="dashed" w:sz="4" w:space="0" w:color="auto"/>
              <w:right w:val="dashed" w:sz="4" w:space="0" w:color="auto"/>
            </w:tcBorders>
            <w:shd w:val="clear" w:color="auto" w:fill="auto"/>
            <w:vAlign w:val="center"/>
            <w:hideMark/>
          </w:tcPr>
          <w:p w:rsidR="00641C77" w:rsidRPr="00611B71" w:rsidP="00611B71" w14:paraId="63FFCFAB"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w:t>
            </w:r>
          </w:p>
        </w:tc>
        <w:tc>
          <w:tcPr>
            <w:tcW w:w="1340" w:type="dxa"/>
            <w:tcBorders>
              <w:top w:val="nil"/>
              <w:left w:val="nil"/>
              <w:bottom w:val="dashed" w:sz="4" w:space="0" w:color="auto"/>
              <w:right w:val="dashed" w:sz="4" w:space="0" w:color="auto"/>
            </w:tcBorders>
            <w:shd w:val="clear" w:color="auto" w:fill="auto"/>
            <w:vAlign w:val="center"/>
            <w:hideMark/>
          </w:tcPr>
          <w:p w:rsidR="00641C77" w:rsidRPr="00611B71" w:rsidP="00611B71" w14:paraId="67CEB55A"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5</w:t>
            </w:r>
          </w:p>
        </w:tc>
        <w:tc>
          <w:tcPr>
            <w:tcW w:w="1620" w:type="dxa"/>
            <w:tcBorders>
              <w:top w:val="nil"/>
              <w:left w:val="nil"/>
              <w:bottom w:val="dashed" w:sz="4" w:space="0" w:color="auto"/>
              <w:right w:val="dashed" w:sz="4" w:space="0" w:color="auto"/>
            </w:tcBorders>
            <w:shd w:val="clear" w:color="auto" w:fill="auto"/>
            <w:vAlign w:val="center"/>
            <w:hideMark/>
          </w:tcPr>
          <w:p w:rsidR="00641C77" w:rsidRPr="00611B71" w:rsidP="00611B71" w14:paraId="00101C8F"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5</w:t>
            </w:r>
          </w:p>
        </w:tc>
        <w:tc>
          <w:tcPr>
            <w:tcW w:w="1180" w:type="dxa"/>
            <w:tcBorders>
              <w:top w:val="nil"/>
              <w:left w:val="nil"/>
              <w:bottom w:val="dashed" w:sz="4" w:space="0" w:color="auto"/>
              <w:right w:val="dashed" w:sz="4" w:space="0" w:color="auto"/>
            </w:tcBorders>
            <w:shd w:val="clear" w:color="auto" w:fill="auto"/>
            <w:vAlign w:val="center"/>
            <w:hideMark/>
          </w:tcPr>
          <w:p w:rsidR="00641C77" w:rsidRPr="00611B71" w:rsidP="00611B71" w14:paraId="05244BC8"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5</w:t>
            </w:r>
          </w:p>
        </w:tc>
        <w:tc>
          <w:tcPr>
            <w:tcW w:w="1540" w:type="dxa"/>
            <w:tcBorders>
              <w:top w:val="nil"/>
              <w:left w:val="nil"/>
              <w:bottom w:val="dashed" w:sz="4" w:space="0" w:color="auto"/>
              <w:right w:val="double" w:sz="6" w:space="0" w:color="auto"/>
            </w:tcBorders>
            <w:shd w:val="clear" w:color="auto" w:fill="auto"/>
            <w:vAlign w:val="center"/>
            <w:hideMark/>
          </w:tcPr>
          <w:p w:rsidR="00641C77" w:rsidRPr="00611B71" w:rsidP="00611B71" w14:paraId="5C7BE31D"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0</w:t>
            </w:r>
          </w:p>
        </w:tc>
        <w:tc>
          <w:tcPr>
            <w:tcW w:w="480" w:type="dxa"/>
            <w:vAlign w:val="center"/>
            <w:hideMark/>
          </w:tcPr>
          <w:p w:rsidR="00641C77" w:rsidRPr="00611B71" w:rsidP="00611B71" w14:paraId="17C4C485" w14:textId="77777777">
            <w:pPr>
              <w:widowControl/>
              <w:rPr>
                <w:rFonts w:ascii="Times New Roman" w:hAnsi="Times New Roman"/>
                <w:snapToGrid/>
                <w:sz w:val="20"/>
              </w:rPr>
            </w:pPr>
          </w:p>
        </w:tc>
      </w:tr>
      <w:tr w14:paraId="5314A989" w14:textId="77777777" w:rsidTr="00641C77">
        <w:tblPrEx>
          <w:tblW w:w="9560" w:type="dxa"/>
          <w:tblInd w:w="108" w:type="dxa"/>
          <w:tblLook w:val="04A0"/>
        </w:tblPrEx>
        <w:trPr>
          <w:trHeight w:val="610"/>
        </w:trPr>
        <w:tc>
          <w:tcPr>
            <w:tcW w:w="1920" w:type="dxa"/>
            <w:tcBorders>
              <w:top w:val="nil"/>
              <w:left w:val="double" w:sz="6" w:space="0" w:color="auto"/>
              <w:bottom w:val="dashed" w:sz="4" w:space="0" w:color="auto"/>
              <w:right w:val="dashed" w:sz="4" w:space="0" w:color="auto"/>
            </w:tcBorders>
            <w:shd w:val="clear" w:color="auto" w:fill="auto"/>
            <w:vAlign w:val="center"/>
            <w:hideMark/>
          </w:tcPr>
          <w:p w:rsidR="00641C77" w:rsidRPr="00611B71" w:rsidP="00611B71" w14:paraId="7A0C082C" w14:textId="77777777">
            <w:pPr>
              <w:widowControl/>
              <w:rPr>
                <w:rFonts w:ascii="Times New Roman" w:hAnsi="Times New Roman"/>
                <w:snapToGrid/>
                <w:color w:val="000000"/>
                <w:szCs w:val="24"/>
              </w:rPr>
            </w:pPr>
            <w:r w:rsidRPr="00611B71">
              <w:rPr>
                <w:rFonts w:ascii="Times New Roman" w:hAnsi="Times New Roman"/>
                <w:snapToGrid/>
                <w:color w:val="000000"/>
                <w:szCs w:val="24"/>
              </w:rPr>
              <w:t>732.17(f) and (g)</w:t>
            </w:r>
          </w:p>
        </w:tc>
        <w:tc>
          <w:tcPr>
            <w:tcW w:w="1480" w:type="dxa"/>
            <w:tcBorders>
              <w:top w:val="nil"/>
              <w:left w:val="nil"/>
              <w:bottom w:val="dashed" w:sz="4" w:space="0" w:color="auto"/>
              <w:right w:val="dashed" w:sz="4" w:space="0" w:color="auto"/>
            </w:tcBorders>
            <w:shd w:val="clear" w:color="auto" w:fill="auto"/>
            <w:vAlign w:val="center"/>
            <w:hideMark/>
          </w:tcPr>
          <w:p w:rsidR="00641C77" w:rsidRPr="00611B71" w:rsidP="00611B71" w14:paraId="3AA26D9B"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4</w:t>
            </w:r>
          </w:p>
        </w:tc>
        <w:tc>
          <w:tcPr>
            <w:tcW w:w="1340" w:type="dxa"/>
            <w:tcBorders>
              <w:top w:val="nil"/>
              <w:left w:val="nil"/>
              <w:bottom w:val="dashed" w:sz="4" w:space="0" w:color="auto"/>
              <w:right w:val="dashed" w:sz="4" w:space="0" w:color="auto"/>
            </w:tcBorders>
            <w:shd w:val="clear" w:color="auto" w:fill="auto"/>
            <w:vAlign w:val="center"/>
            <w:hideMark/>
          </w:tcPr>
          <w:p w:rsidR="00641C77" w:rsidRPr="00611B71" w:rsidP="00611B71" w14:paraId="0453A343"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350</w:t>
            </w:r>
          </w:p>
        </w:tc>
        <w:tc>
          <w:tcPr>
            <w:tcW w:w="1620" w:type="dxa"/>
            <w:tcBorders>
              <w:top w:val="nil"/>
              <w:left w:val="nil"/>
              <w:bottom w:val="dashed" w:sz="4" w:space="0" w:color="auto"/>
              <w:right w:val="dashed" w:sz="4" w:space="0" w:color="auto"/>
            </w:tcBorders>
            <w:shd w:val="clear" w:color="auto" w:fill="auto"/>
            <w:vAlign w:val="center"/>
            <w:hideMark/>
          </w:tcPr>
          <w:p w:rsidR="00641C77" w:rsidRPr="00611B71" w:rsidP="00611B71" w14:paraId="17AAED8D"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1,400</w:t>
            </w:r>
          </w:p>
        </w:tc>
        <w:tc>
          <w:tcPr>
            <w:tcW w:w="1180" w:type="dxa"/>
            <w:tcBorders>
              <w:top w:val="nil"/>
              <w:left w:val="nil"/>
              <w:bottom w:val="dashed" w:sz="4" w:space="0" w:color="auto"/>
              <w:right w:val="dashed" w:sz="4" w:space="0" w:color="auto"/>
            </w:tcBorders>
            <w:shd w:val="clear" w:color="auto" w:fill="auto"/>
            <w:vAlign w:val="center"/>
            <w:hideMark/>
          </w:tcPr>
          <w:p w:rsidR="00641C77" w:rsidRPr="00611B71" w:rsidP="00611B71" w14:paraId="1367F425"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1,400</w:t>
            </w:r>
          </w:p>
        </w:tc>
        <w:tc>
          <w:tcPr>
            <w:tcW w:w="1540" w:type="dxa"/>
            <w:tcBorders>
              <w:top w:val="nil"/>
              <w:left w:val="nil"/>
              <w:bottom w:val="dashed" w:sz="4" w:space="0" w:color="auto"/>
              <w:right w:val="double" w:sz="6" w:space="0" w:color="auto"/>
            </w:tcBorders>
            <w:shd w:val="clear" w:color="auto" w:fill="auto"/>
            <w:vAlign w:val="center"/>
            <w:hideMark/>
          </w:tcPr>
          <w:p w:rsidR="00641C77" w:rsidRPr="00611B71" w:rsidP="00611B71" w14:paraId="160DF294"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0</w:t>
            </w:r>
          </w:p>
        </w:tc>
        <w:tc>
          <w:tcPr>
            <w:tcW w:w="480" w:type="dxa"/>
            <w:vAlign w:val="center"/>
            <w:hideMark/>
          </w:tcPr>
          <w:p w:rsidR="00641C77" w:rsidRPr="00611B71" w:rsidP="00611B71" w14:paraId="301FE804" w14:textId="77777777">
            <w:pPr>
              <w:widowControl/>
              <w:rPr>
                <w:rFonts w:ascii="Times New Roman" w:hAnsi="Times New Roman"/>
                <w:snapToGrid/>
                <w:sz w:val="20"/>
              </w:rPr>
            </w:pPr>
          </w:p>
        </w:tc>
      </w:tr>
      <w:tr w14:paraId="5A1B4014" w14:textId="77777777" w:rsidTr="00641C77">
        <w:tblPrEx>
          <w:tblW w:w="9560" w:type="dxa"/>
          <w:tblInd w:w="108" w:type="dxa"/>
          <w:tblLook w:val="04A0"/>
        </w:tblPrEx>
        <w:trPr>
          <w:trHeight w:val="320"/>
        </w:trPr>
        <w:tc>
          <w:tcPr>
            <w:tcW w:w="1920" w:type="dxa"/>
            <w:tcBorders>
              <w:top w:val="nil"/>
              <w:left w:val="double" w:sz="6" w:space="0" w:color="auto"/>
              <w:bottom w:val="double" w:sz="6" w:space="0" w:color="auto"/>
              <w:right w:val="dashed" w:sz="4" w:space="0" w:color="auto"/>
            </w:tcBorders>
            <w:shd w:val="clear" w:color="auto" w:fill="auto"/>
            <w:vAlign w:val="center"/>
            <w:hideMark/>
          </w:tcPr>
          <w:p w:rsidR="00641C77" w:rsidRPr="00611B71" w:rsidP="00611B71" w14:paraId="5AB8BC91" w14:textId="77777777">
            <w:pPr>
              <w:widowControl/>
              <w:rPr>
                <w:rFonts w:ascii="Times New Roman" w:hAnsi="Times New Roman"/>
                <w:snapToGrid/>
                <w:color w:val="000000"/>
                <w:szCs w:val="24"/>
              </w:rPr>
            </w:pPr>
            <w:r w:rsidRPr="00611B71">
              <w:rPr>
                <w:rFonts w:ascii="Times New Roman" w:hAnsi="Times New Roman"/>
                <w:snapToGrid/>
                <w:color w:val="000000"/>
                <w:szCs w:val="24"/>
              </w:rPr>
              <w:t>Total</w:t>
            </w:r>
          </w:p>
        </w:tc>
        <w:tc>
          <w:tcPr>
            <w:tcW w:w="1480" w:type="dxa"/>
            <w:tcBorders>
              <w:top w:val="nil"/>
              <w:left w:val="nil"/>
              <w:bottom w:val="double" w:sz="6" w:space="0" w:color="auto"/>
              <w:right w:val="dashed" w:sz="4" w:space="0" w:color="auto"/>
            </w:tcBorders>
            <w:shd w:val="clear" w:color="auto" w:fill="auto"/>
            <w:vAlign w:val="center"/>
            <w:hideMark/>
          </w:tcPr>
          <w:p w:rsidR="00641C77" w:rsidRPr="00611B71" w:rsidP="00611B71" w14:paraId="7C26F1AC"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29</w:t>
            </w:r>
          </w:p>
        </w:tc>
        <w:tc>
          <w:tcPr>
            <w:tcW w:w="1340" w:type="dxa"/>
            <w:tcBorders>
              <w:top w:val="nil"/>
              <w:left w:val="nil"/>
              <w:bottom w:val="double" w:sz="6" w:space="0" w:color="auto"/>
              <w:right w:val="dashed" w:sz="4" w:space="0" w:color="auto"/>
            </w:tcBorders>
            <w:shd w:val="clear" w:color="auto" w:fill="auto"/>
            <w:vAlign w:val="center"/>
            <w:hideMark/>
          </w:tcPr>
          <w:p w:rsidR="00641C77" w:rsidRPr="00611B71" w:rsidP="00611B71" w14:paraId="7D123C02"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 </w:t>
            </w:r>
          </w:p>
        </w:tc>
        <w:tc>
          <w:tcPr>
            <w:tcW w:w="1620" w:type="dxa"/>
            <w:tcBorders>
              <w:top w:val="nil"/>
              <w:left w:val="nil"/>
              <w:bottom w:val="double" w:sz="6" w:space="0" w:color="auto"/>
              <w:right w:val="dashed" w:sz="4" w:space="0" w:color="auto"/>
            </w:tcBorders>
            <w:shd w:val="clear" w:color="auto" w:fill="auto"/>
            <w:vAlign w:val="center"/>
            <w:hideMark/>
          </w:tcPr>
          <w:p w:rsidR="00641C77" w:rsidRPr="00611B71" w:rsidP="00611B71" w14:paraId="3F95018D"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4,285</w:t>
            </w:r>
          </w:p>
        </w:tc>
        <w:tc>
          <w:tcPr>
            <w:tcW w:w="1180" w:type="dxa"/>
            <w:tcBorders>
              <w:top w:val="nil"/>
              <w:left w:val="nil"/>
              <w:bottom w:val="double" w:sz="6" w:space="0" w:color="auto"/>
              <w:right w:val="dashed" w:sz="4" w:space="0" w:color="auto"/>
            </w:tcBorders>
            <w:shd w:val="clear" w:color="auto" w:fill="auto"/>
            <w:vAlign w:val="center"/>
            <w:hideMark/>
          </w:tcPr>
          <w:p w:rsidR="00641C77" w:rsidRPr="00611B71" w:rsidP="00611B71" w14:paraId="52695C8E"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4,405</w:t>
            </w:r>
          </w:p>
        </w:tc>
        <w:tc>
          <w:tcPr>
            <w:tcW w:w="1540" w:type="dxa"/>
            <w:tcBorders>
              <w:top w:val="nil"/>
              <w:left w:val="nil"/>
              <w:bottom w:val="double" w:sz="6" w:space="0" w:color="auto"/>
              <w:right w:val="double" w:sz="6" w:space="0" w:color="auto"/>
            </w:tcBorders>
            <w:shd w:val="clear" w:color="auto" w:fill="auto"/>
            <w:vAlign w:val="center"/>
            <w:hideMark/>
          </w:tcPr>
          <w:p w:rsidR="00641C77" w:rsidRPr="00611B71" w:rsidP="00611B71" w14:paraId="2F10A7BA" w14:textId="77777777">
            <w:pPr>
              <w:widowControl/>
              <w:jc w:val="center"/>
              <w:rPr>
                <w:rFonts w:ascii="Times New Roman" w:hAnsi="Times New Roman"/>
                <w:snapToGrid/>
                <w:color w:val="000000"/>
                <w:szCs w:val="24"/>
              </w:rPr>
            </w:pPr>
            <w:r w:rsidRPr="00611B71">
              <w:rPr>
                <w:rFonts w:ascii="Times New Roman" w:hAnsi="Times New Roman"/>
                <w:snapToGrid/>
                <w:color w:val="000000"/>
                <w:szCs w:val="24"/>
              </w:rPr>
              <w:t>-120</w:t>
            </w:r>
          </w:p>
        </w:tc>
        <w:tc>
          <w:tcPr>
            <w:tcW w:w="480" w:type="dxa"/>
            <w:vAlign w:val="center"/>
            <w:hideMark/>
          </w:tcPr>
          <w:p w:rsidR="00641C77" w:rsidRPr="00611B71" w:rsidP="00611B71" w14:paraId="2CFF52E1" w14:textId="77777777">
            <w:pPr>
              <w:widowControl/>
              <w:rPr>
                <w:rFonts w:ascii="Times New Roman" w:hAnsi="Times New Roman"/>
                <w:snapToGrid/>
                <w:sz w:val="20"/>
              </w:rPr>
            </w:pPr>
          </w:p>
        </w:tc>
      </w:tr>
    </w:tbl>
    <w:p w:rsidR="00923628" w14:paraId="11D556F8" w14:textId="438DDF5C">
      <w:pPr>
        <w:tabs>
          <w:tab w:val="left" w:pos="-1440"/>
        </w:tabs>
        <w:ind w:left="1440" w:hanging="720"/>
        <w:rPr>
          <w:rFonts w:ascii="Times New Roman" w:hAnsi="Times New Roman"/>
          <w:szCs w:val="24"/>
        </w:rPr>
      </w:pPr>
      <w:r>
        <w:rPr>
          <w:rFonts w:ascii="Times New Roman" w:hAnsi="Times New Roman"/>
          <w:szCs w:val="24"/>
        </w:rPr>
        <w:fldChar w:fldCharType="end"/>
      </w:r>
    </w:p>
    <w:p w:rsidR="00923628" w14:paraId="40762D54" w14:textId="77777777">
      <w:pPr>
        <w:tabs>
          <w:tab w:val="left" w:pos="-1440"/>
        </w:tabs>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Estimate of Wage Cost to the Respondents</w:t>
      </w:r>
    </w:p>
    <w:p w:rsidR="00923628" w14:paraId="10B5C310" w14:textId="77777777">
      <w:pPr>
        <w:rPr>
          <w:rFonts w:ascii="Times New Roman" w:hAnsi="Times New Roman"/>
          <w:szCs w:val="24"/>
        </w:rPr>
      </w:pPr>
    </w:p>
    <w:p w:rsidR="00866C51" w:rsidP="00866C51" w14:paraId="59469176" w14:textId="69903449">
      <w:pPr>
        <w:ind w:left="720"/>
        <w:rPr>
          <w:rFonts w:ascii="Times New Roman" w:hAnsi="Times New Roman"/>
          <w:szCs w:val="24"/>
        </w:rPr>
      </w:pPr>
      <w:r>
        <w:rPr>
          <w:rFonts w:ascii="Times New Roman" w:hAnsi="Times New Roman"/>
          <w:szCs w:val="24"/>
        </w:rPr>
        <w:t>E</w:t>
      </w:r>
      <w:r w:rsidR="008332E5">
        <w:rPr>
          <w:rFonts w:ascii="Times New Roman" w:hAnsi="Times New Roman"/>
          <w:szCs w:val="24"/>
        </w:rPr>
        <w:t xml:space="preserve">stimates </w:t>
      </w:r>
      <w:r>
        <w:rPr>
          <w:rFonts w:ascii="Times New Roman" w:hAnsi="Times New Roman"/>
          <w:szCs w:val="24"/>
        </w:rPr>
        <w:t>for stat</w:t>
      </w:r>
      <w:r w:rsidR="00222082">
        <w:rPr>
          <w:rFonts w:ascii="Times New Roman" w:hAnsi="Times New Roman"/>
          <w:szCs w:val="24"/>
        </w:rPr>
        <w:t xml:space="preserve">e wage cost are represented using </w:t>
      </w:r>
      <w:r w:rsidR="00100D06">
        <w:rPr>
          <w:rFonts w:ascii="Times New Roman" w:hAnsi="Times New Roman"/>
          <w:szCs w:val="24"/>
        </w:rPr>
        <w:t xml:space="preserve">an average hourly cost from </w:t>
      </w:r>
      <w:r w:rsidR="00222082">
        <w:rPr>
          <w:rFonts w:ascii="Times New Roman" w:hAnsi="Times New Roman"/>
          <w:szCs w:val="24"/>
        </w:rPr>
        <w:t xml:space="preserve">three </w:t>
      </w:r>
      <w:r w:rsidR="00100D06">
        <w:rPr>
          <w:rFonts w:ascii="Times New Roman" w:hAnsi="Times New Roman"/>
          <w:szCs w:val="24"/>
        </w:rPr>
        <w:t>occupational categories</w:t>
      </w:r>
      <w:r w:rsidR="00BA7100">
        <w:rPr>
          <w:rFonts w:ascii="Times New Roman" w:hAnsi="Times New Roman"/>
          <w:szCs w:val="24"/>
        </w:rPr>
        <w:t>:</w:t>
      </w:r>
      <w:r w:rsidR="00100D06">
        <w:rPr>
          <w:rFonts w:ascii="Times New Roman" w:hAnsi="Times New Roman"/>
          <w:szCs w:val="24"/>
        </w:rPr>
        <w:t xml:space="preserve"> </w:t>
      </w:r>
      <w:r w:rsidR="008332E5">
        <w:rPr>
          <w:rFonts w:ascii="Times New Roman" w:hAnsi="Times New Roman"/>
          <w:szCs w:val="24"/>
        </w:rPr>
        <w:t xml:space="preserve">administrative support, physical scientist, and </w:t>
      </w:r>
      <w:r w:rsidR="00B67D41">
        <w:rPr>
          <w:rFonts w:ascii="Times New Roman" w:hAnsi="Times New Roman"/>
          <w:szCs w:val="24"/>
        </w:rPr>
        <w:t xml:space="preserve">operation </w:t>
      </w:r>
      <w:r w:rsidR="008332E5">
        <w:rPr>
          <w:rFonts w:ascii="Times New Roman" w:hAnsi="Times New Roman"/>
          <w:szCs w:val="24"/>
        </w:rPr>
        <w:t xml:space="preserve">manager </w:t>
      </w:r>
      <w:r w:rsidR="005B0F6A">
        <w:rPr>
          <w:rFonts w:ascii="Times New Roman" w:hAnsi="Times New Roman"/>
          <w:szCs w:val="24"/>
        </w:rPr>
        <w:t xml:space="preserve">for the </w:t>
      </w:r>
      <w:r w:rsidR="008332E5">
        <w:rPr>
          <w:rFonts w:ascii="Times New Roman" w:hAnsi="Times New Roman"/>
          <w:szCs w:val="24"/>
        </w:rPr>
        <w:t xml:space="preserve">State regulatory authority </w:t>
      </w:r>
      <w:r w:rsidR="005B0F6A">
        <w:rPr>
          <w:rFonts w:ascii="Times New Roman" w:hAnsi="Times New Roman"/>
          <w:szCs w:val="24"/>
        </w:rPr>
        <w:t xml:space="preserve">to </w:t>
      </w:r>
      <w:r w:rsidR="008332E5">
        <w:rPr>
          <w:rFonts w:ascii="Times New Roman" w:hAnsi="Times New Roman"/>
          <w:szCs w:val="24"/>
        </w:rPr>
        <w:t>prepare reports</w:t>
      </w:r>
      <w:r w:rsidR="004A6FE0">
        <w:rPr>
          <w:rFonts w:ascii="Times New Roman" w:hAnsi="Times New Roman"/>
          <w:szCs w:val="24"/>
        </w:rPr>
        <w:t xml:space="preserve"> upload in the electronic </w:t>
      </w:r>
      <w:r w:rsidR="005D43B7">
        <w:rPr>
          <w:rFonts w:ascii="Times New Roman" w:hAnsi="Times New Roman"/>
          <w:szCs w:val="24"/>
        </w:rPr>
        <w:t>data system for approval.</w:t>
      </w:r>
      <w:r w:rsidR="008332E5">
        <w:rPr>
          <w:rFonts w:ascii="Times New Roman" w:hAnsi="Times New Roman"/>
          <w:szCs w:val="24"/>
        </w:rPr>
        <w:t xml:space="preserve"> </w:t>
      </w:r>
      <w:r w:rsidR="004767B4">
        <w:rPr>
          <w:rFonts w:ascii="Times New Roman" w:hAnsi="Times New Roman"/>
          <w:szCs w:val="24"/>
        </w:rPr>
        <w:t>E</w:t>
      </w:r>
      <w:r w:rsidRPr="00866C51">
        <w:rPr>
          <w:rFonts w:ascii="Times New Roman" w:hAnsi="Times New Roman"/>
          <w:szCs w:val="24"/>
        </w:rPr>
        <w:t xml:space="preserve">stimated wage costs for State regulatory employees </w:t>
      </w:r>
      <w:r w:rsidR="004767B4">
        <w:rPr>
          <w:rFonts w:ascii="Times New Roman" w:hAnsi="Times New Roman"/>
          <w:szCs w:val="24"/>
        </w:rPr>
        <w:t xml:space="preserve">is </w:t>
      </w:r>
      <w:r w:rsidRPr="00866C51">
        <w:rPr>
          <w:rFonts w:ascii="Times New Roman" w:hAnsi="Times New Roman"/>
          <w:szCs w:val="24"/>
        </w:rPr>
        <w:t xml:space="preserve">from </w:t>
      </w:r>
      <w:r>
        <w:rPr>
          <w:rFonts w:ascii="Times New Roman" w:hAnsi="Times New Roman"/>
          <w:szCs w:val="24"/>
        </w:rPr>
        <w:t xml:space="preserve">BLS </w:t>
      </w:r>
      <w:r w:rsidR="004767B4">
        <w:rPr>
          <w:rFonts w:ascii="Times New Roman" w:hAnsi="Times New Roman"/>
          <w:szCs w:val="24"/>
        </w:rPr>
        <w:t>occupational found at</w:t>
      </w:r>
      <w:r>
        <w:rPr>
          <w:rFonts w:ascii="Times New Roman" w:hAnsi="Times New Roman"/>
          <w:szCs w:val="24"/>
        </w:rPr>
        <w:t xml:space="preserve">: </w:t>
      </w:r>
      <w:hyperlink r:id="rId5" w:history="1">
        <w:r w:rsidRPr="0088241C" w:rsidR="0023135E">
          <w:rPr>
            <w:rStyle w:val="Hyperlink"/>
            <w:rFonts w:ascii="Times New Roman" w:hAnsi="Times New Roman"/>
            <w:szCs w:val="24"/>
          </w:rPr>
          <w:t>https://www.bls.gov/oes/current/naics4_999200.htm</w:t>
        </w:r>
      </w:hyperlink>
      <w:r w:rsidR="0023135E">
        <w:rPr>
          <w:rFonts w:ascii="Times New Roman" w:hAnsi="Times New Roman"/>
          <w:szCs w:val="24"/>
        </w:rPr>
        <w:t>.   The b</w:t>
      </w:r>
      <w:r w:rsidRPr="00866C51">
        <w:rPr>
          <w:rFonts w:ascii="Times New Roman" w:hAnsi="Times New Roman"/>
          <w:szCs w:val="24"/>
        </w:rPr>
        <w:t xml:space="preserve">enefit rate </w:t>
      </w:r>
      <w:r w:rsidR="00322DB5">
        <w:rPr>
          <w:rFonts w:ascii="Times New Roman" w:hAnsi="Times New Roman"/>
          <w:szCs w:val="24"/>
        </w:rPr>
        <w:t xml:space="preserve">of </w:t>
      </w:r>
      <w:r w:rsidRPr="00866C51">
        <w:rPr>
          <w:rFonts w:ascii="Times New Roman" w:hAnsi="Times New Roman"/>
          <w:szCs w:val="24"/>
        </w:rPr>
        <w:t xml:space="preserve">1.6 </w:t>
      </w:r>
      <w:r w:rsidR="001859FC">
        <w:rPr>
          <w:rFonts w:ascii="Times New Roman" w:hAnsi="Times New Roman"/>
          <w:szCs w:val="24"/>
        </w:rPr>
        <w:t xml:space="preserve">is used </w:t>
      </w:r>
      <w:r w:rsidRPr="00866C51">
        <w:rPr>
          <w:rFonts w:ascii="Times New Roman" w:hAnsi="Times New Roman"/>
          <w:szCs w:val="24"/>
        </w:rPr>
        <w:t xml:space="preserve">for State employees </w:t>
      </w:r>
      <w:r w:rsidR="00272680">
        <w:rPr>
          <w:rFonts w:ascii="Times New Roman" w:hAnsi="Times New Roman"/>
          <w:szCs w:val="24"/>
        </w:rPr>
        <w:t xml:space="preserve">according to </w:t>
      </w:r>
      <w:r w:rsidRPr="00866C51">
        <w:rPr>
          <w:rFonts w:ascii="Times New Roman" w:hAnsi="Times New Roman"/>
          <w:szCs w:val="24"/>
        </w:rPr>
        <w:t>BLS news release USDL-23-0488, EMPLOYER COSTS FOR EMPLOYEE COMPENSATION—December 2022, dated March 17, 2023 (http://www.bls.gov/news.release/pdf/ecec.pdf).</w:t>
      </w:r>
    </w:p>
    <w:p w:rsidR="00866C51" w14:paraId="03AA6896" w14:textId="408D268E">
      <w:pPr>
        <w:ind w:left="720"/>
        <w:rPr>
          <w:rFonts w:ascii="Times New Roman" w:hAnsi="Times New Roman"/>
          <w:szCs w:val="24"/>
        </w:rPr>
      </w:pPr>
    </w:p>
    <w:p w:rsidR="008F7A9D" w14:paraId="629B9C6A" w14:textId="4481C73B">
      <w:pPr>
        <w:pStyle w:val="BodyTextIndent"/>
        <w:ind w:hanging="720"/>
        <w:jc w:val="center"/>
      </w:pPr>
      <w:r>
        <w:t xml:space="preserve">Hourly </w:t>
      </w:r>
      <w:r w:rsidR="008332E5">
        <w:t>State Wage Cost</w:t>
      </w:r>
      <w:r>
        <w:t xml:space="preserve"> by Occupation </w:t>
      </w:r>
    </w:p>
    <w:tbl>
      <w:tblPr>
        <w:tblW w:w="8420" w:type="dxa"/>
        <w:tblInd w:w="131" w:type="dxa"/>
        <w:tblLook w:val="04A0"/>
      </w:tblPr>
      <w:tblGrid>
        <w:gridCol w:w="1940"/>
        <w:gridCol w:w="1140"/>
        <w:gridCol w:w="2260"/>
        <w:gridCol w:w="1140"/>
        <w:gridCol w:w="1940"/>
      </w:tblGrid>
      <w:tr w14:paraId="64770539" w14:textId="77777777" w:rsidTr="008F7A9D">
        <w:tblPrEx>
          <w:tblW w:w="8420" w:type="dxa"/>
          <w:tblInd w:w="131" w:type="dxa"/>
          <w:tblLook w:val="04A0"/>
        </w:tblPrEx>
        <w:trPr>
          <w:trHeight w:val="950"/>
        </w:trPr>
        <w:tc>
          <w:tcPr>
            <w:tcW w:w="1940" w:type="dxa"/>
            <w:tcBorders>
              <w:top w:val="double" w:sz="6" w:space="0" w:color="auto"/>
              <w:left w:val="double" w:sz="6" w:space="0" w:color="auto"/>
              <w:bottom w:val="single" w:sz="8" w:space="0" w:color="auto"/>
              <w:right w:val="single" w:sz="8" w:space="0" w:color="auto"/>
            </w:tcBorders>
            <w:shd w:val="clear" w:color="auto" w:fill="auto"/>
            <w:vAlign w:val="center"/>
            <w:hideMark/>
          </w:tcPr>
          <w:p w:rsidR="008F7A9D" w:rsidRPr="008F7A9D" w:rsidP="008F7A9D" w14:paraId="12C35494"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Position</w:t>
            </w:r>
          </w:p>
        </w:tc>
        <w:tc>
          <w:tcPr>
            <w:tcW w:w="1140" w:type="dxa"/>
            <w:tcBorders>
              <w:top w:val="double" w:sz="6" w:space="0" w:color="auto"/>
              <w:left w:val="nil"/>
              <w:bottom w:val="single" w:sz="8" w:space="0" w:color="auto"/>
              <w:right w:val="single" w:sz="8" w:space="0" w:color="auto"/>
            </w:tcBorders>
            <w:shd w:val="clear" w:color="auto" w:fill="auto"/>
            <w:vAlign w:val="center"/>
            <w:hideMark/>
          </w:tcPr>
          <w:p w:rsidR="008F7A9D" w:rsidRPr="008F7A9D" w:rsidP="008F7A9D" w14:paraId="6A906E28"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Cost per hour ($)</w:t>
            </w:r>
          </w:p>
        </w:tc>
        <w:tc>
          <w:tcPr>
            <w:tcW w:w="2260" w:type="dxa"/>
            <w:tcBorders>
              <w:top w:val="double" w:sz="6" w:space="0" w:color="auto"/>
              <w:left w:val="nil"/>
              <w:bottom w:val="single" w:sz="8" w:space="0" w:color="auto"/>
              <w:right w:val="single" w:sz="8" w:space="0" w:color="auto"/>
            </w:tcBorders>
            <w:shd w:val="clear" w:color="auto" w:fill="auto"/>
            <w:vAlign w:val="center"/>
            <w:hideMark/>
          </w:tcPr>
          <w:p w:rsidR="008F7A9D" w:rsidRPr="008F7A9D" w:rsidP="008F7A9D" w14:paraId="41DEDDCE"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 xml:space="preserve">Hourly Rate with Benefits (x </w:t>
            </w:r>
            <w:r w:rsidRPr="008F7A9D">
              <w:rPr>
                <w:rFonts w:ascii="Times New Roman" w:hAnsi="Times New Roman"/>
                <w:snapToGrid/>
                <w:color w:val="000000"/>
                <w:szCs w:val="24"/>
              </w:rPr>
              <w:t>1.6)(</w:t>
            </w:r>
            <w:r w:rsidRPr="008F7A9D">
              <w:rPr>
                <w:rFonts w:ascii="Times New Roman" w:hAnsi="Times New Roman"/>
                <w:snapToGrid/>
                <w:color w:val="000000"/>
                <w:szCs w:val="24"/>
              </w:rPr>
              <w:t>$)</w:t>
            </w:r>
          </w:p>
        </w:tc>
        <w:tc>
          <w:tcPr>
            <w:tcW w:w="1140" w:type="dxa"/>
            <w:tcBorders>
              <w:top w:val="double" w:sz="6" w:space="0" w:color="auto"/>
              <w:left w:val="nil"/>
              <w:bottom w:val="single" w:sz="8" w:space="0" w:color="auto"/>
              <w:right w:val="single" w:sz="8" w:space="0" w:color="auto"/>
            </w:tcBorders>
            <w:shd w:val="clear" w:color="auto" w:fill="auto"/>
            <w:vAlign w:val="center"/>
            <w:hideMark/>
          </w:tcPr>
          <w:p w:rsidR="008F7A9D" w:rsidRPr="008F7A9D" w:rsidP="008F7A9D" w14:paraId="1DF0098B"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 xml:space="preserve">Wage cost share </w:t>
            </w:r>
          </w:p>
        </w:tc>
        <w:tc>
          <w:tcPr>
            <w:tcW w:w="1940" w:type="dxa"/>
            <w:tcBorders>
              <w:top w:val="double" w:sz="6" w:space="0" w:color="auto"/>
              <w:left w:val="nil"/>
              <w:bottom w:val="single" w:sz="8" w:space="0" w:color="auto"/>
              <w:right w:val="double" w:sz="6" w:space="0" w:color="auto"/>
            </w:tcBorders>
            <w:shd w:val="clear" w:color="auto" w:fill="auto"/>
            <w:vAlign w:val="center"/>
            <w:hideMark/>
          </w:tcPr>
          <w:p w:rsidR="008F7A9D" w:rsidRPr="008F7A9D" w:rsidP="008F7A9D" w14:paraId="1CAAEDF1"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Weighted-average</w:t>
            </w:r>
            <w:r w:rsidRPr="008F7A9D">
              <w:rPr>
                <w:rFonts w:ascii="Times New Roman" w:hAnsi="Times New Roman"/>
                <w:snapToGrid/>
                <w:color w:val="000000"/>
                <w:szCs w:val="24"/>
              </w:rPr>
              <w:t xml:space="preserve"> per hour</w:t>
            </w:r>
          </w:p>
        </w:tc>
      </w:tr>
      <w:tr w14:paraId="49A50AFF" w14:textId="77777777" w:rsidTr="008F7A9D">
        <w:tblPrEx>
          <w:tblW w:w="8420" w:type="dxa"/>
          <w:tblInd w:w="131" w:type="dxa"/>
          <w:tblLook w:val="04A0"/>
        </w:tblPrEx>
        <w:trPr>
          <w:trHeight w:val="320"/>
        </w:trPr>
        <w:tc>
          <w:tcPr>
            <w:tcW w:w="1940" w:type="dxa"/>
            <w:tcBorders>
              <w:top w:val="nil"/>
              <w:left w:val="double" w:sz="6" w:space="0" w:color="auto"/>
              <w:bottom w:val="single" w:sz="8" w:space="0" w:color="auto"/>
              <w:right w:val="single" w:sz="8" w:space="0" w:color="auto"/>
            </w:tcBorders>
            <w:shd w:val="clear" w:color="auto" w:fill="auto"/>
            <w:vAlign w:val="center"/>
            <w:hideMark/>
          </w:tcPr>
          <w:p w:rsidR="008F7A9D" w:rsidRPr="008F7A9D" w:rsidP="008F7A9D" w14:paraId="45105145" w14:textId="77777777">
            <w:pPr>
              <w:widowControl/>
              <w:rPr>
                <w:rFonts w:ascii="Times New Roman" w:hAnsi="Times New Roman"/>
                <w:snapToGrid/>
                <w:color w:val="000000"/>
                <w:szCs w:val="24"/>
              </w:rPr>
            </w:pPr>
            <w:r w:rsidRPr="008F7A9D">
              <w:rPr>
                <w:rFonts w:ascii="Times New Roman" w:hAnsi="Times New Roman"/>
                <w:snapToGrid/>
                <w:color w:val="000000"/>
                <w:szCs w:val="24"/>
              </w:rPr>
              <w:t>Administrative</w:t>
            </w:r>
          </w:p>
        </w:tc>
        <w:tc>
          <w:tcPr>
            <w:tcW w:w="1140" w:type="dxa"/>
            <w:tcBorders>
              <w:top w:val="nil"/>
              <w:left w:val="nil"/>
              <w:bottom w:val="dashed" w:sz="4" w:space="0" w:color="auto"/>
              <w:right w:val="dashed" w:sz="4" w:space="0" w:color="auto"/>
            </w:tcBorders>
            <w:shd w:val="clear" w:color="auto" w:fill="auto"/>
            <w:vAlign w:val="center"/>
            <w:hideMark/>
          </w:tcPr>
          <w:p w:rsidR="008F7A9D" w:rsidRPr="008F7A9D" w:rsidP="008F7A9D" w14:paraId="1E0A9DAF"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22.40</w:t>
            </w:r>
          </w:p>
        </w:tc>
        <w:tc>
          <w:tcPr>
            <w:tcW w:w="2260" w:type="dxa"/>
            <w:tcBorders>
              <w:top w:val="nil"/>
              <w:left w:val="nil"/>
              <w:bottom w:val="dashed" w:sz="4" w:space="0" w:color="auto"/>
              <w:right w:val="dashed" w:sz="4" w:space="0" w:color="auto"/>
            </w:tcBorders>
            <w:shd w:val="clear" w:color="auto" w:fill="auto"/>
            <w:vAlign w:val="center"/>
            <w:hideMark/>
          </w:tcPr>
          <w:p w:rsidR="008F7A9D" w:rsidRPr="008F7A9D" w:rsidP="008F7A9D" w14:paraId="184FFF58"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35.84</w:t>
            </w:r>
          </w:p>
        </w:tc>
        <w:tc>
          <w:tcPr>
            <w:tcW w:w="1140" w:type="dxa"/>
            <w:tcBorders>
              <w:top w:val="nil"/>
              <w:left w:val="nil"/>
              <w:bottom w:val="dashed" w:sz="4" w:space="0" w:color="auto"/>
              <w:right w:val="dashed" w:sz="4" w:space="0" w:color="auto"/>
            </w:tcBorders>
            <w:shd w:val="clear" w:color="auto" w:fill="auto"/>
            <w:vAlign w:val="center"/>
            <w:hideMark/>
          </w:tcPr>
          <w:p w:rsidR="008F7A9D" w:rsidRPr="008F7A9D" w:rsidP="008F7A9D" w14:paraId="5003925C"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10%</w:t>
            </w:r>
          </w:p>
        </w:tc>
        <w:tc>
          <w:tcPr>
            <w:tcW w:w="1940" w:type="dxa"/>
            <w:tcBorders>
              <w:top w:val="nil"/>
              <w:left w:val="nil"/>
              <w:bottom w:val="dashed" w:sz="4" w:space="0" w:color="auto"/>
              <w:right w:val="double" w:sz="6" w:space="0" w:color="auto"/>
            </w:tcBorders>
            <w:shd w:val="clear" w:color="auto" w:fill="auto"/>
            <w:vAlign w:val="center"/>
            <w:hideMark/>
          </w:tcPr>
          <w:p w:rsidR="008F7A9D" w:rsidRPr="008F7A9D" w:rsidP="008F7A9D" w14:paraId="3412A086"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 xml:space="preserve">$3.58 </w:t>
            </w:r>
          </w:p>
        </w:tc>
      </w:tr>
      <w:tr w14:paraId="67073C0C" w14:textId="77777777" w:rsidTr="008F7A9D">
        <w:tblPrEx>
          <w:tblW w:w="8420" w:type="dxa"/>
          <w:tblInd w:w="131" w:type="dxa"/>
          <w:tblLook w:val="04A0"/>
        </w:tblPrEx>
        <w:trPr>
          <w:trHeight w:val="630"/>
        </w:trPr>
        <w:tc>
          <w:tcPr>
            <w:tcW w:w="1940" w:type="dxa"/>
            <w:tcBorders>
              <w:top w:val="nil"/>
              <w:left w:val="double" w:sz="6" w:space="0" w:color="auto"/>
              <w:bottom w:val="single" w:sz="8" w:space="0" w:color="auto"/>
              <w:right w:val="single" w:sz="8" w:space="0" w:color="auto"/>
            </w:tcBorders>
            <w:shd w:val="clear" w:color="auto" w:fill="auto"/>
            <w:vAlign w:val="center"/>
            <w:hideMark/>
          </w:tcPr>
          <w:p w:rsidR="008F7A9D" w:rsidRPr="008F7A9D" w:rsidP="008F7A9D" w14:paraId="5BA3BC11" w14:textId="77777777">
            <w:pPr>
              <w:widowControl/>
              <w:rPr>
                <w:rFonts w:ascii="Times New Roman" w:hAnsi="Times New Roman"/>
                <w:snapToGrid/>
                <w:color w:val="000000"/>
                <w:szCs w:val="24"/>
              </w:rPr>
            </w:pPr>
            <w:r w:rsidRPr="008F7A9D">
              <w:rPr>
                <w:rFonts w:ascii="Times New Roman" w:hAnsi="Times New Roman"/>
                <w:snapToGrid/>
                <w:color w:val="000000"/>
                <w:szCs w:val="24"/>
              </w:rPr>
              <w:t>Physical Scientist</w:t>
            </w:r>
          </w:p>
        </w:tc>
        <w:tc>
          <w:tcPr>
            <w:tcW w:w="1140" w:type="dxa"/>
            <w:tcBorders>
              <w:top w:val="nil"/>
              <w:left w:val="nil"/>
              <w:bottom w:val="dashed" w:sz="4" w:space="0" w:color="auto"/>
              <w:right w:val="dashed" w:sz="4" w:space="0" w:color="auto"/>
            </w:tcBorders>
            <w:shd w:val="clear" w:color="auto" w:fill="auto"/>
            <w:vAlign w:val="center"/>
            <w:hideMark/>
          </w:tcPr>
          <w:p w:rsidR="008F7A9D" w:rsidRPr="008F7A9D" w:rsidP="008F7A9D" w14:paraId="3372B371"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43.60</w:t>
            </w:r>
          </w:p>
        </w:tc>
        <w:tc>
          <w:tcPr>
            <w:tcW w:w="2260" w:type="dxa"/>
            <w:tcBorders>
              <w:top w:val="nil"/>
              <w:left w:val="nil"/>
              <w:bottom w:val="dashed" w:sz="4" w:space="0" w:color="auto"/>
              <w:right w:val="dashed" w:sz="4" w:space="0" w:color="auto"/>
            </w:tcBorders>
            <w:shd w:val="clear" w:color="auto" w:fill="auto"/>
            <w:vAlign w:val="center"/>
            <w:hideMark/>
          </w:tcPr>
          <w:p w:rsidR="008F7A9D" w:rsidRPr="008F7A9D" w:rsidP="008F7A9D" w14:paraId="525AB2AB"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69.76</w:t>
            </w:r>
          </w:p>
        </w:tc>
        <w:tc>
          <w:tcPr>
            <w:tcW w:w="1140" w:type="dxa"/>
            <w:tcBorders>
              <w:top w:val="nil"/>
              <w:left w:val="nil"/>
              <w:bottom w:val="dashed" w:sz="4" w:space="0" w:color="auto"/>
              <w:right w:val="dashed" w:sz="4" w:space="0" w:color="auto"/>
            </w:tcBorders>
            <w:shd w:val="clear" w:color="auto" w:fill="auto"/>
            <w:vAlign w:val="center"/>
            <w:hideMark/>
          </w:tcPr>
          <w:p w:rsidR="008F7A9D" w:rsidRPr="008F7A9D" w:rsidP="008F7A9D" w14:paraId="7C8521EF"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80%</w:t>
            </w:r>
          </w:p>
        </w:tc>
        <w:tc>
          <w:tcPr>
            <w:tcW w:w="1940" w:type="dxa"/>
            <w:tcBorders>
              <w:top w:val="nil"/>
              <w:left w:val="nil"/>
              <w:bottom w:val="dashed" w:sz="4" w:space="0" w:color="auto"/>
              <w:right w:val="double" w:sz="6" w:space="0" w:color="auto"/>
            </w:tcBorders>
            <w:shd w:val="clear" w:color="auto" w:fill="auto"/>
            <w:vAlign w:val="center"/>
            <w:hideMark/>
          </w:tcPr>
          <w:p w:rsidR="008F7A9D" w:rsidRPr="008F7A9D" w:rsidP="008F7A9D" w14:paraId="1A73C989"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 xml:space="preserve">$55.81 </w:t>
            </w:r>
          </w:p>
        </w:tc>
      </w:tr>
      <w:tr w14:paraId="47EC75C0" w14:textId="77777777" w:rsidTr="008F7A9D">
        <w:tblPrEx>
          <w:tblW w:w="8420" w:type="dxa"/>
          <w:tblInd w:w="131" w:type="dxa"/>
          <w:tblLook w:val="04A0"/>
        </w:tblPrEx>
        <w:trPr>
          <w:trHeight w:val="320"/>
        </w:trPr>
        <w:tc>
          <w:tcPr>
            <w:tcW w:w="1940" w:type="dxa"/>
            <w:tcBorders>
              <w:top w:val="nil"/>
              <w:left w:val="double" w:sz="6" w:space="0" w:color="auto"/>
              <w:bottom w:val="single" w:sz="8" w:space="0" w:color="auto"/>
              <w:right w:val="single" w:sz="8" w:space="0" w:color="auto"/>
            </w:tcBorders>
            <w:shd w:val="clear" w:color="auto" w:fill="auto"/>
            <w:vAlign w:val="center"/>
            <w:hideMark/>
          </w:tcPr>
          <w:p w:rsidR="008F7A9D" w:rsidRPr="008F7A9D" w:rsidP="008F7A9D" w14:paraId="1B9789CE" w14:textId="77777777">
            <w:pPr>
              <w:widowControl/>
              <w:rPr>
                <w:rFonts w:ascii="Times New Roman" w:hAnsi="Times New Roman"/>
                <w:snapToGrid/>
                <w:color w:val="000000"/>
                <w:szCs w:val="24"/>
              </w:rPr>
            </w:pPr>
            <w:r w:rsidRPr="008F7A9D">
              <w:rPr>
                <w:rFonts w:ascii="Times New Roman" w:hAnsi="Times New Roman"/>
                <w:snapToGrid/>
                <w:color w:val="000000"/>
                <w:szCs w:val="24"/>
              </w:rPr>
              <w:t>Manager</w:t>
            </w:r>
          </w:p>
        </w:tc>
        <w:tc>
          <w:tcPr>
            <w:tcW w:w="1140" w:type="dxa"/>
            <w:tcBorders>
              <w:top w:val="nil"/>
              <w:left w:val="nil"/>
              <w:bottom w:val="single" w:sz="8" w:space="0" w:color="auto"/>
              <w:right w:val="dashed" w:sz="4" w:space="0" w:color="auto"/>
            </w:tcBorders>
            <w:shd w:val="clear" w:color="auto" w:fill="auto"/>
            <w:vAlign w:val="center"/>
            <w:hideMark/>
          </w:tcPr>
          <w:p w:rsidR="008F7A9D" w:rsidRPr="008F7A9D" w:rsidP="008F7A9D" w14:paraId="1F8E5777"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58.10</w:t>
            </w:r>
          </w:p>
        </w:tc>
        <w:tc>
          <w:tcPr>
            <w:tcW w:w="2260" w:type="dxa"/>
            <w:tcBorders>
              <w:top w:val="nil"/>
              <w:left w:val="nil"/>
              <w:bottom w:val="single" w:sz="8" w:space="0" w:color="auto"/>
              <w:right w:val="dashed" w:sz="4" w:space="0" w:color="auto"/>
            </w:tcBorders>
            <w:shd w:val="clear" w:color="auto" w:fill="auto"/>
            <w:vAlign w:val="center"/>
            <w:hideMark/>
          </w:tcPr>
          <w:p w:rsidR="008F7A9D" w:rsidRPr="008F7A9D" w:rsidP="008F7A9D" w14:paraId="32BE297A"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92.96</w:t>
            </w:r>
          </w:p>
        </w:tc>
        <w:tc>
          <w:tcPr>
            <w:tcW w:w="1140" w:type="dxa"/>
            <w:tcBorders>
              <w:top w:val="nil"/>
              <w:left w:val="nil"/>
              <w:bottom w:val="single" w:sz="8" w:space="0" w:color="auto"/>
              <w:right w:val="dashed" w:sz="4" w:space="0" w:color="auto"/>
            </w:tcBorders>
            <w:shd w:val="clear" w:color="auto" w:fill="auto"/>
            <w:vAlign w:val="center"/>
            <w:hideMark/>
          </w:tcPr>
          <w:p w:rsidR="008F7A9D" w:rsidRPr="008F7A9D" w:rsidP="008F7A9D" w14:paraId="4449FE78"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10%</w:t>
            </w:r>
          </w:p>
        </w:tc>
        <w:tc>
          <w:tcPr>
            <w:tcW w:w="1940" w:type="dxa"/>
            <w:tcBorders>
              <w:top w:val="nil"/>
              <w:left w:val="nil"/>
              <w:bottom w:val="single" w:sz="8" w:space="0" w:color="auto"/>
              <w:right w:val="double" w:sz="6" w:space="0" w:color="auto"/>
            </w:tcBorders>
            <w:shd w:val="clear" w:color="auto" w:fill="auto"/>
            <w:vAlign w:val="center"/>
            <w:hideMark/>
          </w:tcPr>
          <w:p w:rsidR="008F7A9D" w:rsidRPr="008F7A9D" w:rsidP="008F7A9D" w14:paraId="65B41091" w14:textId="77777777">
            <w:pPr>
              <w:widowControl/>
              <w:jc w:val="center"/>
              <w:rPr>
                <w:rFonts w:ascii="Times New Roman" w:hAnsi="Times New Roman"/>
                <w:snapToGrid/>
                <w:color w:val="000000"/>
                <w:szCs w:val="24"/>
              </w:rPr>
            </w:pPr>
            <w:r w:rsidRPr="008F7A9D">
              <w:rPr>
                <w:rFonts w:ascii="Times New Roman" w:hAnsi="Times New Roman"/>
                <w:snapToGrid/>
                <w:color w:val="000000"/>
                <w:szCs w:val="24"/>
              </w:rPr>
              <w:t xml:space="preserve">$9.30 </w:t>
            </w:r>
          </w:p>
        </w:tc>
      </w:tr>
      <w:tr w14:paraId="6BAE60D0" w14:textId="77777777" w:rsidTr="008F7A9D">
        <w:tblPrEx>
          <w:tblW w:w="8420" w:type="dxa"/>
          <w:tblInd w:w="131" w:type="dxa"/>
          <w:tblLook w:val="04A0"/>
        </w:tblPrEx>
        <w:trPr>
          <w:trHeight w:val="310"/>
        </w:trPr>
        <w:tc>
          <w:tcPr>
            <w:tcW w:w="6480" w:type="dxa"/>
            <w:gridSpan w:val="4"/>
            <w:tcBorders>
              <w:top w:val="single" w:sz="8" w:space="0" w:color="auto"/>
              <w:left w:val="double" w:sz="6" w:space="0" w:color="auto"/>
              <w:bottom w:val="double" w:sz="6" w:space="0" w:color="auto"/>
              <w:right w:val="single" w:sz="8" w:space="0" w:color="000000"/>
            </w:tcBorders>
            <w:shd w:val="clear" w:color="auto" w:fill="auto"/>
            <w:vAlign w:val="center"/>
            <w:hideMark/>
          </w:tcPr>
          <w:p w:rsidR="008F7A9D" w:rsidRPr="008F7A9D" w:rsidP="008F7A9D" w14:paraId="556E0FE1" w14:textId="77777777">
            <w:pPr>
              <w:widowControl/>
              <w:rPr>
                <w:rFonts w:ascii="Times New Roman" w:hAnsi="Times New Roman"/>
                <w:b/>
                <w:bCs/>
                <w:snapToGrid/>
                <w:color w:val="000000"/>
                <w:szCs w:val="24"/>
              </w:rPr>
            </w:pPr>
            <w:r w:rsidRPr="008F7A9D">
              <w:rPr>
                <w:rFonts w:ascii="Times New Roman" w:hAnsi="Times New Roman"/>
                <w:b/>
                <w:bCs/>
                <w:snapToGrid/>
                <w:color w:val="000000"/>
                <w:szCs w:val="24"/>
              </w:rPr>
              <w:t>Weighted Average ($/hour)</w:t>
            </w:r>
          </w:p>
        </w:tc>
        <w:tc>
          <w:tcPr>
            <w:tcW w:w="1940" w:type="dxa"/>
            <w:tcBorders>
              <w:top w:val="nil"/>
              <w:left w:val="nil"/>
              <w:bottom w:val="double" w:sz="6" w:space="0" w:color="auto"/>
              <w:right w:val="double" w:sz="6" w:space="0" w:color="auto"/>
            </w:tcBorders>
            <w:shd w:val="clear" w:color="auto" w:fill="auto"/>
            <w:vAlign w:val="center"/>
            <w:hideMark/>
          </w:tcPr>
          <w:p w:rsidR="008F7A9D" w:rsidRPr="008F7A9D" w:rsidP="008F7A9D" w14:paraId="7A640F5D" w14:textId="77777777">
            <w:pPr>
              <w:widowControl/>
              <w:jc w:val="center"/>
              <w:rPr>
                <w:rFonts w:ascii="Times New Roman" w:hAnsi="Times New Roman"/>
                <w:b/>
                <w:bCs/>
                <w:snapToGrid/>
                <w:color w:val="000000"/>
                <w:szCs w:val="24"/>
              </w:rPr>
            </w:pPr>
            <w:r w:rsidRPr="008F7A9D">
              <w:rPr>
                <w:rFonts w:ascii="Times New Roman" w:hAnsi="Times New Roman"/>
                <w:b/>
                <w:bCs/>
                <w:snapToGrid/>
                <w:color w:val="000000"/>
                <w:szCs w:val="24"/>
              </w:rPr>
              <w:t xml:space="preserve">$68.69 </w:t>
            </w:r>
          </w:p>
        </w:tc>
      </w:tr>
    </w:tbl>
    <w:p w:rsidR="008F7A9D" w14:paraId="0DE8D45D" w14:textId="77777777">
      <w:pPr>
        <w:tabs>
          <w:tab w:val="left" w:pos="-1440"/>
        </w:tabs>
        <w:ind w:left="720"/>
        <w:rPr>
          <w:rFonts w:ascii="Times New Roman" w:hAnsi="Times New Roman"/>
          <w:szCs w:val="24"/>
        </w:rPr>
      </w:pPr>
    </w:p>
    <w:p w:rsidR="008F7A9D" w14:paraId="18EFB3CB" w14:textId="77777777">
      <w:pPr>
        <w:tabs>
          <w:tab w:val="left" w:pos="-1440"/>
        </w:tabs>
        <w:ind w:left="720"/>
        <w:rPr>
          <w:rFonts w:ascii="Times New Roman" w:hAnsi="Times New Roman"/>
          <w:szCs w:val="24"/>
        </w:rPr>
      </w:pPr>
    </w:p>
    <w:p w:rsidR="008F7A9D" w14:paraId="3739392C" w14:textId="77777777">
      <w:pPr>
        <w:tabs>
          <w:tab w:val="left" w:pos="-1440"/>
        </w:tabs>
        <w:ind w:left="720"/>
        <w:rPr>
          <w:rFonts w:ascii="Times New Roman" w:hAnsi="Times New Roman"/>
          <w:szCs w:val="24"/>
        </w:rPr>
      </w:pPr>
    </w:p>
    <w:p w:rsidR="00923628" w14:paraId="1DD9B508" w14:textId="29459871">
      <w:pPr>
        <w:tabs>
          <w:tab w:val="left" w:pos="-1440"/>
        </w:tabs>
        <w:ind w:left="720"/>
        <w:rPr>
          <w:rFonts w:ascii="Times New Roman" w:hAnsi="Times New Roman"/>
          <w:szCs w:val="24"/>
        </w:rPr>
      </w:pPr>
      <w:r>
        <w:rPr>
          <w:rFonts w:ascii="Times New Roman" w:hAnsi="Times New Roman"/>
          <w:szCs w:val="24"/>
        </w:rPr>
        <w:t>T</w:t>
      </w:r>
      <w:r w:rsidR="008332E5">
        <w:rPr>
          <w:rFonts w:ascii="Times New Roman" w:hAnsi="Times New Roman"/>
          <w:szCs w:val="24"/>
        </w:rPr>
        <w:t xml:space="preserve">he </w:t>
      </w:r>
      <w:r>
        <w:rPr>
          <w:rFonts w:ascii="Times New Roman" w:hAnsi="Times New Roman"/>
          <w:szCs w:val="24"/>
        </w:rPr>
        <w:t xml:space="preserve">wage </w:t>
      </w:r>
      <w:r w:rsidR="008332E5">
        <w:rPr>
          <w:rFonts w:ascii="Times New Roman" w:hAnsi="Times New Roman"/>
          <w:szCs w:val="24"/>
        </w:rPr>
        <w:t xml:space="preserve">cost burden </w:t>
      </w:r>
      <w:r>
        <w:rPr>
          <w:rFonts w:ascii="Times New Roman" w:hAnsi="Times New Roman"/>
          <w:szCs w:val="24"/>
        </w:rPr>
        <w:t xml:space="preserve">for states </w:t>
      </w:r>
      <w:r w:rsidR="00481AFF">
        <w:rPr>
          <w:rFonts w:ascii="Times New Roman" w:hAnsi="Times New Roman"/>
          <w:szCs w:val="24"/>
        </w:rPr>
        <w:t xml:space="preserve">based upon annual burden hours </w:t>
      </w:r>
      <w:r>
        <w:rPr>
          <w:rFonts w:ascii="Times New Roman" w:hAnsi="Times New Roman"/>
          <w:szCs w:val="24"/>
        </w:rPr>
        <w:t xml:space="preserve">is therefore </w:t>
      </w:r>
      <w:r w:rsidR="00481AFF">
        <w:rPr>
          <w:rFonts w:ascii="Times New Roman" w:hAnsi="Times New Roman"/>
          <w:szCs w:val="24"/>
        </w:rPr>
        <w:t>$294,337</w:t>
      </w:r>
      <w:r w:rsidR="008332E5">
        <w:rPr>
          <w:rFonts w:ascii="Times New Roman" w:hAnsi="Times New Roman"/>
          <w:szCs w:val="24"/>
        </w:rPr>
        <w:t xml:space="preserve"> </w:t>
      </w:r>
      <w:r w:rsidR="00481AFF">
        <w:rPr>
          <w:rFonts w:ascii="Times New Roman" w:hAnsi="Times New Roman"/>
          <w:szCs w:val="24"/>
        </w:rPr>
        <w:t>(</w:t>
      </w:r>
      <w:r w:rsidR="004767B4">
        <w:rPr>
          <w:rFonts w:ascii="Times New Roman" w:hAnsi="Times New Roman"/>
          <w:szCs w:val="24"/>
        </w:rPr>
        <w:t>4</w:t>
      </w:r>
      <w:r w:rsidR="008332E5">
        <w:rPr>
          <w:rFonts w:ascii="Times New Roman" w:hAnsi="Times New Roman"/>
          <w:szCs w:val="24"/>
        </w:rPr>
        <w:t>,</w:t>
      </w:r>
      <w:r w:rsidR="004767B4">
        <w:rPr>
          <w:rFonts w:ascii="Times New Roman" w:hAnsi="Times New Roman"/>
          <w:szCs w:val="24"/>
        </w:rPr>
        <w:t>285</w:t>
      </w:r>
      <w:r w:rsidR="008332E5">
        <w:rPr>
          <w:rFonts w:ascii="Times New Roman" w:hAnsi="Times New Roman"/>
          <w:szCs w:val="24"/>
        </w:rPr>
        <w:t xml:space="preserve"> hours x $6</w:t>
      </w:r>
      <w:r w:rsidR="004767B4">
        <w:rPr>
          <w:rFonts w:ascii="Times New Roman" w:hAnsi="Times New Roman"/>
          <w:szCs w:val="24"/>
        </w:rPr>
        <w:t>8</w:t>
      </w:r>
      <w:r w:rsidR="008332E5">
        <w:rPr>
          <w:rFonts w:ascii="Times New Roman" w:hAnsi="Times New Roman"/>
          <w:szCs w:val="24"/>
        </w:rPr>
        <w:t>.</w:t>
      </w:r>
      <w:r w:rsidR="004767B4">
        <w:rPr>
          <w:rFonts w:ascii="Times New Roman" w:hAnsi="Times New Roman"/>
          <w:szCs w:val="24"/>
        </w:rPr>
        <w:t>69</w:t>
      </w:r>
      <w:r w:rsidR="00481AFF">
        <w:rPr>
          <w:rFonts w:ascii="Times New Roman" w:hAnsi="Times New Roman"/>
          <w:szCs w:val="24"/>
        </w:rPr>
        <w:t>/hour).</w:t>
      </w:r>
    </w:p>
    <w:p w:rsidR="00923628" w14:paraId="4402AAAE" w14:textId="77777777">
      <w:pPr>
        <w:rPr>
          <w:rFonts w:ascii="Times New Roman" w:hAnsi="Times New Roman"/>
          <w:szCs w:val="24"/>
        </w:rPr>
      </w:pPr>
    </w:p>
    <w:p w:rsidR="00923628" w14:paraId="355AA6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13.</w:t>
      </w:r>
      <w:r>
        <w:rPr>
          <w:rFonts w:ascii="Times New Roman" w:hAnsi="Times New Roman"/>
          <w:b/>
          <w:i/>
          <w:szCs w:val="24"/>
        </w:rPr>
        <w:tab/>
        <w:t>Provide an estimate of the total annual non-hour cost burden to respondents or recordkeepers resulting from the collection of information.  (Do not include the cost of any hour burden already reflected in item 12.)</w:t>
      </w:r>
    </w:p>
    <w:p w:rsidR="00923628" w14:paraId="71B586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Pr>
          <w:rFonts w:ascii="Times New Roman" w:hAnsi="Times New Roman"/>
          <w:b/>
          <w:i/>
          <w:szCs w:val="24"/>
        </w:rPr>
        <w:tab/>
        <w:t>*</w:t>
      </w:r>
      <w:r>
        <w:rPr>
          <w:rFonts w:ascii="Times New Roman" w:hAnsi="Times New Roman"/>
          <w:b/>
          <w:i/>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i/>
          <w:szCs w:val="24"/>
        </w:rPr>
        <w:t>take into account</w:t>
      </w:r>
      <w:r>
        <w:rPr>
          <w:rFonts w:ascii="Times New Roman" w:hAnsi="Times New Roman"/>
          <w:b/>
          <w:i/>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23628" w14:paraId="5BE2D9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Pr>
          <w:rFonts w:ascii="Times New Roman" w:hAnsi="Times New Roman"/>
          <w:b/>
          <w:i/>
          <w:szCs w:val="24"/>
        </w:rPr>
        <w:tab/>
        <w:t>*</w:t>
      </w:r>
      <w:r>
        <w:rPr>
          <w:rFonts w:ascii="Times New Roman" w:hAnsi="Times New Roman"/>
          <w:b/>
          <w:i/>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rFonts w:ascii="Times New Roman" w:hAnsi="Times New Roman"/>
          <w:b/>
          <w:i/>
          <w:szCs w:val="24"/>
        </w:rPr>
        <w:t>process and use existing economic or regulatory impact analysis associated with the rulemaking containing the information collection, as appropriate.</w:t>
      </w:r>
    </w:p>
    <w:p w:rsidR="00923628" w14:paraId="28BC6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3628" w14:paraId="5EEC62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2D9007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a.</w:t>
      </w:r>
      <w:r>
        <w:rPr>
          <w:rFonts w:ascii="Times New Roman" w:hAnsi="Times New Roman"/>
          <w:szCs w:val="24"/>
        </w:rPr>
        <w:tab/>
      </w:r>
      <w:r>
        <w:rPr>
          <w:rFonts w:ascii="Times New Roman" w:hAnsi="Times New Roman"/>
          <w:szCs w:val="24"/>
        </w:rPr>
        <w:tab/>
      </w:r>
      <w:r>
        <w:rPr>
          <w:rFonts w:ascii="Times New Roman" w:hAnsi="Times New Roman"/>
          <w:szCs w:val="24"/>
          <w:u w:val="single"/>
        </w:rPr>
        <w:t>Total Capital and Start-up Cost</w:t>
      </w:r>
    </w:p>
    <w:p w:rsidR="00923628" w14:paraId="0980DF11" w14:textId="77777777">
      <w:pPr>
        <w:rPr>
          <w:rFonts w:ascii="Times New Roman" w:hAnsi="Times New Roman"/>
          <w:szCs w:val="24"/>
        </w:rPr>
      </w:pPr>
    </w:p>
    <w:p w:rsidR="00923628" w14:paraId="2FFA382A" w14:textId="77777777">
      <w:pPr>
        <w:ind w:left="1440"/>
        <w:rPr>
          <w:rFonts w:ascii="Times New Roman" w:hAnsi="Times New Roman"/>
          <w:szCs w:val="24"/>
        </w:rPr>
      </w:pPr>
      <w:r>
        <w:rPr>
          <w:rFonts w:ascii="Times New Roman" w:hAnsi="Times New Roman"/>
          <w:szCs w:val="24"/>
        </w:rPr>
        <w:t>Capital and start-up costs are minimal since compliance is associated with customary business practices beyond grants and services provided by OSMRE.</w:t>
      </w:r>
    </w:p>
    <w:p w:rsidR="00923628" w14:paraId="2D496472" w14:textId="77777777">
      <w:pPr>
        <w:rPr>
          <w:rFonts w:ascii="Times New Roman" w:hAnsi="Times New Roman"/>
          <w:szCs w:val="24"/>
        </w:rPr>
      </w:pPr>
    </w:p>
    <w:p w:rsidR="00923628" w14:paraId="739F444D" w14:textId="77777777">
      <w:pPr>
        <w:tabs>
          <w:tab w:val="left" w:pos="-1440"/>
        </w:tabs>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Total Operations and Maintenance Cost</w:t>
      </w:r>
    </w:p>
    <w:p w:rsidR="00923628" w14:paraId="400C247A" w14:textId="77777777">
      <w:pPr>
        <w:rPr>
          <w:rFonts w:ascii="Times New Roman" w:hAnsi="Times New Roman"/>
          <w:szCs w:val="24"/>
        </w:rPr>
      </w:pPr>
    </w:p>
    <w:p w:rsidR="00923628" w14:paraId="2CE02261" w14:textId="77777777">
      <w:pPr>
        <w:ind w:left="1440"/>
        <w:rPr>
          <w:rFonts w:ascii="Times New Roman" w:hAnsi="Times New Roman"/>
          <w:szCs w:val="24"/>
        </w:rPr>
      </w:pPr>
      <w:r>
        <w:rPr>
          <w:rFonts w:ascii="Times New Roman" w:hAnsi="Times New Roman"/>
          <w:szCs w:val="24"/>
        </w:rPr>
        <w:t>There are no significant or distinct operation or maintenance costs associated with this section beyond that required under normal and customary business activities.</w:t>
      </w:r>
    </w:p>
    <w:p w:rsidR="00923628" w14:paraId="2D93B6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rsidR="00923628" w14:paraId="16D524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14.</w:t>
      </w:r>
      <w:r>
        <w:rPr>
          <w:rFonts w:ascii="Times New Roman" w:hAnsi="Times New Roman"/>
          <w:b/>
          <w:i/>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23628" w14:paraId="09F69CE0" w14:textId="77777777">
      <w:pPr>
        <w:rPr>
          <w:rFonts w:ascii="Times New Roman" w:hAnsi="Times New Roman"/>
          <w:szCs w:val="24"/>
        </w:rPr>
      </w:pPr>
    </w:p>
    <w:p w:rsidR="00923628" w14:paraId="54ECEBC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r>
      <w:r>
        <w:rPr>
          <w:rFonts w:ascii="Times New Roman" w:hAnsi="Times New Roman"/>
          <w:szCs w:val="24"/>
          <w:u w:val="single"/>
        </w:rPr>
        <w:t>Federal Government Costs</w:t>
      </w:r>
    </w:p>
    <w:p w:rsidR="00923628" w14:paraId="201D35AA" w14:textId="77777777">
      <w:pPr>
        <w:rPr>
          <w:rFonts w:ascii="Times New Roman" w:hAnsi="Times New Roman"/>
          <w:szCs w:val="24"/>
        </w:rPr>
      </w:pPr>
    </w:p>
    <w:p w:rsidR="00923628" w14:paraId="1BA0797A" w14:textId="77777777">
      <w:pPr>
        <w:tabs>
          <w:tab w:val="left" w:pos="360"/>
        </w:tabs>
        <w:ind w:left="720"/>
        <w:rPr>
          <w:rFonts w:ascii="Times New Roman" w:hAnsi="Times New Roman"/>
          <w:szCs w:val="24"/>
        </w:rPr>
      </w:pPr>
      <w:r>
        <w:rPr>
          <w:rFonts w:ascii="Times New Roman" w:hAnsi="Times New Roman"/>
          <w:szCs w:val="24"/>
          <w:u w:val="single"/>
        </w:rPr>
        <w:t>Oversight</w:t>
      </w:r>
      <w:r>
        <w:rPr>
          <w:rFonts w:ascii="Times New Roman" w:hAnsi="Times New Roman"/>
          <w:szCs w:val="24"/>
        </w:rPr>
        <w:t xml:space="preserve">.  </w:t>
      </w:r>
    </w:p>
    <w:p w:rsidR="00923628" w14:paraId="7660F211" w14:textId="77777777">
      <w:pPr>
        <w:tabs>
          <w:tab w:val="left" w:pos="360"/>
        </w:tabs>
        <w:ind w:left="720"/>
        <w:rPr>
          <w:rFonts w:ascii="Times New Roman" w:hAnsi="Times New Roman"/>
          <w:szCs w:val="24"/>
        </w:rPr>
      </w:pPr>
    </w:p>
    <w:tbl>
      <w:tblPr>
        <w:tblW w:w="7260" w:type="dxa"/>
        <w:tblLook w:val="04A0"/>
      </w:tblPr>
      <w:tblGrid>
        <w:gridCol w:w="2584"/>
        <w:gridCol w:w="1430"/>
        <w:gridCol w:w="1399"/>
        <w:gridCol w:w="1625"/>
        <w:gridCol w:w="222"/>
      </w:tblGrid>
      <w:tr w14:paraId="571C379A" w14:textId="77777777" w:rsidTr="00DE1431">
        <w:tblPrEx>
          <w:tblW w:w="7260" w:type="dxa"/>
          <w:tblLook w:val="04A0"/>
        </w:tblPrEx>
        <w:trPr>
          <w:gridAfter w:val="1"/>
          <w:wAfter w:w="36" w:type="dxa"/>
          <w:trHeight w:val="890"/>
        </w:trPr>
        <w:tc>
          <w:tcPr>
            <w:tcW w:w="2584" w:type="dxa"/>
            <w:tcBorders>
              <w:top w:val="double" w:sz="6" w:space="0" w:color="auto"/>
              <w:left w:val="double" w:sz="6" w:space="0" w:color="auto"/>
              <w:bottom w:val="dashed" w:sz="4" w:space="0" w:color="auto"/>
              <w:right w:val="dashed" w:sz="4" w:space="0" w:color="auto"/>
            </w:tcBorders>
            <w:shd w:val="clear" w:color="auto" w:fill="auto"/>
            <w:vAlign w:val="center"/>
            <w:hideMark/>
          </w:tcPr>
          <w:p w:rsidR="00DE1431" w:rsidRPr="00DE1431" w:rsidP="00DE1431" w14:paraId="432F6114" w14:textId="0CA40112">
            <w:pPr>
              <w:widowControl/>
              <w:jc w:val="center"/>
              <w:rPr>
                <w:rFonts w:ascii="Times New Roman" w:hAnsi="Times New Roman"/>
                <w:b/>
                <w:bCs/>
                <w:snapToGrid/>
                <w:color w:val="000000"/>
                <w:szCs w:val="24"/>
              </w:rPr>
            </w:pPr>
            <w:r>
              <w:rPr>
                <w:rFonts w:ascii="Times New Roman" w:hAnsi="Times New Roman"/>
                <w:szCs w:val="24"/>
              </w:rPr>
              <w:t xml:space="preserve">The following represent the wage costs associated with oversight of this part:  </w:t>
            </w:r>
            <w:r w:rsidR="00AC7AC6">
              <w:rPr>
                <w:rFonts w:ascii="Times New Roman" w:hAnsi="Times New Roman"/>
                <w:b/>
                <w:bCs/>
                <w:snapToGrid/>
                <w:color w:val="000000"/>
                <w:szCs w:val="24"/>
              </w:rPr>
              <w:t xml:space="preserve">  </w:t>
            </w:r>
            <w:r w:rsidRPr="00DE1431">
              <w:rPr>
                <w:rFonts w:ascii="Times New Roman" w:hAnsi="Times New Roman"/>
                <w:b/>
                <w:bCs/>
                <w:snapToGrid/>
                <w:color w:val="000000"/>
                <w:szCs w:val="24"/>
              </w:rPr>
              <w:t>Se</w:t>
            </w:r>
            <w:r w:rsidR="00AC7AC6">
              <w:rPr>
                <w:rFonts w:ascii="Times New Roman" w:hAnsi="Times New Roman"/>
                <w:b/>
                <w:bCs/>
                <w:snapToGrid/>
                <w:color w:val="000000"/>
                <w:szCs w:val="24"/>
              </w:rPr>
              <w:t xml:space="preserve">ction </w:t>
            </w:r>
            <w:r w:rsidRPr="00AC7AC6" w:rsidR="00AC7AC6">
              <w:rPr>
                <w:rFonts w:ascii="Times New Roman" w:hAnsi="Times New Roman"/>
                <w:b/>
                <w:bCs/>
                <w:snapToGrid/>
                <w:color w:val="000000"/>
                <w:szCs w:val="24"/>
              </w:rPr>
              <w:t>30 CFR 732</w:t>
            </w:r>
          </w:p>
        </w:tc>
        <w:tc>
          <w:tcPr>
            <w:tcW w:w="1456" w:type="dxa"/>
            <w:vMerge w:val="restart"/>
            <w:tcBorders>
              <w:top w:val="double" w:sz="6" w:space="0" w:color="auto"/>
              <w:left w:val="dashed" w:sz="4" w:space="0" w:color="auto"/>
              <w:bottom w:val="dashed" w:sz="4" w:space="0" w:color="auto"/>
              <w:right w:val="dashed" w:sz="4" w:space="0" w:color="auto"/>
            </w:tcBorders>
            <w:shd w:val="clear" w:color="auto" w:fill="auto"/>
            <w:vAlign w:val="center"/>
            <w:hideMark/>
          </w:tcPr>
          <w:p w:rsidR="00DE1431" w:rsidRPr="00DE1431" w:rsidP="00DE1431" w14:paraId="0BAC1822" w14:textId="77777777">
            <w:pPr>
              <w:widowControl/>
              <w:jc w:val="center"/>
              <w:rPr>
                <w:rFonts w:ascii="Times New Roman" w:hAnsi="Times New Roman"/>
                <w:b/>
                <w:bCs/>
                <w:snapToGrid/>
                <w:color w:val="000000"/>
                <w:szCs w:val="24"/>
              </w:rPr>
            </w:pPr>
            <w:r w:rsidRPr="00DE1431">
              <w:rPr>
                <w:rFonts w:ascii="Times New Roman" w:hAnsi="Times New Roman"/>
                <w:b/>
                <w:bCs/>
                <w:snapToGrid/>
                <w:color w:val="000000"/>
                <w:szCs w:val="24"/>
              </w:rPr>
              <w:t>Responses</w:t>
            </w:r>
          </w:p>
        </w:tc>
        <w:tc>
          <w:tcPr>
            <w:tcW w:w="1435" w:type="dxa"/>
            <w:vMerge w:val="restart"/>
            <w:tcBorders>
              <w:top w:val="double" w:sz="6" w:space="0" w:color="auto"/>
              <w:left w:val="dashed" w:sz="4" w:space="0" w:color="auto"/>
              <w:bottom w:val="dashed" w:sz="4" w:space="0" w:color="auto"/>
              <w:right w:val="dashed" w:sz="4" w:space="0" w:color="auto"/>
            </w:tcBorders>
            <w:shd w:val="clear" w:color="auto" w:fill="auto"/>
            <w:vAlign w:val="center"/>
            <w:hideMark/>
          </w:tcPr>
          <w:p w:rsidR="00DE1431" w:rsidRPr="00DE1431" w:rsidP="00DE1431" w14:paraId="642677FD" w14:textId="77777777">
            <w:pPr>
              <w:widowControl/>
              <w:jc w:val="center"/>
              <w:rPr>
                <w:rFonts w:ascii="Times New Roman" w:hAnsi="Times New Roman"/>
                <w:b/>
                <w:bCs/>
                <w:snapToGrid/>
                <w:color w:val="000000"/>
                <w:szCs w:val="24"/>
              </w:rPr>
            </w:pPr>
            <w:r w:rsidRPr="00DE1431">
              <w:rPr>
                <w:rFonts w:ascii="Times New Roman" w:hAnsi="Times New Roman"/>
                <w:b/>
                <w:bCs/>
                <w:snapToGrid/>
                <w:color w:val="000000"/>
                <w:szCs w:val="24"/>
              </w:rPr>
              <w:t xml:space="preserve">Hours per Response </w:t>
            </w:r>
          </w:p>
        </w:tc>
        <w:tc>
          <w:tcPr>
            <w:tcW w:w="1749" w:type="dxa"/>
            <w:vMerge w:val="restart"/>
            <w:tcBorders>
              <w:top w:val="double" w:sz="6" w:space="0" w:color="auto"/>
              <w:left w:val="dashed" w:sz="4" w:space="0" w:color="auto"/>
              <w:bottom w:val="dashed" w:sz="4" w:space="0" w:color="auto"/>
              <w:right w:val="double" w:sz="6" w:space="0" w:color="auto"/>
            </w:tcBorders>
            <w:shd w:val="clear" w:color="auto" w:fill="auto"/>
            <w:vAlign w:val="center"/>
            <w:hideMark/>
          </w:tcPr>
          <w:p w:rsidR="00DE1431" w:rsidRPr="00DE1431" w:rsidP="00DE1431" w14:paraId="32D6021F" w14:textId="77777777">
            <w:pPr>
              <w:widowControl/>
              <w:jc w:val="center"/>
              <w:rPr>
                <w:rFonts w:ascii="Times New Roman" w:hAnsi="Times New Roman"/>
                <w:b/>
                <w:bCs/>
                <w:snapToGrid/>
                <w:color w:val="000000"/>
                <w:szCs w:val="24"/>
              </w:rPr>
            </w:pPr>
            <w:r w:rsidRPr="00DE1431">
              <w:rPr>
                <w:rFonts w:ascii="Times New Roman" w:hAnsi="Times New Roman"/>
                <w:b/>
                <w:bCs/>
                <w:snapToGrid/>
                <w:color w:val="000000"/>
                <w:szCs w:val="24"/>
              </w:rPr>
              <w:t xml:space="preserve">Total Hours </w:t>
            </w:r>
          </w:p>
        </w:tc>
      </w:tr>
      <w:tr w14:paraId="6C6119D6" w14:textId="77777777" w:rsidTr="00DE1431">
        <w:tblPrEx>
          <w:tblW w:w="7260" w:type="dxa"/>
          <w:tblLook w:val="04A0"/>
        </w:tblPrEx>
        <w:trPr>
          <w:gridAfter w:val="1"/>
          <w:wAfter w:w="36" w:type="dxa"/>
          <w:trHeight w:val="310"/>
        </w:trPr>
        <w:tc>
          <w:tcPr>
            <w:tcW w:w="2584" w:type="dxa"/>
            <w:tcBorders>
              <w:top w:val="nil"/>
              <w:left w:val="double" w:sz="6" w:space="0" w:color="auto"/>
              <w:bottom w:val="nil"/>
              <w:right w:val="nil"/>
            </w:tcBorders>
            <w:shd w:val="clear" w:color="auto" w:fill="auto"/>
            <w:noWrap/>
            <w:vAlign w:val="bottom"/>
            <w:hideMark/>
          </w:tcPr>
          <w:p w:rsidR="00DE1431" w:rsidRPr="00DE1431" w:rsidP="00DE1431" w14:paraId="708DEEB3" w14:textId="77777777">
            <w:pPr>
              <w:widowControl/>
              <w:rPr>
                <w:rFonts w:ascii="Calibri" w:hAnsi="Calibri" w:cs="Calibri"/>
                <w:snapToGrid/>
                <w:color w:val="000000"/>
                <w:sz w:val="22"/>
                <w:szCs w:val="22"/>
              </w:rPr>
            </w:pPr>
            <w:r w:rsidRPr="00DE1431">
              <w:rPr>
                <w:rFonts w:ascii="Calibri" w:hAnsi="Calibri" w:cs="Calibri"/>
                <w:snapToGrid/>
                <w:color w:val="000000"/>
                <w:sz w:val="22"/>
                <w:szCs w:val="22"/>
              </w:rPr>
              <w:t> </w:t>
            </w:r>
          </w:p>
        </w:tc>
        <w:tc>
          <w:tcPr>
            <w:tcW w:w="1456" w:type="dxa"/>
            <w:vMerge/>
            <w:tcBorders>
              <w:top w:val="double" w:sz="6" w:space="0" w:color="auto"/>
              <w:left w:val="dashed" w:sz="4" w:space="0" w:color="auto"/>
              <w:bottom w:val="dashed" w:sz="4" w:space="0" w:color="auto"/>
              <w:right w:val="dashed" w:sz="4" w:space="0" w:color="auto"/>
            </w:tcBorders>
            <w:vAlign w:val="center"/>
            <w:hideMark/>
          </w:tcPr>
          <w:p w:rsidR="00DE1431" w:rsidRPr="00DE1431" w:rsidP="00DE1431" w14:paraId="100B4E7A" w14:textId="77777777">
            <w:pPr>
              <w:widowControl/>
              <w:rPr>
                <w:rFonts w:ascii="Times New Roman" w:hAnsi="Times New Roman"/>
                <w:b/>
                <w:bCs/>
                <w:snapToGrid/>
                <w:color w:val="000000"/>
                <w:szCs w:val="24"/>
              </w:rPr>
            </w:pPr>
          </w:p>
        </w:tc>
        <w:tc>
          <w:tcPr>
            <w:tcW w:w="1435" w:type="dxa"/>
            <w:vMerge/>
            <w:tcBorders>
              <w:top w:val="double" w:sz="6" w:space="0" w:color="auto"/>
              <w:left w:val="dashed" w:sz="4" w:space="0" w:color="auto"/>
              <w:bottom w:val="dashed" w:sz="4" w:space="0" w:color="auto"/>
              <w:right w:val="dashed" w:sz="4" w:space="0" w:color="auto"/>
            </w:tcBorders>
            <w:vAlign w:val="center"/>
            <w:hideMark/>
          </w:tcPr>
          <w:p w:rsidR="00DE1431" w:rsidRPr="00DE1431" w:rsidP="00DE1431" w14:paraId="1CCE6521" w14:textId="77777777">
            <w:pPr>
              <w:widowControl/>
              <w:rPr>
                <w:rFonts w:ascii="Times New Roman" w:hAnsi="Times New Roman"/>
                <w:b/>
                <w:bCs/>
                <w:snapToGrid/>
                <w:color w:val="000000"/>
                <w:szCs w:val="24"/>
              </w:rPr>
            </w:pPr>
          </w:p>
        </w:tc>
        <w:tc>
          <w:tcPr>
            <w:tcW w:w="1749" w:type="dxa"/>
            <w:vMerge/>
            <w:tcBorders>
              <w:top w:val="double" w:sz="6" w:space="0" w:color="auto"/>
              <w:left w:val="dashed" w:sz="4" w:space="0" w:color="auto"/>
              <w:bottom w:val="dashed" w:sz="4" w:space="0" w:color="auto"/>
              <w:right w:val="double" w:sz="6" w:space="0" w:color="auto"/>
            </w:tcBorders>
            <w:vAlign w:val="center"/>
            <w:hideMark/>
          </w:tcPr>
          <w:p w:rsidR="00DE1431" w:rsidRPr="00DE1431" w:rsidP="00DE1431" w14:paraId="350A6F6B" w14:textId="77777777">
            <w:pPr>
              <w:widowControl/>
              <w:rPr>
                <w:rFonts w:ascii="Times New Roman" w:hAnsi="Times New Roman"/>
                <w:b/>
                <w:bCs/>
                <w:snapToGrid/>
                <w:color w:val="000000"/>
                <w:szCs w:val="24"/>
              </w:rPr>
            </w:pPr>
          </w:p>
        </w:tc>
      </w:tr>
      <w:tr w14:paraId="207FBDB5" w14:textId="77777777" w:rsidTr="00DE1431">
        <w:tblPrEx>
          <w:tblW w:w="7260" w:type="dxa"/>
          <w:tblLook w:val="04A0"/>
        </w:tblPrEx>
        <w:trPr>
          <w:gridAfter w:val="1"/>
          <w:wAfter w:w="36" w:type="dxa"/>
          <w:trHeight w:val="280"/>
        </w:trPr>
        <w:tc>
          <w:tcPr>
            <w:tcW w:w="2584" w:type="dxa"/>
            <w:tcBorders>
              <w:top w:val="dashed" w:sz="4" w:space="0" w:color="auto"/>
              <w:left w:val="double" w:sz="6" w:space="0" w:color="auto"/>
              <w:bottom w:val="dashed" w:sz="4" w:space="0" w:color="auto"/>
              <w:right w:val="dashed" w:sz="4" w:space="0" w:color="auto"/>
            </w:tcBorders>
            <w:shd w:val="clear" w:color="auto" w:fill="auto"/>
            <w:vAlign w:val="center"/>
            <w:hideMark/>
          </w:tcPr>
          <w:p w:rsidR="00DE1431" w:rsidRPr="00DE1431" w:rsidP="00DE1431" w14:paraId="642908E5" w14:textId="77777777">
            <w:pPr>
              <w:widowControl/>
              <w:rPr>
                <w:rFonts w:ascii="Times New Roman" w:hAnsi="Times New Roman"/>
                <w:snapToGrid/>
                <w:color w:val="000000"/>
                <w:szCs w:val="24"/>
              </w:rPr>
            </w:pPr>
            <w:r w:rsidRPr="00DE1431">
              <w:rPr>
                <w:rFonts w:ascii="Times New Roman" w:hAnsi="Times New Roman"/>
                <w:snapToGrid/>
                <w:color w:val="000000"/>
                <w:szCs w:val="24"/>
              </w:rPr>
              <w:t>732.16(a)</w:t>
            </w:r>
          </w:p>
        </w:tc>
        <w:tc>
          <w:tcPr>
            <w:tcW w:w="1456" w:type="dxa"/>
            <w:tcBorders>
              <w:top w:val="nil"/>
              <w:left w:val="nil"/>
              <w:bottom w:val="dashed" w:sz="4" w:space="0" w:color="auto"/>
              <w:right w:val="dashed" w:sz="4" w:space="0" w:color="auto"/>
            </w:tcBorders>
            <w:shd w:val="clear" w:color="auto" w:fill="auto"/>
            <w:vAlign w:val="center"/>
            <w:hideMark/>
          </w:tcPr>
          <w:p w:rsidR="00DE1431" w:rsidRPr="00DE1431" w:rsidP="00DE1431" w14:paraId="15473799"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24</w:t>
            </w:r>
          </w:p>
        </w:tc>
        <w:tc>
          <w:tcPr>
            <w:tcW w:w="1435" w:type="dxa"/>
            <w:tcBorders>
              <w:top w:val="nil"/>
              <w:left w:val="nil"/>
              <w:bottom w:val="dashed" w:sz="4" w:space="0" w:color="auto"/>
              <w:right w:val="dashed" w:sz="4" w:space="0" w:color="auto"/>
            </w:tcBorders>
            <w:shd w:val="clear" w:color="auto" w:fill="auto"/>
            <w:vAlign w:val="center"/>
            <w:hideMark/>
          </w:tcPr>
          <w:p w:rsidR="00DE1431" w:rsidRPr="00DE1431" w:rsidP="00DE1431" w14:paraId="682CAC77"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120</w:t>
            </w:r>
          </w:p>
        </w:tc>
        <w:tc>
          <w:tcPr>
            <w:tcW w:w="1749" w:type="dxa"/>
            <w:tcBorders>
              <w:top w:val="nil"/>
              <w:left w:val="nil"/>
              <w:bottom w:val="dashed" w:sz="4" w:space="0" w:color="auto"/>
              <w:right w:val="double" w:sz="6" w:space="0" w:color="auto"/>
            </w:tcBorders>
            <w:shd w:val="clear" w:color="auto" w:fill="auto"/>
            <w:vAlign w:val="center"/>
            <w:hideMark/>
          </w:tcPr>
          <w:p w:rsidR="00DE1431" w:rsidRPr="00DE1431" w:rsidP="00DE1431" w14:paraId="14E140CD"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2,880</w:t>
            </w:r>
          </w:p>
        </w:tc>
      </w:tr>
      <w:tr w14:paraId="4EAA89CC" w14:textId="77777777" w:rsidTr="00DE1431">
        <w:tblPrEx>
          <w:tblW w:w="7260" w:type="dxa"/>
          <w:tblLook w:val="04A0"/>
        </w:tblPrEx>
        <w:trPr>
          <w:gridAfter w:val="1"/>
          <w:wAfter w:w="36" w:type="dxa"/>
          <w:trHeight w:val="310"/>
        </w:trPr>
        <w:tc>
          <w:tcPr>
            <w:tcW w:w="2584" w:type="dxa"/>
            <w:vMerge w:val="restart"/>
            <w:tcBorders>
              <w:top w:val="nil"/>
              <w:left w:val="double" w:sz="6" w:space="0" w:color="auto"/>
              <w:bottom w:val="dashed" w:sz="4" w:space="0" w:color="auto"/>
              <w:right w:val="dashed" w:sz="4" w:space="0" w:color="auto"/>
            </w:tcBorders>
            <w:shd w:val="clear" w:color="auto" w:fill="auto"/>
            <w:vAlign w:val="center"/>
            <w:hideMark/>
          </w:tcPr>
          <w:p w:rsidR="00DE1431" w:rsidRPr="00DE1431" w:rsidP="00DE1431" w14:paraId="5F9D9C4C" w14:textId="77777777">
            <w:pPr>
              <w:widowControl/>
              <w:rPr>
                <w:rFonts w:ascii="Times New Roman" w:hAnsi="Times New Roman"/>
                <w:snapToGrid/>
                <w:color w:val="000000"/>
                <w:szCs w:val="24"/>
              </w:rPr>
            </w:pPr>
            <w:r w:rsidRPr="00DE1431">
              <w:rPr>
                <w:rFonts w:ascii="Times New Roman" w:hAnsi="Times New Roman"/>
                <w:snapToGrid/>
                <w:color w:val="000000"/>
                <w:szCs w:val="24"/>
              </w:rPr>
              <w:t>732.17(b)</w:t>
            </w:r>
          </w:p>
        </w:tc>
        <w:tc>
          <w:tcPr>
            <w:tcW w:w="1456" w:type="dxa"/>
            <w:vMerge w:val="restart"/>
            <w:tcBorders>
              <w:top w:val="nil"/>
              <w:left w:val="dashed" w:sz="4" w:space="0" w:color="auto"/>
              <w:bottom w:val="dashed" w:sz="4" w:space="0" w:color="auto"/>
              <w:right w:val="dashed" w:sz="4" w:space="0" w:color="auto"/>
            </w:tcBorders>
            <w:shd w:val="clear" w:color="auto" w:fill="auto"/>
            <w:vAlign w:val="center"/>
            <w:hideMark/>
          </w:tcPr>
          <w:p w:rsidR="00DE1431" w:rsidRPr="00DE1431" w:rsidP="00DE1431" w14:paraId="3C81FDC1"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1</w:t>
            </w:r>
          </w:p>
        </w:tc>
        <w:tc>
          <w:tcPr>
            <w:tcW w:w="1435" w:type="dxa"/>
            <w:vMerge w:val="restart"/>
            <w:tcBorders>
              <w:top w:val="nil"/>
              <w:left w:val="dashed" w:sz="4" w:space="0" w:color="auto"/>
              <w:bottom w:val="dashed" w:sz="4" w:space="0" w:color="auto"/>
              <w:right w:val="dashed" w:sz="4" w:space="0" w:color="auto"/>
            </w:tcBorders>
            <w:shd w:val="clear" w:color="auto" w:fill="auto"/>
            <w:vAlign w:val="center"/>
            <w:hideMark/>
          </w:tcPr>
          <w:p w:rsidR="00DE1431" w:rsidRPr="00DE1431" w:rsidP="00DE1431" w14:paraId="61F0AF66"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1</w:t>
            </w:r>
          </w:p>
        </w:tc>
        <w:tc>
          <w:tcPr>
            <w:tcW w:w="1749" w:type="dxa"/>
            <w:vMerge w:val="restart"/>
            <w:tcBorders>
              <w:top w:val="nil"/>
              <w:left w:val="dashed" w:sz="4" w:space="0" w:color="auto"/>
              <w:bottom w:val="dashed" w:sz="4" w:space="0" w:color="auto"/>
              <w:right w:val="double" w:sz="6" w:space="0" w:color="auto"/>
            </w:tcBorders>
            <w:shd w:val="clear" w:color="auto" w:fill="auto"/>
            <w:vAlign w:val="center"/>
            <w:hideMark/>
          </w:tcPr>
          <w:p w:rsidR="00DE1431" w:rsidRPr="00DE1431" w:rsidP="00DE1431" w14:paraId="6985D789"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1</w:t>
            </w:r>
          </w:p>
        </w:tc>
      </w:tr>
      <w:tr w14:paraId="0E545EDF" w14:textId="77777777" w:rsidTr="00DE1431">
        <w:tblPrEx>
          <w:tblW w:w="7260" w:type="dxa"/>
          <w:tblLook w:val="04A0"/>
        </w:tblPrEx>
        <w:trPr>
          <w:trHeight w:val="230"/>
        </w:trPr>
        <w:tc>
          <w:tcPr>
            <w:tcW w:w="2584" w:type="dxa"/>
            <w:vMerge/>
            <w:tcBorders>
              <w:top w:val="nil"/>
              <w:left w:val="double" w:sz="6" w:space="0" w:color="auto"/>
              <w:bottom w:val="dashed" w:sz="4" w:space="0" w:color="auto"/>
              <w:right w:val="dashed" w:sz="4" w:space="0" w:color="auto"/>
            </w:tcBorders>
            <w:vAlign w:val="center"/>
            <w:hideMark/>
          </w:tcPr>
          <w:p w:rsidR="00DE1431" w:rsidRPr="00DE1431" w:rsidP="00DE1431" w14:paraId="7F752794" w14:textId="77777777">
            <w:pPr>
              <w:widowControl/>
              <w:rPr>
                <w:rFonts w:ascii="Times New Roman" w:hAnsi="Times New Roman"/>
                <w:snapToGrid/>
                <w:color w:val="000000"/>
                <w:szCs w:val="24"/>
              </w:rPr>
            </w:pPr>
          </w:p>
        </w:tc>
        <w:tc>
          <w:tcPr>
            <w:tcW w:w="1456" w:type="dxa"/>
            <w:vMerge/>
            <w:tcBorders>
              <w:top w:val="nil"/>
              <w:left w:val="dashed" w:sz="4" w:space="0" w:color="auto"/>
              <w:bottom w:val="dashed" w:sz="4" w:space="0" w:color="auto"/>
              <w:right w:val="dashed" w:sz="4" w:space="0" w:color="auto"/>
            </w:tcBorders>
            <w:vAlign w:val="center"/>
            <w:hideMark/>
          </w:tcPr>
          <w:p w:rsidR="00DE1431" w:rsidRPr="00DE1431" w:rsidP="00DE1431" w14:paraId="4C7C5C1D" w14:textId="77777777">
            <w:pPr>
              <w:widowControl/>
              <w:rPr>
                <w:rFonts w:ascii="Times New Roman" w:hAnsi="Times New Roman"/>
                <w:snapToGrid/>
                <w:color w:val="000000"/>
                <w:szCs w:val="24"/>
              </w:rPr>
            </w:pPr>
          </w:p>
        </w:tc>
        <w:tc>
          <w:tcPr>
            <w:tcW w:w="1435" w:type="dxa"/>
            <w:vMerge/>
            <w:tcBorders>
              <w:top w:val="nil"/>
              <w:left w:val="dashed" w:sz="4" w:space="0" w:color="auto"/>
              <w:bottom w:val="dashed" w:sz="4" w:space="0" w:color="auto"/>
              <w:right w:val="dashed" w:sz="4" w:space="0" w:color="auto"/>
            </w:tcBorders>
            <w:vAlign w:val="center"/>
            <w:hideMark/>
          </w:tcPr>
          <w:p w:rsidR="00DE1431" w:rsidRPr="00DE1431" w:rsidP="00DE1431" w14:paraId="59E6AE68" w14:textId="77777777">
            <w:pPr>
              <w:widowControl/>
              <w:rPr>
                <w:rFonts w:ascii="Times New Roman" w:hAnsi="Times New Roman"/>
                <w:snapToGrid/>
                <w:color w:val="000000"/>
                <w:szCs w:val="24"/>
              </w:rPr>
            </w:pPr>
          </w:p>
        </w:tc>
        <w:tc>
          <w:tcPr>
            <w:tcW w:w="1749" w:type="dxa"/>
            <w:vMerge/>
            <w:tcBorders>
              <w:top w:val="nil"/>
              <w:left w:val="dashed" w:sz="4" w:space="0" w:color="auto"/>
              <w:bottom w:val="dashed" w:sz="4" w:space="0" w:color="auto"/>
              <w:right w:val="double" w:sz="6" w:space="0" w:color="auto"/>
            </w:tcBorders>
            <w:vAlign w:val="center"/>
            <w:hideMark/>
          </w:tcPr>
          <w:p w:rsidR="00DE1431" w:rsidRPr="00DE1431" w:rsidP="00DE1431" w14:paraId="01BDBEE0" w14:textId="77777777">
            <w:pPr>
              <w:widowControl/>
              <w:rPr>
                <w:rFonts w:ascii="Times New Roman" w:hAnsi="Times New Roman"/>
                <w:snapToGrid/>
                <w:color w:val="000000"/>
                <w:szCs w:val="24"/>
              </w:rPr>
            </w:pPr>
          </w:p>
        </w:tc>
        <w:tc>
          <w:tcPr>
            <w:tcW w:w="36" w:type="dxa"/>
            <w:tcBorders>
              <w:top w:val="nil"/>
              <w:left w:val="nil"/>
              <w:bottom w:val="nil"/>
              <w:right w:val="nil"/>
            </w:tcBorders>
            <w:shd w:val="clear" w:color="auto" w:fill="auto"/>
            <w:noWrap/>
            <w:vAlign w:val="bottom"/>
            <w:hideMark/>
          </w:tcPr>
          <w:p w:rsidR="00DE1431" w:rsidRPr="00DE1431" w:rsidP="00DE1431" w14:paraId="67504AD9" w14:textId="77777777">
            <w:pPr>
              <w:widowControl/>
              <w:jc w:val="center"/>
              <w:rPr>
                <w:rFonts w:ascii="Times New Roman" w:hAnsi="Times New Roman"/>
                <w:snapToGrid/>
                <w:color w:val="000000"/>
                <w:szCs w:val="24"/>
              </w:rPr>
            </w:pPr>
          </w:p>
        </w:tc>
      </w:tr>
      <w:tr w14:paraId="47B44BDD" w14:textId="77777777" w:rsidTr="00DE1431">
        <w:tblPrEx>
          <w:tblW w:w="7260" w:type="dxa"/>
          <w:tblLook w:val="04A0"/>
        </w:tblPrEx>
        <w:trPr>
          <w:trHeight w:val="320"/>
        </w:trPr>
        <w:tc>
          <w:tcPr>
            <w:tcW w:w="2584" w:type="dxa"/>
            <w:tcBorders>
              <w:top w:val="nil"/>
              <w:left w:val="double" w:sz="6" w:space="0" w:color="auto"/>
              <w:bottom w:val="dashed" w:sz="4" w:space="0" w:color="auto"/>
              <w:right w:val="dashed" w:sz="4" w:space="0" w:color="auto"/>
            </w:tcBorders>
            <w:shd w:val="clear" w:color="auto" w:fill="auto"/>
            <w:vAlign w:val="center"/>
            <w:hideMark/>
          </w:tcPr>
          <w:p w:rsidR="00DE1431" w:rsidRPr="00DE1431" w:rsidP="00DE1431" w14:paraId="55C85B0A" w14:textId="77777777">
            <w:pPr>
              <w:widowControl/>
              <w:rPr>
                <w:rFonts w:ascii="Times New Roman" w:hAnsi="Times New Roman"/>
                <w:snapToGrid/>
                <w:color w:val="000000"/>
                <w:szCs w:val="24"/>
              </w:rPr>
            </w:pPr>
            <w:r w:rsidRPr="00DE1431">
              <w:rPr>
                <w:rFonts w:ascii="Times New Roman" w:hAnsi="Times New Roman"/>
                <w:snapToGrid/>
                <w:color w:val="000000"/>
                <w:szCs w:val="24"/>
              </w:rPr>
              <w:t>732.17(f) and (g)</w:t>
            </w:r>
          </w:p>
        </w:tc>
        <w:tc>
          <w:tcPr>
            <w:tcW w:w="1456" w:type="dxa"/>
            <w:tcBorders>
              <w:top w:val="nil"/>
              <w:left w:val="nil"/>
              <w:bottom w:val="dashed" w:sz="4" w:space="0" w:color="auto"/>
              <w:right w:val="dashed" w:sz="4" w:space="0" w:color="auto"/>
            </w:tcBorders>
            <w:shd w:val="clear" w:color="auto" w:fill="auto"/>
            <w:vAlign w:val="center"/>
            <w:hideMark/>
          </w:tcPr>
          <w:p w:rsidR="00DE1431" w:rsidRPr="00DE1431" w:rsidP="00DE1431" w14:paraId="02597A29"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4</w:t>
            </w:r>
          </w:p>
        </w:tc>
        <w:tc>
          <w:tcPr>
            <w:tcW w:w="1435" w:type="dxa"/>
            <w:tcBorders>
              <w:top w:val="nil"/>
              <w:left w:val="nil"/>
              <w:bottom w:val="dashed" w:sz="4" w:space="0" w:color="auto"/>
              <w:right w:val="dashed" w:sz="4" w:space="0" w:color="auto"/>
            </w:tcBorders>
            <w:shd w:val="clear" w:color="auto" w:fill="auto"/>
            <w:vAlign w:val="center"/>
            <w:hideMark/>
          </w:tcPr>
          <w:p w:rsidR="00DE1431" w:rsidRPr="00DE1431" w:rsidP="00DE1431" w14:paraId="3DB01D1C"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175</w:t>
            </w:r>
          </w:p>
        </w:tc>
        <w:tc>
          <w:tcPr>
            <w:tcW w:w="1749" w:type="dxa"/>
            <w:tcBorders>
              <w:top w:val="nil"/>
              <w:left w:val="nil"/>
              <w:bottom w:val="dashed" w:sz="4" w:space="0" w:color="auto"/>
              <w:right w:val="double" w:sz="6" w:space="0" w:color="auto"/>
            </w:tcBorders>
            <w:shd w:val="clear" w:color="auto" w:fill="auto"/>
            <w:vAlign w:val="center"/>
            <w:hideMark/>
          </w:tcPr>
          <w:p w:rsidR="00DE1431" w:rsidRPr="00DE1431" w:rsidP="00DE1431" w14:paraId="28598714"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700</w:t>
            </w:r>
          </w:p>
        </w:tc>
        <w:tc>
          <w:tcPr>
            <w:tcW w:w="36" w:type="dxa"/>
            <w:vAlign w:val="center"/>
            <w:hideMark/>
          </w:tcPr>
          <w:p w:rsidR="00DE1431" w:rsidRPr="00DE1431" w:rsidP="00DE1431" w14:paraId="0D9FD4D3" w14:textId="77777777">
            <w:pPr>
              <w:widowControl/>
              <w:rPr>
                <w:rFonts w:ascii="Times New Roman" w:hAnsi="Times New Roman"/>
                <w:snapToGrid/>
                <w:sz w:val="20"/>
              </w:rPr>
            </w:pPr>
          </w:p>
        </w:tc>
      </w:tr>
      <w:tr w14:paraId="5F746C4E" w14:textId="77777777" w:rsidTr="00DE1431">
        <w:tblPrEx>
          <w:tblW w:w="7260" w:type="dxa"/>
          <w:tblLook w:val="04A0"/>
        </w:tblPrEx>
        <w:trPr>
          <w:trHeight w:val="320"/>
        </w:trPr>
        <w:tc>
          <w:tcPr>
            <w:tcW w:w="2584" w:type="dxa"/>
            <w:tcBorders>
              <w:top w:val="nil"/>
              <w:left w:val="double" w:sz="6" w:space="0" w:color="auto"/>
              <w:bottom w:val="double" w:sz="6" w:space="0" w:color="auto"/>
              <w:right w:val="dashed" w:sz="4" w:space="0" w:color="auto"/>
            </w:tcBorders>
            <w:shd w:val="clear" w:color="auto" w:fill="auto"/>
            <w:vAlign w:val="center"/>
            <w:hideMark/>
          </w:tcPr>
          <w:p w:rsidR="00DE1431" w:rsidRPr="00DE1431" w:rsidP="00DE1431" w14:paraId="6ACF3360" w14:textId="77777777">
            <w:pPr>
              <w:widowControl/>
              <w:rPr>
                <w:rFonts w:ascii="Times New Roman" w:hAnsi="Times New Roman"/>
                <w:snapToGrid/>
                <w:color w:val="000000"/>
                <w:szCs w:val="24"/>
              </w:rPr>
            </w:pPr>
            <w:r w:rsidRPr="00DE1431">
              <w:rPr>
                <w:rFonts w:ascii="Times New Roman" w:hAnsi="Times New Roman"/>
                <w:snapToGrid/>
                <w:color w:val="000000"/>
                <w:szCs w:val="24"/>
              </w:rPr>
              <w:t>Total</w:t>
            </w:r>
          </w:p>
        </w:tc>
        <w:tc>
          <w:tcPr>
            <w:tcW w:w="1456" w:type="dxa"/>
            <w:tcBorders>
              <w:top w:val="nil"/>
              <w:left w:val="nil"/>
              <w:bottom w:val="double" w:sz="6" w:space="0" w:color="auto"/>
              <w:right w:val="dashed" w:sz="4" w:space="0" w:color="auto"/>
            </w:tcBorders>
            <w:shd w:val="clear" w:color="auto" w:fill="auto"/>
            <w:vAlign w:val="center"/>
            <w:hideMark/>
          </w:tcPr>
          <w:p w:rsidR="00DE1431" w:rsidRPr="00DE1431" w:rsidP="00DE1431" w14:paraId="29F2DEC4"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30</w:t>
            </w:r>
          </w:p>
        </w:tc>
        <w:tc>
          <w:tcPr>
            <w:tcW w:w="1435" w:type="dxa"/>
            <w:tcBorders>
              <w:top w:val="nil"/>
              <w:left w:val="nil"/>
              <w:bottom w:val="double" w:sz="6" w:space="0" w:color="auto"/>
              <w:right w:val="dashed" w:sz="4" w:space="0" w:color="auto"/>
            </w:tcBorders>
            <w:shd w:val="clear" w:color="auto" w:fill="auto"/>
            <w:vAlign w:val="center"/>
            <w:hideMark/>
          </w:tcPr>
          <w:p w:rsidR="00DE1431" w:rsidRPr="00DE1431" w:rsidP="00DE1431" w14:paraId="6558C677"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 </w:t>
            </w:r>
          </w:p>
        </w:tc>
        <w:tc>
          <w:tcPr>
            <w:tcW w:w="1749" w:type="dxa"/>
            <w:tcBorders>
              <w:top w:val="nil"/>
              <w:left w:val="nil"/>
              <w:bottom w:val="double" w:sz="6" w:space="0" w:color="auto"/>
              <w:right w:val="double" w:sz="6" w:space="0" w:color="auto"/>
            </w:tcBorders>
            <w:shd w:val="clear" w:color="auto" w:fill="auto"/>
            <w:vAlign w:val="center"/>
            <w:hideMark/>
          </w:tcPr>
          <w:p w:rsidR="00DE1431" w:rsidRPr="00DE1431" w:rsidP="00DE1431" w14:paraId="19C2A517" w14:textId="77777777">
            <w:pPr>
              <w:widowControl/>
              <w:jc w:val="center"/>
              <w:rPr>
                <w:rFonts w:ascii="Times New Roman" w:hAnsi="Times New Roman"/>
                <w:snapToGrid/>
                <w:color w:val="000000"/>
                <w:szCs w:val="24"/>
              </w:rPr>
            </w:pPr>
            <w:r w:rsidRPr="00DE1431">
              <w:rPr>
                <w:rFonts w:ascii="Times New Roman" w:hAnsi="Times New Roman"/>
                <w:snapToGrid/>
                <w:color w:val="000000"/>
                <w:szCs w:val="24"/>
              </w:rPr>
              <w:t>3,581</w:t>
            </w:r>
          </w:p>
        </w:tc>
        <w:tc>
          <w:tcPr>
            <w:tcW w:w="36" w:type="dxa"/>
            <w:vAlign w:val="center"/>
            <w:hideMark/>
          </w:tcPr>
          <w:p w:rsidR="00DE1431" w:rsidRPr="00DE1431" w:rsidP="00DE1431" w14:paraId="5B441F5F" w14:textId="77777777">
            <w:pPr>
              <w:widowControl/>
              <w:rPr>
                <w:rFonts w:ascii="Times New Roman" w:hAnsi="Times New Roman"/>
                <w:snapToGrid/>
                <w:sz w:val="20"/>
              </w:rPr>
            </w:pPr>
          </w:p>
        </w:tc>
      </w:tr>
    </w:tbl>
    <w:p w:rsidR="00DE1431" w14:paraId="1FEBE649" w14:textId="77777777">
      <w:pPr>
        <w:ind w:left="720"/>
        <w:rPr>
          <w:rFonts w:ascii="Times New Roman" w:hAnsi="Times New Roman"/>
          <w:szCs w:val="24"/>
          <w:u w:val="single"/>
        </w:rPr>
      </w:pPr>
    </w:p>
    <w:p w:rsidR="00DE1431" w14:paraId="76D14B69" w14:textId="77777777">
      <w:pPr>
        <w:ind w:left="720"/>
        <w:rPr>
          <w:rFonts w:ascii="Times New Roman" w:hAnsi="Times New Roman"/>
          <w:szCs w:val="24"/>
          <w:u w:val="single"/>
        </w:rPr>
      </w:pPr>
    </w:p>
    <w:p w:rsidR="00DE1431" w14:paraId="34170210" w14:textId="77777777">
      <w:pPr>
        <w:ind w:left="720"/>
        <w:rPr>
          <w:rFonts w:ascii="Times New Roman" w:hAnsi="Times New Roman"/>
          <w:szCs w:val="24"/>
          <w:u w:val="single"/>
        </w:rPr>
      </w:pPr>
    </w:p>
    <w:p w:rsidR="00DE1431" w14:paraId="5D729D68" w14:textId="77777777">
      <w:pPr>
        <w:ind w:left="720"/>
        <w:rPr>
          <w:rFonts w:ascii="Times New Roman" w:hAnsi="Times New Roman"/>
          <w:szCs w:val="24"/>
          <w:u w:val="single"/>
        </w:rPr>
      </w:pPr>
    </w:p>
    <w:p w:rsidR="00DE1431" w14:paraId="254FF71A" w14:textId="77777777">
      <w:pPr>
        <w:ind w:left="720"/>
        <w:rPr>
          <w:rFonts w:ascii="Times New Roman" w:hAnsi="Times New Roman"/>
          <w:szCs w:val="24"/>
          <w:u w:val="single"/>
        </w:rPr>
      </w:pPr>
    </w:p>
    <w:p w:rsidR="00AC7AC6" w14:paraId="78DE0709" w14:textId="77777777">
      <w:pPr>
        <w:ind w:left="720"/>
        <w:rPr>
          <w:rFonts w:ascii="Times New Roman" w:hAnsi="Times New Roman"/>
          <w:szCs w:val="24"/>
          <w:u w:val="single"/>
        </w:rPr>
      </w:pPr>
    </w:p>
    <w:p w:rsidR="00AC7AC6" w14:paraId="6D1AC7E5" w14:textId="77777777">
      <w:pPr>
        <w:ind w:left="720"/>
        <w:rPr>
          <w:rFonts w:ascii="Times New Roman" w:hAnsi="Times New Roman"/>
          <w:szCs w:val="24"/>
          <w:u w:val="single"/>
        </w:rPr>
      </w:pPr>
    </w:p>
    <w:p w:rsidR="00AC7AC6" w14:paraId="55A1A9EC" w14:textId="77777777">
      <w:pPr>
        <w:ind w:left="720"/>
        <w:rPr>
          <w:rFonts w:ascii="Times New Roman" w:hAnsi="Times New Roman"/>
          <w:szCs w:val="24"/>
          <w:u w:val="single"/>
        </w:rPr>
      </w:pPr>
    </w:p>
    <w:p w:rsidR="00AC7AC6" w14:paraId="7001DBBD" w14:textId="77777777">
      <w:pPr>
        <w:ind w:left="720"/>
        <w:rPr>
          <w:rFonts w:ascii="Times New Roman" w:hAnsi="Times New Roman"/>
          <w:szCs w:val="24"/>
          <w:u w:val="single"/>
        </w:rPr>
      </w:pPr>
    </w:p>
    <w:p w:rsidR="00AC7AC6" w14:paraId="06B9669A" w14:textId="77777777">
      <w:pPr>
        <w:ind w:left="720"/>
        <w:rPr>
          <w:rFonts w:ascii="Times New Roman" w:hAnsi="Times New Roman"/>
          <w:szCs w:val="24"/>
          <w:u w:val="single"/>
        </w:rPr>
      </w:pPr>
    </w:p>
    <w:p w:rsidR="00AC7AC6" w14:paraId="37476A28" w14:textId="77777777">
      <w:pPr>
        <w:ind w:left="720"/>
        <w:rPr>
          <w:rFonts w:ascii="Times New Roman" w:hAnsi="Times New Roman"/>
          <w:szCs w:val="24"/>
          <w:u w:val="single"/>
        </w:rPr>
      </w:pPr>
    </w:p>
    <w:p w:rsidR="00923628" w14:paraId="052A0033" w14:textId="460B36F0">
      <w:pPr>
        <w:ind w:left="720"/>
        <w:rPr>
          <w:rFonts w:ascii="Times New Roman" w:hAnsi="Times New Roman"/>
          <w:szCs w:val="24"/>
        </w:rPr>
      </w:pPr>
      <w:r>
        <w:rPr>
          <w:rFonts w:ascii="Times New Roman" w:hAnsi="Times New Roman"/>
          <w:szCs w:val="24"/>
          <w:u w:val="single"/>
        </w:rPr>
        <w:t>Federal Programs</w:t>
      </w:r>
      <w:r>
        <w:rPr>
          <w:rFonts w:ascii="Times New Roman" w:hAnsi="Times New Roman"/>
          <w:szCs w:val="24"/>
        </w:rPr>
        <w:t>.  OSMRE is the regulatory authority in the states of Tennessee</w:t>
      </w:r>
      <w:r w:rsidR="00B77D9D">
        <w:rPr>
          <w:rFonts w:ascii="Times New Roman" w:hAnsi="Times New Roman"/>
          <w:szCs w:val="24"/>
        </w:rPr>
        <w:t>.</w:t>
      </w:r>
      <w:r>
        <w:rPr>
          <w:rFonts w:ascii="Times New Roman" w:hAnsi="Times New Roman"/>
          <w:szCs w:val="24"/>
        </w:rPr>
        <w:t xml:space="preserve">  Washington</w:t>
      </w:r>
      <w:r w:rsidR="00DE1431">
        <w:rPr>
          <w:rFonts w:ascii="Times New Roman" w:hAnsi="Times New Roman"/>
          <w:szCs w:val="24"/>
        </w:rPr>
        <w:t>,</w:t>
      </w:r>
      <w:r w:rsidR="00B77D9D">
        <w:rPr>
          <w:rFonts w:ascii="Times New Roman" w:hAnsi="Times New Roman"/>
          <w:szCs w:val="24"/>
        </w:rPr>
        <w:t xml:space="preserve"> and Oklahoma</w:t>
      </w:r>
      <w:r>
        <w:rPr>
          <w:rFonts w:ascii="Times New Roman" w:hAnsi="Times New Roman"/>
          <w:szCs w:val="24"/>
        </w:rPr>
        <w:t xml:space="preserve">. We estimate that </w:t>
      </w:r>
      <w:r w:rsidR="00DE1431">
        <w:rPr>
          <w:rFonts w:ascii="Times New Roman" w:hAnsi="Times New Roman"/>
          <w:szCs w:val="24"/>
        </w:rPr>
        <w:t xml:space="preserve">Federal Program states </w:t>
      </w:r>
      <w:r>
        <w:rPr>
          <w:rFonts w:ascii="Times New Roman" w:hAnsi="Times New Roman"/>
          <w:szCs w:val="24"/>
        </w:rPr>
        <w:t xml:space="preserve">will </w:t>
      </w:r>
      <w:r w:rsidR="00DE1431">
        <w:rPr>
          <w:rFonts w:ascii="Times New Roman" w:hAnsi="Times New Roman"/>
          <w:szCs w:val="24"/>
        </w:rPr>
        <w:t xml:space="preserve">provide </w:t>
      </w:r>
      <w:r w:rsidR="00DB3570">
        <w:rPr>
          <w:rFonts w:ascii="Times New Roman" w:hAnsi="Times New Roman"/>
          <w:szCs w:val="24"/>
        </w:rPr>
        <w:t>annual hours to meet their regulatory responsibility as follows</w:t>
      </w:r>
      <w:r>
        <w:rPr>
          <w:rFonts w:ascii="Times New Roman" w:hAnsi="Times New Roman"/>
          <w:szCs w:val="24"/>
        </w:rPr>
        <w:t xml:space="preserve">: </w:t>
      </w:r>
    </w:p>
    <w:p w:rsidR="00923628" w14:paraId="37565934" w14:textId="77777777">
      <w:pPr>
        <w:tabs>
          <w:tab w:val="left" w:pos="720"/>
        </w:tabs>
        <w:ind w:left="720"/>
        <w:rPr>
          <w:rFonts w:ascii="Times New Roman" w:hAnsi="Times New Roman"/>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20"/>
        <w:gridCol w:w="1710"/>
        <w:gridCol w:w="2340"/>
      </w:tblGrid>
      <w:tr w14:paraId="709372D0" w14:textId="77777777">
        <w:tblPrEx>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00" w:type="dxa"/>
          </w:tcPr>
          <w:p w:rsidR="00923628" w14:paraId="06A8EDF8" w14:textId="77777777">
            <w:pPr>
              <w:jc w:val="center"/>
              <w:rPr>
                <w:rFonts w:ascii="Times New Roman" w:hAnsi="Times New Roman"/>
                <w:b/>
                <w:szCs w:val="24"/>
              </w:rPr>
            </w:pPr>
            <w:r>
              <w:rPr>
                <w:rFonts w:ascii="Times New Roman" w:hAnsi="Times New Roman"/>
                <w:szCs w:val="24"/>
              </w:rPr>
              <w:br w:type="page"/>
            </w:r>
            <w:r>
              <w:rPr>
                <w:rFonts w:ascii="Times New Roman" w:hAnsi="Times New Roman"/>
                <w:szCs w:val="24"/>
              </w:rPr>
              <w:br w:type="page"/>
            </w:r>
            <w:r>
              <w:rPr>
                <w:rFonts w:ascii="Times New Roman" w:hAnsi="Times New Roman"/>
                <w:b/>
                <w:szCs w:val="24"/>
              </w:rPr>
              <w:t>30 CFR 732</w:t>
            </w:r>
          </w:p>
          <w:p w:rsidR="00923628" w14:paraId="19BE00EA" w14:textId="77777777">
            <w:pPr>
              <w:jc w:val="center"/>
              <w:rPr>
                <w:rFonts w:ascii="Times New Roman" w:hAnsi="Times New Roman"/>
                <w:b/>
                <w:szCs w:val="24"/>
              </w:rPr>
            </w:pPr>
            <w:r>
              <w:rPr>
                <w:rFonts w:ascii="Times New Roman" w:hAnsi="Times New Roman"/>
                <w:b/>
                <w:szCs w:val="24"/>
              </w:rPr>
              <w:t>Section</w:t>
            </w:r>
          </w:p>
        </w:tc>
        <w:tc>
          <w:tcPr>
            <w:tcW w:w="1620" w:type="dxa"/>
          </w:tcPr>
          <w:p w:rsidR="00923628" w14:paraId="2935BEDE" w14:textId="77777777">
            <w:pPr>
              <w:jc w:val="center"/>
              <w:rPr>
                <w:rFonts w:ascii="Times New Roman" w:hAnsi="Times New Roman"/>
                <w:b/>
                <w:szCs w:val="24"/>
              </w:rPr>
            </w:pPr>
            <w:r>
              <w:rPr>
                <w:rFonts w:ascii="Times New Roman" w:hAnsi="Times New Roman"/>
                <w:b/>
                <w:szCs w:val="24"/>
              </w:rPr>
              <w:t>Responses</w:t>
            </w:r>
          </w:p>
        </w:tc>
        <w:tc>
          <w:tcPr>
            <w:tcW w:w="1710" w:type="dxa"/>
          </w:tcPr>
          <w:p w:rsidR="00923628" w14:paraId="0DE8046C" w14:textId="77777777">
            <w:pPr>
              <w:jc w:val="center"/>
              <w:rPr>
                <w:rFonts w:ascii="Times New Roman" w:hAnsi="Times New Roman"/>
                <w:b/>
                <w:szCs w:val="24"/>
              </w:rPr>
            </w:pPr>
            <w:r>
              <w:rPr>
                <w:rFonts w:ascii="Times New Roman" w:hAnsi="Times New Roman"/>
                <w:b/>
                <w:szCs w:val="24"/>
              </w:rPr>
              <w:t xml:space="preserve">Hours per Response </w:t>
            </w:r>
          </w:p>
        </w:tc>
        <w:tc>
          <w:tcPr>
            <w:tcW w:w="2340" w:type="dxa"/>
          </w:tcPr>
          <w:p w:rsidR="00923628" w14:paraId="18FE5870" w14:textId="77777777">
            <w:pPr>
              <w:jc w:val="center"/>
              <w:rPr>
                <w:rFonts w:ascii="Times New Roman" w:hAnsi="Times New Roman"/>
                <w:b/>
                <w:szCs w:val="24"/>
              </w:rPr>
            </w:pPr>
            <w:r>
              <w:rPr>
                <w:rFonts w:ascii="Times New Roman" w:hAnsi="Times New Roman"/>
                <w:b/>
                <w:szCs w:val="24"/>
              </w:rPr>
              <w:t xml:space="preserve">Total Hours </w:t>
            </w:r>
          </w:p>
        </w:tc>
      </w:tr>
      <w:tr w14:paraId="6688A392" w14:textId="77777777">
        <w:tblPrEx>
          <w:tblW w:w="8370" w:type="dxa"/>
          <w:tblInd w:w="828" w:type="dxa"/>
          <w:tblLayout w:type="fixed"/>
          <w:tblLook w:val="01E0"/>
        </w:tblPrEx>
        <w:trPr>
          <w:trHeight w:val="576"/>
        </w:trPr>
        <w:tc>
          <w:tcPr>
            <w:tcW w:w="2700" w:type="dxa"/>
            <w:vAlign w:val="center"/>
          </w:tcPr>
          <w:p w:rsidR="00923628" w14:paraId="63A88341" w14:textId="77777777">
            <w:pPr>
              <w:rPr>
                <w:rFonts w:ascii="Times New Roman" w:hAnsi="Times New Roman"/>
                <w:szCs w:val="24"/>
              </w:rPr>
            </w:pPr>
            <w:r>
              <w:rPr>
                <w:rFonts w:ascii="Times New Roman" w:hAnsi="Times New Roman"/>
                <w:szCs w:val="24"/>
              </w:rPr>
              <w:t>732.16(a)</w:t>
            </w:r>
          </w:p>
        </w:tc>
        <w:tc>
          <w:tcPr>
            <w:tcW w:w="1620" w:type="dxa"/>
            <w:vAlign w:val="center"/>
          </w:tcPr>
          <w:p w:rsidR="00923628" w14:paraId="52C051D1" w14:textId="77777777">
            <w:pPr>
              <w:jc w:val="center"/>
              <w:rPr>
                <w:rFonts w:ascii="Times New Roman" w:hAnsi="Times New Roman"/>
                <w:szCs w:val="24"/>
              </w:rPr>
            </w:pPr>
            <w:r>
              <w:rPr>
                <w:rFonts w:ascii="Times New Roman" w:hAnsi="Times New Roman"/>
                <w:szCs w:val="24"/>
              </w:rPr>
              <w:t>3</w:t>
            </w:r>
          </w:p>
        </w:tc>
        <w:tc>
          <w:tcPr>
            <w:tcW w:w="1710" w:type="dxa"/>
            <w:vAlign w:val="center"/>
          </w:tcPr>
          <w:p w:rsidR="00923628" w14:paraId="370FACC6" w14:textId="77777777">
            <w:pPr>
              <w:ind w:right="-46"/>
              <w:jc w:val="center"/>
              <w:rPr>
                <w:rFonts w:ascii="Times New Roman" w:hAnsi="Times New Roman"/>
                <w:szCs w:val="24"/>
              </w:rPr>
            </w:pPr>
            <w:r>
              <w:rPr>
                <w:rFonts w:ascii="Times New Roman" w:hAnsi="Times New Roman"/>
                <w:szCs w:val="24"/>
              </w:rPr>
              <w:t>15</w:t>
            </w:r>
          </w:p>
        </w:tc>
        <w:tc>
          <w:tcPr>
            <w:tcW w:w="2340" w:type="dxa"/>
            <w:vAlign w:val="center"/>
          </w:tcPr>
          <w:p w:rsidR="00923628" w14:paraId="6F63E658" w14:textId="77777777">
            <w:pPr>
              <w:jc w:val="center"/>
              <w:rPr>
                <w:rFonts w:ascii="Times New Roman" w:hAnsi="Times New Roman"/>
                <w:szCs w:val="24"/>
              </w:rPr>
            </w:pPr>
            <w:r>
              <w:rPr>
                <w:rFonts w:ascii="Times New Roman" w:hAnsi="Times New Roman"/>
                <w:szCs w:val="24"/>
              </w:rPr>
              <w:t>45</w:t>
            </w:r>
          </w:p>
        </w:tc>
      </w:tr>
      <w:tr w14:paraId="3DB58BF4" w14:textId="77777777">
        <w:tblPrEx>
          <w:tblW w:w="8370" w:type="dxa"/>
          <w:tblInd w:w="828" w:type="dxa"/>
          <w:tblLayout w:type="fixed"/>
          <w:tblLook w:val="01E0"/>
        </w:tblPrEx>
        <w:trPr>
          <w:trHeight w:val="576"/>
        </w:trPr>
        <w:tc>
          <w:tcPr>
            <w:tcW w:w="2700" w:type="dxa"/>
            <w:vAlign w:val="center"/>
          </w:tcPr>
          <w:p w:rsidR="00923628" w14:paraId="22F7FD92" w14:textId="77777777">
            <w:pPr>
              <w:rPr>
                <w:rFonts w:ascii="Times New Roman" w:hAnsi="Times New Roman"/>
                <w:szCs w:val="24"/>
              </w:rPr>
            </w:pPr>
            <w:r>
              <w:rPr>
                <w:rFonts w:ascii="Times New Roman" w:hAnsi="Times New Roman"/>
                <w:szCs w:val="24"/>
              </w:rPr>
              <w:t>732.17(b)</w:t>
            </w:r>
          </w:p>
        </w:tc>
        <w:tc>
          <w:tcPr>
            <w:tcW w:w="1620" w:type="dxa"/>
            <w:vAlign w:val="center"/>
          </w:tcPr>
          <w:p w:rsidR="00923628" w14:paraId="1EC7823D" w14:textId="77777777">
            <w:pPr>
              <w:jc w:val="center"/>
              <w:rPr>
                <w:rFonts w:ascii="Times New Roman" w:hAnsi="Times New Roman"/>
                <w:szCs w:val="24"/>
              </w:rPr>
            </w:pPr>
            <w:r>
              <w:rPr>
                <w:rFonts w:ascii="Times New Roman" w:hAnsi="Times New Roman"/>
                <w:szCs w:val="24"/>
              </w:rPr>
              <w:t>0</w:t>
            </w:r>
          </w:p>
        </w:tc>
        <w:tc>
          <w:tcPr>
            <w:tcW w:w="1710" w:type="dxa"/>
            <w:vAlign w:val="center"/>
          </w:tcPr>
          <w:p w:rsidR="00923628" w14:paraId="66DC1A7A" w14:textId="77777777">
            <w:pPr>
              <w:ind w:right="-46"/>
              <w:jc w:val="center"/>
              <w:rPr>
                <w:rFonts w:ascii="Times New Roman" w:hAnsi="Times New Roman"/>
                <w:szCs w:val="24"/>
              </w:rPr>
            </w:pPr>
            <w:r>
              <w:rPr>
                <w:rFonts w:ascii="Times New Roman" w:hAnsi="Times New Roman"/>
                <w:szCs w:val="24"/>
              </w:rPr>
              <w:t>0</w:t>
            </w:r>
          </w:p>
        </w:tc>
        <w:tc>
          <w:tcPr>
            <w:tcW w:w="2340" w:type="dxa"/>
            <w:vAlign w:val="center"/>
          </w:tcPr>
          <w:p w:rsidR="00923628" w14:paraId="24F09CA1" w14:textId="77777777">
            <w:pPr>
              <w:jc w:val="center"/>
              <w:rPr>
                <w:rFonts w:ascii="Times New Roman" w:hAnsi="Times New Roman"/>
                <w:szCs w:val="24"/>
              </w:rPr>
            </w:pPr>
            <w:r>
              <w:rPr>
                <w:rFonts w:ascii="Times New Roman" w:hAnsi="Times New Roman"/>
                <w:szCs w:val="24"/>
              </w:rPr>
              <w:t>0</w:t>
            </w:r>
          </w:p>
        </w:tc>
      </w:tr>
      <w:tr w14:paraId="276F1722" w14:textId="77777777">
        <w:tblPrEx>
          <w:tblW w:w="8370" w:type="dxa"/>
          <w:tblInd w:w="828" w:type="dxa"/>
          <w:tblLayout w:type="fixed"/>
          <w:tblLook w:val="01E0"/>
        </w:tblPrEx>
        <w:trPr>
          <w:trHeight w:val="576"/>
        </w:trPr>
        <w:tc>
          <w:tcPr>
            <w:tcW w:w="2700" w:type="dxa"/>
            <w:vAlign w:val="center"/>
          </w:tcPr>
          <w:p w:rsidR="00923628" w14:paraId="78C6E3B5" w14:textId="77777777">
            <w:pPr>
              <w:rPr>
                <w:rFonts w:ascii="Times New Roman" w:hAnsi="Times New Roman"/>
                <w:szCs w:val="24"/>
              </w:rPr>
            </w:pPr>
            <w:r>
              <w:rPr>
                <w:rFonts w:ascii="Times New Roman" w:hAnsi="Times New Roman"/>
                <w:szCs w:val="24"/>
              </w:rPr>
              <w:t>732.17(f) and (g)</w:t>
            </w:r>
          </w:p>
        </w:tc>
        <w:tc>
          <w:tcPr>
            <w:tcW w:w="1620" w:type="dxa"/>
            <w:vAlign w:val="center"/>
          </w:tcPr>
          <w:p w:rsidR="00923628" w14:paraId="011A8F51" w14:textId="77777777">
            <w:pPr>
              <w:jc w:val="center"/>
              <w:rPr>
                <w:rFonts w:ascii="Times New Roman" w:hAnsi="Times New Roman"/>
                <w:szCs w:val="24"/>
              </w:rPr>
            </w:pPr>
            <w:r>
              <w:rPr>
                <w:rFonts w:ascii="Times New Roman" w:hAnsi="Times New Roman"/>
                <w:szCs w:val="24"/>
              </w:rPr>
              <w:t>0</w:t>
            </w:r>
          </w:p>
        </w:tc>
        <w:tc>
          <w:tcPr>
            <w:tcW w:w="1710" w:type="dxa"/>
            <w:vAlign w:val="center"/>
          </w:tcPr>
          <w:p w:rsidR="00923628" w14:paraId="72F8D3F0" w14:textId="77777777">
            <w:pPr>
              <w:ind w:right="-46"/>
              <w:jc w:val="center"/>
              <w:rPr>
                <w:rFonts w:ascii="Times New Roman" w:hAnsi="Times New Roman"/>
                <w:szCs w:val="24"/>
              </w:rPr>
            </w:pPr>
            <w:r>
              <w:rPr>
                <w:rFonts w:ascii="Times New Roman" w:hAnsi="Times New Roman"/>
                <w:szCs w:val="24"/>
              </w:rPr>
              <w:t>0</w:t>
            </w:r>
          </w:p>
        </w:tc>
        <w:tc>
          <w:tcPr>
            <w:tcW w:w="2340" w:type="dxa"/>
            <w:vAlign w:val="center"/>
          </w:tcPr>
          <w:p w:rsidR="00923628" w14:paraId="4EE7A343" w14:textId="77777777">
            <w:pPr>
              <w:jc w:val="center"/>
              <w:rPr>
                <w:rFonts w:ascii="Times New Roman" w:hAnsi="Times New Roman"/>
                <w:szCs w:val="24"/>
              </w:rPr>
            </w:pPr>
            <w:r>
              <w:rPr>
                <w:rFonts w:ascii="Times New Roman" w:hAnsi="Times New Roman"/>
                <w:szCs w:val="24"/>
              </w:rPr>
              <w:t>0</w:t>
            </w:r>
          </w:p>
        </w:tc>
      </w:tr>
      <w:tr w14:paraId="47263389" w14:textId="77777777">
        <w:tblPrEx>
          <w:tblW w:w="8370" w:type="dxa"/>
          <w:tblInd w:w="828" w:type="dxa"/>
          <w:tblLayout w:type="fixed"/>
          <w:tblLook w:val="01E0"/>
        </w:tblPrEx>
        <w:trPr>
          <w:trHeight w:val="432"/>
        </w:trPr>
        <w:tc>
          <w:tcPr>
            <w:tcW w:w="2700" w:type="dxa"/>
            <w:vAlign w:val="center"/>
          </w:tcPr>
          <w:p w:rsidR="00923628" w14:paraId="6BD74C5D" w14:textId="77777777">
            <w:pPr>
              <w:rPr>
                <w:rFonts w:ascii="Times New Roman" w:hAnsi="Times New Roman"/>
                <w:szCs w:val="24"/>
              </w:rPr>
            </w:pPr>
            <w:r>
              <w:rPr>
                <w:rFonts w:ascii="Times New Roman" w:hAnsi="Times New Roman"/>
                <w:szCs w:val="24"/>
              </w:rPr>
              <w:t>Total</w:t>
            </w:r>
          </w:p>
        </w:tc>
        <w:tc>
          <w:tcPr>
            <w:tcW w:w="1620" w:type="dxa"/>
            <w:vAlign w:val="center"/>
          </w:tcPr>
          <w:p w:rsidR="00923628" w14:paraId="3D9983E5" w14:textId="77777777">
            <w:pPr>
              <w:jc w:val="center"/>
              <w:rPr>
                <w:rFonts w:ascii="Times New Roman" w:hAnsi="Times New Roman"/>
                <w:szCs w:val="24"/>
              </w:rPr>
            </w:pPr>
            <w:r>
              <w:rPr>
                <w:rFonts w:ascii="Times New Roman" w:hAnsi="Times New Roman"/>
                <w:szCs w:val="24"/>
              </w:rPr>
              <w:t>3</w:t>
            </w:r>
          </w:p>
        </w:tc>
        <w:tc>
          <w:tcPr>
            <w:tcW w:w="1710" w:type="dxa"/>
            <w:vAlign w:val="center"/>
          </w:tcPr>
          <w:p w:rsidR="00923628" w14:paraId="4565C8A0" w14:textId="77777777">
            <w:pPr>
              <w:ind w:right="-46"/>
              <w:jc w:val="center"/>
              <w:rPr>
                <w:rFonts w:ascii="Times New Roman" w:hAnsi="Times New Roman"/>
                <w:szCs w:val="24"/>
              </w:rPr>
            </w:pPr>
          </w:p>
        </w:tc>
        <w:tc>
          <w:tcPr>
            <w:tcW w:w="2340" w:type="dxa"/>
            <w:vAlign w:val="center"/>
          </w:tcPr>
          <w:p w:rsidR="00923628" w14:paraId="6CCE7332" w14:textId="77777777">
            <w:pPr>
              <w:tabs>
                <w:tab w:val="left" w:pos="848"/>
              </w:tabs>
              <w:jc w:val="center"/>
              <w:rPr>
                <w:rFonts w:ascii="Times New Roman" w:hAnsi="Times New Roman"/>
                <w:szCs w:val="24"/>
              </w:rPr>
            </w:pPr>
            <w:r>
              <w:rPr>
                <w:rFonts w:ascii="Times New Roman" w:hAnsi="Times New Roman"/>
                <w:szCs w:val="24"/>
              </w:rPr>
              <w:t>45</w:t>
            </w:r>
          </w:p>
        </w:tc>
      </w:tr>
    </w:tbl>
    <w:p w:rsidR="00923628" w14:paraId="1F93D7AD" w14:textId="77777777">
      <w:pPr>
        <w:ind w:left="1440"/>
        <w:rPr>
          <w:rFonts w:ascii="Times New Roman" w:hAnsi="Times New Roman"/>
          <w:szCs w:val="24"/>
        </w:rPr>
      </w:pPr>
    </w:p>
    <w:p w:rsidR="00D82CC9" w14:paraId="75BB85B9" w14:textId="79EC53E3">
      <w:pPr>
        <w:ind w:left="720"/>
        <w:rPr>
          <w:rFonts w:ascii="Times New Roman" w:hAnsi="Times New Roman"/>
          <w:szCs w:val="24"/>
        </w:rPr>
      </w:pPr>
      <w:r>
        <w:rPr>
          <w:rFonts w:ascii="Times New Roman" w:hAnsi="Times New Roman"/>
          <w:szCs w:val="24"/>
        </w:rPr>
        <w:t xml:space="preserve">  An average-weighted Federal wage rate is calculated as shown below: </w:t>
      </w:r>
    </w:p>
    <w:p w:rsidR="00D82CC9" w14:paraId="2781B4A4" w14:textId="5996D232">
      <w:pPr>
        <w:ind w:left="720"/>
        <w:rPr>
          <w:rFonts w:ascii="Times New Roman" w:hAnsi="Times New Roman"/>
          <w:szCs w:val="24"/>
        </w:rPr>
      </w:pPr>
    </w:p>
    <w:p w:rsidR="00D82CC9" w14:paraId="0A0A9AE3" w14:textId="2A2DF2C6">
      <w:pPr>
        <w:ind w:left="720"/>
        <w:rPr>
          <w:rFonts w:ascii="Times New Roman" w:hAnsi="Times New Roman"/>
          <w:szCs w:val="24"/>
        </w:rPr>
      </w:pPr>
    </w:p>
    <w:tbl>
      <w:tblPr>
        <w:tblW w:w="10500" w:type="dxa"/>
        <w:tblInd w:w="131" w:type="dxa"/>
        <w:tblCellMar>
          <w:top w:w="15" w:type="dxa"/>
        </w:tblCellMar>
        <w:tblLook w:val="04A0"/>
      </w:tblPr>
      <w:tblGrid>
        <w:gridCol w:w="1828"/>
        <w:gridCol w:w="2185"/>
        <w:gridCol w:w="1475"/>
        <w:gridCol w:w="1773"/>
        <w:gridCol w:w="1137"/>
        <w:gridCol w:w="1880"/>
        <w:gridCol w:w="222"/>
      </w:tblGrid>
      <w:tr w14:paraId="48953897" w14:textId="77777777" w:rsidTr="00D82CC9">
        <w:tblPrEx>
          <w:tblW w:w="10500" w:type="dxa"/>
          <w:tblInd w:w="131" w:type="dxa"/>
          <w:tblCellMar>
            <w:top w:w="15" w:type="dxa"/>
          </w:tblCellMar>
          <w:tblLook w:val="04A0"/>
        </w:tblPrEx>
        <w:trPr>
          <w:gridAfter w:val="1"/>
          <w:wAfter w:w="29" w:type="dxa"/>
          <w:trHeight w:val="640"/>
        </w:trPr>
        <w:tc>
          <w:tcPr>
            <w:tcW w:w="1838" w:type="dxa"/>
            <w:tcBorders>
              <w:top w:val="double" w:sz="6" w:space="0" w:color="auto"/>
              <w:left w:val="double" w:sz="6" w:space="0" w:color="auto"/>
              <w:bottom w:val="single" w:sz="8" w:space="0" w:color="auto"/>
              <w:right w:val="single" w:sz="8" w:space="0" w:color="auto"/>
            </w:tcBorders>
            <w:shd w:val="clear" w:color="auto" w:fill="auto"/>
            <w:vAlign w:val="center"/>
            <w:hideMark/>
          </w:tcPr>
          <w:p w:rsidR="00D82CC9" w:rsidRPr="00D82CC9" w:rsidP="00D82CC9" w14:paraId="1C65B56B"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Position</w:t>
            </w:r>
          </w:p>
        </w:tc>
        <w:tc>
          <w:tcPr>
            <w:tcW w:w="2233" w:type="dxa"/>
            <w:tcBorders>
              <w:top w:val="double" w:sz="6" w:space="0" w:color="auto"/>
              <w:left w:val="nil"/>
              <w:bottom w:val="single" w:sz="8" w:space="0" w:color="auto"/>
              <w:right w:val="single" w:sz="8" w:space="0" w:color="auto"/>
            </w:tcBorders>
            <w:shd w:val="clear" w:color="auto" w:fill="auto"/>
            <w:vAlign w:val="center"/>
            <w:hideMark/>
          </w:tcPr>
          <w:p w:rsidR="00D82CC9" w:rsidRPr="00D82CC9" w:rsidP="00D82CC9" w14:paraId="04ED96D4"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Grade/Step</w:t>
            </w:r>
          </w:p>
        </w:tc>
        <w:tc>
          <w:tcPr>
            <w:tcW w:w="1514" w:type="dxa"/>
            <w:tcBorders>
              <w:top w:val="double" w:sz="6" w:space="0" w:color="auto"/>
              <w:left w:val="nil"/>
              <w:bottom w:val="single" w:sz="8" w:space="0" w:color="auto"/>
              <w:right w:val="single" w:sz="8" w:space="0" w:color="auto"/>
            </w:tcBorders>
            <w:shd w:val="clear" w:color="auto" w:fill="auto"/>
            <w:vAlign w:val="center"/>
            <w:hideMark/>
          </w:tcPr>
          <w:p w:rsidR="00D82CC9" w:rsidRPr="00D82CC9" w:rsidP="00D82CC9" w14:paraId="29BFE509"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Cost per hour ($)</w:t>
            </w:r>
          </w:p>
        </w:tc>
        <w:tc>
          <w:tcPr>
            <w:tcW w:w="1814" w:type="dxa"/>
            <w:tcBorders>
              <w:top w:val="double" w:sz="6" w:space="0" w:color="auto"/>
              <w:left w:val="nil"/>
              <w:bottom w:val="single" w:sz="8" w:space="0" w:color="auto"/>
              <w:right w:val="single" w:sz="8" w:space="0" w:color="auto"/>
            </w:tcBorders>
            <w:shd w:val="clear" w:color="auto" w:fill="auto"/>
            <w:vAlign w:val="center"/>
            <w:hideMark/>
          </w:tcPr>
          <w:p w:rsidR="00D82CC9" w:rsidRPr="00D82CC9" w:rsidP="00D82CC9" w14:paraId="41C24F94"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Hourly Rate with Benefits (x 1.6) $</w:t>
            </w:r>
          </w:p>
        </w:tc>
        <w:tc>
          <w:tcPr>
            <w:tcW w:w="1157" w:type="dxa"/>
            <w:tcBorders>
              <w:top w:val="double" w:sz="6" w:space="0" w:color="auto"/>
              <w:left w:val="nil"/>
              <w:bottom w:val="single" w:sz="8" w:space="0" w:color="auto"/>
              <w:right w:val="single" w:sz="8" w:space="0" w:color="auto"/>
            </w:tcBorders>
            <w:shd w:val="clear" w:color="auto" w:fill="auto"/>
            <w:vAlign w:val="center"/>
            <w:hideMark/>
          </w:tcPr>
          <w:p w:rsidR="00D82CC9" w:rsidRPr="00D82CC9" w:rsidP="00D82CC9" w14:paraId="5673BB47"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 xml:space="preserve">Wage Cost Share </w:t>
            </w:r>
          </w:p>
        </w:tc>
        <w:tc>
          <w:tcPr>
            <w:tcW w:w="1915" w:type="dxa"/>
            <w:tcBorders>
              <w:top w:val="double" w:sz="6" w:space="0" w:color="auto"/>
              <w:left w:val="nil"/>
              <w:bottom w:val="single" w:sz="8" w:space="0" w:color="auto"/>
              <w:right w:val="double" w:sz="6" w:space="0" w:color="auto"/>
            </w:tcBorders>
            <w:shd w:val="clear" w:color="auto" w:fill="auto"/>
            <w:vAlign w:val="center"/>
            <w:hideMark/>
          </w:tcPr>
          <w:p w:rsidR="00D82CC9" w:rsidRPr="00D82CC9" w:rsidP="00D82CC9" w14:paraId="30E47CD1"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Weighted- average per hour</w:t>
            </w:r>
          </w:p>
        </w:tc>
      </w:tr>
      <w:tr w14:paraId="5A128A95" w14:textId="77777777" w:rsidTr="00D82CC9">
        <w:tblPrEx>
          <w:tblW w:w="10500" w:type="dxa"/>
          <w:tblInd w:w="131" w:type="dxa"/>
          <w:tblCellMar>
            <w:top w:w="15" w:type="dxa"/>
          </w:tblCellMar>
          <w:tblLook w:val="04A0"/>
        </w:tblPrEx>
        <w:trPr>
          <w:gridAfter w:val="1"/>
          <w:wAfter w:w="29" w:type="dxa"/>
          <w:trHeight w:val="320"/>
        </w:trPr>
        <w:tc>
          <w:tcPr>
            <w:tcW w:w="1838" w:type="dxa"/>
            <w:tcBorders>
              <w:top w:val="nil"/>
              <w:left w:val="double" w:sz="6" w:space="0" w:color="auto"/>
              <w:bottom w:val="single" w:sz="8" w:space="0" w:color="auto"/>
              <w:right w:val="single" w:sz="8" w:space="0" w:color="auto"/>
            </w:tcBorders>
            <w:shd w:val="clear" w:color="auto" w:fill="auto"/>
            <w:vAlign w:val="center"/>
            <w:hideMark/>
          </w:tcPr>
          <w:p w:rsidR="00D82CC9" w:rsidRPr="00D82CC9" w:rsidP="00D82CC9" w14:paraId="1FA8CA74" w14:textId="77777777">
            <w:pPr>
              <w:widowControl/>
              <w:rPr>
                <w:rFonts w:ascii="Times New Roman" w:hAnsi="Times New Roman"/>
                <w:snapToGrid/>
                <w:color w:val="000000"/>
                <w:szCs w:val="24"/>
              </w:rPr>
            </w:pPr>
            <w:r w:rsidRPr="00D82CC9">
              <w:rPr>
                <w:rFonts w:ascii="Times New Roman" w:hAnsi="Times New Roman"/>
                <w:snapToGrid/>
                <w:color w:val="000000"/>
                <w:szCs w:val="24"/>
              </w:rPr>
              <w:t>Administrative</w:t>
            </w:r>
          </w:p>
        </w:tc>
        <w:tc>
          <w:tcPr>
            <w:tcW w:w="2233" w:type="dxa"/>
            <w:tcBorders>
              <w:top w:val="nil"/>
              <w:left w:val="nil"/>
              <w:bottom w:val="single" w:sz="8" w:space="0" w:color="auto"/>
              <w:right w:val="single" w:sz="8" w:space="0" w:color="auto"/>
            </w:tcBorders>
            <w:shd w:val="clear" w:color="auto" w:fill="auto"/>
            <w:vAlign w:val="center"/>
            <w:hideMark/>
          </w:tcPr>
          <w:p w:rsidR="00D82CC9" w:rsidRPr="00D82CC9" w:rsidP="00D82CC9" w14:paraId="296B9690" w14:textId="77777777">
            <w:pPr>
              <w:widowControl/>
              <w:rPr>
                <w:rFonts w:ascii="Times New Roman" w:hAnsi="Times New Roman"/>
                <w:snapToGrid/>
                <w:color w:val="000000"/>
                <w:szCs w:val="24"/>
              </w:rPr>
            </w:pPr>
            <w:r w:rsidRPr="00D82CC9">
              <w:rPr>
                <w:rFonts w:ascii="Times New Roman" w:hAnsi="Times New Roman"/>
                <w:snapToGrid/>
                <w:color w:val="000000"/>
                <w:szCs w:val="24"/>
              </w:rPr>
              <w:t>GS-9/5</w:t>
            </w:r>
          </w:p>
        </w:tc>
        <w:tc>
          <w:tcPr>
            <w:tcW w:w="1514" w:type="dxa"/>
            <w:tcBorders>
              <w:top w:val="nil"/>
              <w:left w:val="nil"/>
              <w:bottom w:val="single" w:sz="8" w:space="0" w:color="auto"/>
              <w:right w:val="single" w:sz="8" w:space="0" w:color="auto"/>
            </w:tcBorders>
            <w:shd w:val="clear" w:color="auto" w:fill="auto"/>
            <w:vAlign w:val="center"/>
            <w:hideMark/>
          </w:tcPr>
          <w:p w:rsidR="00D82CC9" w:rsidRPr="00D82CC9" w:rsidP="00D82CC9" w14:paraId="1F7BE4A9"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30.02</w:t>
            </w:r>
          </w:p>
        </w:tc>
        <w:tc>
          <w:tcPr>
            <w:tcW w:w="1814" w:type="dxa"/>
            <w:tcBorders>
              <w:top w:val="nil"/>
              <w:left w:val="nil"/>
              <w:bottom w:val="single" w:sz="8" w:space="0" w:color="auto"/>
              <w:right w:val="single" w:sz="8" w:space="0" w:color="auto"/>
            </w:tcBorders>
            <w:shd w:val="clear" w:color="auto" w:fill="auto"/>
            <w:vAlign w:val="center"/>
            <w:hideMark/>
          </w:tcPr>
          <w:p w:rsidR="00D82CC9" w:rsidRPr="00D82CC9" w:rsidP="00D82CC9" w14:paraId="6EFFF2C5"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48.03</w:t>
            </w:r>
          </w:p>
        </w:tc>
        <w:tc>
          <w:tcPr>
            <w:tcW w:w="1157" w:type="dxa"/>
            <w:tcBorders>
              <w:top w:val="nil"/>
              <w:left w:val="nil"/>
              <w:bottom w:val="single" w:sz="8" w:space="0" w:color="auto"/>
              <w:right w:val="single" w:sz="8" w:space="0" w:color="auto"/>
            </w:tcBorders>
            <w:shd w:val="clear" w:color="auto" w:fill="auto"/>
            <w:vAlign w:val="center"/>
            <w:hideMark/>
          </w:tcPr>
          <w:p w:rsidR="00D82CC9" w:rsidRPr="00D82CC9" w:rsidP="00D82CC9" w14:paraId="6C11656D"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5%</w:t>
            </w:r>
          </w:p>
        </w:tc>
        <w:tc>
          <w:tcPr>
            <w:tcW w:w="1915" w:type="dxa"/>
            <w:tcBorders>
              <w:top w:val="nil"/>
              <w:left w:val="nil"/>
              <w:bottom w:val="single" w:sz="8" w:space="0" w:color="auto"/>
              <w:right w:val="double" w:sz="6" w:space="0" w:color="auto"/>
            </w:tcBorders>
            <w:shd w:val="clear" w:color="auto" w:fill="auto"/>
            <w:vAlign w:val="center"/>
            <w:hideMark/>
          </w:tcPr>
          <w:p w:rsidR="00D82CC9" w:rsidRPr="00D82CC9" w:rsidP="00D82CC9" w14:paraId="726CFC28"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 xml:space="preserve">$2.40 </w:t>
            </w:r>
          </w:p>
        </w:tc>
      </w:tr>
      <w:tr w14:paraId="553DD901" w14:textId="77777777" w:rsidTr="00D82CC9">
        <w:tblPrEx>
          <w:tblW w:w="10500" w:type="dxa"/>
          <w:tblInd w:w="131" w:type="dxa"/>
          <w:tblCellMar>
            <w:top w:w="15" w:type="dxa"/>
          </w:tblCellMar>
          <w:tblLook w:val="04A0"/>
        </w:tblPrEx>
        <w:trPr>
          <w:gridAfter w:val="1"/>
          <w:wAfter w:w="29" w:type="dxa"/>
          <w:trHeight w:val="320"/>
        </w:trPr>
        <w:tc>
          <w:tcPr>
            <w:tcW w:w="1838" w:type="dxa"/>
            <w:tcBorders>
              <w:top w:val="nil"/>
              <w:left w:val="double" w:sz="6" w:space="0" w:color="auto"/>
              <w:bottom w:val="single" w:sz="8" w:space="0" w:color="auto"/>
              <w:right w:val="single" w:sz="8" w:space="0" w:color="auto"/>
            </w:tcBorders>
            <w:shd w:val="clear" w:color="auto" w:fill="auto"/>
            <w:vAlign w:val="center"/>
            <w:hideMark/>
          </w:tcPr>
          <w:p w:rsidR="00D82CC9" w:rsidRPr="00D82CC9" w:rsidP="00D82CC9" w14:paraId="145B604E" w14:textId="77777777">
            <w:pPr>
              <w:widowControl/>
              <w:rPr>
                <w:rFonts w:ascii="Times New Roman" w:hAnsi="Times New Roman"/>
                <w:snapToGrid/>
                <w:color w:val="000000"/>
                <w:szCs w:val="24"/>
              </w:rPr>
            </w:pPr>
            <w:r w:rsidRPr="00D82CC9">
              <w:rPr>
                <w:rFonts w:ascii="Times New Roman" w:hAnsi="Times New Roman"/>
                <w:snapToGrid/>
                <w:color w:val="000000"/>
                <w:szCs w:val="24"/>
              </w:rPr>
              <w:t>Physical Scientist</w:t>
            </w:r>
          </w:p>
        </w:tc>
        <w:tc>
          <w:tcPr>
            <w:tcW w:w="2233" w:type="dxa"/>
            <w:tcBorders>
              <w:top w:val="nil"/>
              <w:left w:val="nil"/>
              <w:bottom w:val="single" w:sz="8" w:space="0" w:color="auto"/>
              <w:right w:val="single" w:sz="8" w:space="0" w:color="auto"/>
            </w:tcBorders>
            <w:shd w:val="clear" w:color="auto" w:fill="auto"/>
            <w:vAlign w:val="center"/>
            <w:hideMark/>
          </w:tcPr>
          <w:p w:rsidR="00D82CC9" w:rsidRPr="00D82CC9" w:rsidP="00D82CC9" w14:paraId="108A5293" w14:textId="77777777">
            <w:pPr>
              <w:widowControl/>
              <w:rPr>
                <w:rFonts w:ascii="Times New Roman" w:hAnsi="Times New Roman"/>
                <w:snapToGrid/>
                <w:color w:val="000000"/>
                <w:szCs w:val="24"/>
              </w:rPr>
            </w:pPr>
            <w:r w:rsidRPr="00D82CC9">
              <w:rPr>
                <w:rFonts w:ascii="Times New Roman" w:hAnsi="Times New Roman"/>
                <w:snapToGrid/>
                <w:color w:val="000000"/>
                <w:szCs w:val="24"/>
              </w:rPr>
              <w:t>GS-12/5</w:t>
            </w:r>
          </w:p>
        </w:tc>
        <w:tc>
          <w:tcPr>
            <w:tcW w:w="1514" w:type="dxa"/>
            <w:tcBorders>
              <w:top w:val="nil"/>
              <w:left w:val="nil"/>
              <w:bottom w:val="single" w:sz="8" w:space="0" w:color="auto"/>
              <w:right w:val="single" w:sz="8" w:space="0" w:color="auto"/>
            </w:tcBorders>
            <w:shd w:val="clear" w:color="auto" w:fill="auto"/>
            <w:vAlign w:val="center"/>
            <w:hideMark/>
          </w:tcPr>
          <w:p w:rsidR="00D82CC9" w:rsidRPr="00D82CC9" w:rsidP="00D82CC9" w14:paraId="258E9AC2"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43.66</w:t>
            </w:r>
          </w:p>
        </w:tc>
        <w:tc>
          <w:tcPr>
            <w:tcW w:w="1814" w:type="dxa"/>
            <w:tcBorders>
              <w:top w:val="nil"/>
              <w:left w:val="nil"/>
              <w:bottom w:val="single" w:sz="8" w:space="0" w:color="auto"/>
              <w:right w:val="single" w:sz="8" w:space="0" w:color="auto"/>
            </w:tcBorders>
            <w:shd w:val="clear" w:color="auto" w:fill="auto"/>
            <w:vAlign w:val="center"/>
            <w:hideMark/>
          </w:tcPr>
          <w:p w:rsidR="00D82CC9" w:rsidRPr="00D82CC9" w:rsidP="00D82CC9" w14:paraId="6AD3D7A5"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69.86</w:t>
            </w:r>
          </w:p>
        </w:tc>
        <w:tc>
          <w:tcPr>
            <w:tcW w:w="1157" w:type="dxa"/>
            <w:tcBorders>
              <w:top w:val="nil"/>
              <w:left w:val="nil"/>
              <w:bottom w:val="single" w:sz="8" w:space="0" w:color="auto"/>
              <w:right w:val="single" w:sz="8" w:space="0" w:color="auto"/>
            </w:tcBorders>
            <w:shd w:val="clear" w:color="auto" w:fill="auto"/>
            <w:vAlign w:val="center"/>
            <w:hideMark/>
          </w:tcPr>
          <w:p w:rsidR="00D82CC9" w:rsidRPr="00D82CC9" w:rsidP="00D82CC9" w14:paraId="5C04C69B"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70%</w:t>
            </w:r>
          </w:p>
        </w:tc>
        <w:tc>
          <w:tcPr>
            <w:tcW w:w="1915" w:type="dxa"/>
            <w:tcBorders>
              <w:top w:val="nil"/>
              <w:left w:val="nil"/>
              <w:bottom w:val="single" w:sz="8" w:space="0" w:color="auto"/>
              <w:right w:val="double" w:sz="6" w:space="0" w:color="auto"/>
            </w:tcBorders>
            <w:shd w:val="clear" w:color="auto" w:fill="auto"/>
            <w:vAlign w:val="center"/>
            <w:hideMark/>
          </w:tcPr>
          <w:p w:rsidR="00D82CC9" w:rsidRPr="00D82CC9" w:rsidP="00D82CC9" w14:paraId="3E441747"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 xml:space="preserve">$48.90 </w:t>
            </w:r>
          </w:p>
        </w:tc>
      </w:tr>
      <w:tr w14:paraId="282B5176" w14:textId="77777777" w:rsidTr="00D82CC9">
        <w:tblPrEx>
          <w:tblW w:w="10500" w:type="dxa"/>
          <w:tblInd w:w="131" w:type="dxa"/>
          <w:tblCellMar>
            <w:top w:w="15" w:type="dxa"/>
          </w:tblCellMar>
          <w:tblLook w:val="04A0"/>
        </w:tblPrEx>
        <w:trPr>
          <w:gridAfter w:val="1"/>
          <w:wAfter w:w="29" w:type="dxa"/>
          <w:trHeight w:val="320"/>
        </w:trPr>
        <w:tc>
          <w:tcPr>
            <w:tcW w:w="1838" w:type="dxa"/>
            <w:tcBorders>
              <w:top w:val="nil"/>
              <w:left w:val="double" w:sz="6" w:space="0" w:color="auto"/>
              <w:bottom w:val="single" w:sz="8" w:space="0" w:color="auto"/>
              <w:right w:val="single" w:sz="8" w:space="0" w:color="auto"/>
            </w:tcBorders>
            <w:shd w:val="clear" w:color="auto" w:fill="auto"/>
            <w:vAlign w:val="center"/>
            <w:hideMark/>
          </w:tcPr>
          <w:p w:rsidR="00D82CC9" w:rsidRPr="00D82CC9" w:rsidP="00D82CC9" w14:paraId="40BAEFE1" w14:textId="77777777">
            <w:pPr>
              <w:widowControl/>
              <w:rPr>
                <w:rFonts w:ascii="Times New Roman" w:hAnsi="Times New Roman"/>
                <w:snapToGrid/>
                <w:color w:val="000000"/>
                <w:szCs w:val="24"/>
              </w:rPr>
            </w:pPr>
            <w:r w:rsidRPr="00D82CC9">
              <w:rPr>
                <w:rFonts w:ascii="Times New Roman" w:hAnsi="Times New Roman"/>
                <w:snapToGrid/>
                <w:color w:val="000000"/>
                <w:szCs w:val="24"/>
              </w:rPr>
              <w:t>Supervisory</w:t>
            </w:r>
          </w:p>
        </w:tc>
        <w:tc>
          <w:tcPr>
            <w:tcW w:w="2233" w:type="dxa"/>
            <w:tcBorders>
              <w:top w:val="nil"/>
              <w:left w:val="nil"/>
              <w:bottom w:val="single" w:sz="8" w:space="0" w:color="auto"/>
              <w:right w:val="single" w:sz="8" w:space="0" w:color="auto"/>
            </w:tcBorders>
            <w:shd w:val="clear" w:color="auto" w:fill="auto"/>
            <w:vAlign w:val="center"/>
            <w:hideMark/>
          </w:tcPr>
          <w:p w:rsidR="00D82CC9" w:rsidRPr="00D82CC9" w:rsidP="00D82CC9" w14:paraId="5E914F85" w14:textId="77777777">
            <w:pPr>
              <w:widowControl/>
              <w:rPr>
                <w:rFonts w:ascii="Times New Roman" w:hAnsi="Times New Roman"/>
                <w:snapToGrid/>
                <w:color w:val="000000"/>
                <w:szCs w:val="24"/>
              </w:rPr>
            </w:pPr>
            <w:r w:rsidRPr="00D82CC9">
              <w:rPr>
                <w:rFonts w:ascii="Times New Roman" w:hAnsi="Times New Roman"/>
                <w:snapToGrid/>
                <w:color w:val="000000"/>
                <w:szCs w:val="24"/>
              </w:rPr>
              <w:t>GS-14/5</w:t>
            </w:r>
          </w:p>
        </w:tc>
        <w:tc>
          <w:tcPr>
            <w:tcW w:w="1514" w:type="dxa"/>
            <w:tcBorders>
              <w:top w:val="nil"/>
              <w:left w:val="nil"/>
              <w:bottom w:val="single" w:sz="8" w:space="0" w:color="auto"/>
              <w:right w:val="single" w:sz="8" w:space="0" w:color="auto"/>
            </w:tcBorders>
            <w:shd w:val="clear" w:color="auto" w:fill="auto"/>
            <w:vAlign w:val="center"/>
            <w:hideMark/>
          </w:tcPr>
          <w:p w:rsidR="00D82CC9" w:rsidRPr="00D82CC9" w:rsidP="00D82CC9" w14:paraId="07A497C8"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63.21</w:t>
            </w:r>
          </w:p>
        </w:tc>
        <w:tc>
          <w:tcPr>
            <w:tcW w:w="1814" w:type="dxa"/>
            <w:tcBorders>
              <w:top w:val="nil"/>
              <w:left w:val="nil"/>
              <w:bottom w:val="single" w:sz="8" w:space="0" w:color="auto"/>
              <w:right w:val="single" w:sz="8" w:space="0" w:color="auto"/>
            </w:tcBorders>
            <w:shd w:val="clear" w:color="auto" w:fill="auto"/>
            <w:vAlign w:val="center"/>
            <w:hideMark/>
          </w:tcPr>
          <w:p w:rsidR="00D82CC9" w:rsidRPr="00D82CC9" w:rsidP="00D82CC9" w14:paraId="505F8DCD"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101.14</w:t>
            </w:r>
          </w:p>
        </w:tc>
        <w:tc>
          <w:tcPr>
            <w:tcW w:w="1157" w:type="dxa"/>
            <w:tcBorders>
              <w:top w:val="nil"/>
              <w:left w:val="nil"/>
              <w:bottom w:val="single" w:sz="8" w:space="0" w:color="auto"/>
              <w:right w:val="single" w:sz="8" w:space="0" w:color="auto"/>
            </w:tcBorders>
            <w:shd w:val="clear" w:color="auto" w:fill="auto"/>
            <w:vAlign w:val="center"/>
            <w:hideMark/>
          </w:tcPr>
          <w:p w:rsidR="00D82CC9" w:rsidRPr="00D82CC9" w:rsidP="00D82CC9" w14:paraId="7CCFC983"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25%</w:t>
            </w:r>
          </w:p>
        </w:tc>
        <w:tc>
          <w:tcPr>
            <w:tcW w:w="1915" w:type="dxa"/>
            <w:tcBorders>
              <w:top w:val="nil"/>
              <w:left w:val="nil"/>
              <w:bottom w:val="single" w:sz="8" w:space="0" w:color="auto"/>
              <w:right w:val="double" w:sz="6" w:space="0" w:color="auto"/>
            </w:tcBorders>
            <w:shd w:val="clear" w:color="auto" w:fill="auto"/>
            <w:vAlign w:val="center"/>
            <w:hideMark/>
          </w:tcPr>
          <w:p w:rsidR="00D82CC9" w:rsidRPr="00D82CC9" w:rsidP="00D82CC9" w14:paraId="4A7290D6" w14:textId="77777777">
            <w:pPr>
              <w:widowControl/>
              <w:jc w:val="center"/>
              <w:rPr>
                <w:rFonts w:ascii="Times New Roman" w:hAnsi="Times New Roman"/>
                <w:snapToGrid/>
                <w:color w:val="000000"/>
                <w:szCs w:val="24"/>
              </w:rPr>
            </w:pPr>
            <w:r w:rsidRPr="00D82CC9">
              <w:rPr>
                <w:rFonts w:ascii="Times New Roman" w:hAnsi="Times New Roman"/>
                <w:snapToGrid/>
                <w:color w:val="000000"/>
                <w:szCs w:val="24"/>
              </w:rPr>
              <w:t xml:space="preserve">$25.28 </w:t>
            </w:r>
          </w:p>
        </w:tc>
      </w:tr>
      <w:tr w14:paraId="406C48B8" w14:textId="77777777" w:rsidTr="00D82CC9">
        <w:tblPrEx>
          <w:tblW w:w="10500" w:type="dxa"/>
          <w:tblInd w:w="131" w:type="dxa"/>
          <w:tblCellMar>
            <w:top w:w="15" w:type="dxa"/>
          </w:tblCellMar>
          <w:tblLook w:val="04A0"/>
        </w:tblPrEx>
        <w:trPr>
          <w:gridAfter w:val="1"/>
          <w:wAfter w:w="29" w:type="dxa"/>
          <w:trHeight w:val="290"/>
        </w:trPr>
        <w:tc>
          <w:tcPr>
            <w:tcW w:w="8556" w:type="dxa"/>
            <w:gridSpan w:val="5"/>
            <w:vMerge w:val="restart"/>
            <w:tcBorders>
              <w:top w:val="single" w:sz="8" w:space="0" w:color="auto"/>
              <w:left w:val="double" w:sz="6" w:space="0" w:color="auto"/>
              <w:bottom w:val="double" w:sz="6" w:space="0" w:color="000000"/>
              <w:right w:val="single" w:sz="8" w:space="0" w:color="000000"/>
            </w:tcBorders>
            <w:shd w:val="clear" w:color="auto" w:fill="auto"/>
            <w:vAlign w:val="center"/>
            <w:hideMark/>
          </w:tcPr>
          <w:p w:rsidR="00D82CC9" w:rsidRPr="00D82CC9" w:rsidP="00D82CC9" w14:paraId="20E0EF0A" w14:textId="77777777">
            <w:pPr>
              <w:widowControl/>
              <w:rPr>
                <w:rFonts w:ascii="Times New Roman" w:hAnsi="Times New Roman"/>
                <w:b/>
                <w:bCs/>
                <w:snapToGrid/>
                <w:color w:val="000000"/>
                <w:szCs w:val="24"/>
              </w:rPr>
            </w:pPr>
            <w:r w:rsidRPr="00D82CC9">
              <w:rPr>
                <w:rFonts w:ascii="Times New Roman" w:hAnsi="Times New Roman"/>
                <w:b/>
                <w:bCs/>
                <w:snapToGrid/>
                <w:color w:val="000000"/>
                <w:szCs w:val="24"/>
              </w:rPr>
              <w:t>Weighted Average ($/hour)</w:t>
            </w:r>
          </w:p>
        </w:tc>
        <w:tc>
          <w:tcPr>
            <w:tcW w:w="1915" w:type="dxa"/>
            <w:vMerge w:val="restart"/>
            <w:tcBorders>
              <w:top w:val="nil"/>
              <w:left w:val="single" w:sz="8" w:space="0" w:color="auto"/>
              <w:bottom w:val="double" w:sz="6" w:space="0" w:color="000000"/>
              <w:right w:val="double" w:sz="6" w:space="0" w:color="auto"/>
            </w:tcBorders>
            <w:shd w:val="clear" w:color="auto" w:fill="auto"/>
            <w:vAlign w:val="center"/>
            <w:hideMark/>
          </w:tcPr>
          <w:p w:rsidR="00D82CC9" w:rsidRPr="00D82CC9" w:rsidP="00D82CC9" w14:paraId="703F1DEF" w14:textId="77777777">
            <w:pPr>
              <w:widowControl/>
              <w:jc w:val="center"/>
              <w:rPr>
                <w:rFonts w:ascii="Times New Roman" w:hAnsi="Times New Roman"/>
                <w:b/>
                <w:bCs/>
                <w:snapToGrid/>
                <w:color w:val="000000"/>
                <w:szCs w:val="24"/>
              </w:rPr>
            </w:pPr>
            <w:r w:rsidRPr="00D82CC9">
              <w:rPr>
                <w:rFonts w:ascii="Times New Roman" w:hAnsi="Times New Roman"/>
                <w:b/>
                <w:bCs/>
                <w:snapToGrid/>
                <w:color w:val="000000"/>
                <w:szCs w:val="24"/>
              </w:rPr>
              <w:t xml:space="preserve">$76.58 </w:t>
            </w:r>
          </w:p>
        </w:tc>
      </w:tr>
      <w:tr w14:paraId="4240492D" w14:textId="77777777" w:rsidTr="00D82CC9">
        <w:tblPrEx>
          <w:tblW w:w="10500" w:type="dxa"/>
          <w:tblInd w:w="131" w:type="dxa"/>
          <w:tblCellMar>
            <w:top w:w="15" w:type="dxa"/>
          </w:tblCellMar>
          <w:tblLook w:val="04A0"/>
        </w:tblPrEx>
        <w:trPr>
          <w:trHeight w:val="300"/>
        </w:trPr>
        <w:tc>
          <w:tcPr>
            <w:tcW w:w="8556" w:type="dxa"/>
            <w:gridSpan w:val="5"/>
            <w:vMerge/>
            <w:tcBorders>
              <w:top w:val="single" w:sz="8" w:space="0" w:color="auto"/>
              <w:left w:val="double" w:sz="6" w:space="0" w:color="auto"/>
              <w:bottom w:val="double" w:sz="6" w:space="0" w:color="000000"/>
              <w:right w:val="single" w:sz="8" w:space="0" w:color="000000"/>
            </w:tcBorders>
            <w:vAlign w:val="center"/>
            <w:hideMark/>
          </w:tcPr>
          <w:p w:rsidR="00D82CC9" w:rsidRPr="00D82CC9" w:rsidP="00D82CC9" w14:paraId="152E8E18" w14:textId="77777777">
            <w:pPr>
              <w:widowControl/>
              <w:rPr>
                <w:rFonts w:ascii="Times New Roman" w:hAnsi="Times New Roman"/>
                <w:b/>
                <w:bCs/>
                <w:snapToGrid/>
                <w:color w:val="000000"/>
                <w:szCs w:val="24"/>
              </w:rPr>
            </w:pPr>
          </w:p>
        </w:tc>
        <w:tc>
          <w:tcPr>
            <w:tcW w:w="1915" w:type="dxa"/>
            <w:vMerge/>
            <w:tcBorders>
              <w:top w:val="nil"/>
              <w:left w:val="single" w:sz="8" w:space="0" w:color="auto"/>
              <w:bottom w:val="double" w:sz="6" w:space="0" w:color="000000"/>
              <w:right w:val="double" w:sz="6" w:space="0" w:color="auto"/>
            </w:tcBorders>
            <w:vAlign w:val="center"/>
            <w:hideMark/>
          </w:tcPr>
          <w:p w:rsidR="00D82CC9" w:rsidRPr="00D82CC9" w:rsidP="00D82CC9" w14:paraId="360DDAA1" w14:textId="77777777">
            <w:pPr>
              <w:widowControl/>
              <w:rPr>
                <w:rFonts w:ascii="Times New Roman" w:hAnsi="Times New Roman"/>
                <w:b/>
                <w:bCs/>
                <w:snapToGrid/>
                <w:color w:val="000000"/>
                <w:szCs w:val="24"/>
              </w:rPr>
            </w:pPr>
          </w:p>
        </w:tc>
        <w:tc>
          <w:tcPr>
            <w:tcW w:w="29" w:type="dxa"/>
            <w:tcBorders>
              <w:top w:val="nil"/>
              <w:left w:val="nil"/>
              <w:bottom w:val="nil"/>
              <w:right w:val="nil"/>
            </w:tcBorders>
            <w:shd w:val="clear" w:color="auto" w:fill="auto"/>
            <w:noWrap/>
            <w:vAlign w:val="bottom"/>
            <w:hideMark/>
          </w:tcPr>
          <w:p w:rsidR="00D82CC9" w:rsidRPr="00D82CC9" w:rsidP="00D82CC9" w14:paraId="4C8916E6" w14:textId="77777777">
            <w:pPr>
              <w:widowControl/>
              <w:jc w:val="center"/>
              <w:rPr>
                <w:rFonts w:ascii="Times New Roman" w:hAnsi="Times New Roman"/>
                <w:b/>
                <w:bCs/>
                <w:snapToGrid/>
                <w:color w:val="000000"/>
                <w:szCs w:val="24"/>
              </w:rPr>
            </w:pPr>
          </w:p>
        </w:tc>
      </w:tr>
    </w:tbl>
    <w:p w:rsidR="00D82CC9" w14:paraId="3FC75A7D" w14:textId="5DE74EF7">
      <w:pPr>
        <w:ind w:left="720"/>
        <w:rPr>
          <w:rFonts w:ascii="Times New Roman" w:hAnsi="Times New Roman"/>
          <w:szCs w:val="24"/>
        </w:rPr>
      </w:pPr>
    </w:p>
    <w:p w:rsidR="00D82CC9" w14:paraId="37C3FCB6" w14:textId="74C2A61C">
      <w:pPr>
        <w:ind w:left="720"/>
        <w:rPr>
          <w:rFonts w:ascii="Times New Roman" w:hAnsi="Times New Roman"/>
          <w:szCs w:val="24"/>
        </w:rPr>
      </w:pPr>
    </w:p>
    <w:p w:rsidR="00D82CC9" w14:paraId="6A6B71C3" w14:textId="36F82DC4">
      <w:pPr>
        <w:ind w:left="720"/>
        <w:rPr>
          <w:rFonts w:ascii="Times New Roman" w:hAnsi="Times New Roman"/>
          <w:szCs w:val="24"/>
        </w:rPr>
      </w:pPr>
    </w:p>
    <w:p w:rsidR="00923628" w14:paraId="07F0D73F" w14:textId="77777777">
      <w:pPr>
        <w:tabs>
          <w:tab w:val="left" w:pos="-1080"/>
          <w:tab w:val="left" w:pos="-720"/>
          <w:tab w:val="left" w:pos="360"/>
          <w:tab w:val="left" w:pos="810"/>
        </w:tabs>
        <w:rPr>
          <w:rFonts w:ascii="Times New Roman" w:hAnsi="Times New Roman"/>
          <w:b/>
          <w:szCs w:val="24"/>
        </w:rPr>
      </w:pPr>
    </w:p>
    <w:p w:rsidR="00923628" w14:paraId="3D7E3C24" w14:textId="69254D84">
      <w:pPr>
        <w:tabs>
          <w:tab w:val="left" w:pos="-1080"/>
          <w:tab w:val="left" w:pos="-720"/>
          <w:tab w:val="left" w:pos="360"/>
          <w:tab w:val="left" w:pos="810"/>
        </w:tabs>
        <w:ind w:left="720"/>
        <w:rPr>
          <w:rFonts w:ascii="Times New Roman" w:hAnsi="Times New Roman"/>
          <w:szCs w:val="24"/>
        </w:rPr>
      </w:pPr>
      <w:r w:rsidRPr="00DB3570">
        <w:rPr>
          <w:rFonts w:ascii="Times New Roman" w:hAnsi="Times New Roman"/>
          <w:szCs w:val="24"/>
        </w:rPr>
        <w:t xml:space="preserve">Therefore, the </w:t>
      </w:r>
      <w:r w:rsidR="00393732">
        <w:rPr>
          <w:rFonts w:ascii="Times New Roman" w:hAnsi="Times New Roman"/>
          <w:szCs w:val="24"/>
        </w:rPr>
        <w:t xml:space="preserve">total hour </w:t>
      </w:r>
      <w:r w:rsidRPr="00DB3570">
        <w:rPr>
          <w:rFonts w:ascii="Times New Roman" w:hAnsi="Times New Roman"/>
          <w:szCs w:val="24"/>
        </w:rPr>
        <w:t>burden for OSMRE to comply with th</w:t>
      </w:r>
      <w:r w:rsidR="00393732">
        <w:rPr>
          <w:rFonts w:ascii="Times New Roman" w:hAnsi="Times New Roman"/>
          <w:szCs w:val="24"/>
        </w:rPr>
        <w:t xml:space="preserve">ese </w:t>
      </w:r>
      <w:r w:rsidRPr="00DB3570">
        <w:rPr>
          <w:rFonts w:ascii="Times New Roman" w:hAnsi="Times New Roman"/>
          <w:szCs w:val="24"/>
        </w:rPr>
        <w:t>part</w:t>
      </w:r>
      <w:r w:rsidR="00393732">
        <w:rPr>
          <w:rFonts w:ascii="Times New Roman" w:hAnsi="Times New Roman"/>
          <w:szCs w:val="24"/>
        </w:rPr>
        <w:t>s</w:t>
      </w:r>
      <w:r w:rsidRPr="00DB3570">
        <w:rPr>
          <w:rFonts w:ascii="Times New Roman" w:hAnsi="Times New Roman"/>
          <w:szCs w:val="24"/>
        </w:rPr>
        <w:t xml:space="preserve"> is 3,</w:t>
      </w:r>
      <w:r w:rsidR="00393732">
        <w:rPr>
          <w:rFonts w:ascii="Times New Roman" w:hAnsi="Times New Roman"/>
          <w:szCs w:val="24"/>
        </w:rPr>
        <w:t>626</w:t>
      </w:r>
      <w:r w:rsidRPr="00DB3570">
        <w:rPr>
          <w:rFonts w:ascii="Times New Roman" w:hAnsi="Times New Roman"/>
          <w:szCs w:val="24"/>
        </w:rPr>
        <w:t xml:space="preserve"> hours (3,581 + 45), </w:t>
      </w:r>
      <w:r w:rsidR="00393732">
        <w:rPr>
          <w:rFonts w:ascii="Times New Roman" w:hAnsi="Times New Roman"/>
          <w:szCs w:val="24"/>
        </w:rPr>
        <w:t xml:space="preserve">The associated Federal government </w:t>
      </w:r>
      <w:r w:rsidRPr="00DB3570">
        <w:rPr>
          <w:rFonts w:ascii="Times New Roman" w:hAnsi="Times New Roman"/>
          <w:szCs w:val="24"/>
        </w:rPr>
        <w:t xml:space="preserve">wage cost is </w:t>
      </w:r>
      <w:r w:rsidR="00B14D12">
        <w:rPr>
          <w:rFonts w:ascii="Times New Roman" w:hAnsi="Times New Roman"/>
          <w:szCs w:val="24"/>
        </w:rPr>
        <w:t xml:space="preserve">$277,679 (3,626 hours x $76.58/hour). </w:t>
      </w:r>
    </w:p>
    <w:p w:rsidR="00923628" w14:paraId="2ED60A05" w14:textId="77777777">
      <w:pPr>
        <w:ind w:left="720" w:hanging="720"/>
        <w:rPr>
          <w:rFonts w:ascii="Times New Roman" w:hAnsi="Times New Roman"/>
          <w:szCs w:val="24"/>
        </w:rPr>
      </w:pPr>
      <w:r>
        <w:rPr>
          <w:rFonts w:ascii="Times New Roman" w:hAnsi="Times New Roman"/>
          <w:szCs w:val="24"/>
        </w:rPr>
        <w:tab/>
      </w:r>
    </w:p>
    <w:p w:rsidR="00923628" w14:paraId="644B2C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15.</w:t>
      </w:r>
      <w:r>
        <w:rPr>
          <w:rFonts w:ascii="Times New Roman" w:hAnsi="Times New Roman"/>
          <w:b/>
          <w:i/>
          <w:szCs w:val="24"/>
        </w:rPr>
        <w:tab/>
        <w:t>Explain the reasons for any program changes or adjustments in hour or cost burden.</w:t>
      </w:r>
    </w:p>
    <w:p w:rsidR="00923628" w14:paraId="32FAA7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rsidR="00923628" w14:paraId="550047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b/>
          <w:i/>
          <w:szCs w:val="24"/>
        </w:rPr>
        <w:tab/>
      </w:r>
      <w:r>
        <w:rPr>
          <w:rFonts w:ascii="Times New Roman" w:hAnsi="Times New Roman"/>
          <w:szCs w:val="24"/>
        </w:rPr>
        <w:t>The estimate below is based on the information provided by respondents identified in item 8 above, OSMRE’s annual report and experience in the collection of programmatic data for which there are 25 States, a reduction of three from previous years.</w:t>
      </w:r>
    </w:p>
    <w:p w:rsidR="00923628" w14:paraId="06CDAD21" w14:textId="77777777">
      <w:pPr>
        <w:rPr>
          <w:rFonts w:ascii="Times New Roman" w:hAnsi="Times New Roman"/>
          <w:szCs w:val="24"/>
        </w:rPr>
      </w:pPr>
    </w:p>
    <w:p w:rsidR="00923628" w14:paraId="1B7781B0" w14:textId="43BF9A1C">
      <w:pPr>
        <w:ind w:left="720"/>
        <w:rPr>
          <w:rFonts w:ascii="Times New Roman" w:hAnsi="Times New Roman"/>
          <w:szCs w:val="24"/>
        </w:rPr>
      </w:pPr>
      <w:r>
        <w:rPr>
          <w:rFonts w:ascii="Times New Roman" w:hAnsi="Times New Roman"/>
          <w:szCs w:val="24"/>
        </w:rPr>
        <w:t>There are currently 4,</w:t>
      </w:r>
      <w:r w:rsidR="005E43CD">
        <w:rPr>
          <w:rFonts w:ascii="Times New Roman" w:hAnsi="Times New Roman"/>
          <w:szCs w:val="24"/>
        </w:rPr>
        <w:t>405</w:t>
      </w:r>
      <w:r>
        <w:rPr>
          <w:rFonts w:ascii="Times New Roman" w:hAnsi="Times New Roman"/>
          <w:szCs w:val="24"/>
        </w:rPr>
        <w:t xml:space="preserve"> hours approved by OMB.  This </w:t>
      </w:r>
      <w:r w:rsidR="005E43CD">
        <w:rPr>
          <w:rFonts w:ascii="Times New Roman" w:hAnsi="Times New Roman"/>
          <w:szCs w:val="24"/>
        </w:rPr>
        <w:t xml:space="preserve">information </w:t>
      </w:r>
      <w:r>
        <w:rPr>
          <w:rFonts w:ascii="Times New Roman" w:hAnsi="Times New Roman"/>
          <w:szCs w:val="24"/>
        </w:rPr>
        <w:t>collection request reduce</w:t>
      </w:r>
      <w:r w:rsidR="005E43CD">
        <w:rPr>
          <w:rFonts w:ascii="Times New Roman" w:hAnsi="Times New Roman"/>
          <w:szCs w:val="24"/>
        </w:rPr>
        <w:t>s</w:t>
      </w:r>
      <w:r>
        <w:rPr>
          <w:rFonts w:ascii="Times New Roman" w:hAnsi="Times New Roman"/>
          <w:szCs w:val="24"/>
        </w:rPr>
        <w:t xml:space="preserve"> the hours approved </w:t>
      </w:r>
      <w:r w:rsidR="005E43CD">
        <w:rPr>
          <w:rFonts w:ascii="Times New Roman" w:hAnsi="Times New Roman"/>
          <w:szCs w:val="24"/>
        </w:rPr>
        <w:t>120</w:t>
      </w:r>
      <w:r>
        <w:rPr>
          <w:rFonts w:ascii="Times New Roman" w:hAnsi="Times New Roman"/>
          <w:szCs w:val="24"/>
        </w:rPr>
        <w:t xml:space="preserve">.  </w:t>
      </w:r>
      <w:r w:rsidR="00C452D9">
        <w:rPr>
          <w:rFonts w:ascii="Times New Roman" w:hAnsi="Times New Roman"/>
          <w:szCs w:val="24"/>
        </w:rPr>
        <w:t xml:space="preserve">This reduction is attributed </w:t>
      </w:r>
      <w:r w:rsidR="005E43CD">
        <w:rPr>
          <w:rFonts w:ascii="Times New Roman" w:hAnsi="Times New Roman"/>
          <w:szCs w:val="24"/>
        </w:rPr>
        <w:t xml:space="preserve">to one less state </w:t>
      </w:r>
      <w:r w:rsidR="003538AB">
        <w:rPr>
          <w:rFonts w:ascii="Times New Roman" w:hAnsi="Times New Roman"/>
          <w:szCs w:val="24"/>
        </w:rPr>
        <w:t xml:space="preserve">(Oklahoma) that no longer has </w:t>
      </w:r>
      <w:r w:rsidR="005E43CD">
        <w:rPr>
          <w:rFonts w:ascii="Times New Roman" w:hAnsi="Times New Roman"/>
          <w:szCs w:val="24"/>
        </w:rPr>
        <w:t>regulatory authority</w:t>
      </w:r>
      <w:r w:rsidR="003538AB">
        <w:rPr>
          <w:rFonts w:ascii="Times New Roman" w:hAnsi="Times New Roman"/>
          <w:szCs w:val="24"/>
        </w:rPr>
        <w:t xml:space="preserve"> for its program where OSMRE is the regulatory authority</w:t>
      </w:r>
      <w:r w:rsidR="005F142E">
        <w:rPr>
          <w:rFonts w:ascii="Times New Roman" w:hAnsi="Times New Roman"/>
          <w:szCs w:val="24"/>
        </w:rPr>
        <w:t xml:space="preserve">. </w:t>
      </w:r>
      <w:r>
        <w:rPr>
          <w:rFonts w:ascii="Times New Roman" w:hAnsi="Times New Roman"/>
          <w:szCs w:val="24"/>
        </w:rPr>
        <w:t xml:space="preserve">The burden hour change is as follows: </w:t>
      </w:r>
    </w:p>
    <w:p w:rsidR="00923628" w14:paraId="52B70757" w14:textId="77777777">
      <w:pPr>
        <w:ind w:left="720"/>
        <w:rPr>
          <w:rFonts w:ascii="Times New Roman" w:hAnsi="Times New Roman"/>
          <w:szCs w:val="24"/>
        </w:rPr>
      </w:pPr>
    </w:p>
    <w:p w:rsidR="00923628" w14:paraId="52A17C9B" w14:textId="49E1A1DD">
      <w:pPr>
        <w:ind w:left="1440" w:hanging="720"/>
        <w:rPr>
          <w:rFonts w:ascii="Times New Roman" w:hAnsi="Times New Roman"/>
          <w:szCs w:val="24"/>
        </w:rPr>
      </w:pPr>
      <w:r>
        <w:rPr>
          <w:rFonts w:ascii="Times New Roman" w:hAnsi="Times New Roman"/>
          <w:szCs w:val="24"/>
        </w:rPr>
        <w:t xml:space="preserve">  4,</w:t>
      </w:r>
      <w:r w:rsidR="00F1093B">
        <w:rPr>
          <w:rFonts w:ascii="Times New Roman" w:hAnsi="Times New Roman"/>
          <w:szCs w:val="24"/>
        </w:rPr>
        <w:t>405</w:t>
      </w:r>
      <w:r>
        <w:rPr>
          <w:rFonts w:ascii="Times New Roman" w:hAnsi="Times New Roman"/>
          <w:szCs w:val="24"/>
        </w:rPr>
        <w:t xml:space="preserve"> hours currently approved</w:t>
      </w:r>
    </w:p>
    <w:p w:rsidR="00923628" w14:paraId="183624A5" w14:textId="060A66E7">
      <w:pPr>
        <w:tabs>
          <w:tab w:val="left" w:pos="1800"/>
          <w:tab w:val="left" w:pos="2160"/>
          <w:tab w:val="left" w:pos="2880"/>
          <w:tab w:val="left" w:pos="3600"/>
        </w:tabs>
        <w:ind w:left="1440" w:hanging="720"/>
        <w:rPr>
          <w:rFonts w:ascii="Times New Roman" w:hAnsi="Times New Roman"/>
          <w:szCs w:val="24"/>
        </w:rPr>
      </w:pPr>
      <w:r>
        <w:rPr>
          <w:rFonts w:ascii="Times New Roman" w:hAnsi="Times New Roman"/>
          <w:szCs w:val="24"/>
          <w:u w:val="single"/>
        </w:rPr>
        <w:t xml:space="preserve">- </w:t>
      </w:r>
      <w:r w:rsidR="00F1093B">
        <w:rPr>
          <w:rFonts w:ascii="Times New Roman" w:hAnsi="Times New Roman"/>
          <w:szCs w:val="24"/>
          <w:u w:val="single"/>
        </w:rPr>
        <w:t>120</w:t>
      </w:r>
      <w:r>
        <w:rPr>
          <w:rFonts w:ascii="Times New Roman" w:hAnsi="Times New Roman"/>
          <w:szCs w:val="24"/>
        </w:rPr>
        <w:tab/>
        <w:t>hours due to adjustments in responses</w:t>
      </w:r>
    </w:p>
    <w:p w:rsidR="00923628" w14:paraId="70289BB7" w14:textId="2A89B242">
      <w:pPr>
        <w:tabs>
          <w:tab w:val="left" w:pos="1890"/>
          <w:tab w:val="left" w:pos="2160"/>
          <w:tab w:val="left" w:pos="2880"/>
          <w:tab w:val="left" w:pos="3600"/>
        </w:tabs>
        <w:ind w:left="1440" w:hanging="720"/>
        <w:rPr>
          <w:rFonts w:ascii="Times New Roman" w:hAnsi="Times New Roman"/>
          <w:szCs w:val="24"/>
        </w:rPr>
      </w:pPr>
      <w:r>
        <w:rPr>
          <w:rFonts w:ascii="Times New Roman" w:hAnsi="Times New Roman"/>
          <w:szCs w:val="24"/>
        </w:rPr>
        <w:t xml:space="preserve">  4,</w:t>
      </w:r>
      <w:r w:rsidR="00F1093B">
        <w:rPr>
          <w:rFonts w:ascii="Times New Roman" w:hAnsi="Times New Roman"/>
          <w:szCs w:val="24"/>
        </w:rPr>
        <w:t>285</w:t>
      </w:r>
      <w:r>
        <w:rPr>
          <w:rFonts w:ascii="Times New Roman" w:hAnsi="Times New Roman"/>
          <w:szCs w:val="24"/>
        </w:rPr>
        <w:tab/>
        <w:t xml:space="preserve">hours requested </w:t>
      </w:r>
    </w:p>
    <w:p w:rsidR="00923628" w14:paraId="60EAAA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923628" w14:paraId="258E58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16.</w:t>
      </w:r>
      <w:r>
        <w:rPr>
          <w:rFonts w:ascii="Times New Roman" w:hAnsi="Times New Roman"/>
          <w:b/>
          <w:i/>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3628" w14:paraId="60E93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6D25B8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There are no plans for publication of this information.</w:t>
      </w:r>
    </w:p>
    <w:p w:rsidR="00923628" w14:paraId="5B226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5199E9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17.</w:t>
      </w:r>
      <w:r>
        <w:rPr>
          <w:rFonts w:ascii="Times New Roman" w:hAnsi="Times New Roman"/>
          <w:b/>
          <w:i/>
          <w:szCs w:val="24"/>
        </w:rPr>
        <w:tab/>
        <w:t>If seeking approval to not display the expiration date for OMB approval of the information collection, explain the reasons that display would be inappropriate.</w:t>
      </w:r>
    </w:p>
    <w:p w:rsidR="00923628" w14:paraId="189CEA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56EA17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OSMRE is not seeking a waiver from the requirement to display the expiration date of the OMB approval of the information collection. </w:t>
      </w:r>
    </w:p>
    <w:p w:rsidR="00923628" w14:paraId="6D9BB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09A68E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18.</w:t>
      </w:r>
      <w:r>
        <w:rPr>
          <w:rFonts w:ascii="Times New Roman" w:hAnsi="Times New Roman"/>
          <w:b/>
          <w:i/>
          <w:szCs w:val="24"/>
        </w:rPr>
        <w:tab/>
        <w:t>Explain each exception to the topics of the certification statement identified in "Certification for Paperwork Reduction Act Submissions."</w:t>
      </w:r>
    </w:p>
    <w:p w:rsidR="00923628" w14:paraId="55B25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923628" w14:paraId="3621E5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Pr>
          <w:rFonts w:ascii="Times New Roman" w:hAnsi="Times New Roman"/>
          <w:szCs w:val="24"/>
        </w:rPr>
        <w:t>There are no exceptions to the certification statement.</w:t>
      </w:r>
    </w:p>
    <w:sectPr>
      <w:footerReference w:type="even" r:id="rId6"/>
      <w:footerReference w:type="default" r:id="rId7"/>
      <w:endnotePr>
        <w:numFmt w:val="decimal"/>
      </w:endnotePr>
      <w:type w:val="continuous"/>
      <w:pgSz w:w="12240" w:h="15840" w:code="1"/>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628" w14:paraId="01E6CD4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3628" w14:paraId="0E5EE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628" w14:paraId="470D7D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23628" w14:paraId="6B834A77" w14:textId="77777777">
    <w:pPr>
      <w:spacing w:line="240" w:lineRule="exact"/>
      <w:jc w:val="center"/>
    </w:pPr>
  </w:p>
  <w:p w:rsidR="00923628" w14:paraId="26CCA2E7" w14:textId="77777777">
    <w:pPr>
      <w:framePr w:w="9361" w:wrap="notBeside" w:vAnchor="text" w:hAnchor="text" w:x="1" w:y="1"/>
      <w:jc w:val="center"/>
    </w:pPr>
  </w:p>
  <w:p w:rsidR="00923628" w14:paraId="1392528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0C4C872"/>
    <w:lvl w:ilvl="0">
      <w:start w:val="0"/>
      <w:numFmt w:val="decimal"/>
      <w:lvlText w:val="*"/>
      <w:lvlJc w:val="left"/>
    </w:lvl>
  </w:abstractNum>
  <w:abstractNum w:abstractNumId="1">
    <w:nsid w:val="236638E2"/>
    <w:multiLevelType w:val="hybridMultilevel"/>
    <w:tmpl w:val="CFF468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BB15505"/>
    <w:multiLevelType w:val="hybridMultilevel"/>
    <w:tmpl w:val="A14E9762"/>
    <w:lvl w:ilvl="0">
      <w:start w:val="1"/>
      <w:numFmt w:val="decimal"/>
      <w:lvlText w:val="%1."/>
      <w:lvlJc w:val="left"/>
      <w:pPr>
        <w:ind w:left="7290" w:hanging="360"/>
      </w:pPr>
      <w:rPr>
        <w:rFonts w:hint="default"/>
      </w:rPr>
    </w:lvl>
    <w:lvl w:ilvl="1" w:tentative="1">
      <w:start w:val="1"/>
      <w:numFmt w:val="lowerLetter"/>
      <w:lvlText w:val="%2."/>
      <w:lvlJc w:val="left"/>
      <w:pPr>
        <w:ind w:left="8010" w:hanging="360"/>
      </w:pPr>
    </w:lvl>
    <w:lvl w:ilvl="2" w:tentative="1">
      <w:start w:val="1"/>
      <w:numFmt w:val="lowerRoman"/>
      <w:lvlText w:val="%3."/>
      <w:lvlJc w:val="right"/>
      <w:pPr>
        <w:ind w:left="8730" w:hanging="180"/>
      </w:pPr>
    </w:lvl>
    <w:lvl w:ilvl="3" w:tentative="1">
      <w:start w:val="1"/>
      <w:numFmt w:val="decimal"/>
      <w:lvlText w:val="%4."/>
      <w:lvlJc w:val="left"/>
      <w:pPr>
        <w:ind w:left="9450" w:hanging="360"/>
      </w:pPr>
    </w:lvl>
    <w:lvl w:ilvl="4" w:tentative="1">
      <w:start w:val="1"/>
      <w:numFmt w:val="lowerLetter"/>
      <w:lvlText w:val="%5."/>
      <w:lvlJc w:val="left"/>
      <w:pPr>
        <w:ind w:left="10170" w:hanging="360"/>
      </w:pPr>
    </w:lvl>
    <w:lvl w:ilvl="5" w:tentative="1">
      <w:start w:val="1"/>
      <w:numFmt w:val="lowerRoman"/>
      <w:lvlText w:val="%6."/>
      <w:lvlJc w:val="right"/>
      <w:pPr>
        <w:ind w:left="10890" w:hanging="180"/>
      </w:pPr>
    </w:lvl>
    <w:lvl w:ilvl="6" w:tentative="1">
      <w:start w:val="1"/>
      <w:numFmt w:val="decimal"/>
      <w:lvlText w:val="%7."/>
      <w:lvlJc w:val="left"/>
      <w:pPr>
        <w:ind w:left="11610" w:hanging="360"/>
      </w:pPr>
    </w:lvl>
    <w:lvl w:ilvl="7" w:tentative="1">
      <w:start w:val="1"/>
      <w:numFmt w:val="lowerLetter"/>
      <w:lvlText w:val="%8."/>
      <w:lvlJc w:val="left"/>
      <w:pPr>
        <w:ind w:left="12330" w:hanging="360"/>
      </w:pPr>
    </w:lvl>
    <w:lvl w:ilvl="8" w:tentative="1">
      <w:start w:val="1"/>
      <w:numFmt w:val="lowerRoman"/>
      <w:lvlText w:val="%9."/>
      <w:lvlJc w:val="right"/>
      <w:pPr>
        <w:ind w:left="13050" w:hanging="180"/>
      </w:pPr>
    </w:lvl>
  </w:abstractNum>
  <w:abstractNum w:abstractNumId="3">
    <w:nsid w:val="425454BB"/>
    <w:multiLevelType w:val="singleLevel"/>
    <w:tmpl w:val="860AA4C6"/>
    <w:lvl w:ilvl="0">
      <w:start w:val="1"/>
      <w:numFmt w:val="lowerLetter"/>
      <w:lvlText w:val="%1."/>
      <w:lvlJc w:val="left"/>
      <w:pPr>
        <w:tabs>
          <w:tab w:val="num" w:pos="2160"/>
        </w:tabs>
        <w:ind w:left="2160" w:hanging="720"/>
      </w:pPr>
      <w:rPr>
        <w:rFonts w:hint="default"/>
        <w:u w:val="none"/>
      </w:rPr>
    </w:lvl>
  </w:abstractNum>
  <w:abstractNum w:abstractNumId="4">
    <w:nsid w:val="43A2530B"/>
    <w:multiLevelType w:val="singleLevel"/>
    <w:tmpl w:val="120CC76A"/>
    <w:lvl w:ilvl="0">
      <w:start w:val="9"/>
      <w:numFmt w:val="decimal"/>
      <w:lvlText w:val="%1."/>
      <w:lvlJc w:val="left"/>
      <w:pPr>
        <w:tabs>
          <w:tab w:val="num" w:pos="1440"/>
        </w:tabs>
        <w:ind w:left="1440" w:hanging="720"/>
      </w:pPr>
      <w:rPr>
        <w:rFonts w:hint="default"/>
      </w:rPr>
    </w:lvl>
  </w:abstractNum>
  <w:abstractNum w:abstractNumId="5">
    <w:nsid w:val="56030811"/>
    <w:multiLevelType w:val="hybridMultilevel"/>
    <w:tmpl w:val="286AC87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69E009C1"/>
    <w:multiLevelType w:val="singleLevel"/>
    <w:tmpl w:val="E8024506"/>
    <w:lvl w:ilvl="0">
      <w:start w:val="18"/>
      <w:numFmt w:val="decimal"/>
      <w:lvlText w:val="%1."/>
      <w:lvlJc w:val="left"/>
      <w:pPr>
        <w:tabs>
          <w:tab w:val="num" w:pos="1440"/>
        </w:tabs>
        <w:ind w:left="1440" w:hanging="720"/>
      </w:pPr>
      <w:rPr>
        <w:rFonts w:hint="default"/>
      </w:rPr>
    </w:lvl>
  </w:abstractNum>
  <w:num w:numId="1" w16cid:durableId="1670790426">
    <w:abstractNumId w:val="0"/>
    <w:lvlOverride w:ilvl="0">
      <w:lvl w:ilvl="0">
        <w:start w:val="0"/>
        <w:numFmt w:val="bullet"/>
        <w:lvlText w:val=""/>
        <w:legacy w:legacy="1" w:legacySpace="0" w:legacyIndent="720"/>
        <w:lvlJc w:val="left"/>
        <w:pPr>
          <w:ind w:left="2880" w:hanging="720"/>
        </w:pPr>
        <w:rPr>
          <w:rFonts w:ascii="Courier" w:hAnsi="Courier" w:hint="default"/>
        </w:rPr>
      </w:lvl>
    </w:lvlOverride>
  </w:num>
  <w:num w:numId="2" w16cid:durableId="1692802504">
    <w:abstractNumId w:val="3"/>
  </w:num>
  <w:num w:numId="3" w16cid:durableId="888496674">
    <w:abstractNumId w:val="6"/>
  </w:num>
  <w:num w:numId="4" w16cid:durableId="427583861">
    <w:abstractNumId w:val="4"/>
  </w:num>
  <w:num w:numId="5" w16cid:durableId="13650271">
    <w:abstractNumId w:val="1"/>
  </w:num>
  <w:num w:numId="6" w16cid:durableId="1377895907">
    <w:abstractNumId w:val="5"/>
  </w:num>
  <w:num w:numId="7" w16cid:durableId="154186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28"/>
    <w:rsid w:val="000036DE"/>
    <w:rsid w:val="000468A4"/>
    <w:rsid w:val="000575D2"/>
    <w:rsid w:val="000D01D1"/>
    <w:rsid w:val="000F248D"/>
    <w:rsid w:val="00100D06"/>
    <w:rsid w:val="0018569C"/>
    <w:rsid w:val="001859FC"/>
    <w:rsid w:val="001B081A"/>
    <w:rsid w:val="001B1EF3"/>
    <w:rsid w:val="001E0C42"/>
    <w:rsid w:val="001E5432"/>
    <w:rsid w:val="00203BC5"/>
    <w:rsid w:val="00222082"/>
    <w:rsid w:val="00222924"/>
    <w:rsid w:val="0023135E"/>
    <w:rsid w:val="00272680"/>
    <w:rsid w:val="002905F1"/>
    <w:rsid w:val="002E28C6"/>
    <w:rsid w:val="00322DB5"/>
    <w:rsid w:val="003538AB"/>
    <w:rsid w:val="00363355"/>
    <w:rsid w:val="00371B23"/>
    <w:rsid w:val="00393732"/>
    <w:rsid w:val="003A3998"/>
    <w:rsid w:val="003F3239"/>
    <w:rsid w:val="00426AED"/>
    <w:rsid w:val="0046625A"/>
    <w:rsid w:val="004767B4"/>
    <w:rsid w:val="00481AFF"/>
    <w:rsid w:val="004A6FE0"/>
    <w:rsid w:val="004B278B"/>
    <w:rsid w:val="00505095"/>
    <w:rsid w:val="00545BE8"/>
    <w:rsid w:val="005B0F6A"/>
    <w:rsid w:val="005C42BA"/>
    <w:rsid w:val="005D43B7"/>
    <w:rsid w:val="005E3627"/>
    <w:rsid w:val="005E43CD"/>
    <w:rsid w:val="005F142E"/>
    <w:rsid w:val="005F3523"/>
    <w:rsid w:val="00611B71"/>
    <w:rsid w:val="00620E29"/>
    <w:rsid w:val="00625BDC"/>
    <w:rsid w:val="00641C77"/>
    <w:rsid w:val="006A2BAD"/>
    <w:rsid w:val="006B5517"/>
    <w:rsid w:val="006E314C"/>
    <w:rsid w:val="006F571C"/>
    <w:rsid w:val="00741A08"/>
    <w:rsid w:val="008332E5"/>
    <w:rsid w:val="0085632A"/>
    <w:rsid w:val="00866C51"/>
    <w:rsid w:val="0088241C"/>
    <w:rsid w:val="008A75FE"/>
    <w:rsid w:val="008F7281"/>
    <w:rsid w:val="008F7A9D"/>
    <w:rsid w:val="00923628"/>
    <w:rsid w:val="00992124"/>
    <w:rsid w:val="009929FE"/>
    <w:rsid w:val="009A71DA"/>
    <w:rsid w:val="009C5382"/>
    <w:rsid w:val="00AC7AC6"/>
    <w:rsid w:val="00AF635F"/>
    <w:rsid w:val="00B14D12"/>
    <w:rsid w:val="00B67D41"/>
    <w:rsid w:val="00B77D9D"/>
    <w:rsid w:val="00BA5ABF"/>
    <w:rsid w:val="00BA7100"/>
    <w:rsid w:val="00BD5ED0"/>
    <w:rsid w:val="00C30EDA"/>
    <w:rsid w:val="00C378E8"/>
    <w:rsid w:val="00C452D9"/>
    <w:rsid w:val="00C53DA1"/>
    <w:rsid w:val="00D82CC9"/>
    <w:rsid w:val="00DB3570"/>
    <w:rsid w:val="00DC1868"/>
    <w:rsid w:val="00DC3FEA"/>
    <w:rsid w:val="00DE1431"/>
    <w:rsid w:val="00DE2BFF"/>
    <w:rsid w:val="00DE3965"/>
    <w:rsid w:val="00F1093B"/>
    <w:rsid w:val="00F94F3C"/>
    <w:rsid w:val="00FE7EC4"/>
    <w:rsid w:val="00FF391A"/>
    <w:rsid w:val="00FF4C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965A5"/>
  <w15:docId w15:val="{4666A355-0DAA-47C5-BAC5-0A4B7DE2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1440"/>
      <w:outlineLvl w:val="0"/>
    </w:pPr>
    <w:rPr>
      <w:u w:val="single"/>
    </w:rPr>
  </w:style>
  <w:style w:type="paragraph" w:styleId="Heading2">
    <w:name w:val="heading 2"/>
    <w:basedOn w:val="Normal"/>
    <w:next w:val="Normal"/>
    <w:qFormat/>
    <w:pPr>
      <w:keepNext/>
      <w:ind w:firstLine="1440"/>
      <w:jc w:val="both"/>
      <w:outlineLvl w:val="1"/>
    </w:pPr>
    <w:rPr>
      <w:u w:val="single"/>
    </w:rPr>
  </w:style>
  <w:style w:type="paragraph" w:styleId="Heading3">
    <w:name w:val="heading 3"/>
    <w:basedOn w:val="Normal"/>
    <w:next w:val="Normal"/>
    <w:qFormat/>
    <w:pPr>
      <w:keepNext/>
      <w:ind w:firstLine="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0" w:hanging="720"/>
    </w:pPr>
  </w:style>
  <w:style w:type="paragraph" w:styleId="BlockText">
    <w:name w:val="Block Text"/>
    <w:basedOn w:val="Normal"/>
    <w:pPr>
      <w:tabs>
        <w:tab w:val="left" w:pos="-1440"/>
      </w:tabs>
      <w:ind w:left="1440" w:right="-27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ind w:left="360"/>
    </w:pPr>
    <w:rPr>
      <w:rFonts w:ascii="Times New Roman" w:hAnsi="Times New Roman"/>
      <w:snapToGrid/>
      <w:szCs w:val="24"/>
    </w:rPr>
  </w:style>
  <w:style w:type="character" w:customStyle="1" w:styleId="BodyTextIndentChar">
    <w:name w:val="Body Text Indent Char"/>
    <w:link w:val="BodyTextInden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ourier" w:hAnsi="Courier"/>
      <w:snapToGrid w:val="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snapToGrid w:val="0"/>
    </w:rPr>
  </w:style>
  <w:style w:type="paragraph" w:styleId="Revision">
    <w:name w:val="Revision"/>
    <w:hidden/>
    <w:uiPriority w:val="99"/>
    <w:semiHidden/>
    <w:rsid w:val="00BA5ABF"/>
    <w:rPr>
      <w:rFonts w:ascii="Courier" w:hAnsi="Courier"/>
      <w:snapToGrid w:val="0"/>
      <w:sz w:val="24"/>
    </w:rPr>
  </w:style>
  <w:style w:type="character" w:styleId="UnresolvedMention">
    <w:name w:val="Unresolved Mention"/>
    <w:basedOn w:val="DefaultParagraphFont"/>
    <w:uiPriority w:val="99"/>
    <w:semiHidden/>
    <w:unhideWhenUsed/>
    <w:rsid w:val="0023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naics4_999200.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7AF3-255D-4EB0-AD2B-63D9AE00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4</cp:revision>
  <cp:lastPrinted>2017-01-04T18:20:00Z</cp:lastPrinted>
  <dcterms:created xsi:type="dcterms:W3CDTF">2023-06-15T13:42:00Z</dcterms:created>
  <dcterms:modified xsi:type="dcterms:W3CDTF">2023-06-15T13:53:00Z</dcterms:modified>
</cp:coreProperties>
</file>