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027C45" w:rsidRPr="002C074C" w:rsidP="00027C45" w14:paraId="2D688CA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C074C">
        <w:rPr>
          <w:sz w:val="24"/>
          <w:szCs w:val="24"/>
          <w:lang w:val="en-CA"/>
        </w:rPr>
        <w:fldChar w:fldCharType="begin"/>
      </w:r>
      <w:r w:rsidRPr="002C074C">
        <w:rPr>
          <w:sz w:val="24"/>
          <w:szCs w:val="24"/>
          <w:lang w:val="en-CA"/>
        </w:rPr>
        <w:instrText xml:space="preserve"> SEQ CHAPTER \h \r 1</w:instrText>
      </w:r>
      <w:r>
        <w:rPr>
          <w:sz w:val="24"/>
          <w:szCs w:val="24"/>
          <w:lang w:val="en-CA"/>
        </w:rPr>
        <w:fldChar w:fldCharType="separate"/>
      </w:r>
      <w:r w:rsidRPr="002C074C">
        <w:rPr>
          <w:sz w:val="24"/>
          <w:szCs w:val="24"/>
          <w:lang w:val="en-CA"/>
        </w:rPr>
        <w:fldChar w:fldCharType="end"/>
      </w:r>
      <w:r w:rsidRPr="002C074C">
        <w:rPr>
          <w:b/>
          <w:bCs/>
          <w:sz w:val="32"/>
          <w:szCs w:val="32"/>
        </w:rPr>
        <w:t>Supporting Statement A</w:t>
      </w:r>
    </w:p>
    <w:p w:rsidR="00027C45" w:rsidRPr="002C074C" w:rsidP="00027C45" w14:paraId="1EE9136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p>
    <w:p w:rsidR="00027C45" w:rsidRPr="002C074C" w:rsidP="00027C45" w14:paraId="6E9B02E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C074C">
        <w:rPr>
          <w:b/>
          <w:bCs/>
          <w:sz w:val="32"/>
          <w:szCs w:val="32"/>
        </w:rPr>
        <w:t>Bureau of Indian Affairs</w:t>
      </w:r>
    </w:p>
    <w:p w:rsidR="00027C45" w:rsidRPr="002C074C" w:rsidP="000C7387" w14:paraId="0A4146BD" w14:textId="20CC9F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bCs/>
          <w:sz w:val="32"/>
          <w:szCs w:val="32"/>
        </w:rPr>
      </w:pPr>
      <w:r w:rsidRPr="002C074C">
        <w:rPr>
          <w:b/>
          <w:bCs/>
          <w:sz w:val="32"/>
          <w:szCs w:val="32"/>
        </w:rPr>
        <w:t>Data Elements for Bureau-Funded Schools</w:t>
      </w:r>
    </w:p>
    <w:p w:rsidR="00027C45" w:rsidRPr="002C074C" w:rsidP="00027C45" w14:paraId="054386B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r w:rsidRPr="002C074C">
        <w:rPr>
          <w:b/>
          <w:bCs/>
          <w:sz w:val="32"/>
          <w:szCs w:val="32"/>
        </w:rPr>
        <w:t>OMB Control Number 1076-0</w:t>
      </w:r>
      <w:r w:rsidRPr="002C074C" w:rsidR="00E33834">
        <w:rPr>
          <w:b/>
          <w:bCs/>
          <w:sz w:val="32"/>
          <w:szCs w:val="32"/>
        </w:rPr>
        <w:t>122</w:t>
      </w:r>
    </w:p>
    <w:p w:rsidR="00027C45" w:rsidRPr="002C074C" w:rsidP="00027C45" w14:paraId="0A94145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Pr="002C074C" w:rsidP="00027C45" w14:paraId="6DDC283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32"/>
          <w:szCs w:val="32"/>
        </w:rPr>
      </w:pPr>
      <w:r w:rsidRPr="002C074C">
        <w:rPr>
          <w:b/>
          <w:sz w:val="32"/>
          <w:szCs w:val="32"/>
        </w:rPr>
        <w:t>Terms of Clearance:</w:t>
      </w:r>
      <w:r w:rsidRPr="002C074C">
        <w:rPr>
          <w:sz w:val="32"/>
          <w:szCs w:val="32"/>
        </w:rPr>
        <w:t xml:space="preserve"> None</w:t>
      </w:r>
    </w:p>
    <w:p w:rsidR="00027C45" w:rsidRPr="002C074C" w:rsidP="00027C45" w14:paraId="32008A9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sz w:val="32"/>
          <w:szCs w:val="32"/>
        </w:rPr>
      </w:pPr>
    </w:p>
    <w:p w:rsidR="00027C45" w:rsidRPr="002C074C" w:rsidP="00027C45" w14:paraId="59D0D7C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C074C">
        <w:rPr>
          <w:b/>
          <w:bCs/>
          <w:sz w:val="24"/>
          <w:szCs w:val="24"/>
        </w:rPr>
        <w:t>General Instructions</w:t>
      </w:r>
      <w:r w:rsidRPr="002C074C">
        <w:rPr>
          <w:sz w:val="24"/>
          <w:szCs w:val="24"/>
        </w:rPr>
        <w:t xml:space="preserve"> </w:t>
      </w:r>
    </w:p>
    <w:p w:rsidR="00027C45" w:rsidRPr="002C074C" w:rsidP="00027C45" w14:paraId="3BF2FE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740EF5F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C074C">
        <w:rPr>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rsidR="00027C45" w:rsidRPr="002C074C" w:rsidP="00027C45" w14:paraId="7CFF063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5E9DF4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r w:rsidRPr="002C074C">
        <w:rPr>
          <w:b/>
          <w:bCs/>
          <w:sz w:val="24"/>
          <w:szCs w:val="24"/>
        </w:rPr>
        <w:t>Specific Instructions</w:t>
      </w:r>
    </w:p>
    <w:p w:rsidR="00027C45" w:rsidRPr="002C074C" w:rsidP="00027C45" w14:paraId="6CB1E7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00143F9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C074C">
        <w:rPr>
          <w:b/>
          <w:bCs/>
          <w:sz w:val="24"/>
          <w:szCs w:val="24"/>
        </w:rPr>
        <w:t>Justification</w:t>
      </w:r>
    </w:p>
    <w:p w:rsidR="00027C45" w:rsidRPr="002C074C" w:rsidP="00027C45" w14:paraId="23D8362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38A18B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w:t>
      </w:r>
      <w:r w:rsidRPr="002C074C">
        <w:rPr>
          <w:b/>
          <w:sz w:val="24"/>
          <w:szCs w:val="24"/>
        </w:rPr>
        <w:tab/>
        <w:t>Explain the circumstances that make the collection of information necessary.  Identify any legal or administrative requirements that necessitate the collection.</w:t>
      </w:r>
    </w:p>
    <w:p w:rsidR="00027C45" w:rsidRPr="002C074C" w:rsidP="00027C45" w14:paraId="28762F0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CD6A6A" w:rsidRPr="002C074C" w:rsidP="00AA037A" w14:paraId="7747C20E" w14:textId="56217E4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The Secretary of the Interior, through the Bureau of Indian Education (BIE), is required by the </w:t>
      </w:r>
      <w:r w:rsidRPr="002C074C" w:rsidR="00370A7E">
        <w:rPr>
          <w:bCs/>
          <w:i/>
          <w:iCs/>
          <w:sz w:val="24"/>
        </w:rPr>
        <w:t>Snyder</w:t>
      </w:r>
      <w:r w:rsidRPr="002C074C">
        <w:rPr>
          <w:bCs/>
          <w:i/>
          <w:iCs/>
          <w:sz w:val="24"/>
        </w:rPr>
        <w:t xml:space="preserve"> Act</w:t>
      </w:r>
      <w:r w:rsidRPr="002C074C" w:rsidR="006E1050">
        <w:rPr>
          <w:bCs/>
          <w:sz w:val="24"/>
        </w:rPr>
        <w:t xml:space="preserve"> (25 U.S.C. 13)</w:t>
      </w:r>
      <w:r w:rsidRPr="002C074C" w:rsidR="00131037">
        <w:rPr>
          <w:bCs/>
          <w:sz w:val="24"/>
        </w:rPr>
        <w:t xml:space="preserve">, </w:t>
      </w:r>
      <w:r w:rsidRPr="002C074C" w:rsidR="00131037">
        <w:rPr>
          <w:bCs/>
          <w:i/>
          <w:iCs/>
          <w:sz w:val="24"/>
        </w:rPr>
        <w:t xml:space="preserve">Indian Self-Determination and Education Assistance Act of 1975 </w:t>
      </w:r>
      <w:r w:rsidRPr="002C074C" w:rsidR="00131037">
        <w:rPr>
          <w:bCs/>
          <w:sz w:val="24"/>
        </w:rPr>
        <w:t xml:space="preserve">(25 U.S.C. 5301), </w:t>
      </w:r>
      <w:r w:rsidRPr="002C074C" w:rsidR="00131037">
        <w:rPr>
          <w:bCs/>
          <w:i/>
          <w:iCs/>
          <w:sz w:val="24"/>
        </w:rPr>
        <w:t>Education Amendments of 1978</w:t>
      </w:r>
      <w:r w:rsidRPr="002C074C" w:rsidR="0091345A">
        <w:rPr>
          <w:bCs/>
          <w:sz w:val="24"/>
        </w:rPr>
        <w:t xml:space="preserve"> (25</w:t>
      </w:r>
      <w:r w:rsidRPr="002C074C" w:rsidR="00131037">
        <w:rPr>
          <w:bCs/>
          <w:sz w:val="24"/>
        </w:rPr>
        <w:t xml:space="preserve"> U.S.C. 2001), </w:t>
      </w:r>
      <w:r w:rsidRPr="002C074C" w:rsidR="0091345A">
        <w:rPr>
          <w:bCs/>
          <w:i/>
          <w:iCs/>
          <w:sz w:val="24"/>
        </w:rPr>
        <w:t xml:space="preserve">Augustus F. Hawkins-Robert T. Stafford Elementary and Secondary School Improvement Amendments of 1988 </w:t>
      </w:r>
      <w:r w:rsidRPr="002C074C" w:rsidR="0091345A">
        <w:rPr>
          <w:bCs/>
          <w:sz w:val="24"/>
        </w:rPr>
        <w:t>(20 U.S.C. 6301 et seq.)</w:t>
      </w:r>
      <w:r w:rsidRPr="002C074C">
        <w:rPr>
          <w:bCs/>
          <w:sz w:val="24"/>
        </w:rPr>
        <w:t xml:space="preserve">, </w:t>
      </w:r>
      <w:r w:rsidRPr="002C074C" w:rsidR="00C733E9">
        <w:rPr>
          <w:bCs/>
          <w:sz w:val="24"/>
        </w:rPr>
        <w:t xml:space="preserve">and </w:t>
      </w:r>
      <w:r w:rsidRPr="002C074C" w:rsidR="00C733E9">
        <w:rPr>
          <w:bCs/>
          <w:i/>
          <w:iCs/>
          <w:sz w:val="24"/>
        </w:rPr>
        <w:t>Every Student Succeeds Act</w:t>
      </w:r>
      <w:r w:rsidRPr="002C074C" w:rsidR="00C733E9">
        <w:rPr>
          <w:bCs/>
          <w:sz w:val="24"/>
        </w:rPr>
        <w:t xml:space="preserve"> (20 U.S.C. 6301) </w:t>
      </w:r>
      <w:r w:rsidRPr="002C074C">
        <w:rPr>
          <w:bCs/>
          <w:sz w:val="24"/>
        </w:rPr>
        <w:t xml:space="preserve">to provide educational services to federally recognized Indians and Alaska Natives.  </w:t>
      </w:r>
      <w:r w:rsidRPr="002C074C" w:rsidR="00E71DB6">
        <w:rPr>
          <w:bCs/>
          <w:sz w:val="24"/>
        </w:rPr>
        <w:t xml:space="preserve">In addition, 25 CFR 43, </w:t>
      </w:r>
      <w:r w:rsidRPr="002C074C" w:rsidR="00E71DB6">
        <w:rPr>
          <w:bCs/>
          <w:i/>
          <w:iCs/>
          <w:sz w:val="24"/>
        </w:rPr>
        <w:t>Maintenance and Control of Student Records in Bureau Schools</w:t>
      </w:r>
      <w:r w:rsidRPr="002C074C" w:rsidR="00E71DB6">
        <w:rPr>
          <w:bCs/>
          <w:sz w:val="24"/>
        </w:rPr>
        <w:t>, contain regulations governing the maintenance, control, and accessibility of student records.</w:t>
      </w:r>
    </w:p>
    <w:p w:rsidR="00027C45" w:rsidRPr="002C074C" w:rsidP="00027C45" w14:paraId="6B3E804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57CC711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2.</w:t>
      </w:r>
      <w:r w:rsidRPr="002C074C">
        <w:rPr>
          <w:b/>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rsidR="00CD6A6A" w:rsidRPr="002C074C" w:rsidP="00027C45" w14:paraId="1B54E48D" w14:textId="75433C0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76F0B" w:rsidRPr="002C074C" w:rsidP="00276F0B" w14:paraId="40F254F5" w14:textId="38ABA4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BIE provides educational services to federally recognized Indians and Alaska Natives.</w:t>
      </w:r>
      <w:r w:rsidRPr="002C074C" w:rsidR="00E71DB6">
        <w:rPr>
          <w:bCs/>
          <w:sz w:val="24"/>
        </w:rPr>
        <w:t xml:space="preserve"> </w:t>
      </w:r>
    </w:p>
    <w:p w:rsidR="00276F0B" w:rsidRPr="002C074C" w:rsidP="00276F0B" w14:paraId="2BB21D2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rPr>
      </w:pPr>
    </w:p>
    <w:p w:rsidR="00276F0B" w:rsidRPr="002C074C" w:rsidP="00276F0B" w14:paraId="6B1585C8" w14:textId="77777777">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4"/>
        </w:rPr>
      </w:pPr>
      <w:r w:rsidRPr="002C074C">
        <w:rPr>
          <w:rFonts w:ascii="Times New Roman" w:hAnsi="Times New Roman" w:cs="Times New Roman"/>
          <w:bCs/>
          <w:sz w:val="24"/>
        </w:rPr>
        <w:t xml:space="preserve">BIE’s </w:t>
      </w:r>
      <w:r w:rsidRPr="002C074C">
        <w:rPr>
          <w:rFonts w:ascii="Times New Roman" w:hAnsi="Times New Roman" w:cs="Times New Roman"/>
          <w:b/>
          <w:sz w:val="24"/>
          <w:u w:val="single"/>
        </w:rPr>
        <w:t>Student Enrollment Application</w:t>
      </w:r>
      <w:r w:rsidRPr="002C074C">
        <w:rPr>
          <w:rFonts w:ascii="Times New Roman" w:hAnsi="Times New Roman" w:cs="Times New Roman"/>
          <w:bCs/>
          <w:sz w:val="24"/>
        </w:rPr>
        <w:t xml:space="preserve"> is utilized by schools operated or funded by BIE. The information is collected by school registrars to determine the student’s eligibility for enrollment in a bureau-operated school, and if eligible, is shared with </w:t>
      </w:r>
      <w:r w:rsidRPr="002C074C">
        <w:rPr>
          <w:rFonts w:ascii="Times New Roman" w:hAnsi="Times New Roman" w:cs="Times New Roman"/>
          <w:bCs/>
          <w:sz w:val="24"/>
        </w:rPr>
        <w:t>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rsidR="00276F0B" w:rsidRPr="002C074C" w:rsidP="00276F0B" w14:paraId="33BA4C5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Cs/>
          <w:sz w:val="24"/>
        </w:rPr>
      </w:pPr>
    </w:p>
    <w:p w:rsidR="002F0E34" w:rsidRPr="002C074C" w:rsidP="00276F0B" w14:paraId="28217624" w14:textId="705DDE33">
      <w:pPr>
        <w:pStyle w:val="ListParagraph"/>
        <w:numPr>
          <w:ilvl w:val="0"/>
          <w:numId w:val="10"/>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4"/>
        </w:rPr>
      </w:pPr>
      <w:r w:rsidRPr="002C074C">
        <w:rPr>
          <w:rFonts w:ascii="Times New Roman" w:hAnsi="Times New Roman" w:cs="Times New Roman"/>
          <w:bCs/>
          <w:sz w:val="24"/>
        </w:rPr>
        <w:t xml:space="preserve">BIE’s </w:t>
      </w:r>
      <w:r w:rsidRPr="002C074C">
        <w:rPr>
          <w:rFonts w:ascii="Times New Roman" w:hAnsi="Times New Roman" w:cs="Times New Roman"/>
          <w:b/>
          <w:sz w:val="24"/>
          <w:u w:val="single"/>
        </w:rPr>
        <w:t>Behavioral Health and Wellness Program (BHWP)</w:t>
      </w:r>
      <w:r w:rsidRPr="002C074C">
        <w:rPr>
          <w:rFonts w:ascii="Times New Roman" w:hAnsi="Times New Roman" w:cs="Times New Roman"/>
          <w:bCs/>
          <w:sz w:val="24"/>
        </w:rPr>
        <w:t xml:space="preserve"> is focused on providing indigenous focused, evidence-based, and trauma-informed behavioral health and wellness services/resources for students and staff at all Bureau-funded programs, departments, and institutions including Bureau operated schools, Tribally controlled schools, post-secondary institutions, and Tribal colleges and universities.</w:t>
      </w:r>
    </w:p>
    <w:p w:rsidR="00276F0B" w:rsidRPr="002C074C" w:rsidP="00276F0B" w14:paraId="5C2230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CD6A6A" w:rsidRPr="002C074C" w:rsidP="00CD6A6A" w14:paraId="6D009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sz w:val="24"/>
          <w:u w:val="single"/>
        </w:rPr>
      </w:pPr>
      <w:r w:rsidRPr="002C074C">
        <w:rPr>
          <w:b/>
          <w:caps/>
          <w:sz w:val="24"/>
          <w:u w:val="single"/>
        </w:rPr>
        <w:t>Student Enrollment Application</w:t>
      </w:r>
    </w:p>
    <w:p w:rsidR="00CD6A6A" w:rsidRPr="002C074C" w:rsidP="00CD6A6A" w14:paraId="4BBFD8C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This </w:t>
      </w:r>
      <w:bookmarkStart w:id="0" w:name="_Hlk126841638"/>
      <w:r w:rsidRPr="002C074C">
        <w:rPr>
          <w:bCs/>
          <w:sz w:val="24"/>
        </w:rPr>
        <w:t xml:space="preserve">Student Enrollment Application </w:t>
      </w:r>
      <w:bookmarkEnd w:id="0"/>
      <w:r w:rsidRPr="002C074C">
        <w:rPr>
          <w:bCs/>
          <w:sz w:val="24"/>
        </w:rPr>
        <w:t xml:space="preserve">is utilized by schools operated or funded by BIE.  The form addresses criteria for attendance that was set forth by the Amendment to Title 25 USC - Indian Education Programs (99 STAT. 1747), which allows for tuition-free attendance of any Indian student who is a member of a federally recognized tribe, or has ¼ degree blood quantum of a member of such tribes, as well as dependents of the Bureau, Indian Health Services, or tribal government employees who live on or near the school site.  </w:t>
      </w:r>
      <w:r w:rsidRPr="002C074C">
        <w:rPr>
          <w:sz w:val="24"/>
          <w:szCs w:val="24"/>
        </w:rPr>
        <w:t xml:space="preserve">25 CFR 32, Indian Education Policies and 25 CFR 39, Indian School Equalization Program, lists information that BIE has determined is necessary for this information collection.  </w:t>
      </w:r>
    </w:p>
    <w:p w:rsidR="00CD6A6A" w:rsidRPr="002C074C" w:rsidP="00027C45" w14:paraId="0434194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2C074C" w:rsidP="00AA037A" w14:paraId="12F8B496"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The information is collected by school registrars to determine the student’s eligibility for enrollment in a bureau</w:t>
      </w:r>
      <w:r w:rsidRPr="002C074C" w:rsidR="00F77BBB">
        <w:rPr>
          <w:bCs/>
          <w:sz w:val="24"/>
        </w:rPr>
        <w:t>-operated</w:t>
      </w:r>
      <w:r w:rsidRPr="002C074C">
        <w:rPr>
          <w:bCs/>
          <w:sz w:val="24"/>
        </w:rPr>
        <w:t xml:space="preserve"> school, and if eligible, is shared with appropriate school officials to identify the student’s base and supplemental educational and/or residential program needs.  The information is compiled into a national database by the Bureau of Indian Education to facilitate budget requests and the allocation of congressionally appropriated funds.</w:t>
      </w:r>
    </w:p>
    <w:p w:rsidR="00E33834" w:rsidRPr="002C074C" w:rsidP="00E33834" w14:paraId="6A34883A" w14:textId="77777777">
      <w:pPr>
        <w:ind w:right="-720"/>
        <w:rPr>
          <w:sz w:val="24"/>
        </w:rPr>
      </w:pPr>
    </w:p>
    <w:p w:rsidR="00E33834" w:rsidRPr="002C074C" w:rsidP="00276F0B" w14:paraId="7C5AF993" w14:textId="77777777">
      <w:pPr>
        <w:ind w:left="360" w:right="-720" w:firstLine="360"/>
        <w:rPr>
          <w:b/>
          <w:bCs/>
          <w:sz w:val="24"/>
          <w:szCs w:val="24"/>
          <w:u w:val="single"/>
        </w:rPr>
      </w:pPr>
      <w:r w:rsidRPr="002C074C">
        <w:rPr>
          <w:b/>
          <w:bCs/>
          <w:sz w:val="24"/>
          <w:szCs w:val="24"/>
          <w:u w:val="single"/>
        </w:rPr>
        <w:t>Page One</w:t>
      </w:r>
    </w:p>
    <w:p w:rsidR="00B7311E" w:rsidRPr="002C074C" w:rsidP="00276F0B" w14:paraId="4885328D" w14:textId="3DDC71CF">
      <w:pPr>
        <w:tabs>
          <w:tab w:val="left" w:pos="360"/>
        </w:tabs>
        <w:ind w:left="720"/>
        <w:rPr>
          <w:sz w:val="24"/>
          <w:szCs w:val="24"/>
        </w:rPr>
      </w:pPr>
      <w:r w:rsidRPr="002C074C">
        <w:rPr>
          <w:sz w:val="24"/>
          <w:szCs w:val="24"/>
        </w:rPr>
        <w:t xml:space="preserve">Schools will place their name in the header of the form, providing the school and funding type. </w:t>
      </w:r>
    </w:p>
    <w:p w:rsidR="00B7311E" w:rsidRPr="002C074C" w:rsidP="00276F0B" w14:paraId="4D06DFD3" w14:textId="77777777">
      <w:pPr>
        <w:tabs>
          <w:tab w:val="left" w:pos="360"/>
        </w:tabs>
        <w:ind w:left="720"/>
        <w:rPr>
          <w:sz w:val="24"/>
          <w:szCs w:val="24"/>
        </w:rPr>
      </w:pPr>
    </w:p>
    <w:p w:rsidR="00B7311E" w:rsidRPr="002C074C" w:rsidP="00276F0B" w14:paraId="14FCB5F0" w14:textId="7E98F547">
      <w:pPr>
        <w:tabs>
          <w:tab w:val="left" w:pos="360"/>
        </w:tabs>
        <w:ind w:left="720"/>
        <w:rPr>
          <w:sz w:val="24"/>
          <w:szCs w:val="24"/>
        </w:rPr>
      </w:pPr>
      <w:r w:rsidRPr="002C074C">
        <w:rPr>
          <w:sz w:val="24"/>
          <w:szCs w:val="24"/>
        </w:rPr>
        <w:t xml:space="preserve">Box 1 requests identification information which includes the student’s full name, address, distance between home and school, date of birth, place of birth including city/state/zip code, gender/orientation including options of male, female, self-identifies as, and prefer not to respond, degree of </w:t>
      </w:r>
      <w:r w:rsidRPr="002C074C" w:rsidR="006C68B2">
        <w:rPr>
          <w:sz w:val="24"/>
          <w:szCs w:val="24"/>
        </w:rPr>
        <w:t>Indian</w:t>
      </w:r>
      <w:r w:rsidRPr="002C074C">
        <w:rPr>
          <w:sz w:val="24"/>
          <w:szCs w:val="24"/>
        </w:rPr>
        <w:t xml:space="preserve"> blood, tribal enrollment number, home agency, primary language at home and secondary language at home. This information helps the schools with decisions about student placement. </w:t>
      </w:r>
    </w:p>
    <w:p w:rsidR="00B7311E" w:rsidRPr="002C074C" w:rsidP="00276F0B" w14:paraId="0327D68D" w14:textId="77777777">
      <w:pPr>
        <w:tabs>
          <w:tab w:val="left" w:pos="360"/>
        </w:tabs>
        <w:ind w:left="720"/>
        <w:rPr>
          <w:sz w:val="24"/>
          <w:szCs w:val="24"/>
        </w:rPr>
      </w:pPr>
    </w:p>
    <w:p w:rsidR="00B7311E" w:rsidRPr="002C074C" w:rsidP="00276F0B" w14:paraId="74002A7A" w14:textId="38F11D45">
      <w:pPr>
        <w:tabs>
          <w:tab w:val="left" w:pos="360"/>
        </w:tabs>
        <w:ind w:left="720"/>
        <w:rPr>
          <w:sz w:val="24"/>
          <w:szCs w:val="24"/>
        </w:rPr>
      </w:pPr>
      <w:r w:rsidRPr="002C074C">
        <w:rPr>
          <w:sz w:val="24"/>
          <w:szCs w:val="24"/>
        </w:rPr>
        <w:t>Box 2 requests for family information, which includes the mother and father’s addresses, home agency, tribal affiliations, tribal enrollments numbers</w:t>
      </w:r>
    </w:p>
    <w:p w:rsidR="41F8F81E" w:rsidRPr="002C074C" w:rsidP="00276F0B" w14:paraId="35FFBE31" w14:textId="49C4DC91">
      <w:pPr>
        <w:tabs>
          <w:tab w:val="left" w:pos="360"/>
        </w:tabs>
        <w:ind w:left="720"/>
      </w:pPr>
    </w:p>
    <w:p w:rsidR="00370A7E" w:rsidRPr="002C074C" w:rsidP="00276F0B" w14:paraId="2421A7A7" w14:textId="77777777">
      <w:pPr>
        <w:ind w:left="360" w:right="-720" w:firstLine="360"/>
        <w:rPr>
          <w:b/>
          <w:bCs/>
          <w:sz w:val="24"/>
          <w:szCs w:val="24"/>
          <w:u w:val="single"/>
        </w:rPr>
      </w:pPr>
      <w:r w:rsidRPr="002C074C">
        <w:rPr>
          <w:b/>
          <w:bCs/>
          <w:sz w:val="24"/>
          <w:szCs w:val="24"/>
          <w:u w:val="single"/>
        </w:rPr>
        <w:t>Page Two</w:t>
      </w:r>
    </w:p>
    <w:p w:rsidR="00B7311E" w:rsidRPr="002C074C" w:rsidP="00276F0B" w14:paraId="2F0A9A96" w14:textId="77777777">
      <w:pPr>
        <w:tabs>
          <w:tab w:val="left" w:pos="360"/>
        </w:tabs>
        <w:ind w:left="720"/>
        <w:rPr>
          <w:sz w:val="24"/>
          <w:szCs w:val="24"/>
        </w:rPr>
      </w:pPr>
      <w:r w:rsidRPr="002C074C">
        <w:rPr>
          <w:sz w:val="24"/>
          <w:szCs w:val="24"/>
        </w:rPr>
        <w:t xml:space="preserve">Continues with Box 2, regarding family information whether they are living or deceased with date of death, occupation information, employer, home telephone number, work number, cellular number, emergency contact, and other. Requests information of legal guardian and other (such as group home) in lieu of family information, and requests </w:t>
      </w:r>
      <w:r w:rsidRPr="002C074C">
        <w:rPr>
          <w:sz w:val="24"/>
          <w:szCs w:val="24"/>
        </w:rPr>
        <w:t xml:space="preserve">contact information which mirrors that of the family information. This information helps the school to ensure someone will be responsible for working with the school, if necessary, and what arrangements the parents have made regarding emergencies. </w:t>
      </w:r>
    </w:p>
    <w:p w:rsidR="00B7311E" w:rsidRPr="002C074C" w:rsidP="00276F0B" w14:paraId="44D938FE" w14:textId="77777777">
      <w:pPr>
        <w:tabs>
          <w:tab w:val="left" w:pos="360"/>
        </w:tabs>
        <w:ind w:left="720"/>
        <w:rPr>
          <w:sz w:val="24"/>
          <w:szCs w:val="24"/>
        </w:rPr>
      </w:pPr>
    </w:p>
    <w:p w:rsidR="00B7311E" w:rsidRPr="002C074C" w:rsidP="00276F0B" w14:paraId="5C6C5392" w14:textId="4DE0E604">
      <w:pPr>
        <w:tabs>
          <w:tab w:val="left" w:pos="360"/>
        </w:tabs>
        <w:ind w:left="720"/>
        <w:rPr>
          <w:sz w:val="24"/>
          <w:szCs w:val="24"/>
        </w:rPr>
      </w:pPr>
      <w:r w:rsidRPr="002C074C">
        <w:rPr>
          <w:sz w:val="24"/>
          <w:szCs w:val="24"/>
        </w:rPr>
        <w:t xml:space="preserve">Box 3 requests information on school(s) previously attended, which includes the school name and address including city/state/zip </w:t>
      </w:r>
      <w:r w:rsidRPr="002C074C" w:rsidR="00E929BC">
        <w:rPr>
          <w:sz w:val="24"/>
          <w:szCs w:val="24"/>
        </w:rPr>
        <w:t>c</w:t>
      </w:r>
      <w:r w:rsidRPr="002C074C">
        <w:rPr>
          <w:sz w:val="24"/>
          <w:szCs w:val="24"/>
        </w:rPr>
        <w:t>ode, dates of attendance, grades completed, and reason(s) for leaving.</w:t>
      </w:r>
    </w:p>
    <w:p w:rsidR="00D027E7" w:rsidRPr="002C074C" w:rsidP="00CD6A6A" w14:paraId="3ACC0EA1" w14:textId="77777777">
      <w:pPr>
        <w:ind w:left="360" w:right="-720" w:firstLine="360"/>
        <w:rPr>
          <w:b/>
          <w:bCs/>
          <w:sz w:val="24"/>
          <w:szCs w:val="24"/>
          <w:u w:val="single"/>
        </w:rPr>
      </w:pPr>
    </w:p>
    <w:p w:rsidR="008B44A6" w:rsidRPr="002C074C" w:rsidP="00276F0B" w14:paraId="44B56295" w14:textId="11210511">
      <w:pPr>
        <w:ind w:left="360" w:right="-720" w:firstLine="360"/>
        <w:rPr>
          <w:b/>
          <w:bCs/>
          <w:sz w:val="24"/>
          <w:szCs w:val="24"/>
          <w:u w:val="single"/>
        </w:rPr>
      </w:pPr>
      <w:r w:rsidRPr="002C074C">
        <w:rPr>
          <w:b/>
          <w:bCs/>
          <w:sz w:val="24"/>
          <w:szCs w:val="24"/>
          <w:u w:val="single"/>
        </w:rPr>
        <w:t>Page Three</w:t>
      </w:r>
    </w:p>
    <w:p w:rsidR="00B7311E" w:rsidRPr="002C074C" w:rsidP="00276F0B" w14:paraId="6273A9ED" w14:textId="77777777">
      <w:pPr>
        <w:ind w:left="720"/>
        <w:rPr>
          <w:sz w:val="24"/>
          <w:szCs w:val="24"/>
        </w:rPr>
      </w:pPr>
      <w:r w:rsidRPr="002C074C">
        <w:rPr>
          <w:sz w:val="24"/>
          <w:szCs w:val="24"/>
        </w:rPr>
        <w:t>Continues with Box 3, regarding previously attended school information. At the bottom of Box 3 there is a statement regarding acknowledgement of legal responsibility for the student and the possibility of submitting additional information if requested, with space for the parent/legal guardian/adult student to sign and date. Below there is space for the principal to document if the child is accepted into the school and space for the principal’s signature and date.</w:t>
      </w:r>
    </w:p>
    <w:p w:rsidR="00B7311E" w:rsidRPr="002C074C" w:rsidP="00276F0B" w14:paraId="0A4AC88F" w14:textId="77777777">
      <w:pPr>
        <w:ind w:left="720"/>
        <w:rPr>
          <w:sz w:val="24"/>
          <w:szCs w:val="24"/>
        </w:rPr>
      </w:pPr>
    </w:p>
    <w:p w:rsidR="00B7311E" w:rsidRPr="002C074C" w:rsidP="00276F0B" w14:paraId="71FCD928" w14:textId="77777777">
      <w:pPr>
        <w:ind w:left="720"/>
        <w:rPr>
          <w:sz w:val="24"/>
          <w:szCs w:val="24"/>
        </w:rPr>
      </w:pPr>
      <w:r w:rsidRPr="002C074C">
        <w:rPr>
          <w:sz w:val="24"/>
          <w:szCs w:val="24"/>
        </w:rPr>
        <w:t>Box 4 contains the criteria for boarding or out-of-boundary enrollment, with lists of educational and social factors.</w:t>
      </w:r>
    </w:p>
    <w:p w:rsidR="41F8F81E" w:rsidRPr="002C074C" w:rsidP="00276F0B" w14:paraId="203BEFDD" w14:textId="63819F96">
      <w:pPr>
        <w:ind w:left="720"/>
      </w:pPr>
    </w:p>
    <w:p w:rsidR="008B44A6" w:rsidRPr="002C074C" w:rsidP="00276F0B" w14:paraId="28FE0BAF" w14:textId="77777777">
      <w:pPr>
        <w:ind w:left="360" w:right="-720" w:firstLine="360"/>
        <w:rPr>
          <w:b/>
          <w:bCs/>
          <w:sz w:val="24"/>
          <w:szCs w:val="24"/>
          <w:u w:val="single"/>
        </w:rPr>
      </w:pPr>
      <w:r w:rsidRPr="002C074C">
        <w:rPr>
          <w:b/>
          <w:bCs/>
          <w:sz w:val="24"/>
          <w:szCs w:val="24"/>
          <w:u w:val="single"/>
        </w:rPr>
        <w:t>Page Four</w:t>
      </w:r>
    </w:p>
    <w:p w:rsidR="00B7311E" w:rsidRPr="002C074C" w:rsidP="00276F0B" w14:paraId="10F384DF" w14:textId="77777777">
      <w:pPr>
        <w:ind w:left="720"/>
        <w:rPr>
          <w:sz w:val="24"/>
          <w:szCs w:val="24"/>
        </w:rPr>
      </w:pPr>
      <w:r w:rsidRPr="002C074C">
        <w:rPr>
          <w:sz w:val="24"/>
          <w:szCs w:val="24"/>
        </w:rPr>
        <w:t xml:space="preserve">Continues with Box 4, regarding criteria for boarding or out-of-boundary enrollment. The required approvals are also listed. The </w:t>
      </w:r>
      <w:r w:rsidRPr="002C074C">
        <w:rPr>
          <w:i/>
          <w:iCs/>
          <w:sz w:val="24"/>
          <w:szCs w:val="24"/>
        </w:rPr>
        <w:t>Privacy Act</w:t>
      </w:r>
      <w:r w:rsidRPr="002C074C">
        <w:rPr>
          <w:sz w:val="24"/>
          <w:szCs w:val="24"/>
        </w:rPr>
        <w:t xml:space="preserve"> Statement appears on this page. The </w:t>
      </w:r>
      <w:r w:rsidRPr="002C074C">
        <w:rPr>
          <w:i/>
          <w:iCs/>
          <w:sz w:val="24"/>
          <w:szCs w:val="24"/>
        </w:rPr>
        <w:t>Paperwork Reduction Act</w:t>
      </w:r>
      <w:r w:rsidRPr="002C074C">
        <w:rPr>
          <w:sz w:val="24"/>
          <w:szCs w:val="24"/>
        </w:rPr>
        <w:t xml:space="preserve"> Statement appears on this page. It also contains instructions for completing the Student Enrollment Application Form.</w:t>
      </w:r>
    </w:p>
    <w:p w:rsidR="00D027E7" w:rsidRPr="002C074C" w:rsidP="00CD6A6A" w14:paraId="3B236EAD" w14:textId="77777777">
      <w:pPr>
        <w:ind w:left="360" w:right="-720" w:firstLine="360"/>
        <w:rPr>
          <w:b/>
          <w:sz w:val="24"/>
          <w:u w:val="single"/>
        </w:rPr>
      </w:pPr>
    </w:p>
    <w:p w:rsidR="008B44A6" w:rsidRPr="002C074C" w:rsidP="00276F0B" w14:paraId="325DFBBD" w14:textId="5AB3B494">
      <w:pPr>
        <w:ind w:left="360" w:right="-720" w:firstLine="360"/>
        <w:rPr>
          <w:b/>
          <w:sz w:val="24"/>
          <w:u w:val="single"/>
        </w:rPr>
      </w:pPr>
      <w:r w:rsidRPr="002C074C">
        <w:rPr>
          <w:b/>
          <w:sz w:val="24"/>
          <w:u w:val="single"/>
        </w:rPr>
        <w:t>Page Five</w:t>
      </w:r>
    </w:p>
    <w:p w:rsidR="008B44A6" w:rsidRPr="002C074C" w:rsidP="00276F0B" w14:paraId="5A8F6025" w14:textId="4F1E1B8A">
      <w:pPr>
        <w:ind w:left="360" w:right="-720" w:firstLine="360"/>
        <w:rPr>
          <w:sz w:val="24"/>
          <w:szCs w:val="24"/>
        </w:rPr>
      </w:pPr>
      <w:r w:rsidRPr="002C074C">
        <w:rPr>
          <w:sz w:val="24"/>
          <w:szCs w:val="24"/>
        </w:rPr>
        <w:t>Continues the instructions for completing the Student Enrollment Application.</w:t>
      </w:r>
    </w:p>
    <w:p w:rsidR="00C733E9" w:rsidRPr="002C074C" w:rsidP="00D027E7" w14:paraId="6D547469" w14:textId="130ECCB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sz w:val="24"/>
          <w:u w:val="single"/>
        </w:rPr>
      </w:pPr>
    </w:p>
    <w:p w:rsidR="00BD271C" w:rsidRPr="002C074C" w:rsidP="00CC6D7B" w14:paraId="7007F1A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color w:val="FF0000"/>
          <w:sz w:val="24"/>
          <w:u w:val="single"/>
        </w:rPr>
      </w:pPr>
      <w:r w:rsidRPr="002C074C">
        <w:rPr>
          <w:b/>
          <w:caps/>
          <w:color w:val="FF0000"/>
          <w:sz w:val="24"/>
          <w:u w:val="single"/>
        </w:rPr>
        <w:t>2023 Proposed revision</w:t>
      </w:r>
    </w:p>
    <w:p w:rsidR="00BD271C" w:rsidRPr="002C074C" w:rsidP="00D027E7" w14:paraId="39CFBEF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sz w:val="24"/>
          <w:u w:val="single"/>
        </w:rPr>
      </w:pPr>
    </w:p>
    <w:tbl>
      <w:tblPr>
        <w:tblStyle w:val="TableGrid"/>
        <w:tblW w:w="0" w:type="auto"/>
        <w:tblInd w:w="36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tblPr>
      <w:tblGrid>
        <w:gridCol w:w="8954"/>
      </w:tblGrid>
      <w:tr w14:paraId="19ED7F7E" w14:textId="77777777" w:rsidTr="00276F0B">
        <w:tblPrEx>
          <w:tblW w:w="0" w:type="auto"/>
          <w:tblInd w:w="360" w:type="dxa"/>
          <w:tblBorders>
            <w:top w:val="single" w:sz="18" w:space="0" w:color="FF0000"/>
            <w:left w:val="single" w:sz="18" w:space="0" w:color="FF0000"/>
            <w:bottom w:val="single" w:sz="18" w:space="0" w:color="FF0000"/>
            <w:right w:val="single" w:sz="18" w:space="0" w:color="FF0000"/>
            <w:insideH w:val="none" w:sz="0" w:space="0" w:color="auto"/>
            <w:insideV w:val="none" w:sz="0" w:space="0" w:color="auto"/>
          </w:tblBorders>
          <w:tblLook w:val="04A0"/>
        </w:tblPrEx>
        <w:tc>
          <w:tcPr>
            <w:tcW w:w="9350" w:type="dxa"/>
          </w:tcPr>
          <w:p w:rsidR="00C733E9" w:rsidRPr="002C074C" w:rsidP="00276F0B" w14:paraId="3F3BEA7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4"/>
                <w:u w:val="single"/>
              </w:rPr>
            </w:pPr>
            <w:r w:rsidRPr="002C074C">
              <w:rPr>
                <w:b/>
                <w:caps/>
                <w:sz w:val="24"/>
                <w:u w:val="single"/>
              </w:rPr>
              <w:t>Behavioral Health and Wellness Program</w:t>
            </w:r>
          </w:p>
          <w:p w:rsidR="00C733E9" w:rsidRPr="002C074C" w:rsidP="00C733E9" w14:paraId="789F6F16" w14:textId="77777777">
            <w:pPr>
              <w:ind w:right="-720" w:firstLine="360"/>
            </w:pPr>
          </w:p>
          <w:p w:rsidR="00C733E9" w:rsidRPr="002C074C" w:rsidP="00C733E9" w14:paraId="1775893E" w14:textId="3E73D9B9">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bookmarkStart w:id="1" w:name="_Hlk126835360"/>
            <w:r w:rsidRPr="002C074C">
              <w:rPr>
                <w:bCs/>
                <w:sz w:val="24"/>
              </w:rPr>
              <w:t>BIE’s Behavioral Health and Wellness Program (BHWP) is focused on providing indigenous focused, evidence-based, and trauma-informed behavioral health and wellness services/resources for students and staff at all Bureau-funded programs, departments, and institutions including Bureau operated schools, Tribally controlled schools, post-secondary institutions, and Tribal colleges and universities.</w:t>
            </w:r>
          </w:p>
          <w:bookmarkEnd w:id="1"/>
          <w:p w:rsidR="00C733E9" w:rsidRPr="002C074C" w:rsidP="00C733E9" w14:paraId="7D745AC8" w14:textId="79F0374E">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C733E9" w:rsidRPr="002C074C" w:rsidP="00276F0B" w14:paraId="0F86918B" w14:textId="3FA3919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 xml:space="preserve">The </w:t>
            </w:r>
            <w:r w:rsidRPr="002C074C">
              <w:rPr>
                <w:bCs/>
                <w:i/>
                <w:iCs/>
                <w:sz w:val="24"/>
              </w:rPr>
              <w:t>Every Student Succeeds Act</w:t>
            </w:r>
            <w:r w:rsidRPr="002C074C">
              <w:rPr>
                <w:bCs/>
                <w:sz w:val="24"/>
              </w:rPr>
              <w:t xml:space="preserve"> (20 U.S.C. 6301) directs the BIE to foster safe, healthy, supportive, and drug-free environments that support student academic achievement; and subject to funding and resources, to provide </w:t>
            </w:r>
            <w:bookmarkStart w:id="2" w:name="_Hlk125531143"/>
            <w:r w:rsidRPr="002C074C">
              <w:rPr>
                <w:bCs/>
                <w:sz w:val="24"/>
              </w:rPr>
              <w:t>technical assistance (20 U.S.C. 7424) and school-based mental health services (20 U.S.C. 7118).</w:t>
            </w:r>
          </w:p>
          <w:p w:rsidR="006403FA" w:rsidRPr="002C074C" w:rsidP="00276F0B" w14:paraId="0114BE33" w14:textId="11EB099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6403FA" w:rsidRPr="002C074C" w:rsidP="006403FA" w14:paraId="497107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 xml:space="preserve">The BHWP’s tele-behavioral health counseling program is designed to provide short-term, solution-focused brief therapy, a 24/7 crisis hotline, and onsite crisis support for students and staff. Services are provided for students and staff at all bureau-funded institutions </w:t>
            </w:r>
            <w:r w:rsidRPr="002C074C">
              <w:rPr>
                <w:bCs/>
                <w:sz w:val="24"/>
              </w:rPr>
              <w:t xml:space="preserve">including Bureau-operated schools, Tribally Controlled schools, Post-Secondary Institutions operated by BIE, Tribal Colleges and Universities, and all departments within BIE.  </w:t>
            </w:r>
          </w:p>
          <w:p w:rsidR="006403FA" w:rsidRPr="002C074C" w:rsidP="006403FA" w14:paraId="1031D47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6403FA" w:rsidRPr="002C074C" w:rsidP="006403FA" w14:paraId="62AFA0C1" w14:textId="23C1F3B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In order to initiate BHWP virtual counseling and/or crisis services, the following demographic and referral intake information will be collected to ensure BHWP Behavioral Health Specialists</w:t>
            </w:r>
            <w:r w:rsidRPr="002C074C" w:rsidR="00997CCC">
              <w:rPr>
                <w:bCs/>
                <w:sz w:val="24"/>
              </w:rPr>
              <w:t xml:space="preserve"> and Care Coordinators</w:t>
            </w:r>
            <w:r w:rsidRPr="002C074C">
              <w:rPr>
                <w:bCs/>
                <w:sz w:val="24"/>
              </w:rPr>
              <w:t xml:space="preserve"> have accurate client (student and/or staff) and client emergency contact information.  The specified information collected by the BHWP is strictly for counseling and crisis service delivery and all efforts to minimize burden and breaches of Personally Identifying Information (PII) have been explored.</w:t>
            </w:r>
          </w:p>
          <w:p w:rsidR="006403FA" w:rsidRPr="002C074C" w:rsidP="00276F0B" w14:paraId="00DB7ED0" w14:textId="7FF0D2D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tbl>
            <w:tblPr>
              <w:tblStyle w:val="TableGrid"/>
              <w:tblW w:w="0" w:type="auto"/>
              <w:tblLook w:val="04A0"/>
            </w:tblPr>
            <w:tblGrid>
              <w:gridCol w:w="1930"/>
              <w:gridCol w:w="6798"/>
            </w:tblGrid>
            <w:tr w14:paraId="57B3C246" w14:textId="77777777" w:rsidTr="006403FA">
              <w:tblPrEx>
                <w:tblW w:w="0" w:type="auto"/>
                <w:tblLook w:val="04A0"/>
              </w:tblPrEx>
              <w:tc>
                <w:tcPr>
                  <w:tcW w:w="1930" w:type="dxa"/>
                  <w:shd w:val="clear" w:color="auto" w:fill="F2F2F2" w:themeFill="background1" w:themeFillShade="F2"/>
                </w:tcPr>
                <w:p w:rsidR="006403FA" w:rsidRPr="002C074C" w:rsidP="00276F0B" w14:paraId="7440BC60" w14:textId="766EA2A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Student information:</w:t>
                  </w:r>
                </w:p>
              </w:tc>
              <w:tc>
                <w:tcPr>
                  <w:tcW w:w="6798" w:type="dxa"/>
                </w:tcPr>
                <w:p w:rsidR="006403FA" w:rsidRPr="002C074C" w:rsidP="00276F0B" w14:paraId="72879D8B" w14:textId="07480C5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Name, email, date of birth, mailing address, physical address, home and/or cell phone number, school of enrollment, grade level, Tribe of enrollment, and emergency contact information.</w:t>
                  </w:r>
                </w:p>
              </w:tc>
            </w:tr>
            <w:tr w14:paraId="4CC6D755" w14:textId="77777777" w:rsidTr="006403FA">
              <w:tblPrEx>
                <w:tblW w:w="0" w:type="auto"/>
                <w:tblLook w:val="04A0"/>
              </w:tblPrEx>
              <w:tc>
                <w:tcPr>
                  <w:tcW w:w="1930" w:type="dxa"/>
                  <w:shd w:val="clear" w:color="auto" w:fill="F2F2F2" w:themeFill="background1" w:themeFillShade="F2"/>
                </w:tcPr>
                <w:p w:rsidR="006403FA" w:rsidRPr="002C074C" w:rsidP="00276F0B" w14:paraId="679927C6" w14:textId="226FFC45">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Student parent and/or legal guardian information:</w:t>
                  </w:r>
                </w:p>
              </w:tc>
              <w:tc>
                <w:tcPr>
                  <w:tcW w:w="6798" w:type="dxa"/>
                </w:tcPr>
                <w:p w:rsidR="006403FA" w:rsidRPr="002C074C" w:rsidP="00276F0B" w14:paraId="7997B9FB" w14:textId="71C420A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Name, email, mailing address, physical address, home and/or cell phone number.</w:t>
                  </w:r>
                </w:p>
              </w:tc>
            </w:tr>
            <w:tr w14:paraId="4AA7FE39" w14:textId="77777777" w:rsidTr="006403FA">
              <w:tblPrEx>
                <w:tblW w:w="0" w:type="auto"/>
                <w:tblLook w:val="04A0"/>
              </w:tblPrEx>
              <w:tc>
                <w:tcPr>
                  <w:tcW w:w="1930" w:type="dxa"/>
                  <w:shd w:val="clear" w:color="auto" w:fill="F2F2F2" w:themeFill="background1" w:themeFillShade="F2"/>
                </w:tcPr>
                <w:p w:rsidR="006403FA" w:rsidRPr="002C074C" w:rsidP="00276F0B" w14:paraId="7DF8C6CE" w14:textId="4F4983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Tribal and school level staff/employee:</w:t>
                  </w:r>
                </w:p>
              </w:tc>
              <w:tc>
                <w:tcPr>
                  <w:tcW w:w="6798" w:type="dxa"/>
                </w:tcPr>
                <w:p w:rsidR="006403FA" w:rsidRPr="002C074C" w:rsidP="00276F0B" w14:paraId="4BEFD415" w14:textId="57AC81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Name, email, date of birth, mailing address, physical address, home and/or cell phone number, school affiliation, Tribe of enrollment, and emergency contact information.</w:t>
                  </w:r>
                </w:p>
              </w:tc>
            </w:tr>
            <w:tr w14:paraId="650CFFA5" w14:textId="77777777" w:rsidTr="006403FA">
              <w:tblPrEx>
                <w:tblW w:w="0" w:type="auto"/>
                <w:tblLook w:val="04A0"/>
              </w:tblPrEx>
              <w:tc>
                <w:tcPr>
                  <w:tcW w:w="1930" w:type="dxa"/>
                  <w:shd w:val="clear" w:color="auto" w:fill="F2F2F2" w:themeFill="background1" w:themeFillShade="F2"/>
                </w:tcPr>
                <w:p w:rsidR="006403FA" w:rsidRPr="002C074C" w:rsidP="00276F0B" w14:paraId="23351EC1" w14:textId="643E076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Emergency contact person:</w:t>
                  </w:r>
                </w:p>
              </w:tc>
              <w:tc>
                <w:tcPr>
                  <w:tcW w:w="6798" w:type="dxa"/>
                </w:tcPr>
                <w:p w:rsidR="006403FA" w:rsidRPr="002C074C" w:rsidP="00276F0B" w14:paraId="47E987D6" w14:textId="5109865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Contact’s name, relationship to client, emergency contact phone and/or cell phone number.</w:t>
                  </w:r>
                </w:p>
              </w:tc>
            </w:tr>
            <w:tr w14:paraId="160D48A1" w14:textId="77777777" w:rsidTr="006403FA">
              <w:tblPrEx>
                <w:tblW w:w="0" w:type="auto"/>
                <w:tblLook w:val="04A0"/>
              </w:tblPrEx>
              <w:tc>
                <w:tcPr>
                  <w:tcW w:w="1930" w:type="dxa"/>
                  <w:shd w:val="clear" w:color="auto" w:fill="F2F2F2" w:themeFill="background1" w:themeFillShade="F2"/>
                </w:tcPr>
                <w:p w:rsidR="006403FA" w:rsidRPr="002C074C" w:rsidP="00276F0B" w14:paraId="37F35D0C" w14:textId="04CD4C7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In the case of a critical incident, sentinel event, or death:</w:t>
                  </w:r>
                </w:p>
              </w:tc>
              <w:tc>
                <w:tcPr>
                  <w:tcW w:w="6798" w:type="dxa"/>
                </w:tcPr>
                <w:p w:rsidR="006403FA" w:rsidRPr="002C074C" w:rsidP="006403FA" w14:paraId="40045E2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 xml:space="preserve">Name of client (student/staff), date of birth, age, address, parent/legal guardian information (if applicable), emergency contact information, manner of death or incident type, location of death or incident, time of death or incident, any known witness or collateral contact, and their contact information at the time of client death or client related incident  </w:t>
                  </w:r>
                </w:p>
                <w:p w:rsidR="006403FA" w:rsidRPr="002C074C" w:rsidP="006403FA" w14:paraId="029C7F4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6403FA" w:rsidRPr="002C074C" w:rsidP="006403FA" w14:paraId="48CC2F8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 xml:space="preserve">This information may be shared with the appropriate local, Tribal, city, county, state, or federal law enforcement officials and first responders for immediate emergency response engagement, medical centers for medical care, and social service or other agencies in the event of abuse or neglect. </w:t>
                  </w:r>
                </w:p>
                <w:p w:rsidR="006403FA" w:rsidRPr="002C074C" w:rsidP="006403FA" w14:paraId="5C47E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p>
                <w:p w:rsidR="006403FA" w:rsidRPr="002C074C" w:rsidP="006403FA" w14:paraId="0E455CFF" w14:textId="4CB22A91">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4"/>
                    </w:rPr>
                  </w:pPr>
                  <w:r w:rsidRPr="002C074C">
                    <w:rPr>
                      <w:bCs/>
                      <w:sz w:val="24"/>
                    </w:rPr>
                    <w:t>Information will be shared with appropriate BIE and BHWP officials and administrators, as needed for appropriate critical incident or sentinel event reporting.</w:t>
                  </w:r>
                </w:p>
              </w:tc>
            </w:tr>
            <w:bookmarkEnd w:id="2"/>
          </w:tbl>
          <w:p w:rsidR="00C733E9" w:rsidRPr="002C074C" w:rsidP="00D027E7" w14:paraId="2CC197E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sz w:val="24"/>
                <w:u w:val="single"/>
              </w:rPr>
            </w:pPr>
          </w:p>
        </w:tc>
      </w:tr>
    </w:tbl>
    <w:p w:rsidR="00C733E9" w:rsidRPr="002C074C" w:rsidP="00D027E7" w14:paraId="24DD131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sz w:val="24"/>
          <w:u w:val="single"/>
        </w:rPr>
      </w:pPr>
    </w:p>
    <w:p w:rsidR="00027C45" w:rsidRPr="002C074C" w:rsidP="00027C45" w14:paraId="407E899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3.</w:t>
      </w:r>
      <w:r w:rsidRPr="002C074C">
        <w:rPr>
          <w:b/>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rsidR="00027C45" w:rsidRPr="002C074C" w:rsidP="00027C45" w14:paraId="517171AC" w14:textId="0F51429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575D5" w:rsidRPr="002C074C" w:rsidP="000575D5" w14:paraId="078970CB" w14:textId="7167077E">
      <w:pPr>
        <w:ind w:left="360"/>
        <w:rPr>
          <w:sz w:val="24"/>
          <w:u w:val="single"/>
        </w:rPr>
      </w:pPr>
      <w:r w:rsidRPr="002C074C">
        <w:rPr>
          <w:sz w:val="24"/>
          <w:u w:val="single"/>
        </w:rPr>
        <w:t>INTERIOR/BIA-22, Native American Student Information System (NASIS)</w:t>
      </w:r>
      <w:r w:rsidR="00FB0BB1">
        <w:rPr>
          <w:sz w:val="24"/>
          <w:u w:val="single"/>
        </w:rPr>
        <w:t xml:space="preserve">: </w:t>
      </w:r>
    </w:p>
    <w:p w:rsidR="00103787" w:rsidRPr="002C074C" w:rsidP="00AA037A" w14:paraId="47E506ED" w14:textId="7A363B1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BIE provides </w:t>
      </w:r>
      <w:r w:rsidRPr="002C074C" w:rsidR="0055364E">
        <w:rPr>
          <w:bCs/>
          <w:sz w:val="24"/>
        </w:rPr>
        <w:t>the school</w:t>
      </w:r>
      <w:r w:rsidRPr="002C074C" w:rsidR="00011740">
        <w:rPr>
          <w:bCs/>
          <w:sz w:val="24"/>
        </w:rPr>
        <w:t xml:space="preserve"> with</w:t>
      </w:r>
      <w:r w:rsidRPr="002C074C" w:rsidR="0055364E">
        <w:rPr>
          <w:bCs/>
          <w:sz w:val="24"/>
        </w:rPr>
        <w:t xml:space="preserve"> t</w:t>
      </w:r>
      <w:r w:rsidRPr="002C074C">
        <w:rPr>
          <w:bCs/>
          <w:sz w:val="24"/>
        </w:rPr>
        <w:t xml:space="preserve">he </w:t>
      </w:r>
      <w:r w:rsidRPr="002C074C" w:rsidR="0055364E">
        <w:rPr>
          <w:bCs/>
          <w:sz w:val="24"/>
        </w:rPr>
        <w:t xml:space="preserve">information collection </w:t>
      </w:r>
      <w:r w:rsidRPr="002C074C">
        <w:rPr>
          <w:bCs/>
          <w:sz w:val="24"/>
        </w:rPr>
        <w:t xml:space="preserve">form and a web-based system called NASIS (Native American Student Information System) located at </w:t>
      </w:r>
      <w:hyperlink r:id="rId5" w:history="1">
        <w:r w:rsidRPr="002C074C" w:rsidR="0072462E">
          <w:rPr>
            <w:rStyle w:val="Hyperlink"/>
            <w:bCs/>
            <w:sz w:val="24"/>
          </w:rPr>
          <w:t>https://www.bie.edu/landing-page/native-american-student-information-system-nasis</w:t>
        </w:r>
      </w:hyperlink>
      <w:r w:rsidRPr="002C074C" w:rsidR="0072462E">
        <w:rPr>
          <w:bCs/>
          <w:sz w:val="24"/>
        </w:rPr>
        <w:t xml:space="preserve">. </w:t>
      </w:r>
      <w:r w:rsidRPr="002C074C" w:rsidR="00011740">
        <w:rPr>
          <w:bCs/>
          <w:sz w:val="24"/>
        </w:rPr>
        <w:t xml:space="preserve"> NASIS is a customized school administrative software program, designed to streamline the process and time to collect, retrieve, and compile the information </w:t>
      </w:r>
      <w:r w:rsidRPr="002C074C" w:rsidR="00627F4C">
        <w:rPr>
          <w:bCs/>
          <w:sz w:val="24"/>
        </w:rPr>
        <w:t xml:space="preserve">– which is used </w:t>
      </w:r>
      <w:r w:rsidRPr="002C074C" w:rsidR="00011740">
        <w:rPr>
          <w:bCs/>
          <w:sz w:val="24"/>
        </w:rPr>
        <w:t>to determine enrollment eligibility and the allocation of funds.</w:t>
      </w:r>
      <w:r w:rsidRPr="002C074C" w:rsidR="00E94DE0">
        <w:rPr>
          <w:bCs/>
          <w:sz w:val="24"/>
        </w:rPr>
        <w:t xml:space="preserve">  NASIS provides schools with cyber-security and functionality for the electronic maintenance of student records.</w:t>
      </w:r>
    </w:p>
    <w:p w:rsidR="00103787" w:rsidRPr="002C074C" w:rsidP="00AA037A" w14:paraId="2D2098BB"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p>
    <w:p w:rsidR="00CC4289" w:rsidRPr="002C074C" w:rsidP="00AA037A" w14:paraId="553B1BD7" w14:textId="52BD309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The school </w:t>
      </w:r>
      <w:r w:rsidRPr="002C074C" w:rsidR="00103787">
        <w:rPr>
          <w:bCs/>
          <w:sz w:val="24"/>
        </w:rPr>
        <w:t xml:space="preserve">in turn </w:t>
      </w:r>
      <w:r w:rsidRPr="002C074C" w:rsidR="008B44A6">
        <w:rPr>
          <w:bCs/>
          <w:sz w:val="24"/>
        </w:rPr>
        <w:t xml:space="preserve">collects </w:t>
      </w:r>
      <w:r w:rsidRPr="002C074C" w:rsidR="00103787">
        <w:rPr>
          <w:bCs/>
          <w:sz w:val="24"/>
        </w:rPr>
        <w:t>student</w:t>
      </w:r>
      <w:r w:rsidRPr="002C074C" w:rsidR="008B44A6">
        <w:rPr>
          <w:bCs/>
          <w:sz w:val="24"/>
        </w:rPr>
        <w:t xml:space="preserve"> information through </w:t>
      </w:r>
      <w:r w:rsidRPr="002C074C">
        <w:rPr>
          <w:bCs/>
          <w:sz w:val="24"/>
        </w:rPr>
        <w:t xml:space="preserve">the information collection </w:t>
      </w:r>
      <w:r w:rsidRPr="002C074C" w:rsidR="00D42088">
        <w:rPr>
          <w:bCs/>
          <w:sz w:val="24"/>
        </w:rPr>
        <w:t xml:space="preserve">form and enters the data into </w:t>
      </w:r>
      <w:r w:rsidRPr="002C074C" w:rsidR="00103787">
        <w:rPr>
          <w:bCs/>
          <w:sz w:val="24"/>
        </w:rPr>
        <w:t xml:space="preserve">NASIS.  </w:t>
      </w:r>
      <w:r w:rsidRPr="002C074C" w:rsidR="0055364E">
        <w:rPr>
          <w:bCs/>
          <w:sz w:val="24"/>
        </w:rPr>
        <w:t>School</w:t>
      </w:r>
      <w:r w:rsidRPr="002C074C" w:rsidR="00011740">
        <w:rPr>
          <w:bCs/>
          <w:sz w:val="24"/>
        </w:rPr>
        <w:t>s</w:t>
      </w:r>
      <w:r w:rsidRPr="002C074C" w:rsidR="0055364E">
        <w:rPr>
          <w:bCs/>
          <w:sz w:val="24"/>
        </w:rPr>
        <w:t xml:space="preserve"> encourage student</w:t>
      </w:r>
      <w:r w:rsidRPr="002C074C" w:rsidR="00011740">
        <w:rPr>
          <w:bCs/>
          <w:sz w:val="24"/>
        </w:rPr>
        <w:t>s</w:t>
      </w:r>
      <w:r w:rsidRPr="002C074C" w:rsidR="0055364E">
        <w:rPr>
          <w:bCs/>
          <w:sz w:val="24"/>
        </w:rPr>
        <w:t xml:space="preserve"> to provide completed forms, to the school, in a medium that suits </w:t>
      </w:r>
      <w:r w:rsidRPr="002C074C" w:rsidR="00011740">
        <w:rPr>
          <w:bCs/>
          <w:sz w:val="24"/>
        </w:rPr>
        <w:t>each</w:t>
      </w:r>
      <w:r w:rsidRPr="002C074C" w:rsidR="0055364E">
        <w:rPr>
          <w:bCs/>
          <w:sz w:val="24"/>
        </w:rPr>
        <w:t xml:space="preserve"> student</w:t>
      </w:r>
      <w:r w:rsidRPr="002C074C" w:rsidR="00011740">
        <w:rPr>
          <w:bCs/>
          <w:sz w:val="24"/>
        </w:rPr>
        <w:t xml:space="preserve"> </w:t>
      </w:r>
      <w:r w:rsidRPr="002C074C" w:rsidR="0055364E">
        <w:rPr>
          <w:bCs/>
          <w:sz w:val="24"/>
        </w:rPr>
        <w:t xml:space="preserve">– schools/students use digital and paper formats of the form. </w:t>
      </w:r>
      <w:r w:rsidRPr="002C074C" w:rsidR="00103787">
        <w:rPr>
          <w:bCs/>
          <w:sz w:val="24"/>
        </w:rPr>
        <w:t xml:space="preserve">NASIS data entry rights are granted to specific subject-matter experts within the school’s administration. </w:t>
      </w:r>
      <w:r w:rsidRPr="002C074C" w:rsidR="00B10C05">
        <w:rPr>
          <w:bCs/>
          <w:sz w:val="24"/>
        </w:rPr>
        <w:t xml:space="preserve">Student records within NASIS are </w:t>
      </w:r>
      <w:r w:rsidRPr="002C074C" w:rsidR="00C9751F">
        <w:rPr>
          <w:bCs/>
          <w:sz w:val="24"/>
        </w:rPr>
        <w:t>maintained</w:t>
      </w:r>
      <w:r w:rsidRPr="002C074C" w:rsidR="00B10C05">
        <w:rPr>
          <w:bCs/>
          <w:sz w:val="24"/>
        </w:rPr>
        <w:t xml:space="preserve"> by the school in a digital, web-based format. </w:t>
      </w:r>
    </w:p>
    <w:p w:rsidR="00103787" w:rsidRPr="002C074C" w:rsidP="00AA037A" w14:paraId="73B513E3" w14:textId="04C8F00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p>
    <w:p w:rsidR="00103787" w:rsidRPr="002C074C" w:rsidP="00AA037A" w14:paraId="2BAC895E" w14:textId="4B105ED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BIE plans to explore the potential for technical enhancements to NASIS and web-based fillable </w:t>
      </w:r>
      <w:r w:rsidRPr="002C074C" w:rsidR="00B94228">
        <w:rPr>
          <w:bCs/>
          <w:sz w:val="24"/>
        </w:rPr>
        <w:t xml:space="preserve">student </w:t>
      </w:r>
      <w:r w:rsidRPr="002C074C">
        <w:rPr>
          <w:bCs/>
          <w:sz w:val="24"/>
        </w:rPr>
        <w:t xml:space="preserve">forms.  </w:t>
      </w:r>
    </w:p>
    <w:p w:rsidR="008B44A6" w:rsidRPr="002C074C" w:rsidP="00AD5EC4" w14:paraId="3509DEB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56B1815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4.</w:t>
      </w:r>
      <w:r w:rsidRPr="002C074C">
        <w:rPr>
          <w:b/>
          <w:sz w:val="24"/>
          <w:szCs w:val="24"/>
        </w:rPr>
        <w:tab/>
        <w:t>Describe efforts to identify duplication.  Show specifically why any similar information already available cannot be used or modified for use for the purposes described in Item 2 above.</w:t>
      </w:r>
    </w:p>
    <w:p w:rsidR="00027C45" w:rsidRPr="002C074C" w:rsidP="00027C45" w14:paraId="72BB102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33834" w:rsidRPr="002C074C" w:rsidP="00AA037A" w14:paraId="0D66F76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This information is not collected or duplicated by any other Federal agency.  </w:t>
      </w:r>
      <w:r w:rsidRPr="002C074C" w:rsidR="00E75179">
        <w:rPr>
          <w:bCs/>
          <w:sz w:val="24"/>
        </w:rPr>
        <w:t>We are the only bureau</w:t>
      </w:r>
      <w:r w:rsidRPr="002C074C">
        <w:rPr>
          <w:bCs/>
          <w:sz w:val="24"/>
        </w:rPr>
        <w:t xml:space="preserve"> authorized to collect the information needed for our school system.</w:t>
      </w:r>
    </w:p>
    <w:p w:rsidR="00027C45" w:rsidRPr="002C074C" w:rsidP="00027C45" w14:paraId="422D87B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67BCC0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5.</w:t>
      </w:r>
      <w:r w:rsidRPr="002C074C">
        <w:rPr>
          <w:b/>
          <w:sz w:val="24"/>
          <w:szCs w:val="24"/>
        </w:rPr>
        <w:tab/>
        <w:t>If the collection of information impacts small businesses or other small entities, describe any methods used to minimize burden.</w:t>
      </w:r>
    </w:p>
    <w:p w:rsidR="00027C45" w:rsidRPr="002C074C" w:rsidP="00027C45" w14:paraId="4F35286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E75179" w:rsidRPr="002C074C" w:rsidP="00E33834" w14:paraId="455C2FE4"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ight="-720"/>
        <w:rPr>
          <w:bCs/>
          <w:sz w:val="24"/>
        </w:rPr>
      </w:pPr>
      <w:r w:rsidRPr="002C074C">
        <w:rPr>
          <w:bCs/>
          <w:sz w:val="24"/>
        </w:rPr>
        <w:t>This information collection does not impact small business or other small entities.</w:t>
      </w:r>
      <w:r w:rsidRPr="002C074C" w:rsidR="009C7740">
        <w:rPr>
          <w:bCs/>
          <w:sz w:val="24"/>
        </w:rPr>
        <w:t xml:space="preserve">  </w:t>
      </w:r>
    </w:p>
    <w:p w:rsidR="00027C45" w:rsidRPr="002C074C" w:rsidP="00027C45" w14:paraId="7CA61F4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0C0BFF9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6.</w:t>
      </w:r>
      <w:r w:rsidRPr="002C074C">
        <w:rPr>
          <w:b/>
          <w:sz w:val="24"/>
          <w:szCs w:val="24"/>
        </w:rPr>
        <w:tab/>
        <w:t>Describe the consequence to Federal program or policy activities if the collection is not conducted or is conducted less frequently, as well as any technical or legal obstacles to reducing burden.</w:t>
      </w:r>
    </w:p>
    <w:p w:rsidR="00027C45" w:rsidRPr="002C074C" w:rsidP="00027C45" w14:paraId="435991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p>
    <w:p w:rsidR="005A684B" w:rsidRPr="002C074C" w:rsidP="00AA037A" w14:paraId="568DCFDC" w14:textId="77777777">
      <w:p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Without collecting this information, BIE would not be able to: </w:t>
      </w:r>
    </w:p>
    <w:p w:rsidR="00E75179" w:rsidRPr="002C074C" w:rsidP="005A684B" w14:paraId="5E423E9F" w14:textId="154C1E1E">
      <w:pPr>
        <w:pStyle w:val="ListParagraph"/>
        <w:numPr>
          <w:ilvl w:val="0"/>
          <w:numId w:val="8"/>
        </w:num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4"/>
        </w:rPr>
      </w:pPr>
      <w:r w:rsidRPr="002C074C">
        <w:rPr>
          <w:rFonts w:ascii="Times New Roman" w:hAnsi="Times New Roman" w:cs="Times New Roman"/>
          <w:bCs/>
          <w:sz w:val="24"/>
        </w:rPr>
        <w:t xml:space="preserve">meet the requirements set forth in the </w:t>
      </w:r>
      <w:r w:rsidRPr="002C074C">
        <w:rPr>
          <w:rFonts w:ascii="Times New Roman" w:hAnsi="Times New Roman" w:cs="Times New Roman"/>
          <w:bCs/>
          <w:i/>
          <w:iCs/>
          <w:sz w:val="24"/>
        </w:rPr>
        <w:t>Snyder Act</w:t>
      </w:r>
      <w:r w:rsidRPr="002C074C">
        <w:rPr>
          <w:rFonts w:ascii="Times New Roman" w:hAnsi="Times New Roman" w:cs="Times New Roman"/>
          <w:bCs/>
          <w:sz w:val="24"/>
        </w:rPr>
        <w:t xml:space="preserve"> and Public Laws 93-638, 95-561, and 100-297, to provide educational services to Federally recognized Indians and Alaska Natives, and would negatively impact the planning for and distributing the appropriated funds.</w:t>
      </w:r>
      <w:r w:rsidRPr="002C074C" w:rsidR="00E33834">
        <w:rPr>
          <w:rFonts w:ascii="Times New Roman" w:hAnsi="Times New Roman" w:cs="Times New Roman"/>
          <w:bCs/>
          <w:sz w:val="24"/>
        </w:rPr>
        <w:t xml:space="preserve">  </w:t>
      </w:r>
    </w:p>
    <w:p w:rsidR="005A684B" w:rsidRPr="002C074C" w:rsidP="00276F0B" w14:paraId="242C2E68" w14:textId="7528AB0A">
      <w:pPr>
        <w:pStyle w:val="ListParagraph"/>
        <w:numPr>
          <w:ilvl w:val="0"/>
          <w:numId w:val="8"/>
        </w:num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bCs/>
          <w:sz w:val="24"/>
        </w:rPr>
      </w:pPr>
      <w:r w:rsidRPr="002C074C">
        <w:rPr>
          <w:rFonts w:ascii="Times New Roman" w:hAnsi="Times New Roman" w:cs="Times New Roman"/>
          <w:bCs/>
          <w:sz w:val="24"/>
        </w:rPr>
        <w:t>Provide technical assistance</w:t>
      </w:r>
      <w:r w:rsidRPr="002C074C" w:rsidR="00997CCC">
        <w:rPr>
          <w:rFonts w:ascii="Times New Roman" w:hAnsi="Times New Roman" w:cs="Times New Roman"/>
          <w:bCs/>
          <w:sz w:val="24"/>
        </w:rPr>
        <w:t xml:space="preserve"> or</w:t>
      </w:r>
      <w:r w:rsidRPr="002C074C">
        <w:rPr>
          <w:rFonts w:ascii="Times New Roman" w:hAnsi="Times New Roman" w:cs="Times New Roman"/>
          <w:bCs/>
          <w:sz w:val="24"/>
        </w:rPr>
        <w:t xml:space="preserve">  </w:t>
      </w:r>
      <w:r w:rsidRPr="002C074C" w:rsidR="00997CCC">
        <w:rPr>
          <w:rFonts w:ascii="Times New Roman" w:hAnsi="Times New Roman" w:cs="Times New Roman"/>
          <w:bCs/>
          <w:sz w:val="24"/>
        </w:rPr>
        <w:t xml:space="preserve">BHWP behavioral </w:t>
      </w:r>
      <w:r w:rsidRPr="002C074C">
        <w:rPr>
          <w:rFonts w:ascii="Times New Roman" w:hAnsi="Times New Roman" w:cs="Times New Roman"/>
          <w:bCs/>
          <w:sz w:val="24"/>
        </w:rPr>
        <w:t>health</w:t>
      </w:r>
      <w:r w:rsidRPr="002C074C" w:rsidR="00997CCC">
        <w:rPr>
          <w:rFonts w:ascii="Times New Roman" w:hAnsi="Times New Roman" w:cs="Times New Roman"/>
          <w:bCs/>
          <w:sz w:val="24"/>
        </w:rPr>
        <w:t xml:space="preserve"> and crisis support</w:t>
      </w:r>
      <w:r w:rsidRPr="002C074C">
        <w:rPr>
          <w:rFonts w:ascii="Times New Roman" w:hAnsi="Times New Roman" w:cs="Times New Roman"/>
          <w:bCs/>
          <w:sz w:val="24"/>
        </w:rPr>
        <w:t xml:space="preserve"> services</w:t>
      </w:r>
      <w:r w:rsidRPr="002C074C" w:rsidR="00997CCC">
        <w:rPr>
          <w:rFonts w:ascii="Times New Roman" w:hAnsi="Times New Roman" w:cs="Times New Roman"/>
          <w:bCs/>
          <w:sz w:val="24"/>
        </w:rPr>
        <w:t xml:space="preserve"> to students and staff</w:t>
      </w:r>
      <w:r w:rsidRPr="002C074C">
        <w:rPr>
          <w:rFonts w:ascii="Times New Roman" w:hAnsi="Times New Roman" w:cs="Times New Roman"/>
          <w:bCs/>
          <w:sz w:val="24"/>
        </w:rPr>
        <w:t>.</w:t>
      </w:r>
    </w:p>
    <w:p w:rsidR="00027C45" w:rsidRPr="002C074C" w:rsidP="00027C45" w14:paraId="2E693DF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167A1A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7.</w:t>
      </w:r>
      <w:r w:rsidRPr="002C074C">
        <w:rPr>
          <w:b/>
          <w:sz w:val="24"/>
          <w:szCs w:val="24"/>
        </w:rPr>
        <w:tab/>
        <w:t>Explain any special circumstances that would cause an information collection to be conducted in a manner:</w:t>
      </w:r>
    </w:p>
    <w:p w:rsidR="00027C45" w:rsidRPr="002C074C" w:rsidP="00027C45" w14:paraId="6561D7B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respondents to report information to the agency more often than quarterly;</w:t>
      </w:r>
    </w:p>
    <w:p w:rsidR="00027C45" w:rsidRPr="002C074C" w:rsidP="00027C45" w14:paraId="759CC99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respondents to prepare a written response to a collection of information in fewer than 30 days after receipt of it;</w:t>
      </w:r>
    </w:p>
    <w:p w:rsidR="00027C45" w:rsidRPr="002C074C" w:rsidP="00027C45" w14:paraId="1AEE7E5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respondents to submit more than an original and two copies of any document;</w:t>
      </w:r>
    </w:p>
    <w:p w:rsidR="00027C45" w:rsidRPr="002C074C" w:rsidP="00027C45" w14:paraId="4A71E3B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respondents to retain records, other than health, medical, government contract, grant-in-aid, or tax records, for more than three years;</w:t>
      </w:r>
    </w:p>
    <w:p w:rsidR="00027C45" w:rsidRPr="002C074C" w:rsidP="00027C45" w14:paraId="0E3AA77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in connection with a statistical survey that is not designed to produce valid and reliable results that can be generalized to the universe of study;</w:t>
      </w:r>
    </w:p>
    <w:p w:rsidR="00027C45" w:rsidRPr="002C074C" w:rsidP="00027C45" w14:paraId="7B37905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the use of a statistical data classification that has not been reviewed and approved by OMB;</w:t>
      </w:r>
    </w:p>
    <w:p w:rsidR="00027C45" w:rsidRPr="002C074C" w:rsidP="00027C45" w14:paraId="1DA8589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rsidR="00027C45" w:rsidRPr="002C074C" w:rsidP="00027C45" w14:paraId="5E5B07F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rsidR="00027C45" w:rsidRPr="002C074C" w:rsidP="00027C45" w14:paraId="654EA07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E75179" w:rsidRPr="002C074C" w:rsidP="00E75179" w14:paraId="14700055" w14:textId="7193368B">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3366FF"/>
          <w:sz w:val="24"/>
          <w:szCs w:val="24"/>
        </w:rPr>
      </w:pPr>
      <w:r w:rsidRPr="002C074C">
        <w:rPr>
          <w:sz w:val="24"/>
          <w:szCs w:val="24"/>
        </w:rPr>
        <w:t>There are no special circumstances that will apply to this collection.</w:t>
      </w:r>
    </w:p>
    <w:p w:rsidR="00027C45" w:rsidRPr="002C074C" w:rsidP="00027C45" w14:paraId="27C968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74B4929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8.</w:t>
      </w:r>
      <w:r w:rsidRPr="002C074C">
        <w:rPr>
          <w:b/>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rsidR="00027C45" w:rsidRPr="002C074C" w:rsidP="00027C45" w14:paraId="4E67B1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C87AA2" w:rsidRPr="00C87AA2" w:rsidP="00C87AA2" w14:paraId="130CFF2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C074C">
        <w:rPr>
          <w:sz w:val="24"/>
          <w:szCs w:val="24"/>
        </w:rPr>
        <w:t>A 60-day notice for public comments was publis</w:t>
      </w:r>
      <w:r w:rsidRPr="002C074C" w:rsidR="00F77BBB">
        <w:rPr>
          <w:sz w:val="24"/>
          <w:szCs w:val="24"/>
        </w:rPr>
        <w:t xml:space="preserve">hed in </w:t>
      </w:r>
      <w:r w:rsidRPr="002C074C" w:rsidR="00B92914">
        <w:rPr>
          <w:sz w:val="24"/>
          <w:szCs w:val="24"/>
        </w:rPr>
        <w:t xml:space="preserve">the Federal Register on </w:t>
      </w:r>
      <w:r w:rsidRPr="00C93070" w:rsidR="00C93070">
        <w:rPr>
          <w:sz w:val="24"/>
          <w:szCs w:val="24"/>
        </w:rPr>
        <w:t xml:space="preserve">March 2, 2023 </w:t>
      </w:r>
      <w:r w:rsidRPr="002C074C" w:rsidR="00B92914">
        <w:rPr>
          <w:sz w:val="24"/>
          <w:szCs w:val="24"/>
        </w:rPr>
        <w:t>(</w:t>
      </w:r>
      <w:r w:rsidRPr="00C93070" w:rsidR="00C93070">
        <w:rPr>
          <w:sz w:val="24"/>
          <w:szCs w:val="24"/>
        </w:rPr>
        <w:t>88 FR 13145</w:t>
      </w:r>
      <w:r w:rsidRPr="002C074C" w:rsidR="00B92914">
        <w:rPr>
          <w:sz w:val="24"/>
          <w:szCs w:val="24"/>
        </w:rPr>
        <w:t>)</w:t>
      </w:r>
      <w:r w:rsidRPr="002C074C" w:rsidR="00A008D1">
        <w:rPr>
          <w:sz w:val="24"/>
          <w:szCs w:val="24"/>
        </w:rPr>
        <w:t>.</w:t>
      </w:r>
      <w:r w:rsidRPr="002C074C" w:rsidR="00C549A8">
        <w:rPr>
          <w:sz w:val="24"/>
          <w:szCs w:val="24"/>
        </w:rPr>
        <w:t xml:space="preserve">  </w:t>
      </w:r>
      <w:r w:rsidRPr="00C87AA2">
        <w:rPr>
          <w:sz w:val="24"/>
          <w:szCs w:val="24"/>
        </w:rPr>
        <w:t>BIE received one comment.</w:t>
      </w:r>
    </w:p>
    <w:p w:rsidR="00C87AA2" w:rsidRPr="00C87AA2" w:rsidP="00C87AA2" w14:paraId="74A5E3E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87AA2" w:rsidRPr="00C87AA2" w:rsidP="00C87AA2" w14:paraId="01F3C731" w14:textId="4895A8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87AA2">
        <w:rPr>
          <w:i/>
          <w:iCs/>
          <w:sz w:val="24"/>
          <w:szCs w:val="24"/>
        </w:rPr>
        <w:t>Comment</w:t>
      </w:r>
      <w:r w:rsidRPr="00C87AA2">
        <w:rPr>
          <w:sz w:val="24"/>
          <w:szCs w:val="24"/>
        </w:rPr>
        <w:t>:</w:t>
      </w:r>
      <w:r>
        <w:rPr>
          <w:sz w:val="24"/>
          <w:szCs w:val="24"/>
        </w:rPr>
        <w:t xml:space="preserve"> </w:t>
      </w:r>
      <w:r w:rsidRPr="00C87AA2">
        <w:rPr>
          <w:sz w:val="24"/>
          <w:szCs w:val="24"/>
        </w:rPr>
        <w:t>Commentor opposes the BIE proposal for a referral intake form to facilitate virtual counseling and crisis services and believes the new form would place undue burden on schools, especially those without a counselor on staff.</w:t>
      </w:r>
    </w:p>
    <w:p w:rsidR="00C87AA2" w:rsidRPr="00C87AA2" w:rsidP="00C87AA2" w14:paraId="002D41E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027C45" w:rsidRPr="002C074C" w:rsidP="00C87AA2" w14:paraId="7AFEFFD4" w14:textId="433AF4B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C87AA2">
        <w:rPr>
          <w:i/>
          <w:iCs/>
          <w:sz w:val="24"/>
          <w:szCs w:val="24"/>
        </w:rPr>
        <w:t>Agency Response to Comment</w:t>
      </w:r>
      <w:r w:rsidRPr="00C87AA2">
        <w:rPr>
          <w:sz w:val="24"/>
          <w:szCs w:val="24"/>
        </w:rPr>
        <w:t>:</w:t>
      </w:r>
      <w:r>
        <w:rPr>
          <w:sz w:val="24"/>
          <w:szCs w:val="24"/>
        </w:rPr>
        <w:t xml:space="preserve">  </w:t>
      </w:r>
      <w:r w:rsidRPr="00C87AA2">
        <w:rPr>
          <w:sz w:val="24"/>
          <w:szCs w:val="24"/>
        </w:rPr>
        <w:t xml:space="preserve">BIE wholeheartedly appreciates schools are limited in both capacity and resources. To clarify, BIE's program seeks to connect schools to federally-funded virtual counseling and crisis services. The proposed action would not create a regulatory requirement for schools to provide counseling services; and it would not require Tribal schools/organizations to have a counselor on staff. BIE's Behavioral Health and Wellness Program (BHWP) is an optional resource for students and staff at all Bureau-funded programs, departments, and institutions—including Bureau operated schools, Tribally controlled schools, post-secondary institutions, and Tribal colleges and universities. The purpose of the referral intake form is to collect information necessary to facilitate virtual </w:t>
      </w:r>
      <w:r w:rsidRPr="00C87AA2">
        <w:rPr>
          <w:sz w:val="24"/>
          <w:szCs w:val="24"/>
        </w:rPr>
        <w:t>counseling and crisis services.</w:t>
      </w:r>
    </w:p>
    <w:p w:rsidR="00027C45" w:rsidRPr="002C074C" w:rsidP="00027C45" w14:paraId="23A96140"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3404AA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074C">
        <w:rPr>
          <w:b/>
          <w:sz w:val="24"/>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027C45" w:rsidRPr="002C074C" w:rsidP="00027C45" w14:paraId="320200C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11E3B59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r w:rsidRPr="002C074C">
        <w:rPr>
          <w:b/>
          <w:sz w:val="24"/>
          <w:szCs w:val="24"/>
        </w:rPr>
        <w:t>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should be explained.</w:t>
      </w:r>
    </w:p>
    <w:p w:rsidR="00027C45" w:rsidRPr="002C074C" w:rsidP="00027C45" w14:paraId="67BB4F8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sz w:val="24"/>
          <w:szCs w:val="24"/>
        </w:rPr>
      </w:pPr>
    </w:p>
    <w:p w:rsidR="00C549A8" w:rsidRPr="002C074C" w:rsidP="78E38E19" w14:paraId="17E5F14A" w14:textId="77777777">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sidRPr="002C074C">
        <w:rPr>
          <w:color w:val="000000" w:themeColor="text1"/>
          <w:sz w:val="24"/>
          <w:szCs w:val="24"/>
        </w:rPr>
        <w:t>The following persons were contacted to obtain their views on the availability of data, frequency of collection, the clarity of instructions and recordkeeping, disclosure, or reporting format, and on the data elements to be recorded, disclosed, or reported:</w:t>
      </w:r>
    </w:p>
    <w:p w:rsidR="002314C7" w:rsidRPr="002C074C" w:rsidP="00C549A8" w14:paraId="6B666D29"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D42088" w:rsidRPr="002C074C" w:rsidP="00276F0B" w14:paraId="2EAFF4F8" w14:textId="0D2F6537">
      <w:pPr>
        <w:pStyle w:val="ListParagraph"/>
        <w:numPr>
          <w:ilvl w:val="0"/>
          <w:numId w:val="8"/>
        </w:num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2C074C">
        <w:rPr>
          <w:rFonts w:ascii="Times New Roman" w:hAnsi="Times New Roman" w:cs="Times New Roman"/>
          <w:bCs/>
          <w:sz w:val="24"/>
        </w:rPr>
        <w:t>Registrar</w:t>
      </w:r>
      <w:r w:rsidRPr="002C074C">
        <w:rPr>
          <w:rFonts w:ascii="Times New Roman" w:hAnsi="Times New Roman" w:cs="Times New Roman"/>
          <w:sz w:val="24"/>
          <w:szCs w:val="24"/>
        </w:rPr>
        <w:t xml:space="preserve">, </w:t>
      </w:r>
      <w:r w:rsidRPr="002C074C" w:rsidR="008440FF">
        <w:rPr>
          <w:rFonts w:ascii="Times New Roman" w:hAnsi="Times New Roman" w:cs="Times New Roman"/>
          <w:sz w:val="24"/>
          <w:szCs w:val="24"/>
        </w:rPr>
        <w:t>BIE-operated school</w:t>
      </w:r>
      <w:r w:rsidRPr="002C074C" w:rsidR="5C43DCCE">
        <w:rPr>
          <w:rFonts w:ascii="Times New Roman" w:hAnsi="Times New Roman" w:cs="Times New Roman"/>
          <w:sz w:val="24"/>
          <w:szCs w:val="24"/>
        </w:rPr>
        <w:t>, Oregon</w:t>
      </w:r>
    </w:p>
    <w:p w:rsidR="00BF71AD" w:rsidRPr="002C074C" w:rsidP="00276F0B" w14:paraId="5F8E5D3C" w14:textId="58EA84AA">
      <w:pPr>
        <w:pStyle w:val="ListParagraph"/>
        <w:numPr>
          <w:ilvl w:val="0"/>
          <w:numId w:val="8"/>
        </w:num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2C074C">
        <w:rPr>
          <w:rFonts w:ascii="Times New Roman" w:hAnsi="Times New Roman" w:cs="Times New Roman"/>
          <w:bCs/>
          <w:sz w:val="24"/>
        </w:rPr>
        <w:t>Superintendent</w:t>
      </w:r>
      <w:r w:rsidRPr="002C074C">
        <w:rPr>
          <w:rFonts w:ascii="Times New Roman" w:hAnsi="Times New Roman" w:cs="Times New Roman"/>
          <w:sz w:val="24"/>
          <w:szCs w:val="24"/>
        </w:rPr>
        <w:t xml:space="preserve">, </w:t>
      </w:r>
      <w:r w:rsidRPr="002C074C" w:rsidR="008440FF">
        <w:rPr>
          <w:rFonts w:ascii="Times New Roman" w:hAnsi="Times New Roman" w:cs="Times New Roman"/>
          <w:sz w:val="24"/>
          <w:szCs w:val="24"/>
        </w:rPr>
        <w:t>BIE-operated school</w:t>
      </w:r>
      <w:r w:rsidRPr="002C074C">
        <w:rPr>
          <w:rFonts w:ascii="Times New Roman" w:hAnsi="Times New Roman" w:cs="Times New Roman"/>
          <w:sz w:val="24"/>
          <w:szCs w:val="24"/>
        </w:rPr>
        <w:t>, South Dakota</w:t>
      </w:r>
    </w:p>
    <w:p w:rsidR="005A684B" w:rsidRPr="002C074C" w:rsidP="00276F0B" w14:paraId="36AEA3CA" w14:textId="1AC909CC">
      <w:pPr>
        <w:pStyle w:val="ListParagraph"/>
        <w:numPr>
          <w:ilvl w:val="0"/>
          <w:numId w:val="8"/>
        </w:numPr>
        <w:tabs>
          <w:tab w:val="left" w:pos="-1080"/>
          <w:tab w:val="left" w:pos="-720"/>
          <w:tab w:val="left" w:pos="9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2C074C">
        <w:rPr>
          <w:rFonts w:ascii="Times New Roman" w:hAnsi="Times New Roman" w:cs="Times New Roman"/>
          <w:sz w:val="24"/>
          <w:szCs w:val="24"/>
        </w:rPr>
        <w:t xml:space="preserve">NASIS </w:t>
      </w:r>
      <w:r w:rsidRPr="002C074C">
        <w:rPr>
          <w:rFonts w:ascii="Times New Roman" w:hAnsi="Times New Roman" w:cs="Times New Roman"/>
          <w:bCs/>
          <w:sz w:val="24"/>
        </w:rPr>
        <w:t>Admin</w:t>
      </w:r>
      <w:r w:rsidRPr="002C074C">
        <w:rPr>
          <w:rFonts w:ascii="Times New Roman" w:hAnsi="Times New Roman" w:cs="Times New Roman"/>
          <w:sz w:val="24"/>
          <w:szCs w:val="24"/>
        </w:rPr>
        <w:t xml:space="preserve">, </w:t>
      </w:r>
      <w:r w:rsidRPr="002C074C" w:rsidR="008440FF">
        <w:rPr>
          <w:rFonts w:ascii="Times New Roman" w:hAnsi="Times New Roman" w:cs="Times New Roman"/>
          <w:sz w:val="24"/>
          <w:szCs w:val="24"/>
        </w:rPr>
        <w:t>Tribally-controlled school</w:t>
      </w:r>
      <w:r w:rsidRPr="002C074C">
        <w:rPr>
          <w:rFonts w:ascii="Times New Roman" w:hAnsi="Times New Roman" w:cs="Times New Roman"/>
          <w:sz w:val="24"/>
          <w:szCs w:val="24"/>
        </w:rPr>
        <w:t xml:space="preserve">, </w:t>
      </w:r>
      <w:r w:rsidRPr="002C074C" w:rsidR="008440FF">
        <w:rPr>
          <w:rFonts w:ascii="Times New Roman" w:hAnsi="Times New Roman" w:cs="Times New Roman"/>
          <w:sz w:val="24"/>
          <w:szCs w:val="24"/>
        </w:rPr>
        <w:t>Arizona</w:t>
      </w:r>
    </w:p>
    <w:p w:rsidR="00094243" w:rsidRPr="002C074C" w:rsidP="00094243" w14:paraId="2CA2DF14"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094243" w:rsidRPr="002C074C" w:rsidP="78E38E19" w14:paraId="7F54C33A" w14:textId="46F25AED">
      <w:pPr>
        <w:tabs>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contextualSpacing/>
        <w:rPr>
          <w:color w:val="000000"/>
          <w:sz w:val="24"/>
          <w:szCs w:val="24"/>
        </w:rPr>
      </w:pPr>
      <w:r w:rsidRPr="002C074C">
        <w:rPr>
          <w:color w:val="000000" w:themeColor="text1"/>
          <w:sz w:val="24"/>
          <w:szCs w:val="24"/>
        </w:rPr>
        <w:t xml:space="preserve">In summary, </w:t>
      </w:r>
      <w:r w:rsidRPr="002C074C" w:rsidR="008440FF">
        <w:rPr>
          <w:color w:val="000000" w:themeColor="text1"/>
          <w:sz w:val="24"/>
          <w:szCs w:val="24"/>
        </w:rPr>
        <w:t>th</w:t>
      </w:r>
      <w:r w:rsidR="00A80145">
        <w:rPr>
          <w:color w:val="000000" w:themeColor="text1"/>
          <w:sz w:val="24"/>
          <w:szCs w:val="24"/>
        </w:rPr>
        <w:t xml:space="preserve">ese </w:t>
      </w:r>
      <w:r w:rsidRPr="002C074C">
        <w:rPr>
          <w:color w:val="000000" w:themeColor="text1"/>
          <w:sz w:val="24"/>
          <w:szCs w:val="24"/>
        </w:rPr>
        <w:t>individuals believe this information collection is necessary</w:t>
      </w:r>
      <w:r w:rsidRPr="002C074C" w:rsidR="002314C7">
        <w:rPr>
          <w:color w:val="000000" w:themeColor="text1"/>
          <w:sz w:val="24"/>
          <w:szCs w:val="24"/>
        </w:rPr>
        <w:t xml:space="preserve">.  </w:t>
      </w:r>
      <w:r w:rsidRPr="002C074C" w:rsidR="00BF71AD">
        <w:rPr>
          <w:color w:val="000000" w:themeColor="text1"/>
          <w:sz w:val="24"/>
          <w:szCs w:val="24"/>
        </w:rPr>
        <w:t>Each reported that the</w:t>
      </w:r>
      <w:r w:rsidRPr="002C074C" w:rsidR="002314C7">
        <w:rPr>
          <w:color w:val="000000" w:themeColor="text1"/>
          <w:sz w:val="24"/>
          <w:szCs w:val="24"/>
        </w:rPr>
        <w:t xml:space="preserve"> instructions were clear.</w:t>
      </w:r>
      <w:r w:rsidRPr="002C074C" w:rsidR="00BF71AD">
        <w:rPr>
          <w:color w:val="000000" w:themeColor="text1"/>
          <w:sz w:val="24"/>
          <w:szCs w:val="24"/>
        </w:rPr>
        <w:t xml:space="preserve"> Respondents reported that the applications took between 5 and </w:t>
      </w:r>
      <w:r w:rsidRPr="002C074C" w:rsidR="00B45008">
        <w:rPr>
          <w:color w:val="000000" w:themeColor="text1"/>
          <w:sz w:val="24"/>
          <w:szCs w:val="24"/>
        </w:rPr>
        <w:t xml:space="preserve">20 minutes to complete, with one respondent estimating a maximum of </w:t>
      </w:r>
      <w:r w:rsidRPr="002C074C" w:rsidR="00BF71AD">
        <w:rPr>
          <w:color w:val="000000" w:themeColor="text1"/>
          <w:sz w:val="24"/>
          <w:szCs w:val="24"/>
        </w:rPr>
        <w:t>40 minutes to complete.</w:t>
      </w:r>
    </w:p>
    <w:p w:rsidR="00C549A8" w:rsidRPr="002C074C" w:rsidP="001A335F" w14:paraId="71D2746A"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color w:val="000000"/>
          <w:sz w:val="24"/>
          <w:szCs w:val="24"/>
        </w:rPr>
      </w:pPr>
    </w:p>
    <w:p w:rsidR="00027C45" w:rsidRPr="002C074C" w:rsidP="00027C45" w14:paraId="31C8F98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9.</w:t>
      </w:r>
      <w:r w:rsidRPr="002C074C">
        <w:rPr>
          <w:b/>
          <w:sz w:val="24"/>
          <w:szCs w:val="24"/>
        </w:rPr>
        <w:tab/>
        <w:t>Explain any decision to provide any payment or gift to respondents, other than remuneration of contractors or grantees.</w:t>
      </w:r>
    </w:p>
    <w:p w:rsidR="00027C45" w:rsidRPr="002C074C" w:rsidP="00027C45" w14:paraId="06195CA1"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160342E4" w14:textId="77777777">
      <w:pPr>
        <w:ind w:left="360"/>
        <w:rPr>
          <w:sz w:val="24"/>
          <w:szCs w:val="24"/>
        </w:rPr>
      </w:pPr>
      <w:r w:rsidRPr="002C074C">
        <w:rPr>
          <w:sz w:val="24"/>
          <w:szCs w:val="24"/>
        </w:rPr>
        <w:t xml:space="preserve">Respondents will not receive any payment, gift, or other remuneration for providing the information collection requirements. </w:t>
      </w:r>
    </w:p>
    <w:p w:rsidR="00027C45" w:rsidRPr="002C074C" w:rsidP="00027C45" w14:paraId="1629D35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5D9E428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10.</w:t>
      </w:r>
      <w:r w:rsidRPr="002C074C">
        <w:rPr>
          <w:b/>
          <w:sz w:val="24"/>
          <w:szCs w:val="24"/>
        </w:rPr>
        <w:tab/>
        <w:t>Describe any assurance of confidentiality provided to respondents and the basis for the assurance in statute, regulation, or agency policy.</w:t>
      </w:r>
    </w:p>
    <w:p w:rsidR="00027C45" w:rsidRPr="002C074C" w:rsidP="00027C45" w14:paraId="1B6BAB56" w14:textId="0220E127">
      <w:pPr>
        <w:ind w:left="360"/>
        <w:rPr>
          <w:sz w:val="24"/>
        </w:rPr>
      </w:pPr>
    </w:p>
    <w:p w:rsidR="00CD6A6A" w:rsidRPr="002C074C" w:rsidP="00CD6A6A" w14:paraId="1AC922B5"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u w:val="single"/>
        </w:rPr>
      </w:pPr>
      <w:r w:rsidRPr="002C074C">
        <w:rPr>
          <w:bCs/>
          <w:sz w:val="24"/>
          <w:u w:val="single"/>
        </w:rPr>
        <w:t>Federal Education Rights and Privacy Act (FERPA)</w:t>
      </w:r>
    </w:p>
    <w:p w:rsidR="00CD6A6A" w:rsidRPr="002C074C" w:rsidP="00CD6A6A" w14:paraId="3145376C"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sz w:val="24"/>
        </w:rPr>
        <w:t xml:space="preserve">The Federal Education Rights and Privacy Act (FERPA) regulations are followed to ensure confidentiality of information. </w:t>
      </w:r>
    </w:p>
    <w:p w:rsidR="00CD6A6A" w:rsidRPr="002C074C" w:rsidP="00027C45" w14:paraId="426A51B6" w14:textId="77777777">
      <w:pPr>
        <w:ind w:left="360"/>
        <w:rPr>
          <w:sz w:val="24"/>
        </w:rPr>
      </w:pPr>
    </w:p>
    <w:p w:rsidR="00CD6A6A" w:rsidRPr="002C074C" w:rsidP="00027C45" w14:paraId="64F0E6CD" w14:textId="350ED7FA">
      <w:pPr>
        <w:ind w:left="360"/>
        <w:rPr>
          <w:sz w:val="24"/>
          <w:u w:val="single"/>
        </w:rPr>
      </w:pPr>
      <w:r w:rsidRPr="002C074C">
        <w:rPr>
          <w:sz w:val="24"/>
          <w:u w:val="single"/>
        </w:rPr>
        <w:t>INTERIOR/BIA-22, Native American Student Information System (NASIS)</w:t>
      </w:r>
      <w:r w:rsidR="00CC6D7B">
        <w:rPr>
          <w:sz w:val="24"/>
          <w:u w:val="single"/>
        </w:rPr>
        <w:t xml:space="preserve">: </w:t>
      </w:r>
      <w:r w:rsidRPr="00D27CA4" w:rsidR="00CC6D7B">
        <w:rPr>
          <w:i/>
          <w:iCs/>
          <w:sz w:val="24"/>
          <w:u w:val="single"/>
        </w:rPr>
        <w:t>Published July 15, 2008 (86 FR 50156); modification published September 7, 2021 (86 FR 50156)</w:t>
      </w:r>
    </w:p>
    <w:p w:rsidR="00006C9E" w:rsidRPr="002C074C" w:rsidP="00AE590C" w14:paraId="7DEC645F" w14:textId="5733F668">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r w:rsidRPr="002C074C">
        <w:rPr>
          <w:bCs/>
          <w:i/>
          <w:iCs/>
          <w:sz w:val="24"/>
        </w:rPr>
        <w:t>The Privacy Act, Native American Student Information System, BIA-22,</w:t>
      </w:r>
      <w:r w:rsidRPr="002C074C">
        <w:rPr>
          <w:bCs/>
          <w:sz w:val="24"/>
        </w:rPr>
        <w:t xml:space="preserve"> </w:t>
      </w:r>
      <w:r w:rsidRPr="002C074C">
        <w:rPr>
          <w:sz w:val="24"/>
          <w:szCs w:val="24"/>
        </w:rPr>
        <w:t xml:space="preserve">published in the Federal Register at 73 Fed. Reg. 40605 (July 15, 2008), </w:t>
      </w:r>
      <w:r w:rsidRPr="002C074C">
        <w:rPr>
          <w:bCs/>
          <w:sz w:val="24"/>
        </w:rPr>
        <w:t>provides protection for confidential information</w:t>
      </w:r>
      <w:r w:rsidRPr="002C074C" w:rsidR="00CD6A6A">
        <w:rPr>
          <w:bCs/>
          <w:sz w:val="24"/>
        </w:rPr>
        <w:t xml:space="preserve"> for the Student Enrollment Application</w:t>
      </w:r>
      <w:r w:rsidRPr="002C074C">
        <w:rPr>
          <w:bCs/>
          <w:sz w:val="24"/>
        </w:rPr>
        <w:t>.</w:t>
      </w:r>
      <w:r w:rsidRPr="002C074C">
        <w:rPr>
          <w:sz w:val="24"/>
          <w:szCs w:val="24"/>
        </w:rPr>
        <w:t xml:space="preserve"> </w:t>
      </w:r>
      <w:r w:rsidRPr="002C074C">
        <w:rPr>
          <w:bCs/>
          <w:sz w:val="24"/>
        </w:rPr>
        <w:t xml:space="preserve">Categories of individuals covered by the system: All students who attend BIE-funded primary and secondary schools; All education staff who work at BIE-funded primary and secondary schools, including school </w:t>
      </w:r>
      <w:r w:rsidRPr="002C074C">
        <w:rPr>
          <w:bCs/>
          <w:sz w:val="24"/>
        </w:rPr>
        <w:t>administrators, principals, registrars, school clerks, teachers, teacher aides, counselors, school bus drivers (for certifications), janitorial staff, food service staff, school complex security staff, and dormitory staff; and Parents or guardians of, and emergency or authorized contacts for, students attending BIE-funded primary and secondary schools.</w:t>
      </w:r>
    </w:p>
    <w:p w:rsidR="00006C9E" w:rsidP="00AE590C" w14:paraId="7BDFD6C7" w14:textId="3D9358F4">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rPr>
      </w:pPr>
    </w:p>
    <w:p w:rsidR="00D27CA4" w:rsidRPr="00DF7DB8" w:rsidP="00CC6D7B" w14:paraId="76DD0F5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caps/>
          <w:color w:val="FF0000"/>
          <w:sz w:val="24"/>
          <w:u w:val="single"/>
        </w:rPr>
      </w:pPr>
      <w:r w:rsidRPr="00DF7DB8">
        <w:rPr>
          <w:b/>
          <w:caps/>
          <w:color w:val="FF0000"/>
          <w:sz w:val="24"/>
          <w:u w:val="single"/>
        </w:rPr>
        <w:t>2023 Proposed revision</w:t>
      </w:r>
    </w:p>
    <w:p w:rsidR="00D27CA4" w:rsidRPr="00D27CA4" w:rsidP="00D27CA4" w14:paraId="19A2498F"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color w:val="FF0000"/>
          <w:sz w:val="24"/>
        </w:rPr>
      </w:pPr>
    </w:p>
    <w:p w:rsidR="00D27CA4" w:rsidRPr="00D27CA4" w:rsidP="0067057E" w14:paraId="01ECBB69" w14:textId="08B1188A">
      <w:pPr>
        <w:pBdr>
          <w:top w:val="single" w:sz="18" w:space="1" w:color="FF0000"/>
          <w:left w:val="single" w:sz="18" w:space="4" w:color="FF0000"/>
          <w:bottom w:val="single" w:sz="18" w:space="1" w:color="FF0000"/>
          <w:right w:val="single" w:sz="18" w:space="4" w:color="FF0000"/>
        </w:pBd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FF0000"/>
          <w:sz w:val="24"/>
          <w:u w:val="single"/>
        </w:rPr>
      </w:pPr>
      <w:r w:rsidRPr="00D27CA4">
        <w:rPr>
          <w:bCs/>
          <w:color w:val="FF0000"/>
          <w:sz w:val="24"/>
          <w:u w:val="single"/>
        </w:rPr>
        <w:t>INTERIOR/BI</w:t>
      </w:r>
      <w:r>
        <w:rPr>
          <w:bCs/>
          <w:color w:val="FF0000"/>
          <w:sz w:val="24"/>
          <w:u w:val="single"/>
        </w:rPr>
        <w:t>A</w:t>
      </w:r>
      <w:r w:rsidRPr="00D27CA4">
        <w:rPr>
          <w:bCs/>
          <w:color w:val="FF0000"/>
          <w:sz w:val="24"/>
          <w:u w:val="single"/>
        </w:rPr>
        <w:t>-</w:t>
      </w:r>
      <w:r>
        <w:rPr>
          <w:bCs/>
          <w:color w:val="FF0000"/>
          <w:sz w:val="24"/>
          <w:u w:val="single"/>
        </w:rPr>
        <w:t>35</w:t>
      </w:r>
      <w:r w:rsidRPr="00D27CA4">
        <w:rPr>
          <w:bCs/>
          <w:color w:val="FF0000"/>
          <w:sz w:val="24"/>
          <w:u w:val="single"/>
        </w:rPr>
        <w:t>, Behavioral Health and Wellness Program:</w:t>
      </w:r>
      <w:r w:rsidRPr="00D27CA4">
        <w:rPr>
          <w:bCs/>
          <w:i/>
          <w:iCs/>
          <w:color w:val="FF0000"/>
          <w:sz w:val="24"/>
          <w:u w:val="single"/>
        </w:rPr>
        <w:t xml:space="preserve"> Publication in the Federal Register of the System of Record Notice </w:t>
      </w:r>
      <w:r w:rsidR="0067057E">
        <w:rPr>
          <w:bCs/>
          <w:i/>
          <w:iCs/>
          <w:color w:val="FF0000"/>
          <w:sz w:val="24"/>
          <w:u w:val="single"/>
        </w:rPr>
        <w:t xml:space="preserve">(SORN) </w:t>
      </w:r>
      <w:r w:rsidRPr="00D27CA4">
        <w:rPr>
          <w:bCs/>
          <w:i/>
          <w:iCs/>
          <w:color w:val="FF0000"/>
          <w:sz w:val="24"/>
          <w:u w:val="single"/>
        </w:rPr>
        <w:t>is currently pending. When the SORN is approved BIE will then submit a non-substantive change request to for this information collection, adding the published SORN.</w:t>
      </w:r>
    </w:p>
    <w:p w:rsidR="00D27CA4" w:rsidRPr="00D27CA4" w:rsidP="00D27CA4" w14:paraId="4582586C" w14:textId="1AFEABDB">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rPr>
      </w:pPr>
      <w:r w:rsidRPr="002C074C">
        <w:rPr>
          <w:bCs/>
          <w:i/>
          <w:iCs/>
          <w:sz w:val="24"/>
        </w:rPr>
        <w:t>The Privacy Act, Behavioral Health and Wellness Program, BI</w:t>
      </w:r>
      <w:r w:rsidR="0067057E">
        <w:rPr>
          <w:bCs/>
          <w:i/>
          <w:iCs/>
          <w:sz w:val="24"/>
        </w:rPr>
        <w:t>A</w:t>
      </w:r>
      <w:r w:rsidRPr="002C074C">
        <w:rPr>
          <w:bCs/>
          <w:i/>
          <w:iCs/>
          <w:sz w:val="24"/>
        </w:rPr>
        <w:t>-</w:t>
      </w:r>
      <w:r w:rsidR="0067057E">
        <w:rPr>
          <w:bCs/>
          <w:i/>
          <w:iCs/>
          <w:sz w:val="24"/>
        </w:rPr>
        <w:t>35</w:t>
      </w:r>
      <w:r w:rsidRPr="002C074C">
        <w:rPr>
          <w:bCs/>
          <w:sz w:val="24"/>
        </w:rPr>
        <w:t xml:space="preserve">, provides protection for confidential information for immediate behavioral health crisis support, clinical counseling services, crisis care coordination, and to facilitate communication between the client and appropriate points of contact for referrals and continued service delivery or emergency care. Individuals covered by the system include current  BIE employees, contractors, students (from any Bureau-funded school, college, and/or university), parents, guardians, or caretakers of students, and staff at BIE-operated K-12 schools, BIE-operated post-secondary </w:t>
      </w:r>
      <w:r w:rsidRPr="00D27CA4">
        <w:rPr>
          <w:bCs/>
          <w:color w:val="000000" w:themeColor="text1"/>
          <w:sz w:val="24"/>
        </w:rPr>
        <w:t xml:space="preserve">institutions, Tribally-controlled schools operated pursuant to a grant under the </w:t>
      </w:r>
      <w:r w:rsidRPr="00D27CA4">
        <w:rPr>
          <w:bCs/>
          <w:i/>
          <w:iCs/>
          <w:color w:val="000000" w:themeColor="text1"/>
          <w:sz w:val="24"/>
        </w:rPr>
        <w:t>Tribally Controlled Schools Act of 1988</w:t>
      </w:r>
      <w:r w:rsidRPr="00D27CA4">
        <w:rPr>
          <w:bCs/>
          <w:color w:val="000000" w:themeColor="text1"/>
          <w:sz w:val="24"/>
        </w:rPr>
        <w:t xml:space="preserve"> or a contract under the </w:t>
      </w:r>
      <w:r w:rsidRPr="00D27CA4">
        <w:rPr>
          <w:bCs/>
          <w:i/>
          <w:iCs/>
          <w:color w:val="000000" w:themeColor="text1"/>
          <w:sz w:val="24"/>
        </w:rPr>
        <w:t>Indian Self-Determination and Education Assistance Act</w:t>
      </w:r>
      <w:r w:rsidRPr="00D27CA4">
        <w:rPr>
          <w:bCs/>
          <w:color w:val="000000" w:themeColor="text1"/>
          <w:sz w:val="24"/>
        </w:rPr>
        <w:t xml:space="preserve">, and Tribal colleges and universities.  </w:t>
      </w:r>
    </w:p>
    <w:p w:rsidR="00D27CA4" w:rsidRPr="00D27CA4" w:rsidP="00D27CA4" w14:paraId="38443E77" w14:textId="77777777">
      <w:pPr>
        <w:tabs>
          <w:tab w:val="left" w:pos="-1080"/>
          <w:tab w:val="left" w:pos="-72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color w:val="000000" w:themeColor="text1"/>
          <w:sz w:val="24"/>
        </w:rPr>
      </w:pPr>
    </w:p>
    <w:p w:rsidR="00D27CA4" w:rsidRPr="00D27CA4" w:rsidP="00D27CA4" w14:paraId="71DE510E"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color w:val="000000" w:themeColor="text1"/>
          <w:sz w:val="24"/>
          <w:szCs w:val="24"/>
        </w:rPr>
      </w:pPr>
      <w:r w:rsidRPr="00D27CA4">
        <w:rPr>
          <w:color w:val="000000" w:themeColor="text1"/>
          <w:sz w:val="24"/>
          <w:szCs w:val="24"/>
        </w:rPr>
        <w:t>Referral information is obtained by the BHWP Care Coordinator and/or BHWP Behavioral Health Specialists verbally from the school point of contact, from the individual client, and from the client’s parent, guardian, or caretaker, as applicable.</w:t>
      </w:r>
    </w:p>
    <w:p w:rsidR="00D27CA4" w:rsidRPr="00D27CA4" w:rsidP="00D27CA4" w14:paraId="78D882D7" w14:textId="77777777">
      <w:pPr>
        <w:pStyle w:val="ListParagraph"/>
        <w:numPr>
          <w:ilvl w:val="0"/>
          <w:numId w:val="1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D27CA4">
        <w:rPr>
          <w:rFonts w:ascii="Times New Roman" w:hAnsi="Times New Roman" w:cs="Times New Roman"/>
          <w:color w:val="000000" w:themeColor="text1"/>
          <w:sz w:val="24"/>
          <w:szCs w:val="24"/>
        </w:rPr>
        <w:t>The school’s point of contact will call the BHWP contact number and verbally provide client data via the telephone.</w:t>
      </w:r>
    </w:p>
    <w:p w:rsidR="00D27CA4" w:rsidRPr="00D27CA4" w:rsidP="00D27CA4" w14:paraId="25207382" w14:textId="77777777">
      <w:pPr>
        <w:pStyle w:val="ListParagraph"/>
        <w:numPr>
          <w:ilvl w:val="0"/>
          <w:numId w:val="1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D27CA4">
        <w:rPr>
          <w:rFonts w:ascii="Times New Roman" w:hAnsi="Times New Roman" w:cs="Times New Roman"/>
          <w:color w:val="000000" w:themeColor="text1"/>
          <w:sz w:val="24"/>
          <w:szCs w:val="24"/>
        </w:rPr>
        <w:t>BHWP staff will verbally collect data and enter required demographics into the EHR system.</w:t>
      </w:r>
    </w:p>
    <w:p w:rsidR="00D27CA4" w:rsidRPr="00D27CA4" w:rsidP="00D27CA4" w14:paraId="68FC1060" w14:textId="77777777">
      <w:pPr>
        <w:pStyle w:val="ListParagraph"/>
        <w:numPr>
          <w:ilvl w:val="0"/>
          <w:numId w:val="1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D27CA4">
        <w:rPr>
          <w:rFonts w:ascii="Times New Roman" w:hAnsi="Times New Roman" w:cs="Times New Roman"/>
          <w:color w:val="000000" w:themeColor="text1"/>
          <w:sz w:val="24"/>
          <w:szCs w:val="24"/>
        </w:rPr>
        <w:t xml:space="preserve">BHWP Care Coordinators and Behavioral Health Specialists rely on the school point of contact, the individual client, parent, legal guardian, or caretaker, where applicable for the accuracy and timeliness of data and information gathered. </w:t>
      </w:r>
    </w:p>
    <w:p w:rsidR="00D27CA4" w:rsidRPr="00D27CA4" w:rsidP="00D27CA4" w14:paraId="290D1E06" w14:textId="77777777">
      <w:pPr>
        <w:pStyle w:val="ListParagraph"/>
        <w:numPr>
          <w:ilvl w:val="0"/>
          <w:numId w:val="12"/>
        </w:num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color w:val="000000" w:themeColor="text1"/>
          <w:sz w:val="24"/>
          <w:szCs w:val="24"/>
        </w:rPr>
      </w:pPr>
      <w:r w:rsidRPr="00D27CA4">
        <w:rPr>
          <w:rFonts w:ascii="Times New Roman" w:hAnsi="Times New Roman" w:cs="Times New Roman"/>
          <w:color w:val="000000" w:themeColor="text1"/>
          <w:sz w:val="24"/>
          <w:szCs w:val="24"/>
        </w:rPr>
        <w:t xml:space="preserve">At each clinical encounter, BHWP staff will take steps to re-verify the client's name, demographic information and ask about any changes to demographic information since the last clinical encounter to ensure continued accuracy. </w:t>
      </w:r>
    </w:p>
    <w:p w:rsidR="00027C45" w:rsidRPr="002C074C" w:rsidP="00D27CA4" w14:paraId="59CDC20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45993D6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11.</w:t>
      </w:r>
      <w:r w:rsidRPr="002C074C">
        <w:rPr>
          <w:b/>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027C45" w:rsidRPr="002C074C" w:rsidP="00027C45" w14:paraId="22D4FD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601468E1"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 xml:space="preserve">We do not request any information of sensitive nature. </w:t>
      </w:r>
    </w:p>
    <w:p w:rsidR="00027C45" w:rsidRPr="002C074C" w:rsidP="00027C45" w14:paraId="0A085ED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78E38E19" w14:paraId="7E2A8B6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C074C">
        <w:rPr>
          <w:b/>
          <w:bCs/>
          <w:sz w:val="24"/>
          <w:szCs w:val="24"/>
        </w:rPr>
        <w:t>12.</w:t>
      </w:r>
      <w:r w:rsidRPr="002C074C">
        <w:tab/>
      </w:r>
      <w:r w:rsidRPr="002C074C">
        <w:rPr>
          <w:b/>
          <w:bCs/>
          <w:sz w:val="24"/>
          <w:szCs w:val="24"/>
        </w:rPr>
        <w:t xml:space="preserve">Provide estimates of the hour burden of the collection of information.  The statement </w:t>
      </w:r>
      <w:r w:rsidRPr="002C074C">
        <w:rPr>
          <w:b/>
          <w:bCs/>
          <w:sz w:val="24"/>
          <w:szCs w:val="24"/>
        </w:rPr>
        <w:t>should:</w:t>
      </w:r>
    </w:p>
    <w:p w:rsidR="00027C45" w:rsidRPr="002C074C" w:rsidP="00027C45" w14:paraId="41321A6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027C45" w:rsidRPr="002C074C" w:rsidP="00027C45" w14:paraId="3A2C89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If this request for approval covers more than one form, provide separate hour burden estimates for each form and aggregate the hour burdens.</w:t>
      </w:r>
    </w:p>
    <w:p w:rsidR="00027C45" w:rsidRPr="002C074C" w:rsidP="00027C45" w14:paraId="59ADC03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rsidR="00027C45" w:rsidRPr="002C074C" w:rsidP="00027C45" w14:paraId="79B4485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C7472B" w:rsidRPr="002C074C" w:rsidP="00C7472B" w14:paraId="1448E2B7" w14:textId="1E60DDCC">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The total</w:t>
      </w:r>
      <w:r w:rsidRPr="002C074C" w:rsidR="009C7740">
        <w:rPr>
          <w:bCs/>
          <w:sz w:val="24"/>
          <w:szCs w:val="24"/>
        </w:rPr>
        <w:t xml:space="preserve"> annual estimated burden is</w:t>
      </w:r>
      <w:r w:rsidRPr="002C074C" w:rsidR="000A1489">
        <w:rPr>
          <w:bCs/>
          <w:sz w:val="24"/>
          <w:szCs w:val="24"/>
        </w:rPr>
        <w:t xml:space="preserve"> </w:t>
      </w:r>
      <w:r w:rsidRPr="002C074C" w:rsidR="00067223">
        <w:rPr>
          <w:bCs/>
          <w:sz w:val="24"/>
          <w:szCs w:val="24"/>
        </w:rPr>
        <w:t xml:space="preserve">estimated at </w:t>
      </w:r>
      <w:r w:rsidRPr="002C074C" w:rsidR="000A1489">
        <w:rPr>
          <w:b/>
          <w:sz w:val="24"/>
          <w:szCs w:val="24"/>
        </w:rPr>
        <w:t>12,</w:t>
      </w:r>
      <w:r w:rsidRPr="002C074C" w:rsidR="00223538">
        <w:rPr>
          <w:b/>
          <w:sz w:val="24"/>
          <w:szCs w:val="24"/>
        </w:rPr>
        <w:t>5</w:t>
      </w:r>
      <w:r w:rsidRPr="002C074C" w:rsidR="001930B7">
        <w:rPr>
          <w:b/>
          <w:sz w:val="24"/>
          <w:szCs w:val="24"/>
        </w:rPr>
        <w:t>00</w:t>
      </w:r>
      <w:r w:rsidRPr="002C074C" w:rsidR="001930B7">
        <w:rPr>
          <w:bCs/>
          <w:sz w:val="24"/>
          <w:szCs w:val="24"/>
        </w:rPr>
        <w:t xml:space="preserve"> </w:t>
      </w:r>
      <w:r w:rsidRPr="002C074C">
        <w:rPr>
          <w:bCs/>
          <w:sz w:val="24"/>
          <w:szCs w:val="24"/>
        </w:rPr>
        <w:t>hours</w:t>
      </w:r>
      <w:r w:rsidRPr="002C074C" w:rsidR="00D1699D">
        <w:rPr>
          <w:bCs/>
          <w:sz w:val="24"/>
          <w:szCs w:val="24"/>
        </w:rPr>
        <w:t xml:space="preserve"> or equivalent to</w:t>
      </w:r>
      <w:r w:rsidRPr="002C074C" w:rsidR="00223538">
        <w:rPr>
          <w:bCs/>
          <w:sz w:val="24"/>
          <w:szCs w:val="24"/>
        </w:rPr>
        <w:t xml:space="preserve"> </w:t>
      </w:r>
      <w:r w:rsidRPr="002C074C" w:rsidR="00223538">
        <w:rPr>
          <w:b/>
          <w:sz w:val="24"/>
          <w:szCs w:val="24"/>
        </w:rPr>
        <w:t>$523,250</w:t>
      </w:r>
      <w:r w:rsidRPr="002C074C">
        <w:rPr>
          <w:b/>
          <w:sz w:val="24"/>
          <w:szCs w:val="24"/>
        </w:rPr>
        <w:t>.</w:t>
      </w:r>
    </w:p>
    <w:p w:rsidR="00D95C0A" w:rsidRPr="002C074C" w:rsidP="00C7472B" w14:paraId="26129469" w14:textId="7777777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C7472B" w:rsidRPr="002C074C" w:rsidP="00C7472B" w14:paraId="4B2E5288" w14:textId="2C50446A">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To obtain the hourly rate, the BI</w:t>
      </w:r>
      <w:r w:rsidR="00E43B63">
        <w:rPr>
          <w:bCs/>
          <w:sz w:val="24"/>
          <w:szCs w:val="24"/>
        </w:rPr>
        <w:t>E</w:t>
      </w:r>
      <w:r w:rsidRPr="002C074C">
        <w:rPr>
          <w:bCs/>
          <w:sz w:val="24"/>
          <w:szCs w:val="24"/>
        </w:rPr>
        <w:t xml:space="preserve"> used </w:t>
      </w:r>
      <w:r w:rsidRPr="002C074C">
        <w:rPr>
          <w:b/>
          <w:sz w:val="24"/>
          <w:szCs w:val="24"/>
        </w:rPr>
        <w:t>$</w:t>
      </w:r>
      <w:r w:rsidRPr="002C074C" w:rsidR="00D95C0A">
        <w:rPr>
          <w:b/>
          <w:sz w:val="24"/>
          <w:szCs w:val="24"/>
        </w:rPr>
        <w:t>41.86</w:t>
      </w:r>
      <w:r w:rsidRPr="002C074C">
        <w:rPr>
          <w:bCs/>
          <w:sz w:val="24"/>
          <w:szCs w:val="24"/>
        </w:rPr>
        <w:t xml:space="preserve">, the wages and salaries figure for civilian works from BLS Release </w:t>
      </w:r>
      <w:r w:rsidRPr="002C074C" w:rsidR="00D95C0A">
        <w:rPr>
          <w:bCs/>
          <w:sz w:val="24"/>
          <w:szCs w:val="24"/>
        </w:rPr>
        <w:t>USDL-22-2307</w:t>
      </w:r>
      <w:r w:rsidRPr="002C074C">
        <w:rPr>
          <w:bCs/>
          <w:sz w:val="24"/>
          <w:szCs w:val="24"/>
        </w:rPr>
        <w:t xml:space="preserve">, Employer Costs for Employee Compensation – </w:t>
      </w:r>
      <w:r w:rsidRPr="002C074C" w:rsidR="00D95C0A">
        <w:rPr>
          <w:bCs/>
          <w:sz w:val="24"/>
          <w:szCs w:val="24"/>
        </w:rPr>
        <w:t>September</w:t>
      </w:r>
      <w:r w:rsidRPr="002C074C">
        <w:rPr>
          <w:bCs/>
          <w:sz w:val="24"/>
          <w:szCs w:val="24"/>
        </w:rPr>
        <w:t xml:space="preserve"> 202</w:t>
      </w:r>
      <w:r w:rsidRPr="002C074C" w:rsidR="00D95C0A">
        <w:rPr>
          <w:bCs/>
          <w:sz w:val="24"/>
          <w:szCs w:val="24"/>
        </w:rPr>
        <w:t>2</w:t>
      </w:r>
      <w:r w:rsidRPr="002C074C">
        <w:rPr>
          <w:bCs/>
          <w:sz w:val="24"/>
          <w:szCs w:val="24"/>
        </w:rPr>
        <w:t>, Table 1, Employer costs per hour worked for employee compensation and costs as a percent of total compensation: Civilian works</w:t>
      </w:r>
      <w:r w:rsidRPr="002C074C" w:rsidR="00D95C0A">
        <w:rPr>
          <w:bCs/>
          <w:sz w:val="24"/>
          <w:szCs w:val="24"/>
        </w:rPr>
        <w:t xml:space="preserve">, </w:t>
      </w:r>
      <w:r w:rsidRPr="002C074C">
        <w:rPr>
          <w:bCs/>
          <w:sz w:val="24"/>
          <w:szCs w:val="24"/>
        </w:rPr>
        <w:t xml:space="preserve">at </w:t>
      </w:r>
      <w:hyperlink r:id="rId6" w:history="1">
        <w:r w:rsidRPr="002C074C">
          <w:rPr>
            <w:bCs/>
            <w:color w:val="0000FF"/>
            <w:sz w:val="24"/>
            <w:szCs w:val="24"/>
            <w:u w:val="single"/>
          </w:rPr>
          <w:t>https://www.bls.gov/news.release/pdf/ecec.pdf</w:t>
        </w:r>
      </w:hyperlink>
      <w:r w:rsidRPr="002C074C">
        <w:rPr>
          <w:bCs/>
          <w:sz w:val="24"/>
          <w:szCs w:val="24"/>
        </w:rPr>
        <w:t>. This wage includes a multiplier for benefits.</w:t>
      </w:r>
    </w:p>
    <w:p w:rsidR="00276F0B" w:rsidRPr="002C074C" w:rsidP="00C7472B" w14:paraId="4F540834" w14:textId="65CBA587">
      <w:pPr>
        <w:tabs>
          <w:tab w:val="left" w:pos="-1080"/>
          <w:tab w:val="left" w:pos="-720"/>
          <w:tab w:val="left" w:pos="0"/>
          <w:tab w:val="left" w:pos="36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276F0B" w:rsidRPr="002C074C" w:rsidP="00276F0B" w14:paraId="451C048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color w:val="FF0000"/>
          <w:sz w:val="24"/>
          <w:u w:val="single"/>
        </w:rPr>
      </w:pPr>
      <w:r w:rsidRPr="002C074C">
        <w:rPr>
          <w:b/>
          <w:caps/>
          <w:color w:val="FF0000"/>
          <w:sz w:val="24"/>
          <w:u w:val="single"/>
        </w:rPr>
        <w:t>2023 Proposed revision</w:t>
      </w:r>
    </w:p>
    <w:p w:rsidR="00033E1C" w:rsidRPr="002C074C" w:rsidP="00276F0B" w14:paraId="4198A4D0" w14:textId="38F1A24A">
      <w:pPr>
        <w:tabs>
          <w:tab w:val="left" w:pos="-1080"/>
          <w:tab w:val="left" w:pos="-720"/>
        </w:tabs>
        <w:rPr>
          <w:bCs/>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260"/>
        <w:gridCol w:w="1080"/>
        <w:gridCol w:w="1080"/>
        <w:gridCol w:w="1170"/>
        <w:gridCol w:w="1237"/>
        <w:gridCol w:w="1733"/>
      </w:tblGrid>
      <w:tr w14:paraId="2FBD073F" w14:textId="77777777" w:rsidTr="00D718E7">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800" w:type="dxa"/>
            <w:tcBorders>
              <w:top w:val="single" w:sz="4" w:space="0" w:color="auto"/>
              <w:left w:val="single" w:sz="4" w:space="0" w:color="auto"/>
              <w:bottom w:val="single" w:sz="4" w:space="0" w:color="auto"/>
              <w:right w:val="single" w:sz="4" w:space="0" w:color="auto"/>
            </w:tcBorders>
            <w:hideMark/>
          </w:tcPr>
          <w:p w:rsidR="00A42AE3" w:rsidRPr="002C074C" w:rsidP="00D718E7" w14:paraId="7DC33E74" w14:textId="77777777">
            <w:pPr>
              <w:tabs>
                <w:tab w:val="left" w:pos="-1080"/>
                <w:tab w:val="left" w:pos="-720"/>
                <w:tab w:val="left" w:pos="360"/>
                <w:tab w:val="left" w:pos="720"/>
              </w:tabs>
              <w:jc w:val="center"/>
              <w:rPr>
                <w:b/>
                <w:sz w:val="16"/>
                <w:szCs w:val="16"/>
              </w:rPr>
            </w:pPr>
            <w:r w:rsidRPr="002C074C">
              <w:rPr>
                <w:b/>
                <w:sz w:val="16"/>
                <w:szCs w:val="16"/>
              </w:rPr>
              <w:t>Requirement</w:t>
            </w:r>
          </w:p>
        </w:tc>
        <w:tc>
          <w:tcPr>
            <w:tcW w:w="1260" w:type="dxa"/>
            <w:tcBorders>
              <w:top w:val="single" w:sz="4" w:space="0" w:color="auto"/>
              <w:left w:val="single" w:sz="4" w:space="0" w:color="auto"/>
              <w:bottom w:val="single" w:sz="4" w:space="0" w:color="auto"/>
              <w:right w:val="single" w:sz="4" w:space="0" w:color="auto"/>
            </w:tcBorders>
            <w:hideMark/>
          </w:tcPr>
          <w:p w:rsidR="00A42AE3" w:rsidRPr="002C074C" w:rsidP="00D718E7" w14:paraId="463FF588" w14:textId="77777777">
            <w:pPr>
              <w:tabs>
                <w:tab w:val="left" w:pos="-1080"/>
                <w:tab w:val="left" w:pos="-720"/>
                <w:tab w:val="left" w:pos="360"/>
                <w:tab w:val="left" w:pos="720"/>
              </w:tabs>
              <w:jc w:val="center"/>
              <w:rPr>
                <w:b/>
                <w:sz w:val="16"/>
                <w:szCs w:val="16"/>
              </w:rPr>
            </w:pPr>
            <w:r w:rsidRPr="002C074C">
              <w:rPr>
                <w:b/>
                <w:sz w:val="16"/>
                <w:szCs w:val="16"/>
              </w:rPr>
              <w:t>Annual Number of Respondents</w:t>
            </w:r>
          </w:p>
        </w:tc>
        <w:tc>
          <w:tcPr>
            <w:tcW w:w="1080" w:type="dxa"/>
            <w:tcBorders>
              <w:top w:val="single" w:sz="4" w:space="0" w:color="auto"/>
              <w:left w:val="single" w:sz="4" w:space="0" w:color="auto"/>
              <w:bottom w:val="single" w:sz="4" w:space="0" w:color="auto"/>
              <w:right w:val="single" w:sz="4" w:space="0" w:color="auto"/>
            </w:tcBorders>
            <w:hideMark/>
          </w:tcPr>
          <w:p w:rsidR="00A42AE3" w:rsidRPr="002C074C" w:rsidP="00D718E7" w14:paraId="1EBB32F5" w14:textId="77777777">
            <w:pPr>
              <w:tabs>
                <w:tab w:val="left" w:pos="-1080"/>
                <w:tab w:val="left" w:pos="-720"/>
                <w:tab w:val="left" w:pos="360"/>
                <w:tab w:val="left" w:pos="720"/>
              </w:tabs>
              <w:jc w:val="center"/>
              <w:rPr>
                <w:b/>
                <w:sz w:val="16"/>
                <w:szCs w:val="16"/>
              </w:rPr>
            </w:pPr>
            <w:r w:rsidRPr="002C074C">
              <w:rPr>
                <w:b/>
                <w:sz w:val="16"/>
                <w:szCs w:val="16"/>
              </w:rPr>
              <w:t>Number of Responses Each</w:t>
            </w:r>
          </w:p>
        </w:tc>
        <w:tc>
          <w:tcPr>
            <w:tcW w:w="1080" w:type="dxa"/>
            <w:tcBorders>
              <w:top w:val="single" w:sz="4" w:space="0" w:color="auto"/>
              <w:left w:val="single" w:sz="4" w:space="0" w:color="auto"/>
              <w:bottom w:val="single" w:sz="4" w:space="0" w:color="auto"/>
              <w:right w:val="single" w:sz="4" w:space="0" w:color="auto"/>
            </w:tcBorders>
            <w:hideMark/>
          </w:tcPr>
          <w:p w:rsidR="00A42AE3" w:rsidRPr="002C074C" w:rsidP="00D718E7" w14:paraId="0E9E9E99"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A42AE3" w:rsidRPr="002C074C" w:rsidP="00D718E7" w14:paraId="763712E5"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1237" w:type="dxa"/>
            <w:tcBorders>
              <w:top w:val="single" w:sz="4" w:space="0" w:color="auto"/>
              <w:left w:val="single" w:sz="4" w:space="0" w:color="auto"/>
              <w:bottom w:val="single" w:sz="4" w:space="0" w:color="auto"/>
              <w:right w:val="single" w:sz="4" w:space="0" w:color="auto"/>
            </w:tcBorders>
            <w:hideMark/>
          </w:tcPr>
          <w:p w:rsidR="00A42AE3" w:rsidRPr="002C074C" w:rsidP="00D718E7" w14:paraId="39DCC7B0"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733" w:type="dxa"/>
            <w:tcBorders>
              <w:top w:val="single" w:sz="4" w:space="0" w:color="auto"/>
              <w:left w:val="single" w:sz="4" w:space="0" w:color="auto"/>
              <w:bottom w:val="single" w:sz="4" w:space="0" w:color="auto"/>
              <w:right w:val="single" w:sz="4" w:space="0" w:color="auto"/>
            </w:tcBorders>
            <w:hideMark/>
          </w:tcPr>
          <w:p w:rsidR="00A42AE3" w:rsidRPr="002C074C" w:rsidP="00067223" w14:paraId="313A96EE" w14:textId="52CA1504">
            <w:pPr>
              <w:tabs>
                <w:tab w:val="left" w:pos="-1080"/>
                <w:tab w:val="left" w:pos="-720"/>
                <w:tab w:val="left" w:pos="360"/>
                <w:tab w:val="left" w:pos="720"/>
              </w:tabs>
              <w:jc w:val="center"/>
              <w:rPr>
                <w:b/>
                <w:color w:val="000000" w:themeColor="text1"/>
                <w:sz w:val="16"/>
                <w:szCs w:val="16"/>
              </w:rPr>
            </w:pPr>
            <w:r w:rsidRPr="002C074C">
              <w:rPr>
                <w:b/>
                <w:sz w:val="16"/>
                <w:szCs w:val="16"/>
              </w:rPr>
              <w:t xml:space="preserve">Total Dollar Value of </w:t>
            </w:r>
            <w:r w:rsidRPr="002C074C">
              <w:rPr>
                <w:b/>
                <w:color w:val="000000" w:themeColor="text1"/>
                <w:sz w:val="16"/>
                <w:szCs w:val="16"/>
              </w:rPr>
              <w:t>Annual Burden</w:t>
            </w:r>
            <w:r w:rsidRPr="002C074C" w:rsidR="00067223">
              <w:rPr>
                <w:b/>
                <w:color w:val="000000" w:themeColor="text1"/>
                <w:sz w:val="16"/>
                <w:szCs w:val="16"/>
              </w:rPr>
              <w:t>s</w:t>
            </w:r>
          </w:p>
        </w:tc>
      </w:tr>
      <w:tr w14:paraId="49CE1C7D" w14:textId="77777777" w:rsidTr="003176F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1930B7" w:rsidRPr="002C074C" w14:paraId="0288811E" w14:textId="747D5C55">
            <w:pPr>
              <w:tabs>
                <w:tab w:val="left" w:pos="-1080"/>
                <w:tab w:val="left" w:pos="-720"/>
                <w:tab w:val="left" w:pos="360"/>
                <w:tab w:val="left" w:pos="720"/>
              </w:tabs>
              <w:rPr>
                <w:b/>
                <w:sz w:val="18"/>
                <w:szCs w:val="18"/>
              </w:rPr>
            </w:pPr>
            <w:r w:rsidRPr="002C074C">
              <w:rPr>
                <w:b/>
                <w:sz w:val="18"/>
                <w:szCs w:val="18"/>
              </w:rPr>
              <w:t>Student Enrollment Application</w:t>
            </w:r>
          </w:p>
        </w:tc>
      </w:tr>
      <w:tr w14:paraId="18664D43" w14:textId="77777777" w:rsidTr="00276F0B">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hideMark/>
          </w:tcPr>
          <w:p w:rsidR="00A42AE3" w:rsidRPr="002C074C" w:rsidP="002628DC" w14:paraId="0327C7EB" w14:textId="399372E5">
            <w:pPr>
              <w:tabs>
                <w:tab w:val="left" w:pos="-1080"/>
                <w:tab w:val="left" w:pos="-720"/>
                <w:tab w:val="left" w:pos="360"/>
                <w:tab w:val="left" w:pos="720"/>
              </w:tabs>
              <w:ind w:left="192"/>
              <w:rPr>
                <w:sz w:val="18"/>
                <w:szCs w:val="18"/>
              </w:rPr>
            </w:pPr>
            <w:r w:rsidRPr="002C074C">
              <w:rPr>
                <w:sz w:val="18"/>
                <w:szCs w:val="18"/>
              </w:rPr>
              <w:t>Student Enrollment Application</w:t>
            </w:r>
          </w:p>
        </w:tc>
        <w:tc>
          <w:tcPr>
            <w:tcW w:w="1260" w:type="dxa"/>
            <w:tcBorders>
              <w:top w:val="single" w:sz="4" w:space="0" w:color="auto"/>
              <w:left w:val="single" w:sz="4" w:space="0" w:color="auto"/>
              <w:bottom w:val="single" w:sz="4" w:space="0" w:color="auto"/>
              <w:right w:val="single" w:sz="4" w:space="0" w:color="auto"/>
            </w:tcBorders>
            <w:vAlign w:val="center"/>
            <w:hideMark/>
          </w:tcPr>
          <w:p w:rsidR="00A42AE3" w:rsidRPr="002C074C" w:rsidP="00276F0B" w14:paraId="282D2C68" w14:textId="67E37D6F">
            <w:pPr>
              <w:tabs>
                <w:tab w:val="left" w:pos="360"/>
                <w:tab w:val="left" w:pos="720"/>
              </w:tabs>
              <w:jc w:val="right"/>
              <w:rPr>
                <w:sz w:val="18"/>
                <w:szCs w:val="18"/>
              </w:rPr>
            </w:pPr>
            <w:r w:rsidRPr="002C074C">
              <w:rPr>
                <w:sz w:val="18"/>
                <w:szCs w:val="18"/>
              </w:rPr>
              <w:t>48,000</w:t>
            </w:r>
          </w:p>
        </w:tc>
        <w:tc>
          <w:tcPr>
            <w:tcW w:w="1080" w:type="dxa"/>
            <w:tcBorders>
              <w:top w:val="single" w:sz="4" w:space="0" w:color="auto"/>
              <w:left w:val="single" w:sz="4" w:space="0" w:color="auto"/>
              <w:bottom w:val="single" w:sz="4" w:space="0" w:color="auto"/>
              <w:right w:val="single" w:sz="4" w:space="0" w:color="auto"/>
            </w:tcBorders>
            <w:vAlign w:val="center"/>
            <w:hideMark/>
          </w:tcPr>
          <w:p w:rsidR="00A42AE3" w:rsidRPr="002C074C" w:rsidP="00276F0B" w14:paraId="680D67CD" w14:textId="77777777">
            <w:pPr>
              <w:tabs>
                <w:tab w:val="left" w:pos="360"/>
                <w:tab w:val="left" w:pos="720"/>
              </w:tabs>
              <w:jc w:val="right"/>
              <w:rPr>
                <w:sz w:val="18"/>
                <w:szCs w:val="18"/>
              </w:rPr>
            </w:pPr>
            <w:r w:rsidRPr="002C074C">
              <w:rPr>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hideMark/>
          </w:tcPr>
          <w:p w:rsidR="00A42AE3" w:rsidRPr="002C074C" w:rsidP="00276F0B" w14:paraId="65540208" w14:textId="36EF54A6">
            <w:pPr>
              <w:tabs>
                <w:tab w:val="left" w:pos="360"/>
                <w:tab w:val="left" w:pos="720"/>
              </w:tabs>
              <w:jc w:val="right"/>
              <w:rPr>
                <w:sz w:val="18"/>
                <w:szCs w:val="18"/>
              </w:rPr>
            </w:pPr>
            <w:r w:rsidRPr="002C074C">
              <w:rPr>
                <w:sz w:val="18"/>
                <w:szCs w:val="18"/>
              </w:rPr>
              <w:t>48,00</w:t>
            </w:r>
            <w:r w:rsidRPr="002C074C" w:rsidR="006D0085">
              <w:rPr>
                <w:sz w:val="18"/>
                <w:szCs w:val="18"/>
              </w:rPr>
              <w:t>0</w:t>
            </w:r>
          </w:p>
        </w:tc>
        <w:tc>
          <w:tcPr>
            <w:tcW w:w="1170" w:type="dxa"/>
            <w:tcBorders>
              <w:top w:val="single" w:sz="4" w:space="0" w:color="auto"/>
              <w:left w:val="single" w:sz="4" w:space="0" w:color="auto"/>
              <w:right w:val="single" w:sz="4" w:space="0" w:color="auto"/>
            </w:tcBorders>
            <w:vAlign w:val="center"/>
          </w:tcPr>
          <w:p w:rsidR="00A42AE3" w:rsidRPr="002C074C" w:rsidP="00276F0B" w14:paraId="62DECF96" w14:textId="5205FFB6">
            <w:pPr>
              <w:tabs>
                <w:tab w:val="left" w:pos="360"/>
                <w:tab w:val="left" w:pos="720"/>
              </w:tabs>
              <w:jc w:val="right"/>
              <w:rPr>
                <w:sz w:val="18"/>
                <w:szCs w:val="18"/>
              </w:rPr>
            </w:pPr>
            <w:r w:rsidRPr="002C074C">
              <w:rPr>
                <w:sz w:val="18"/>
                <w:szCs w:val="18"/>
              </w:rPr>
              <w:t>.25</w:t>
            </w:r>
          </w:p>
        </w:tc>
        <w:tc>
          <w:tcPr>
            <w:tcW w:w="1237" w:type="dxa"/>
            <w:tcBorders>
              <w:top w:val="single" w:sz="4" w:space="0" w:color="auto"/>
              <w:left w:val="single" w:sz="4" w:space="0" w:color="auto"/>
              <w:right w:val="single" w:sz="4" w:space="0" w:color="auto"/>
            </w:tcBorders>
            <w:vAlign w:val="center"/>
          </w:tcPr>
          <w:p w:rsidR="00A42AE3" w:rsidRPr="002C074C" w:rsidP="001930B7" w14:paraId="18CE8FCD" w14:textId="588183A2">
            <w:pPr>
              <w:tabs>
                <w:tab w:val="left" w:pos="360"/>
                <w:tab w:val="left" w:pos="720"/>
              </w:tabs>
              <w:jc w:val="right"/>
              <w:rPr>
                <w:sz w:val="18"/>
                <w:szCs w:val="18"/>
              </w:rPr>
            </w:pPr>
            <w:r w:rsidRPr="002C074C">
              <w:rPr>
                <w:sz w:val="18"/>
                <w:szCs w:val="18"/>
              </w:rPr>
              <w:t>12,000</w:t>
            </w:r>
          </w:p>
        </w:tc>
        <w:tc>
          <w:tcPr>
            <w:tcW w:w="1733" w:type="dxa"/>
            <w:tcBorders>
              <w:top w:val="single" w:sz="4" w:space="0" w:color="auto"/>
              <w:left w:val="single" w:sz="4" w:space="0" w:color="auto"/>
              <w:right w:val="single" w:sz="4" w:space="0" w:color="auto"/>
            </w:tcBorders>
            <w:vAlign w:val="center"/>
          </w:tcPr>
          <w:p w:rsidR="00A42AE3" w:rsidRPr="002C074C" w:rsidP="001930B7" w14:paraId="476F6AF0" w14:textId="5BBB2409">
            <w:pPr>
              <w:tabs>
                <w:tab w:val="left" w:pos="360"/>
                <w:tab w:val="left" w:pos="720"/>
              </w:tabs>
              <w:jc w:val="right"/>
              <w:rPr>
                <w:sz w:val="18"/>
                <w:szCs w:val="18"/>
              </w:rPr>
            </w:pPr>
            <w:r w:rsidRPr="002C074C">
              <w:rPr>
                <w:sz w:val="18"/>
                <w:szCs w:val="18"/>
              </w:rPr>
              <w:t>$502,320</w:t>
            </w:r>
          </w:p>
        </w:tc>
      </w:tr>
      <w:tr w14:paraId="1C92C045" w14:textId="77777777" w:rsidTr="00C82E28">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hideMark/>
          </w:tcPr>
          <w:p w:rsidR="001930B7" w:rsidRPr="002C074C" w:rsidP="001930B7" w14:paraId="7D36060B" w14:textId="07C4D905">
            <w:pPr>
              <w:tabs>
                <w:tab w:val="left" w:pos="-1080"/>
                <w:tab w:val="left" w:pos="-720"/>
                <w:tab w:val="left" w:pos="360"/>
                <w:tab w:val="left" w:pos="720"/>
              </w:tabs>
              <w:rPr>
                <w:b/>
                <w:color w:val="FF0000"/>
                <w:sz w:val="18"/>
                <w:szCs w:val="18"/>
              </w:rPr>
            </w:pPr>
            <w:r w:rsidRPr="002C074C">
              <w:rPr>
                <w:b/>
                <w:color w:val="000000" w:themeColor="text1"/>
                <w:sz w:val="18"/>
                <w:szCs w:val="18"/>
              </w:rPr>
              <w:t>Behavioral Health and Wellness Program</w:t>
            </w:r>
          </w:p>
        </w:tc>
      </w:tr>
      <w:tr w14:paraId="36B12733" w14:textId="77777777" w:rsidTr="00C82E28">
        <w:tblPrEx>
          <w:tblW w:w="9360" w:type="dxa"/>
          <w:tblInd w:w="108" w:type="dxa"/>
          <w:tblLayout w:type="fixed"/>
          <w:tblLook w:val="01E0"/>
        </w:tblPrEx>
        <w:trPr>
          <w:trHeight w:val="424"/>
        </w:trPr>
        <w:tc>
          <w:tcPr>
            <w:tcW w:w="1800" w:type="dxa"/>
            <w:tcBorders>
              <w:top w:val="single" w:sz="4" w:space="0" w:color="FF0000"/>
              <w:left w:val="single" w:sz="4" w:space="0" w:color="FF0000"/>
              <w:bottom w:val="single" w:sz="4" w:space="0" w:color="FF0000"/>
              <w:right w:val="single" w:sz="4" w:space="0" w:color="FF0000"/>
            </w:tcBorders>
          </w:tcPr>
          <w:p w:rsidR="006D0085" w:rsidRPr="002C074C" w14:paraId="44E6DCAD" w14:textId="3E31561D">
            <w:pPr>
              <w:tabs>
                <w:tab w:val="left" w:pos="-1080"/>
                <w:tab w:val="left" w:pos="-720"/>
                <w:tab w:val="left" w:pos="360"/>
                <w:tab w:val="left" w:pos="720"/>
              </w:tabs>
              <w:ind w:left="192"/>
              <w:rPr>
                <w:color w:val="FF0000"/>
                <w:sz w:val="18"/>
                <w:szCs w:val="18"/>
              </w:rPr>
            </w:pPr>
            <w:r w:rsidRPr="002C074C">
              <w:rPr>
                <w:color w:val="FF0000"/>
                <w:sz w:val="18"/>
                <w:szCs w:val="18"/>
              </w:rPr>
              <w:t>BHWP Referral Form</w:t>
            </w:r>
          </w:p>
        </w:tc>
        <w:tc>
          <w:tcPr>
            <w:tcW w:w="1260" w:type="dxa"/>
            <w:tcBorders>
              <w:top w:val="single" w:sz="4" w:space="0" w:color="FF0000"/>
              <w:left w:val="single" w:sz="4" w:space="0" w:color="FF0000"/>
              <w:bottom w:val="single" w:sz="4" w:space="0" w:color="FF0000"/>
              <w:right w:val="single" w:sz="4" w:space="0" w:color="FF0000"/>
            </w:tcBorders>
            <w:vAlign w:val="center"/>
          </w:tcPr>
          <w:p w:rsidR="006D0085" w:rsidRPr="002C074C" w:rsidP="00276F0B" w14:paraId="67ACA8DE" w14:textId="203C7FC0">
            <w:pPr>
              <w:tabs>
                <w:tab w:val="left" w:pos="360"/>
                <w:tab w:val="left" w:pos="720"/>
              </w:tabs>
              <w:jc w:val="right"/>
              <w:rPr>
                <w:color w:val="FF0000"/>
                <w:sz w:val="18"/>
                <w:szCs w:val="18"/>
              </w:rPr>
            </w:pPr>
            <w:r w:rsidRPr="002C074C">
              <w:rPr>
                <w:color w:val="FF0000"/>
                <w:sz w:val="18"/>
                <w:szCs w:val="18"/>
              </w:rPr>
              <w:t>1,000</w:t>
            </w:r>
          </w:p>
        </w:tc>
        <w:tc>
          <w:tcPr>
            <w:tcW w:w="1080" w:type="dxa"/>
            <w:tcBorders>
              <w:top w:val="single" w:sz="4" w:space="0" w:color="FF0000"/>
              <w:left w:val="single" w:sz="4" w:space="0" w:color="FF0000"/>
              <w:bottom w:val="single" w:sz="4" w:space="0" w:color="FF0000"/>
              <w:right w:val="single" w:sz="4" w:space="0" w:color="FF0000"/>
            </w:tcBorders>
            <w:vAlign w:val="center"/>
          </w:tcPr>
          <w:p w:rsidR="006D0085" w:rsidRPr="002C074C" w:rsidP="00276F0B" w14:paraId="65D74C8D" w14:textId="5A13AC5E">
            <w:pPr>
              <w:tabs>
                <w:tab w:val="left" w:pos="360"/>
                <w:tab w:val="left" w:pos="720"/>
              </w:tabs>
              <w:jc w:val="right"/>
              <w:rPr>
                <w:color w:val="FF0000"/>
                <w:sz w:val="18"/>
                <w:szCs w:val="18"/>
              </w:rPr>
            </w:pPr>
            <w:r w:rsidRPr="002C074C">
              <w:rPr>
                <w:color w:val="FF0000"/>
                <w:sz w:val="18"/>
                <w:szCs w:val="18"/>
              </w:rPr>
              <w:t>1</w:t>
            </w:r>
          </w:p>
        </w:tc>
        <w:tc>
          <w:tcPr>
            <w:tcW w:w="1080" w:type="dxa"/>
            <w:tcBorders>
              <w:top w:val="single" w:sz="4" w:space="0" w:color="FF0000"/>
              <w:left w:val="single" w:sz="4" w:space="0" w:color="FF0000"/>
              <w:bottom w:val="single" w:sz="4" w:space="0" w:color="FF0000"/>
              <w:right w:val="single" w:sz="4" w:space="0" w:color="FF0000"/>
            </w:tcBorders>
            <w:vAlign w:val="center"/>
          </w:tcPr>
          <w:p w:rsidR="006D0085" w:rsidRPr="002C074C" w:rsidP="00276F0B" w14:paraId="0FA09963" w14:textId="60DD4325">
            <w:pPr>
              <w:tabs>
                <w:tab w:val="left" w:pos="360"/>
                <w:tab w:val="left" w:pos="720"/>
              </w:tabs>
              <w:jc w:val="right"/>
              <w:rPr>
                <w:color w:val="FF0000"/>
                <w:sz w:val="18"/>
                <w:szCs w:val="18"/>
              </w:rPr>
            </w:pPr>
            <w:r w:rsidRPr="002C074C">
              <w:rPr>
                <w:color w:val="FF0000"/>
                <w:sz w:val="18"/>
                <w:szCs w:val="18"/>
              </w:rPr>
              <w:t>1,000</w:t>
            </w:r>
          </w:p>
        </w:tc>
        <w:tc>
          <w:tcPr>
            <w:tcW w:w="1170" w:type="dxa"/>
            <w:tcBorders>
              <w:top w:val="single" w:sz="4" w:space="0" w:color="FF0000"/>
              <w:left w:val="single" w:sz="4" w:space="0" w:color="FF0000"/>
              <w:bottom w:val="single" w:sz="4" w:space="0" w:color="FF0000"/>
              <w:right w:val="single" w:sz="4" w:space="0" w:color="FF0000"/>
            </w:tcBorders>
            <w:vAlign w:val="center"/>
          </w:tcPr>
          <w:p w:rsidR="006D0085" w:rsidRPr="002C074C" w:rsidP="00276F0B" w14:paraId="1F292E7A" w14:textId="04B240E7">
            <w:pPr>
              <w:tabs>
                <w:tab w:val="left" w:pos="360"/>
                <w:tab w:val="left" w:pos="720"/>
              </w:tabs>
              <w:jc w:val="right"/>
              <w:rPr>
                <w:color w:val="FF0000"/>
                <w:sz w:val="18"/>
                <w:szCs w:val="18"/>
              </w:rPr>
            </w:pPr>
            <w:r w:rsidRPr="002C074C">
              <w:rPr>
                <w:color w:val="FF0000"/>
                <w:sz w:val="18"/>
                <w:szCs w:val="18"/>
              </w:rPr>
              <w:t>.</w:t>
            </w:r>
            <w:r w:rsidRPr="002C074C" w:rsidR="00223538">
              <w:rPr>
                <w:color w:val="FF0000"/>
                <w:sz w:val="18"/>
                <w:szCs w:val="18"/>
              </w:rPr>
              <w:t>5</w:t>
            </w:r>
          </w:p>
        </w:tc>
        <w:tc>
          <w:tcPr>
            <w:tcW w:w="1237" w:type="dxa"/>
            <w:tcBorders>
              <w:top w:val="single" w:sz="4" w:space="0" w:color="FF0000"/>
              <w:left w:val="single" w:sz="4" w:space="0" w:color="FF0000"/>
              <w:bottom w:val="single" w:sz="4" w:space="0" w:color="FF0000"/>
              <w:right w:val="single" w:sz="4" w:space="0" w:color="FF0000"/>
            </w:tcBorders>
            <w:vAlign w:val="center"/>
          </w:tcPr>
          <w:p w:rsidR="006D0085" w:rsidRPr="002C074C" w:rsidP="001930B7" w14:paraId="09E8CB0D" w14:textId="7F11799C">
            <w:pPr>
              <w:tabs>
                <w:tab w:val="left" w:pos="360"/>
                <w:tab w:val="left" w:pos="720"/>
              </w:tabs>
              <w:jc w:val="right"/>
              <w:rPr>
                <w:color w:val="FF0000"/>
                <w:sz w:val="18"/>
                <w:szCs w:val="18"/>
              </w:rPr>
            </w:pPr>
            <w:r w:rsidRPr="002C074C">
              <w:rPr>
                <w:color w:val="FF0000"/>
                <w:sz w:val="18"/>
                <w:szCs w:val="18"/>
              </w:rPr>
              <w:t>500</w:t>
            </w:r>
          </w:p>
        </w:tc>
        <w:tc>
          <w:tcPr>
            <w:tcW w:w="1733" w:type="dxa"/>
            <w:tcBorders>
              <w:top w:val="single" w:sz="4" w:space="0" w:color="FF0000"/>
              <w:left w:val="single" w:sz="4" w:space="0" w:color="FF0000"/>
              <w:bottom w:val="single" w:sz="4" w:space="0" w:color="FF0000"/>
              <w:right w:val="single" w:sz="4" w:space="0" w:color="FF0000"/>
            </w:tcBorders>
            <w:vAlign w:val="center"/>
          </w:tcPr>
          <w:p w:rsidR="006D0085" w:rsidRPr="002C074C" w:rsidP="001930B7" w14:paraId="42C26533" w14:textId="7D798E0E">
            <w:pPr>
              <w:tabs>
                <w:tab w:val="left" w:pos="360"/>
                <w:tab w:val="left" w:pos="720"/>
              </w:tabs>
              <w:jc w:val="right"/>
              <w:rPr>
                <w:color w:val="FF0000"/>
                <w:sz w:val="18"/>
                <w:szCs w:val="18"/>
              </w:rPr>
            </w:pPr>
            <w:r w:rsidRPr="002C074C">
              <w:rPr>
                <w:color w:val="FF0000"/>
                <w:sz w:val="18"/>
                <w:szCs w:val="18"/>
              </w:rPr>
              <w:t>$</w:t>
            </w:r>
            <w:r w:rsidRPr="002C074C" w:rsidR="007F5611">
              <w:rPr>
                <w:color w:val="FF0000"/>
                <w:sz w:val="18"/>
                <w:szCs w:val="18"/>
              </w:rPr>
              <w:t>20,930</w:t>
            </w:r>
          </w:p>
        </w:tc>
      </w:tr>
      <w:tr w14:paraId="5D3F1BBA" w14:textId="77777777" w:rsidTr="00C82E28">
        <w:tblPrEx>
          <w:tblW w:w="9360" w:type="dxa"/>
          <w:tblInd w:w="108" w:type="dxa"/>
          <w:tblLayout w:type="fixed"/>
          <w:tblLook w:val="01E0"/>
        </w:tblPrEx>
        <w:tc>
          <w:tcPr>
            <w:tcW w:w="1800" w:type="dxa"/>
            <w:tcBorders>
              <w:top w:val="single" w:sz="4" w:space="0" w:color="FF0000"/>
              <w:left w:val="single" w:sz="4" w:space="0" w:color="auto"/>
              <w:bottom w:val="single" w:sz="4" w:space="0" w:color="auto"/>
              <w:right w:val="single" w:sz="4" w:space="0" w:color="auto"/>
            </w:tcBorders>
            <w:shd w:val="clear" w:color="auto" w:fill="99FF99"/>
            <w:hideMark/>
          </w:tcPr>
          <w:p w:rsidR="00A42AE3" w:rsidRPr="002C074C" w14:paraId="645DB5D4" w14:textId="047318F0">
            <w:pPr>
              <w:tabs>
                <w:tab w:val="left" w:pos="-1080"/>
                <w:tab w:val="left" w:pos="-720"/>
                <w:tab w:val="left" w:pos="360"/>
                <w:tab w:val="left" w:pos="720"/>
              </w:tabs>
              <w:rPr>
                <w:b/>
                <w:color w:val="000000" w:themeColor="text1"/>
                <w:sz w:val="18"/>
                <w:szCs w:val="18"/>
              </w:rPr>
            </w:pPr>
            <w:r w:rsidRPr="002C074C">
              <w:rPr>
                <w:b/>
                <w:color w:val="000000" w:themeColor="text1"/>
                <w:sz w:val="18"/>
                <w:szCs w:val="18"/>
              </w:rPr>
              <w:t>Total</w:t>
            </w:r>
          </w:p>
        </w:tc>
        <w:tc>
          <w:tcPr>
            <w:tcW w:w="1260" w:type="dxa"/>
            <w:tcBorders>
              <w:top w:val="single" w:sz="4" w:space="0" w:color="FF0000"/>
              <w:left w:val="single" w:sz="4" w:space="0" w:color="auto"/>
              <w:bottom w:val="single" w:sz="4" w:space="0" w:color="auto"/>
              <w:right w:val="single" w:sz="4" w:space="0" w:color="auto"/>
            </w:tcBorders>
            <w:shd w:val="clear" w:color="auto" w:fill="99FF99"/>
            <w:vAlign w:val="center"/>
            <w:hideMark/>
          </w:tcPr>
          <w:p w:rsidR="00A42AE3" w:rsidRPr="002C074C" w:rsidP="00276F0B" w14:paraId="7A157701" w14:textId="2E3F5142">
            <w:pPr>
              <w:tabs>
                <w:tab w:val="left" w:pos="360"/>
                <w:tab w:val="left" w:pos="720"/>
              </w:tabs>
              <w:jc w:val="right"/>
              <w:rPr>
                <w:b/>
                <w:color w:val="000000" w:themeColor="text1"/>
                <w:sz w:val="18"/>
                <w:szCs w:val="18"/>
              </w:rPr>
            </w:pPr>
            <w:r w:rsidRPr="002C074C">
              <w:rPr>
                <w:b/>
                <w:color w:val="000000" w:themeColor="text1"/>
                <w:sz w:val="18"/>
                <w:szCs w:val="18"/>
              </w:rPr>
              <w:t>49,000</w:t>
            </w:r>
          </w:p>
        </w:tc>
        <w:tc>
          <w:tcPr>
            <w:tcW w:w="1080" w:type="dxa"/>
            <w:tcBorders>
              <w:top w:val="single" w:sz="4" w:space="0" w:color="FF0000"/>
              <w:left w:val="single" w:sz="4" w:space="0" w:color="auto"/>
              <w:bottom w:val="single" w:sz="4" w:space="0" w:color="auto"/>
              <w:right w:val="single" w:sz="4" w:space="0" w:color="auto"/>
            </w:tcBorders>
            <w:shd w:val="clear" w:color="auto" w:fill="99FF99"/>
            <w:vAlign w:val="center"/>
          </w:tcPr>
          <w:p w:rsidR="00A42AE3" w:rsidRPr="002C074C" w:rsidP="00276F0B" w14:paraId="24835E45" w14:textId="77777777">
            <w:pPr>
              <w:tabs>
                <w:tab w:val="left" w:pos="360"/>
                <w:tab w:val="left" w:pos="720"/>
              </w:tabs>
              <w:jc w:val="right"/>
              <w:rPr>
                <w:b/>
                <w:color w:val="000000" w:themeColor="text1"/>
                <w:sz w:val="18"/>
                <w:szCs w:val="18"/>
              </w:rPr>
            </w:pPr>
          </w:p>
        </w:tc>
        <w:tc>
          <w:tcPr>
            <w:tcW w:w="1080" w:type="dxa"/>
            <w:tcBorders>
              <w:top w:val="single" w:sz="4" w:space="0" w:color="FF0000"/>
              <w:left w:val="single" w:sz="4" w:space="0" w:color="auto"/>
              <w:bottom w:val="single" w:sz="4" w:space="0" w:color="auto"/>
              <w:right w:val="single" w:sz="4" w:space="0" w:color="auto"/>
            </w:tcBorders>
            <w:shd w:val="clear" w:color="auto" w:fill="99FF99"/>
            <w:vAlign w:val="center"/>
            <w:hideMark/>
          </w:tcPr>
          <w:p w:rsidR="00A42AE3" w:rsidRPr="002C074C" w:rsidP="00276F0B" w14:paraId="5EC44F1D" w14:textId="6EB1A60F">
            <w:pPr>
              <w:tabs>
                <w:tab w:val="left" w:pos="360"/>
                <w:tab w:val="left" w:pos="720"/>
              </w:tabs>
              <w:jc w:val="right"/>
              <w:rPr>
                <w:b/>
                <w:color w:val="000000" w:themeColor="text1"/>
                <w:sz w:val="18"/>
                <w:szCs w:val="18"/>
              </w:rPr>
            </w:pPr>
            <w:r w:rsidRPr="002C074C">
              <w:rPr>
                <w:b/>
                <w:color w:val="000000" w:themeColor="text1"/>
                <w:sz w:val="18"/>
                <w:szCs w:val="18"/>
              </w:rPr>
              <w:t>49,000</w:t>
            </w:r>
          </w:p>
        </w:tc>
        <w:tc>
          <w:tcPr>
            <w:tcW w:w="1170" w:type="dxa"/>
            <w:tcBorders>
              <w:top w:val="single" w:sz="4" w:space="0" w:color="FF0000"/>
              <w:left w:val="single" w:sz="4" w:space="0" w:color="auto"/>
              <w:bottom w:val="single" w:sz="4" w:space="0" w:color="auto"/>
              <w:right w:val="single" w:sz="4" w:space="0" w:color="auto"/>
            </w:tcBorders>
            <w:shd w:val="clear" w:color="auto" w:fill="99FF99"/>
            <w:vAlign w:val="center"/>
          </w:tcPr>
          <w:p w:rsidR="00A42AE3" w:rsidRPr="002C074C" w:rsidP="00276F0B" w14:paraId="2C1BE168" w14:textId="77777777">
            <w:pPr>
              <w:tabs>
                <w:tab w:val="left" w:pos="360"/>
                <w:tab w:val="left" w:pos="720"/>
              </w:tabs>
              <w:jc w:val="right"/>
              <w:rPr>
                <w:b/>
                <w:color w:val="000000" w:themeColor="text1"/>
                <w:sz w:val="18"/>
                <w:szCs w:val="18"/>
              </w:rPr>
            </w:pPr>
          </w:p>
        </w:tc>
        <w:tc>
          <w:tcPr>
            <w:tcW w:w="1237" w:type="dxa"/>
            <w:tcBorders>
              <w:top w:val="single" w:sz="4" w:space="0" w:color="FF0000"/>
              <w:left w:val="single" w:sz="4" w:space="0" w:color="auto"/>
              <w:bottom w:val="single" w:sz="4" w:space="0" w:color="auto"/>
              <w:right w:val="single" w:sz="4" w:space="0" w:color="auto"/>
            </w:tcBorders>
            <w:shd w:val="clear" w:color="auto" w:fill="99FF99"/>
            <w:vAlign w:val="center"/>
            <w:hideMark/>
          </w:tcPr>
          <w:p w:rsidR="00A42AE3" w:rsidRPr="002C074C" w:rsidP="001930B7" w14:paraId="44A30C67" w14:textId="6E878B61">
            <w:pPr>
              <w:tabs>
                <w:tab w:val="left" w:pos="360"/>
                <w:tab w:val="left" w:pos="720"/>
              </w:tabs>
              <w:jc w:val="right"/>
              <w:rPr>
                <w:b/>
                <w:color w:val="000000" w:themeColor="text1"/>
                <w:sz w:val="18"/>
                <w:szCs w:val="18"/>
              </w:rPr>
            </w:pPr>
            <w:r w:rsidRPr="002C074C">
              <w:rPr>
                <w:b/>
                <w:color w:val="000000" w:themeColor="text1"/>
                <w:sz w:val="18"/>
                <w:szCs w:val="18"/>
              </w:rPr>
              <w:t>12,</w:t>
            </w:r>
            <w:r w:rsidRPr="002C074C" w:rsidR="00223538">
              <w:rPr>
                <w:b/>
                <w:color w:val="000000" w:themeColor="text1"/>
                <w:sz w:val="18"/>
                <w:szCs w:val="18"/>
              </w:rPr>
              <w:t>5</w:t>
            </w:r>
            <w:r w:rsidRPr="002C074C">
              <w:rPr>
                <w:b/>
                <w:color w:val="000000" w:themeColor="text1"/>
                <w:sz w:val="18"/>
                <w:szCs w:val="18"/>
              </w:rPr>
              <w:t>00</w:t>
            </w:r>
          </w:p>
        </w:tc>
        <w:tc>
          <w:tcPr>
            <w:tcW w:w="1733" w:type="dxa"/>
            <w:tcBorders>
              <w:top w:val="single" w:sz="4" w:space="0" w:color="FF0000"/>
              <w:left w:val="single" w:sz="4" w:space="0" w:color="auto"/>
              <w:bottom w:val="single" w:sz="4" w:space="0" w:color="auto"/>
              <w:right w:val="single" w:sz="4" w:space="0" w:color="auto"/>
            </w:tcBorders>
            <w:shd w:val="clear" w:color="auto" w:fill="99FF99"/>
            <w:vAlign w:val="center"/>
          </w:tcPr>
          <w:p w:rsidR="00A42AE3" w:rsidRPr="002C074C" w:rsidP="001930B7" w14:paraId="3E1F990B" w14:textId="1F2821CE">
            <w:pPr>
              <w:tabs>
                <w:tab w:val="left" w:pos="360"/>
                <w:tab w:val="left" w:pos="720"/>
              </w:tabs>
              <w:jc w:val="right"/>
              <w:rPr>
                <w:b/>
                <w:color w:val="000000" w:themeColor="text1"/>
                <w:sz w:val="18"/>
                <w:szCs w:val="18"/>
              </w:rPr>
            </w:pPr>
            <w:r w:rsidRPr="002C074C">
              <w:rPr>
                <w:b/>
                <w:color w:val="000000" w:themeColor="text1"/>
                <w:sz w:val="18"/>
                <w:szCs w:val="18"/>
              </w:rPr>
              <w:t>$523,250</w:t>
            </w:r>
          </w:p>
        </w:tc>
      </w:tr>
    </w:tbl>
    <w:p w:rsidR="00A42AE3" w:rsidRPr="002C074C" w:rsidP="00027C45" w14:paraId="47FAAB6E"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6948E732"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13.</w:t>
      </w:r>
      <w:r w:rsidRPr="002C074C">
        <w:rPr>
          <w:b/>
          <w:sz w:val="24"/>
          <w:szCs w:val="24"/>
        </w:rPr>
        <w:tab/>
        <w:t>Provide an estimate of the total annual non-hour cost burden to respondents or recordkeepers resulting from the collection of information.  (Do not include the cost of any hour burden already reflected in item 12.)</w:t>
      </w:r>
    </w:p>
    <w:p w:rsidR="00027C45" w:rsidRPr="002C074C" w:rsidP="00027C45" w14:paraId="2CDA4BD9"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074C">
        <w:rPr>
          <w:b/>
          <w:sz w:val="24"/>
          <w:szCs w:val="24"/>
        </w:rPr>
        <w:t>*</w:t>
      </w:r>
      <w:r w:rsidRPr="002C074C">
        <w:rPr>
          <w:b/>
          <w:sz w:val="24"/>
          <w:szCs w:val="24"/>
        </w:rPr>
        <w:tab/>
        <w:t xml:space="preserve">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w:t>
      </w:r>
      <w:r w:rsidRPr="002C074C">
        <w:rPr>
          <w:b/>
          <w:sz w:val="24"/>
          <w:szCs w:val="24"/>
        </w:rPr>
        <w:t>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rsidR="00027C45" w:rsidRPr="002C074C" w:rsidP="00027C45" w14:paraId="4D9C7FC6"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b/>
          <w:sz w:val="24"/>
          <w:szCs w:val="24"/>
        </w:rPr>
      </w:pPr>
      <w:r w:rsidRPr="002C074C">
        <w:rPr>
          <w:b/>
          <w:sz w:val="24"/>
          <w:szCs w:val="24"/>
        </w:rPr>
        <w:t>*</w:t>
      </w:r>
      <w:r w:rsidRPr="002C074C">
        <w:rPr>
          <w:b/>
          <w:sz w:val="24"/>
          <w:szCs w:val="24"/>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027C45" w:rsidRPr="002C074C" w:rsidP="00027C45" w14:paraId="07DEB4C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r w:rsidRPr="002C074C">
        <w:rPr>
          <w:b/>
          <w:sz w:val="24"/>
          <w:szCs w:val="24"/>
        </w:rPr>
        <w:tab/>
        <w:t>*</w:t>
      </w:r>
      <w:r w:rsidRPr="002C074C">
        <w:rPr>
          <w:b/>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027C45" w:rsidP="00027C45" w14:paraId="05C94A8D" w14:textId="43DC290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b/>
          <w:sz w:val="24"/>
          <w:szCs w:val="24"/>
        </w:rPr>
      </w:pPr>
    </w:p>
    <w:p w:rsidR="00C93070" w:rsidRPr="00090296" w:rsidP="00D27CA4" w14:paraId="019FC363"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090296">
        <w:rPr>
          <w:sz w:val="24"/>
          <w:szCs w:val="24"/>
        </w:rPr>
        <w:t>There is no non-hour cost burden.</w:t>
      </w:r>
    </w:p>
    <w:p w:rsidR="006403FA" w:rsidRPr="002C074C" w:rsidP="00027C45" w14:paraId="3FEAC357"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78E38E19" w14:paraId="3AA9F592"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C074C">
        <w:rPr>
          <w:b/>
          <w:bCs/>
          <w:sz w:val="24"/>
          <w:szCs w:val="24"/>
        </w:rPr>
        <w:t>14.</w:t>
      </w:r>
      <w:r w:rsidRPr="002C074C">
        <w:tab/>
      </w:r>
      <w:r w:rsidRPr="002C074C">
        <w:rPr>
          <w:b/>
          <w:bCs/>
          <w:sz w:val="24"/>
          <w:szCs w:val="24"/>
        </w:rP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027C45" w:rsidRPr="002C074C" w:rsidP="00027C45" w14:paraId="253EB06B" w14:textId="6585C27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8A7C15" w:rsidP="00067223" w14:paraId="62E978EA" w14:textId="22A8324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r w:rsidRPr="002C074C">
        <w:rPr>
          <w:sz w:val="24"/>
          <w:szCs w:val="24"/>
        </w:rPr>
        <w:t>The estimated total cost to the Federal Government to</w:t>
      </w:r>
      <w:r w:rsidRPr="002C074C" w:rsidR="001D6A84">
        <w:rPr>
          <w:sz w:val="24"/>
          <w:szCs w:val="24"/>
        </w:rPr>
        <w:t xml:space="preserve"> collect the information</w:t>
      </w:r>
      <w:r w:rsidRPr="002C074C" w:rsidR="000A380F">
        <w:rPr>
          <w:sz w:val="24"/>
          <w:szCs w:val="24"/>
        </w:rPr>
        <w:t xml:space="preserve"> is </w:t>
      </w:r>
      <w:r w:rsidRPr="002C074C" w:rsidR="00067223">
        <w:rPr>
          <w:b/>
          <w:bCs/>
          <w:sz w:val="24"/>
          <w:szCs w:val="24"/>
        </w:rPr>
        <w:t>$</w:t>
      </w:r>
      <w:r w:rsidRPr="00AD38DE" w:rsidR="00AD38DE">
        <w:rPr>
          <w:b/>
          <w:bCs/>
          <w:sz w:val="24"/>
          <w:szCs w:val="24"/>
        </w:rPr>
        <w:t>806,632</w:t>
      </w:r>
      <w:r w:rsidRPr="00D27CA4" w:rsidR="00067223">
        <w:rPr>
          <w:sz w:val="24"/>
          <w:szCs w:val="24"/>
        </w:rPr>
        <w:t>.</w:t>
      </w:r>
      <w:r w:rsidRPr="00AD38DE" w:rsidR="003C0906">
        <w:rPr>
          <w:sz w:val="24"/>
          <w:szCs w:val="24"/>
        </w:rPr>
        <w:t xml:space="preserve"> </w:t>
      </w:r>
      <w:r w:rsidR="003C0906">
        <w:rPr>
          <w:sz w:val="24"/>
          <w:szCs w:val="24"/>
        </w:rPr>
        <w:t xml:space="preserve">This includes </w:t>
      </w:r>
      <w:r w:rsidR="00BD3859">
        <w:rPr>
          <w:sz w:val="24"/>
          <w:szCs w:val="24"/>
        </w:rPr>
        <w:t>$</w:t>
      </w:r>
      <w:r w:rsidRPr="00AD38DE" w:rsidR="00AD38DE">
        <w:rPr>
          <w:b/>
          <w:bCs/>
          <w:sz w:val="24"/>
          <w:szCs w:val="24"/>
        </w:rPr>
        <w:t xml:space="preserve">765,382 </w:t>
      </w:r>
      <w:r w:rsidR="003C0906">
        <w:rPr>
          <w:sz w:val="24"/>
          <w:szCs w:val="24"/>
        </w:rPr>
        <w:t xml:space="preserve">for Federal staff and </w:t>
      </w:r>
      <w:r w:rsidRPr="00D27CA4" w:rsidR="003C0906">
        <w:rPr>
          <w:b/>
          <w:bCs/>
          <w:sz w:val="24"/>
          <w:szCs w:val="24"/>
        </w:rPr>
        <w:t>$41,250</w:t>
      </w:r>
      <w:r w:rsidR="003C0906">
        <w:rPr>
          <w:sz w:val="24"/>
          <w:szCs w:val="24"/>
        </w:rPr>
        <w:t xml:space="preserve"> for contractor services. </w:t>
      </w:r>
    </w:p>
    <w:p w:rsidR="00C93070" w:rsidP="00067223" w14:paraId="37C78760" w14:textId="7E26D6F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sz w:val="24"/>
          <w:szCs w:val="24"/>
        </w:rPr>
      </w:pPr>
    </w:p>
    <w:p w:rsidR="00C93070" w:rsidRPr="00D271C5" w:rsidP="00C93070" w14:paraId="68F8DBE9" w14:textId="785D775E">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27CA4">
        <w:rPr>
          <w:rFonts w:ascii="Times New Roman" w:hAnsi="Times New Roman" w:cs="Times New Roman"/>
          <w:b/>
          <w:bCs/>
          <w:sz w:val="24"/>
          <w:szCs w:val="24"/>
        </w:rPr>
        <w:t>Federal Staff:</w:t>
      </w:r>
      <w:r w:rsidRPr="00D27CA4">
        <w:rPr>
          <w:rFonts w:ascii="Times New Roman" w:hAnsi="Times New Roman" w:cs="Times New Roman"/>
          <w:sz w:val="24"/>
          <w:szCs w:val="24"/>
        </w:rPr>
        <w:t xml:space="preserve"> The salary associated with this grade and step is based on the General Schedule 2023, </w:t>
      </w:r>
      <w:r w:rsidRPr="00D27CA4">
        <w:rPr>
          <w:rFonts w:ascii="Times New Roman" w:hAnsi="Times New Roman" w:cs="Times New Roman"/>
          <w:i/>
          <w:iCs/>
          <w:sz w:val="24"/>
          <w:szCs w:val="24"/>
        </w:rPr>
        <w:t xml:space="preserve">Rest of the United States.  </w:t>
      </w:r>
      <w:r w:rsidRPr="00D27CA4">
        <w:rPr>
          <w:rFonts w:ascii="Times New Roman" w:hAnsi="Times New Roman" w:cs="Times New Roman"/>
          <w:sz w:val="24"/>
          <w:szCs w:val="24"/>
        </w:rPr>
        <w:t>The hourly salary is multiplied by 1.</w:t>
      </w:r>
      <w:r w:rsidRPr="00D271C5" w:rsidR="00BD3859">
        <w:rPr>
          <w:rFonts w:ascii="Times New Roman" w:hAnsi="Times New Roman" w:cs="Times New Roman"/>
          <w:sz w:val="24"/>
          <w:szCs w:val="24"/>
        </w:rPr>
        <w:t>6</w:t>
      </w:r>
      <w:r w:rsidRPr="00D27CA4">
        <w:rPr>
          <w:rFonts w:ascii="Times New Roman" w:hAnsi="Times New Roman" w:cs="Times New Roman"/>
          <w:sz w:val="24"/>
          <w:szCs w:val="24"/>
        </w:rPr>
        <w:t xml:space="preserve"> to cover benefits. </w:t>
      </w:r>
      <w:r w:rsidRPr="00D27CA4">
        <w:rPr>
          <w:rFonts w:ascii="Times New Roman" w:hAnsi="Times New Roman" w:cs="Times New Roman"/>
          <w:i/>
          <w:sz w:val="24"/>
          <w:szCs w:val="24"/>
        </w:rPr>
        <w:t>See</w:t>
      </w:r>
      <w:r w:rsidRPr="00D27CA4">
        <w:rPr>
          <w:rFonts w:ascii="Times New Roman" w:hAnsi="Times New Roman" w:cs="Times New Roman"/>
          <w:sz w:val="24"/>
          <w:szCs w:val="24"/>
        </w:rPr>
        <w:t xml:space="preserve"> </w:t>
      </w:r>
      <w:hyperlink r:id="rId7" w:history="1">
        <w:r w:rsidRPr="00D271C5" w:rsidR="00BD3859">
          <w:rPr>
            <w:rStyle w:val="Hyperlink"/>
            <w:rFonts w:ascii="Times New Roman" w:hAnsi="Times New Roman" w:cs="Times New Roman"/>
            <w:sz w:val="24"/>
            <w:szCs w:val="24"/>
          </w:rPr>
          <w:t>https://www.opm.gov/policy-data-oversight/pay-leave/salaries-wages/salary-tables/23Tables/html/RUS_h.aspx</w:t>
        </w:r>
      </w:hyperlink>
      <w:r w:rsidRPr="00D271C5" w:rsidR="00BD3859">
        <w:rPr>
          <w:rFonts w:ascii="Times New Roman" w:hAnsi="Times New Roman" w:cs="Times New Roman"/>
        </w:rPr>
        <w:t xml:space="preserve">. </w:t>
      </w:r>
      <w:r w:rsidRPr="00D27CA4">
        <w:rPr>
          <w:rFonts w:ascii="Times New Roman" w:hAnsi="Times New Roman" w:cs="Times New Roman"/>
          <w:sz w:val="24"/>
          <w:szCs w:val="24"/>
        </w:rPr>
        <w:t xml:space="preserve"> </w:t>
      </w:r>
    </w:p>
    <w:p w:rsidR="00C93070" w:rsidRPr="00D27CA4" w:rsidP="00C93070" w14:paraId="43C50F9D" w14:textId="41BBB4C9">
      <w:pPr>
        <w:pStyle w:val="ListParagraph"/>
        <w:numPr>
          <w:ilvl w:val="0"/>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sz w:val="24"/>
          <w:szCs w:val="24"/>
        </w:rPr>
      </w:pPr>
      <w:r w:rsidRPr="00D27CA4">
        <w:rPr>
          <w:rFonts w:ascii="Times New Roman" w:hAnsi="Times New Roman" w:cs="Times New Roman"/>
          <w:b/>
          <w:bCs/>
          <w:sz w:val="24"/>
          <w:szCs w:val="24"/>
        </w:rPr>
        <w:t>Contractor Services:</w:t>
      </w:r>
      <w:r w:rsidRPr="00D27CA4">
        <w:rPr>
          <w:rFonts w:ascii="Times New Roman" w:hAnsi="Times New Roman" w:cs="Times New Roman"/>
          <w:sz w:val="24"/>
          <w:szCs w:val="24"/>
        </w:rPr>
        <w:t xml:space="preserve"> The BHWP’s services provide short-term, solution-focused brief therapy, crisis support, and care coordination via a tele-health platform and an available 24/7 crisis response hotline. Contractor’s call center staff verify the spelling of the first and last name of the caller, any demographic information provided by the caller, as well as the caller’s phone number by verbally reading back the information gathered and verifying the accuracy of data entry into its software. BIE has arranged for a contractor to provide the following BHWP behavioral health tasks.</w:t>
      </w:r>
    </w:p>
    <w:p w:rsidR="00C93070" w:rsidRPr="00D27CA4" w:rsidP="00D27CA4" w14:paraId="0AD7C9E4" w14:textId="1FBF1455">
      <w:pPr>
        <w:pStyle w:val="ListParagraph"/>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D27CA4">
        <w:rPr>
          <w:rFonts w:ascii="Times New Roman" w:hAnsi="Times New Roman" w:cs="Times New Roman"/>
          <w:i/>
          <w:iCs/>
        </w:rPr>
        <w:t>Tele-Behavioral Health Platform</w:t>
      </w:r>
      <w:r w:rsidRPr="00D27CA4">
        <w:rPr>
          <w:rFonts w:ascii="Times New Roman" w:hAnsi="Times New Roman" w:cs="Times New Roman"/>
        </w:rPr>
        <w:t>:  Client intakes, screenings, referral services, progress notes, treatment planning, crisis intervention, client chat, tele-health video options, electronic signature captures for consent documentation, release of information requests, uploading of external client records, data analysis, and reporting.</w:t>
      </w:r>
    </w:p>
    <w:p w:rsidR="00C93070" w:rsidRPr="00D27CA4" w:rsidP="00D27CA4" w14:paraId="22056856" w14:textId="77777777">
      <w:pPr>
        <w:pStyle w:val="ListParagraph"/>
        <w:numPr>
          <w:ilvl w:val="1"/>
          <w:numId w:val="13"/>
        </w:num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rFonts w:ascii="Times New Roman" w:hAnsi="Times New Roman" w:cs="Times New Roman"/>
        </w:rPr>
      </w:pPr>
      <w:r w:rsidRPr="00D27CA4">
        <w:rPr>
          <w:rFonts w:ascii="Times New Roman" w:hAnsi="Times New Roman" w:cs="Times New Roman"/>
          <w:i/>
          <w:iCs/>
        </w:rPr>
        <w:t>Crisis Response Hotline</w:t>
      </w:r>
      <w:r w:rsidRPr="00D27CA4">
        <w:rPr>
          <w:rFonts w:ascii="Times New Roman" w:hAnsi="Times New Roman" w:cs="Times New Roman"/>
        </w:rPr>
        <w:t xml:space="preserve">:  The BHWP services will be provided through a contractor to deliver a crisis hotline accessible 24 hours per day, 7 days a week, and 365 days a year.  The contractor’s call center staff are crisis-trained professionals providing </w:t>
      </w:r>
      <w:r w:rsidRPr="00D27CA4">
        <w:rPr>
          <w:rFonts w:ascii="Times New Roman" w:hAnsi="Times New Roman" w:cs="Times New Roman"/>
        </w:rPr>
        <w:t>specific crisis support processes – including brief intakes, safety screenings, immediate crisis response, and referrals to BHWP Behavioral Health Specialist s for additional behavioral health services.</w:t>
      </w:r>
    </w:p>
    <w:p w:rsidR="00A349F3" w:rsidRPr="002C074C" w:rsidP="00A349F3" w14:paraId="70E0A9F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color w:val="000000" w:themeColor="text1"/>
          <w:sz w:val="24"/>
          <w:u w:val="single"/>
        </w:rPr>
      </w:pPr>
    </w:p>
    <w:p w:rsidR="00A349F3" w:rsidRPr="002C074C" w:rsidP="00A349F3" w14:paraId="3E573215" w14:textId="32292E44">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caps/>
          <w:color w:val="FF0000"/>
          <w:sz w:val="24"/>
          <w:u w:val="single"/>
        </w:rPr>
      </w:pPr>
      <w:r w:rsidRPr="002C074C">
        <w:rPr>
          <w:b/>
          <w:caps/>
          <w:color w:val="FF0000"/>
          <w:sz w:val="24"/>
          <w:u w:val="single"/>
        </w:rPr>
        <w:t>2023 Proposed revision</w:t>
      </w:r>
    </w:p>
    <w:p w:rsidR="008A7C15" w:rsidRPr="002C074C" w:rsidP="008A7C15" w14:paraId="31D09701" w14:textId="0E53489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800"/>
        <w:gridCol w:w="1597"/>
        <w:gridCol w:w="1170"/>
        <w:gridCol w:w="1170"/>
        <w:gridCol w:w="1170"/>
        <w:gridCol w:w="990"/>
        <w:gridCol w:w="1463"/>
      </w:tblGrid>
      <w:tr w14:paraId="4F6A1B50" w14:textId="77777777" w:rsidTr="004A7B05">
        <w:tblPrEx>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blHeader/>
        </w:trPr>
        <w:tc>
          <w:tcPr>
            <w:tcW w:w="1800" w:type="dxa"/>
            <w:tcBorders>
              <w:top w:val="single" w:sz="4" w:space="0" w:color="auto"/>
              <w:left w:val="single" w:sz="4" w:space="0" w:color="auto"/>
              <w:bottom w:val="single" w:sz="4" w:space="0" w:color="auto"/>
              <w:right w:val="single" w:sz="4" w:space="0" w:color="auto"/>
            </w:tcBorders>
            <w:hideMark/>
          </w:tcPr>
          <w:p w:rsidR="009803AB" w:rsidRPr="002C074C" w:rsidP="009803AB" w14:paraId="724C8366" w14:textId="64545F56">
            <w:pPr>
              <w:tabs>
                <w:tab w:val="left" w:pos="-1080"/>
                <w:tab w:val="left" w:pos="-720"/>
                <w:tab w:val="left" w:pos="360"/>
                <w:tab w:val="left" w:pos="720"/>
              </w:tabs>
              <w:jc w:val="center"/>
              <w:rPr>
                <w:b/>
                <w:sz w:val="16"/>
                <w:szCs w:val="16"/>
              </w:rPr>
            </w:pPr>
            <w:r>
              <w:rPr>
                <w:b/>
                <w:sz w:val="16"/>
                <w:szCs w:val="16"/>
              </w:rPr>
              <w:t>Program</w:t>
            </w:r>
          </w:p>
        </w:tc>
        <w:tc>
          <w:tcPr>
            <w:tcW w:w="1597" w:type="dxa"/>
            <w:tcBorders>
              <w:top w:val="single" w:sz="4" w:space="0" w:color="auto"/>
              <w:left w:val="single" w:sz="4" w:space="0" w:color="auto"/>
              <w:bottom w:val="single" w:sz="4" w:space="0" w:color="auto"/>
              <w:right w:val="single" w:sz="4" w:space="0" w:color="auto"/>
            </w:tcBorders>
          </w:tcPr>
          <w:p w:rsidR="009803AB" w:rsidRPr="002C074C" w:rsidP="009803AB" w14:paraId="7C59E68C" w14:textId="035D1498">
            <w:pPr>
              <w:tabs>
                <w:tab w:val="left" w:pos="-1080"/>
                <w:tab w:val="left" w:pos="-720"/>
                <w:tab w:val="left" w:pos="360"/>
                <w:tab w:val="left" w:pos="720"/>
              </w:tabs>
              <w:jc w:val="center"/>
              <w:rPr>
                <w:b/>
                <w:sz w:val="16"/>
                <w:szCs w:val="16"/>
              </w:rPr>
            </w:pPr>
            <w:r w:rsidRPr="002C074C">
              <w:rPr>
                <w:b/>
                <w:sz w:val="16"/>
                <w:szCs w:val="16"/>
              </w:rPr>
              <w:t>Grade, Step</w:t>
            </w:r>
          </w:p>
        </w:tc>
        <w:tc>
          <w:tcPr>
            <w:tcW w:w="1170" w:type="dxa"/>
            <w:tcBorders>
              <w:top w:val="single" w:sz="4" w:space="0" w:color="auto"/>
              <w:left w:val="single" w:sz="4" w:space="0" w:color="auto"/>
              <w:bottom w:val="single" w:sz="4" w:space="0" w:color="auto"/>
              <w:right w:val="single" w:sz="4" w:space="0" w:color="auto"/>
            </w:tcBorders>
          </w:tcPr>
          <w:p w:rsidR="009803AB" w:rsidRPr="002C074C" w:rsidP="009803AB" w14:paraId="1FEE8ADD" w14:textId="62058870">
            <w:pPr>
              <w:tabs>
                <w:tab w:val="left" w:pos="-1080"/>
                <w:tab w:val="left" w:pos="-720"/>
                <w:tab w:val="left" w:pos="360"/>
                <w:tab w:val="left" w:pos="720"/>
              </w:tabs>
              <w:jc w:val="center"/>
              <w:rPr>
                <w:b/>
                <w:sz w:val="16"/>
                <w:szCs w:val="16"/>
              </w:rPr>
            </w:pPr>
            <w:r w:rsidRPr="002C074C">
              <w:rPr>
                <w:b/>
                <w:sz w:val="16"/>
                <w:szCs w:val="16"/>
              </w:rPr>
              <w:t>Loaded Rate</w:t>
            </w:r>
          </w:p>
        </w:tc>
        <w:tc>
          <w:tcPr>
            <w:tcW w:w="1170" w:type="dxa"/>
            <w:tcBorders>
              <w:top w:val="single" w:sz="4" w:space="0" w:color="auto"/>
              <w:left w:val="single" w:sz="4" w:space="0" w:color="auto"/>
              <w:bottom w:val="single" w:sz="4" w:space="0" w:color="auto"/>
              <w:right w:val="single" w:sz="4" w:space="0" w:color="auto"/>
            </w:tcBorders>
            <w:hideMark/>
          </w:tcPr>
          <w:p w:rsidR="009803AB" w:rsidRPr="002C074C" w:rsidP="009803AB" w14:paraId="1D51F975" w14:textId="77777777">
            <w:pPr>
              <w:tabs>
                <w:tab w:val="left" w:pos="-1080"/>
                <w:tab w:val="left" w:pos="-720"/>
                <w:tab w:val="left" w:pos="360"/>
                <w:tab w:val="left" w:pos="720"/>
              </w:tabs>
              <w:jc w:val="center"/>
              <w:rPr>
                <w:b/>
                <w:sz w:val="16"/>
                <w:szCs w:val="16"/>
              </w:rPr>
            </w:pPr>
            <w:r w:rsidRPr="002C074C">
              <w:rPr>
                <w:b/>
                <w:sz w:val="16"/>
                <w:szCs w:val="16"/>
              </w:rPr>
              <w:t>Total Annual Responses</w:t>
            </w:r>
          </w:p>
        </w:tc>
        <w:tc>
          <w:tcPr>
            <w:tcW w:w="1170" w:type="dxa"/>
            <w:tcBorders>
              <w:top w:val="single" w:sz="4" w:space="0" w:color="auto"/>
              <w:left w:val="single" w:sz="4" w:space="0" w:color="auto"/>
              <w:bottom w:val="single" w:sz="4" w:space="0" w:color="auto"/>
              <w:right w:val="single" w:sz="4" w:space="0" w:color="auto"/>
            </w:tcBorders>
            <w:hideMark/>
          </w:tcPr>
          <w:p w:rsidR="009803AB" w:rsidRPr="002C074C" w:rsidP="009803AB" w14:paraId="6CDBC7AE" w14:textId="77777777">
            <w:pPr>
              <w:tabs>
                <w:tab w:val="left" w:pos="-1080"/>
                <w:tab w:val="left" w:pos="-720"/>
                <w:tab w:val="left" w:pos="360"/>
                <w:tab w:val="left" w:pos="720"/>
              </w:tabs>
              <w:jc w:val="center"/>
              <w:rPr>
                <w:b/>
                <w:sz w:val="16"/>
                <w:szCs w:val="16"/>
              </w:rPr>
            </w:pPr>
            <w:r w:rsidRPr="002C074C">
              <w:rPr>
                <w:b/>
                <w:sz w:val="16"/>
                <w:szCs w:val="16"/>
              </w:rPr>
              <w:t>Completion Time per Response (Hours)</w:t>
            </w:r>
          </w:p>
        </w:tc>
        <w:tc>
          <w:tcPr>
            <w:tcW w:w="990" w:type="dxa"/>
            <w:tcBorders>
              <w:top w:val="single" w:sz="4" w:space="0" w:color="auto"/>
              <w:left w:val="single" w:sz="4" w:space="0" w:color="auto"/>
              <w:bottom w:val="single" w:sz="4" w:space="0" w:color="auto"/>
              <w:right w:val="single" w:sz="4" w:space="0" w:color="auto"/>
            </w:tcBorders>
            <w:hideMark/>
          </w:tcPr>
          <w:p w:rsidR="009803AB" w:rsidRPr="002C074C" w:rsidP="009803AB" w14:paraId="468857AB" w14:textId="77777777">
            <w:pPr>
              <w:tabs>
                <w:tab w:val="left" w:pos="-1080"/>
                <w:tab w:val="left" w:pos="-720"/>
                <w:tab w:val="left" w:pos="360"/>
                <w:tab w:val="left" w:pos="720"/>
              </w:tabs>
              <w:jc w:val="center"/>
              <w:rPr>
                <w:b/>
                <w:sz w:val="16"/>
                <w:szCs w:val="16"/>
              </w:rPr>
            </w:pPr>
            <w:r w:rsidRPr="002C074C">
              <w:rPr>
                <w:b/>
                <w:sz w:val="16"/>
                <w:szCs w:val="16"/>
              </w:rPr>
              <w:t>Total Annual Burden Hours</w:t>
            </w:r>
          </w:p>
        </w:tc>
        <w:tc>
          <w:tcPr>
            <w:tcW w:w="1463" w:type="dxa"/>
            <w:tcBorders>
              <w:top w:val="single" w:sz="4" w:space="0" w:color="auto"/>
              <w:left w:val="single" w:sz="4" w:space="0" w:color="auto"/>
              <w:bottom w:val="single" w:sz="4" w:space="0" w:color="auto"/>
              <w:right w:val="single" w:sz="4" w:space="0" w:color="auto"/>
            </w:tcBorders>
            <w:hideMark/>
          </w:tcPr>
          <w:p w:rsidR="009803AB" w:rsidRPr="002C074C" w:rsidP="009803AB" w14:paraId="22F295D0" w14:textId="74B159AC">
            <w:pPr>
              <w:tabs>
                <w:tab w:val="left" w:pos="-1080"/>
                <w:tab w:val="left" w:pos="-720"/>
                <w:tab w:val="left" w:pos="360"/>
                <w:tab w:val="left" w:pos="720"/>
              </w:tabs>
              <w:jc w:val="center"/>
              <w:rPr>
                <w:b/>
                <w:sz w:val="16"/>
                <w:szCs w:val="16"/>
              </w:rPr>
            </w:pPr>
            <w:r w:rsidRPr="002C074C">
              <w:rPr>
                <w:b/>
                <w:sz w:val="16"/>
                <w:szCs w:val="16"/>
              </w:rPr>
              <w:t>Value of Annual Burden Hour</w:t>
            </w:r>
            <w:r w:rsidRPr="002C074C" w:rsidR="00067223">
              <w:rPr>
                <w:b/>
                <w:sz w:val="16"/>
                <w:szCs w:val="16"/>
              </w:rPr>
              <w:t>s</w:t>
            </w:r>
          </w:p>
        </w:tc>
      </w:tr>
      <w:tr w14:paraId="5471F133" w14:textId="77777777" w:rsidTr="00D27CA4">
        <w:tblPrEx>
          <w:tblW w:w="9360" w:type="dxa"/>
          <w:tblInd w:w="108" w:type="dxa"/>
          <w:tblLayout w:type="fixed"/>
          <w:tblLook w:val="01E0"/>
        </w:tblPrEx>
        <w:trPr>
          <w:trHeight w:val="125"/>
        </w:trPr>
        <w:tc>
          <w:tcPr>
            <w:tcW w:w="9360" w:type="dxa"/>
            <w:gridSpan w:val="7"/>
            <w:tcBorders>
              <w:top w:val="single" w:sz="4" w:space="0" w:color="auto"/>
              <w:left w:val="single" w:sz="4" w:space="0" w:color="auto"/>
              <w:right w:val="single" w:sz="4" w:space="0" w:color="auto"/>
            </w:tcBorders>
            <w:shd w:val="clear" w:color="auto" w:fill="D9D9D9" w:themeFill="background1" w:themeFillShade="D9"/>
            <w:vAlign w:val="center"/>
          </w:tcPr>
          <w:p w:rsidR="00AD38DE" w:rsidRPr="00D27CA4" w:rsidP="00D27CA4" w14:paraId="799E9974" w14:textId="2A5AA15C">
            <w:pPr>
              <w:tabs>
                <w:tab w:val="left" w:pos="-1080"/>
                <w:tab w:val="left" w:pos="-720"/>
                <w:tab w:val="left" w:pos="360"/>
                <w:tab w:val="left" w:pos="720"/>
              </w:tabs>
              <w:rPr>
                <w:b/>
              </w:rPr>
            </w:pPr>
            <w:r w:rsidRPr="00D27CA4">
              <w:rPr>
                <w:b/>
                <w:sz w:val="18"/>
                <w:szCs w:val="18"/>
              </w:rPr>
              <w:t>Information</w:t>
            </w:r>
            <w:r w:rsidRPr="00D27CA4">
              <w:rPr>
                <w:b/>
              </w:rPr>
              <w:t xml:space="preserve"> Collection Clearance</w:t>
            </w:r>
          </w:p>
        </w:tc>
      </w:tr>
      <w:tr w14:paraId="6E6CFF56" w14:textId="77777777" w:rsidTr="00D27CA4">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D38DE" w:rsidRPr="002C074C" w:rsidP="00AD38DE" w14:paraId="0441B9D5" w14:textId="3633AE1C">
            <w:pPr>
              <w:tabs>
                <w:tab w:val="left" w:pos="-1080"/>
                <w:tab w:val="left" w:pos="-720"/>
                <w:tab w:val="left" w:pos="360"/>
                <w:tab w:val="left" w:pos="720"/>
              </w:tabs>
              <w:ind w:left="192"/>
              <w:rPr>
                <w:sz w:val="18"/>
                <w:szCs w:val="18"/>
              </w:rPr>
            </w:pPr>
            <w:r w:rsidRPr="00175C44">
              <w:t>DOI staff</w:t>
            </w:r>
          </w:p>
        </w:tc>
        <w:tc>
          <w:tcPr>
            <w:tcW w:w="1597" w:type="dxa"/>
            <w:tcBorders>
              <w:top w:val="single" w:sz="4" w:space="0" w:color="auto"/>
              <w:left w:val="single" w:sz="4" w:space="0" w:color="auto"/>
              <w:bottom w:val="single" w:sz="4" w:space="0" w:color="auto"/>
              <w:right w:val="single" w:sz="4" w:space="0" w:color="auto"/>
            </w:tcBorders>
          </w:tcPr>
          <w:p w:rsidR="00AD38DE" w:rsidRPr="002C074C" w:rsidP="00AD38DE" w14:paraId="6882DEDE" w14:textId="77AB3B1D">
            <w:pPr>
              <w:tabs>
                <w:tab w:val="left" w:pos="360"/>
                <w:tab w:val="left" w:pos="720"/>
              </w:tabs>
              <w:rPr>
                <w:sz w:val="18"/>
                <w:szCs w:val="18"/>
              </w:rPr>
            </w:pPr>
            <w:r w:rsidRPr="00175C44">
              <w:t>GS-14, Step 1</w:t>
            </w:r>
          </w:p>
        </w:tc>
        <w:tc>
          <w:tcPr>
            <w:tcW w:w="1170" w:type="dxa"/>
            <w:tcBorders>
              <w:top w:val="single" w:sz="4" w:space="0" w:color="auto"/>
              <w:left w:val="single" w:sz="4" w:space="0" w:color="auto"/>
              <w:bottom w:val="single" w:sz="4" w:space="0" w:color="auto"/>
              <w:right w:val="single" w:sz="4" w:space="0" w:color="auto"/>
            </w:tcBorders>
          </w:tcPr>
          <w:p w:rsidR="00AD38DE" w:rsidRPr="00613E22" w:rsidP="00AD38DE" w14:paraId="7FACD737" w14:textId="7F07CAA8">
            <w:pPr>
              <w:tabs>
                <w:tab w:val="left" w:pos="360"/>
                <w:tab w:val="left" w:pos="720"/>
              </w:tabs>
              <w:jc w:val="right"/>
            </w:pPr>
            <w:r w:rsidRPr="00175C44">
              <w:t>$89.23</w:t>
            </w:r>
          </w:p>
        </w:tc>
        <w:tc>
          <w:tcPr>
            <w:tcW w:w="1170" w:type="dxa"/>
            <w:tcBorders>
              <w:top w:val="single" w:sz="4" w:space="0" w:color="auto"/>
              <w:left w:val="single" w:sz="4" w:space="0" w:color="auto"/>
              <w:bottom w:val="single" w:sz="4" w:space="0" w:color="auto"/>
              <w:right w:val="single" w:sz="4" w:space="0" w:color="auto"/>
            </w:tcBorders>
          </w:tcPr>
          <w:p w:rsidR="00AD38DE" w:rsidRPr="002C074C" w:rsidP="00AD38DE" w14:paraId="24C960C1" w14:textId="5B38F384">
            <w:pPr>
              <w:tabs>
                <w:tab w:val="left" w:pos="360"/>
                <w:tab w:val="left" w:pos="720"/>
              </w:tabs>
              <w:jc w:val="right"/>
              <w:rPr>
                <w:sz w:val="18"/>
                <w:szCs w:val="18"/>
              </w:rPr>
            </w:pPr>
            <w:r>
              <w:rPr>
                <w:sz w:val="18"/>
                <w:szCs w:val="18"/>
              </w:rPr>
              <w:t>N/A</w:t>
            </w:r>
          </w:p>
        </w:tc>
        <w:tc>
          <w:tcPr>
            <w:tcW w:w="1170" w:type="dxa"/>
            <w:tcBorders>
              <w:top w:val="single" w:sz="4" w:space="0" w:color="auto"/>
              <w:left w:val="single" w:sz="4" w:space="0" w:color="auto"/>
              <w:right w:val="single" w:sz="4" w:space="0" w:color="auto"/>
            </w:tcBorders>
          </w:tcPr>
          <w:p w:rsidR="00AD38DE" w:rsidRPr="002C074C" w:rsidP="00AD38DE" w14:paraId="5C9184AF" w14:textId="62FBF615">
            <w:pPr>
              <w:tabs>
                <w:tab w:val="left" w:pos="360"/>
                <w:tab w:val="left" w:pos="720"/>
              </w:tabs>
              <w:jc w:val="right"/>
            </w:pPr>
            <w:r>
              <w:t>N/A</w:t>
            </w:r>
          </w:p>
        </w:tc>
        <w:tc>
          <w:tcPr>
            <w:tcW w:w="990" w:type="dxa"/>
            <w:tcBorders>
              <w:top w:val="single" w:sz="4" w:space="0" w:color="auto"/>
              <w:left w:val="single" w:sz="4" w:space="0" w:color="auto"/>
              <w:right w:val="single" w:sz="4" w:space="0" w:color="auto"/>
            </w:tcBorders>
          </w:tcPr>
          <w:p w:rsidR="00AD38DE" w:rsidRPr="002C074C" w:rsidP="00AD38DE" w14:paraId="559C0CBB" w14:textId="68F68A70">
            <w:pPr>
              <w:tabs>
                <w:tab w:val="left" w:pos="360"/>
                <w:tab w:val="left" w:pos="720"/>
              </w:tabs>
              <w:jc w:val="right"/>
            </w:pPr>
            <w:r w:rsidRPr="00175C44">
              <w:t>20</w:t>
            </w:r>
          </w:p>
        </w:tc>
        <w:tc>
          <w:tcPr>
            <w:tcW w:w="1463" w:type="dxa"/>
            <w:tcBorders>
              <w:top w:val="single" w:sz="4" w:space="0" w:color="auto"/>
              <w:left w:val="single" w:sz="4" w:space="0" w:color="auto"/>
              <w:right w:val="single" w:sz="4" w:space="0" w:color="auto"/>
            </w:tcBorders>
          </w:tcPr>
          <w:p w:rsidR="00AD38DE" w:rsidRPr="006176B4" w:rsidP="00AD38DE" w14:paraId="5EA155FF" w14:textId="5529CAD2">
            <w:pPr>
              <w:tabs>
                <w:tab w:val="left" w:pos="360"/>
                <w:tab w:val="left" w:pos="720"/>
              </w:tabs>
              <w:jc w:val="right"/>
            </w:pPr>
            <w:r w:rsidRPr="00175C44">
              <w:t>$1,785</w:t>
            </w:r>
          </w:p>
        </w:tc>
      </w:tr>
      <w:tr w14:paraId="6743E9A9" w14:textId="77777777" w:rsidTr="00853C17">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AD38DE" w:rsidRPr="002C074C" w:rsidP="00853C17" w14:paraId="50C66CAC" w14:textId="77777777">
            <w:pPr>
              <w:tabs>
                <w:tab w:val="left" w:pos="-1080"/>
                <w:tab w:val="left" w:pos="-720"/>
                <w:tab w:val="left" w:pos="360"/>
                <w:tab w:val="left" w:pos="720"/>
              </w:tabs>
              <w:rPr>
                <w:b/>
                <w:sz w:val="18"/>
                <w:szCs w:val="18"/>
              </w:rPr>
            </w:pPr>
            <w:r w:rsidRPr="002C074C">
              <w:rPr>
                <w:b/>
                <w:sz w:val="18"/>
                <w:szCs w:val="18"/>
              </w:rPr>
              <w:t>Student Enrollment Application</w:t>
            </w:r>
            <w:r>
              <w:rPr>
                <w:b/>
                <w:sz w:val="18"/>
                <w:szCs w:val="18"/>
              </w:rPr>
              <w:t xml:space="preserve"> Staff</w:t>
            </w:r>
          </w:p>
        </w:tc>
      </w:tr>
      <w:tr w14:paraId="47D3C187" w14:textId="77777777" w:rsidTr="00D27CA4">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D38DE" w:rsidRPr="002C074C" w:rsidP="00AD38DE" w14:paraId="50060552" w14:textId="46F1B9E0">
            <w:pPr>
              <w:tabs>
                <w:tab w:val="left" w:pos="-1080"/>
                <w:tab w:val="left" w:pos="-720"/>
                <w:tab w:val="left" w:pos="360"/>
                <w:tab w:val="left" w:pos="720"/>
              </w:tabs>
              <w:ind w:left="192"/>
              <w:rPr>
                <w:sz w:val="18"/>
                <w:szCs w:val="18"/>
              </w:rPr>
            </w:pPr>
            <w:r w:rsidRPr="00E856AF">
              <w:t>School Registrar</w:t>
            </w:r>
          </w:p>
        </w:tc>
        <w:tc>
          <w:tcPr>
            <w:tcW w:w="1597" w:type="dxa"/>
            <w:tcBorders>
              <w:top w:val="single" w:sz="4" w:space="0" w:color="auto"/>
              <w:left w:val="single" w:sz="4" w:space="0" w:color="auto"/>
              <w:bottom w:val="single" w:sz="4" w:space="0" w:color="auto"/>
              <w:right w:val="single" w:sz="4" w:space="0" w:color="auto"/>
            </w:tcBorders>
          </w:tcPr>
          <w:p w:rsidR="00AD38DE" w:rsidRPr="002C074C" w:rsidP="00AD38DE" w14:paraId="1206F754" w14:textId="42749A4B">
            <w:pPr>
              <w:tabs>
                <w:tab w:val="left" w:pos="360"/>
                <w:tab w:val="left" w:pos="720"/>
              </w:tabs>
              <w:rPr>
                <w:sz w:val="18"/>
                <w:szCs w:val="18"/>
              </w:rPr>
            </w:pPr>
            <w:r w:rsidRPr="00E856AF">
              <w:t>GS-4, Step 5</w:t>
            </w:r>
          </w:p>
        </w:tc>
        <w:tc>
          <w:tcPr>
            <w:tcW w:w="1170" w:type="dxa"/>
            <w:tcBorders>
              <w:top w:val="single" w:sz="4" w:space="0" w:color="auto"/>
              <w:left w:val="single" w:sz="4" w:space="0" w:color="auto"/>
              <w:bottom w:val="single" w:sz="4" w:space="0" w:color="auto"/>
              <w:right w:val="single" w:sz="4" w:space="0" w:color="auto"/>
            </w:tcBorders>
          </w:tcPr>
          <w:p w:rsidR="00AD38DE" w:rsidRPr="00613E22" w:rsidP="00AD38DE" w14:paraId="304B1181" w14:textId="0E5019DF">
            <w:pPr>
              <w:tabs>
                <w:tab w:val="left" w:pos="360"/>
                <w:tab w:val="left" w:pos="720"/>
              </w:tabs>
              <w:jc w:val="right"/>
            </w:pPr>
            <w:r w:rsidRPr="00E856AF">
              <w:t xml:space="preserve"> $29.28 </w:t>
            </w:r>
          </w:p>
        </w:tc>
        <w:tc>
          <w:tcPr>
            <w:tcW w:w="1170" w:type="dxa"/>
            <w:tcBorders>
              <w:top w:val="single" w:sz="4" w:space="0" w:color="auto"/>
              <w:left w:val="single" w:sz="4" w:space="0" w:color="auto"/>
              <w:bottom w:val="single" w:sz="4" w:space="0" w:color="auto"/>
              <w:right w:val="single" w:sz="4" w:space="0" w:color="auto"/>
            </w:tcBorders>
          </w:tcPr>
          <w:p w:rsidR="00AD38DE" w:rsidRPr="002C074C" w:rsidP="00AD38DE" w14:paraId="4AEB6059" w14:textId="31FD45B2">
            <w:pPr>
              <w:tabs>
                <w:tab w:val="left" w:pos="360"/>
                <w:tab w:val="left" w:pos="720"/>
              </w:tabs>
              <w:jc w:val="right"/>
              <w:rPr>
                <w:sz w:val="18"/>
                <w:szCs w:val="18"/>
              </w:rPr>
            </w:pPr>
            <w:r w:rsidRPr="00E856AF">
              <w:t>48,000</w:t>
            </w:r>
          </w:p>
        </w:tc>
        <w:tc>
          <w:tcPr>
            <w:tcW w:w="1170" w:type="dxa"/>
            <w:tcBorders>
              <w:top w:val="single" w:sz="4" w:space="0" w:color="auto"/>
              <w:left w:val="single" w:sz="4" w:space="0" w:color="auto"/>
              <w:right w:val="single" w:sz="4" w:space="0" w:color="auto"/>
            </w:tcBorders>
          </w:tcPr>
          <w:p w:rsidR="00AD38DE" w:rsidRPr="002C074C" w:rsidP="00AD38DE" w14:paraId="42DC120B" w14:textId="5C6794A8">
            <w:pPr>
              <w:tabs>
                <w:tab w:val="left" w:pos="360"/>
                <w:tab w:val="left" w:pos="720"/>
              </w:tabs>
              <w:jc w:val="right"/>
            </w:pPr>
            <w:r w:rsidRPr="00E856AF">
              <w:t>0.1</w:t>
            </w:r>
          </w:p>
        </w:tc>
        <w:tc>
          <w:tcPr>
            <w:tcW w:w="990" w:type="dxa"/>
            <w:tcBorders>
              <w:top w:val="single" w:sz="4" w:space="0" w:color="auto"/>
              <w:left w:val="single" w:sz="4" w:space="0" w:color="auto"/>
              <w:right w:val="single" w:sz="4" w:space="0" w:color="auto"/>
            </w:tcBorders>
          </w:tcPr>
          <w:p w:rsidR="00AD38DE" w:rsidRPr="002C074C" w:rsidP="00AD38DE" w14:paraId="0FAD166D" w14:textId="0CBEC674">
            <w:pPr>
              <w:tabs>
                <w:tab w:val="left" w:pos="360"/>
                <w:tab w:val="left" w:pos="720"/>
              </w:tabs>
              <w:jc w:val="right"/>
            </w:pPr>
            <w:r w:rsidRPr="00E856AF">
              <w:t xml:space="preserve">4,800 </w:t>
            </w:r>
          </w:p>
        </w:tc>
        <w:tc>
          <w:tcPr>
            <w:tcW w:w="1463" w:type="dxa"/>
            <w:tcBorders>
              <w:top w:val="single" w:sz="4" w:space="0" w:color="auto"/>
              <w:left w:val="single" w:sz="4" w:space="0" w:color="auto"/>
              <w:right w:val="single" w:sz="4" w:space="0" w:color="auto"/>
            </w:tcBorders>
          </w:tcPr>
          <w:p w:rsidR="00AD38DE" w:rsidRPr="006176B4" w:rsidP="00AD38DE" w14:paraId="7E4212AF" w14:textId="0DD00651">
            <w:pPr>
              <w:tabs>
                <w:tab w:val="left" w:pos="360"/>
                <w:tab w:val="left" w:pos="720"/>
              </w:tabs>
              <w:jc w:val="right"/>
            </w:pPr>
            <w:r w:rsidRPr="00E856AF">
              <w:t xml:space="preserve">$140,544 </w:t>
            </w:r>
          </w:p>
        </w:tc>
      </w:tr>
      <w:tr w14:paraId="526E83EA" w14:textId="77777777" w:rsidTr="00D27CA4">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D38DE" w:rsidRPr="002C074C" w:rsidP="00AD38DE" w14:paraId="31CFD9DC" w14:textId="008F116B">
            <w:pPr>
              <w:tabs>
                <w:tab w:val="left" w:pos="-1080"/>
                <w:tab w:val="left" w:pos="-720"/>
                <w:tab w:val="left" w:pos="360"/>
                <w:tab w:val="left" w:pos="720"/>
              </w:tabs>
              <w:ind w:left="192"/>
              <w:rPr>
                <w:sz w:val="18"/>
                <w:szCs w:val="18"/>
              </w:rPr>
            </w:pPr>
            <w:r w:rsidRPr="00E856AF">
              <w:t>ERC Lead</w:t>
            </w:r>
          </w:p>
        </w:tc>
        <w:tc>
          <w:tcPr>
            <w:tcW w:w="1597" w:type="dxa"/>
            <w:tcBorders>
              <w:top w:val="single" w:sz="4" w:space="0" w:color="auto"/>
              <w:left w:val="single" w:sz="4" w:space="0" w:color="auto"/>
              <w:bottom w:val="single" w:sz="4" w:space="0" w:color="auto"/>
              <w:right w:val="single" w:sz="4" w:space="0" w:color="auto"/>
            </w:tcBorders>
          </w:tcPr>
          <w:p w:rsidR="00AD38DE" w:rsidRPr="002C074C" w:rsidP="00AD38DE" w14:paraId="0DE5A80A" w14:textId="0B9BEDFF">
            <w:pPr>
              <w:tabs>
                <w:tab w:val="left" w:pos="360"/>
                <w:tab w:val="left" w:pos="720"/>
              </w:tabs>
              <w:rPr>
                <w:sz w:val="18"/>
                <w:szCs w:val="18"/>
              </w:rPr>
            </w:pPr>
            <w:r w:rsidRPr="00E856AF">
              <w:t>GS-13, Step5</w:t>
            </w:r>
          </w:p>
        </w:tc>
        <w:tc>
          <w:tcPr>
            <w:tcW w:w="1170" w:type="dxa"/>
            <w:tcBorders>
              <w:top w:val="single" w:sz="4" w:space="0" w:color="auto"/>
              <w:left w:val="single" w:sz="4" w:space="0" w:color="auto"/>
              <w:bottom w:val="single" w:sz="4" w:space="0" w:color="auto"/>
              <w:right w:val="single" w:sz="4" w:space="0" w:color="auto"/>
            </w:tcBorders>
          </w:tcPr>
          <w:p w:rsidR="00AD38DE" w:rsidRPr="00613E22" w:rsidP="00AD38DE" w14:paraId="3E6C3650" w14:textId="780604FC">
            <w:pPr>
              <w:tabs>
                <w:tab w:val="left" w:pos="360"/>
                <w:tab w:val="left" w:pos="720"/>
              </w:tabs>
              <w:jc w:val="right"/>
            </w:pPr>
            <w:r w:rsidRPr="00E856AF">
              <w:t xml:space="preserve"> $85.58 </w:t>
            </w:r>
          </w:p>
        </w:tc>
        <w:tc>
          <w:tcPr>
            <w:tcW w:w="1170" w:type="dxa"/>
            <w:tcBorders>
              <w:top w:val="single" w:sz="4" w:space="0" w:color="auto"/>
              <w:left w:val="single" w:sz="4" w:space="0" w:color="auto"/>
              <w:bottom w:val="single" w:sz="4" w:space="0" w:color="auto"/>
              <w:right w:val="single" w:sz="4" w:space="0" w:color="auto"/>
            </w:tcBorders>
          </w:tcPr>
          <w:p w:rsidR="00AD38DE" w:rsidRPr="002C074C" w:rsidP="00AD38DE" w14:paraId="586C7B1F" w14:textId="19FA297A">
            <w:pPr>
              <w:tabs>
                <w:tab w:val="left" w:pos="360"/>
                <w:tab w:val="left" w:pos="720"/>
              </w:tabs>
              <w:jc w:val="right"/>
              <w:rPr>
                <w:sz w:val="18"/>
                <w:szCs w:val="18"/>
              </w:rPr>
            </w:pPr>
            <w:r w:rsidRPr="00E856AF">
              <w:t>11,000</w:t>
            </w:r>
          </w:p>
        </w:tc>
        <w:tc>
          <w:tcPr>
            <w:tcW w:w="1170" w:type="dxa"/>
            <w:tcBorders>
              <w:top w:val="single" w:sz="4" w:space="0" w:color="auto"/>
              <w:left w:val="single" w:sz="4" w:space="0" w:color="auto"/>
              <w:right w:val="single" w:sz="4" w:space="0" w:color="auto"/>
            </w:tcBorders>
          </w:tcPr>
          <w:p w:rsidR="00AD38DE" w:rsidRPr="002C074C" w:rsidP="00AD38DE" w14:paraId="54BC28DB" w14:textId="2D15FB2C">
            <w:pPr>
              <w:tabs>
                <w:tab w:val="left" w:pos="360"/>
                <w:tab w:val="left" w:pos="720"/>
              </w:tabs>
              <w:jc w:val="right"/>
            </w:pPr>
            <w:r w:rsidRPr="00E856AF">
              <w:t>0.1</w:t>
            </w:r>
          </w:p>
        </w:tc>
        <w:tc>
          <w:tcPr>
            <w:tcW w:w="990" w:type="dxa"/>
            <w:tcBorders>
              <w:top w:val="single" w:sz="4" w:space="0" w:color="auto"/>
              <w:left w:val="single" w:sz="4" w:space="0" w:color="auto"/>
              <w:right w:val="single" w:sz="4" w:space="0" w:color="auto"/>
            </w:tcBorders>
          </w:tcPr>
          <w:p w:rsidR="00AD38DE" w:rsidRPr="002C074C" w:rsidP="00AD38DE" w14:paraId="5178362B" w14:textId="3F519642">
            <w:pPr>
              <w:tabs>
                <w:tab w:val="left" w:pos="360"/>
                <w:tab w:val="left" w:pos="720"/>
              </w:tabs>
              <w:jc w:val="right"/>
            </w:pPr>
            <w:r w:rsidRPr="00E856AF">
              <w:t xml:space="preserve">1,100 </w:t>
            </w:r>
          </w:p>
        </w:tc>
        <w:tc>
          <w:tcPr>
            <w:tcW w:w="1463" w:type="dxa"/>
            <w:tcBorders>
              <w:top w:val="single" w:sz="4" w:space="0" w:color="auto"/>
              <w:left w:val="single" w:sz="4" w:space="0" w:color="auto"/>
              <w:right w:val="single" w:sz="4" w:space="0" w:color="auto"/>
            </w:tcBorders>
          </w:tcPr>
          <w:p w:rsidR="00AD38DE" w:rsidRPr="006176B4" w:rsidP="00AD38DE" w14:paraId="0BC2FCF2" w14:textId="37FE428F">
            <w:pPr>
              <w:tabs>
                <w:tab w:val="left" w:pos="360"/>
                <w:tab w:val="left" w:pos="720"/>
              </w:tabs>
              <w:jc w:val="right"/>
            </w:pPr>
            <w:r w:rsidRPr="00E856AF">
              <w:t xml:space="preserve">$94,138 </w:t>
            </w:r>
          </w:p>
        </w:tc>
      </w:tr>
      <w:tr w14:paraId="4538C91A" w14:textId="77777777" w:rsidTr="00D27CA4">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D38DE" w:rsidRPr="002C074C" w:rsidP="00AD38DE" w14:paraId="384256FE" w14:textId="304C46F6">
            <w:pPr>
              <w:tabs>
                <w:tab w:val="left" w:pos="-1080"/>
                <w:tab w:val="left" w:pos="-720"/>
                <w:tab w:val="left" w:pos="360"/>
                <w:tab w:val="left" w:pos="720"/>
              </w:tabs>
              <w:ind w:left="192"/>
              <w:rPr>
                <w:sz w:val="18"/>
                <w:szCs w:val="18"/>
              </w:rPr>
            </w:pPr>
            <w:r w:rsidRPr="00E856AF">
              <w:t>ERC Staff</w:t>
            </w:r>
          </w:p>
        </w:tc>
        <w:tc>
          <w:tcPr>
            <w:tcW w:w="1597" w:type="dxa"/>
            <w:tcBorders>
              <w:top w:val="single" w:sz="4" w:space="0" w:color="auto"/>
              <w:left w:val="single" w:sz="4" w:space="0" w:color="auto"/>
              <w:bottom w:val="single" w:sz="4" w:space="0" w:color="auto"/>
              <w:right w:val="single" w:sz="4" w:space="0" w:color="auto"/>
            </w:tcBorders>
          </w:tcPr>
          <w:p w:rsidR="00AD38DE" w:rsidRPr="002C074C" w:rsidP="00AD38DE" w14:paraId="64102B08" w14:textId="794B0B21">
            <w:pPr>
              <w:tabs>
                <w:tab w:val="left" w:pos="360"/>
                <w:tab w:val="left" w:pos="720"/>
              </w:tabs>
              <w:rPr>
                <w:sz w:val="18"/>
                <w:szCs w:val="18"/>
              </w:rPr>
            </w:pPr>
            <w:r w:rsidRPr="00E856AF">
              <w:t>GS-7, Step 5</w:t>
            </w:r>
          </w:p>
        </w:tc>
        <w:tc>
          <w:tcPr>
            <w:tcW w:w="1170" w:type="dxa"/>
            <w:tcBorders>
              <w:top w:val="single" w:sz="4" w:space="0" w:color="auto"/>
              <w:left w:val="single" w:sz="4" w:space="0" w:color="auto"/>
              <w:bottom w:val="single" w:sz="4" w:space="0" w:color="auto"/>
              <w:right w:val="single" w:sz="4" w:space="0" w:color="auto"/>
            </w:tcBorders>
          </w:tcPr>
          <w:p w:rsidR="00AD38DE" w:rsidRPr="00613E22" w:rsidP="00AD38DE" w14:paraId="5B4FCD29" w14:textId="4EF6E0EE">
            <w:pPr>
              <w:tabs>
                <w:tab w:val="left" w:pos="360"/>
                <w:tab w:val="left" w:pos="720"/>
              </w:tabs>
              <w:jc w:val="right"/>
            </w:pPr>
            <w:r w:rsidRPr="00E856AF">
              <w:t xml:space="preserve"> $40.58 </w:t>
            </w:r>
          </w:p>
        </w:tc>
        <w:tc>
          <w:tcPr>
            <w:tcW w:w="1170" w:type="dxa"/>
            <w:tcBorders>
              <w:top w:val="single" w:sz="4" w:space="0" w:color="auto"/>
              <w:left w:val="single" w:sz="4" w:space="0" w:color="auto"/>
              <w:bottom w:val="single" w:sz="4" w:space="0" w:color="auto"/>
              <w:right w:val="single" w:sz="4" w:space="0" w:color="auto"/>
            </w:tcBorders>
          </w:tcPr>
          <w:p w:rsidR="00AD38DE" w:rsidRPr="002C074C" w:rsidP="00AD38DE" w14:paraId="1F7E9662" w14:textId="701FF2AF">
            <w:pPr>
              <w:tabs>
                <w:tab w:val="left" w:pos="360"/>
                <w:tab w:val="left" w:pos="720"/>
              </w:tabs>
              <w:jc w:val="right"/>
              <w:rPr>
                <w:sz w:val="18"/>
                <w:szCs w:val="18"/>
              </w:rPr>
            </w:pPr>
            <w:r w:rsidRPr="00E856AF">
              <w:t>37,000</w:t>
            </w:r>
          </w:p>
        </w:tc>
        <w:tc>
          <w:tcPr>
            <w:tcW w:w="1170" w:type="dxa"/>
            <w:tcBorders>
              <w:top w:val="single" w:sz="4" w:space="0" w:color="auto"/>
              <w:left w:val="single" w:sz="4" w:space="0" w:color="auto"/>
              <w:right w:val="single" w:sz="4" w:space="0" w:color="auto"/>
            </w:tcBorders>
          </w:tcPr>
          <w:p w:rsidR="00AD38DE" w:rsidRPr="002C074C" w:rsidP="00AD38DE" w14:paraId="565BE413" w14:textId="14AE16D1">
            <w:pPr>
              <w:tabs>
                <w:tab w:val="left" w:pos="360"/>
                <w:tab w:val="left" w:pos="720"/>
              </w:tabs>
              <w:jc w:val="right"/>
            </w:pPr>
            <w:r w:rsidRPr="00E856AF">
              <w:t>0.1</w:t>
            </w:r>
          </w:p>
        </w:tc>
        <w:tc>
          <w:tcPr>
            <w:tcW w:w="990" w:type="dxa"/>
            <w:tcBorders>
              <w:top w:val="single" w:sz="4" w:space="0" w:color="auto"/>
              <w:left w:val="single" w:sz="4" w:space="0" w:color="auto"/>
              <w:right w:val="single" w:sz="4" w:space="0" w:color="auto"/>
            </w:tcBorders>
          </w:tcPr>
          <w:p w:rsidR="00AD38DE" w:rsidRPr="002C074C" w:rsidP="00AD38DE" w14:paraId="1E4988C4" w14:textId="75AE117C">
            <w:pPr>
              <w:tabs>
                <w:tab w:val="left" w:pos="360"/>
                <w:tab w:val="left" w:pos="720"/>
              </w:tabs>
              <w:jc w:val="right"/>
            </w:pPr>
            <w:r w:rsidRPr="00E856AF">
              <w:t xml:space="preserve">3,700 </w:t>
            </w:r>
          </w:p>
        </w:tc>
        <w:tc>
          <w:tcPr>
            <w:tcW w:w="1463" w:type="dxa"/>
            <w:tcBorders>
              <w:top w:val="single" w:sz="4" w:space="0" w:color="auto"/>
              <w:left w:val="single" w:sz="4" w:space="0" w:color="auto"/>
              <w:right w:val="single" w:sz="4" w:space="0" w:color="auto"/>
            </w:tcBorders>
          </w:tcPr>
          <w:p w:rsidR="00AD38DE" w:rsidRPr="006176B4" w:rsidP="00AD38DE" w14:paraId="06109535" w14:textId="31E1BFC7">
            <w:pPr>
              <w:tabs>
                <w:tab w:val="left" w:pos="360"/>
                <w:tab w:val="left" w:pos="720"/>
              </w:tabs>
              <w:jc w:val="right"/>
            </w:pPr>
            <w:r w:rsidRPr="00E856AF">
              <w:t xml:space="preserve">$150,146 </w:t>
            </w:r>
          </w:p>
        </w:tc>
      </w:tr>
      <w:tr w14:paraId="023B3F3E" w14:textId="77777777" w:rsidTr="00D27CA4">
        <w:tblPrEx>
          <w:tblW w:w="9360" w:type="dxa"/>
          <w:tblInd w:w="108" w:type="dxa"/>
          <w:tblLayout w:type="fixed"/>
          <w:tblLook w:val="01E0"/>
        </w:tblPrEx>
        <w:trPr>
          <w:trHeight w:val="125"/>
        </w:trPr>
        <w:tc>
          <w:tcPr>
            <w:tcW w:w="1800" w:type="dxa"/>
            <w:tcBorders>
              <w:top w:val="single" w:sz="4" w:space="0" w:color="auto"/>
              <w:left w:val="single" w:sz="4" w:space="0" w:color="auto"/>
              <w:right w:val="single" w:sz="4" w:space="0" w:color="auto"/>
            </w:tcBorders>
          </w:tcPr>
          <w:p w:rsidR="00AD38DE" w:rsidRPr="002C074C" w:rsidP="00AD38DE" w14:paraId="468E1988" w14:textId="3C870757">
            <w:pPr>
              <w:tabs>
                <w:tab w:val="left" w:pos="-1080"/>
                <w:tab w:val="left" w:pos="-720"/>
                <w:tab w:val="left" w:pos="360"/>
                <w:tab w:val="left" w:pos="720"/>
              </w:tabs>
              <w:ind w:left="192"/>
              <w:rPr>
                <w:sz w:val="18"/>
                <w:szCs w:val="18"/>
              </w:rPr>
            </w:pPr>
            <w:r w:rsidRPr="00E856AF">
              <w:t xml:space="preserve">ISEP Specialist </w:t>
            </w:r>
          </w:p>
        </w:tc>
        <w:tc>
          <w:tcPr>
            <w:tcW w:w="1597" w:type="dxa"/>
            <w:tcBorders>
              <w:top w:val="single" w:sz="4" w:space="0" w:color="auto"/>
              <w:left w:val="single" w:sz="4" w:space="0" w:color="auto"/>
              <w:bottom w:val="single" w:sz="4" w:space="0" w:color="auto"/>
              <w:right w:val="single" w:sz="4" w:space="0" w:color="auto"/>
            </w:tcBorders>
          </w:tcPr>
          <w:p w:rsidR="00AD38DE" w:rsidRPr="002C074C" w:rsidP="00AD38DE" w14:paraId="5476539E" w14:textId="23316A7A">
            <w:pPr>
              <w:tabs>
                <w:tab w:val="left" w:pos="360"/>
                <w:tab w:val="left" w:pos="720"/>
              </w:tabs>
              <w:rPr>
                <w:sz w:val="18"/>
                <w:szCs w:val="18"/>
              </w:rPr>
            </w:pPr>
            <w:r w:rsidRPr="00E856AF">
              <w:t>GS-14, Step 5</w:t>
            </w:r>
          </w:p>
        </w:tc>
        <w:tc>
          <w:tcPr>
            <w:tcW w:w="1170" w:type="dxa"/>
            <w:tcBorders>
              <w:top w:val="single" w:sz="4" w:space="0" w:color="auto"/>
              <w:left w:val="single" w:sz="4" w:space="0" w:color="auto"/>
              <w:bottom w:val="single" w:sz="4" w:space="0" w:color="auto"/>
              <w:right w:val="single" w:sz="4" w:space="0" w:color="auto"/>
            </w:tcBorders>
          </w:tcPr>
          <w:p w:rsidR="00AD38DE" w:rsidRPr="00613E22" w:rsidP="00AD38DE" w14:paraId="5A72ACBD" w14:textId="39CE83F1">
            <w:pPr>
              <w:tabs>
                <w:tab w:val="left" w:pos="360"/>
                <w:tab w:val="left" w:pos="720"/>
              </w:tabs>
              <w:jc w:val="right"/>
            </w:pPr>
            <w:r w:rsidRPr="00E856AF">
              <w:t xml:space="preserve"> $101.14 </w:t>
            </w:r>
          </w:p>
        </w:tc>
        <w:tc>
          <w:tcPr>
            <w:tcW w:w="1170" w:type="dxa"/>
            <w:tcBorders>
              <w:top w:val="single" w:sz="4" w:space="0" w:color="auto"/>
              <w:left w:val="single" w:sz="4" w:space="0" w:color="auto"/>
              <w:bottom w:val="single" w:sz="4" w:space="0" w:color="auto"/>
              <w:right w:val="single" w:sz="4" w:space="0" w:color="auto"/>
            </w:tcBorders>
          </w:tcPr>
          <w:p w:rsidR="00AD38DE" w:rsidRPr="002C074C" w:rsidP="00AD38DE" w14:paraId="7C59AE6A" w14:textId="42A8822D">
            <w:pPr>
              <w:tabs>
                <w:tab w:val="left" w:pos="360"/>
                <w:tab w:val="left" w:pos="720"/>
              </w:tabs>
              <w:jc w:val="right"/>
              <w:rPr>
                <w:sz w:val="18"/>
                <w:szCs w:val="18"/>
              </w:rPr>
            </w:pPr>
            <w:r w:rsidRPr="00E856AF">
              <w:t>183</w:t>
            </w:r>
          </w:p>
        </w:tc>
        <w:tc>
          <w:tcPr>
            <w:tcW w:w="1170" w:type="dxa"/>
            <w:tcBorders>
              <w:top w:val="single" w:sz="4" w:space="0" w:color="auto"/>
              <w:left w:val="single" w:sz="4" w:space="0" w:color="auto"/>
              <w:right w:val="single" w:sz="4" w:space="0" w:color="auto"/>
            </w:tcBorders>
          </w:tcPr>
          <w:p w:rsidR="00AD38DE" w:rsidRPr="002C074C" w:rsidP="00AD38DE" w14:paraId="17851DF5" w14:textId="5596D914">
            <w:pPr>
              <w:tabs>
                <w:tab w:val="left" w:pos="360"/>
                <w:tab w:val="left" w:pos="720"/>
              </w:tabs>
              <w:jc w:val="right"/>
            </w:pPr>
            <w:r w:rsidRPr="00E856AF">
              <w:t>15</w:t>
            </w:r>
          </w:p>
        </w:tc>
        <w:tc>
          <w:tcPr>
            <w:tcW w:w="990" w:type="dxa"/>
            <w:tcBorders>
              <w:top w:val="single" w:sz="4" w:space="0" w:color="auto"/>
              <w:left w:val="single" w:sz="4" w:space="0" w:color="auto"/>
              <w:right w:val="single" w:sz="4" w:space="0" w:color="auto"/>
            </w:tcBorders>
          </w:tcPr>
          <w:p w:rsidR="00AD38DE" w:rsidRPr="002C074C" w:rsidP="00AD38DE" w14:paraId="68DB06CF" w14:textId="1712C137">
            <w:pPr>
              <w:tabs>
                <w:tab w:val="left" w:pos="360"/>
                <w:tab w:val="left" w:pos="720"/>
              </w:tabs>
              <w:jc w:val="right"/>
            </w:pPr>
            <w:r w:rsidRPr="00E856AF">
              <w:t>2,745</w:t>
            </w:r>
          </w:p>
        </w:tc>
        <w:tc>
          <w:tcPr>
            <w:tcW w:w="1463" w:type="dxa"/>
            <w:tcBorders>
              <w:top w:val="single" w:sz="4" w:space="0" w:color="auto"/>
              <w:left w:val="single" w:sz="4" w:space="0" w:color="auto"/>
              <w:right w:val="single" w:sz="4" w:space="0" w:color="auto"/>
            </w:tcBorders>
          </w:tcPr>
          <w:p w:rsidR="00AD38DE" w:rsidRPr="006176B4" w:rsidP="00AD38DE" w14:paraId="35A125FE" w14:textId="458B1281">
            <w:pPr>
              <w:tabs>
                <w:tab w:val="left" w:pos="360"/>
                <w:tab w:val="left" w:pos="720"/>
              </w:tabs>
              <w:jc w:val="right"/>
            </w:pPr>
            <w:r w:rsidRPr="00E856AF">
              <w:t xml:space="preserve">$277,629 </w:t>
            </w:r>
          </w:p>
        </w:tc>
      </w:tr>
      <w:tr w14:paraId="272D82B4" w14:textId="77777777" w:rsidTr="00D27CA4">
        <w:tblPrEx>
          <w:tblW w:w="9360" w:type="dxa"/>
          <w:tblInd w:w="108" w:type="dxa"/>
          <w:tblLayout w:type="fixed"/>
          <w:tblLook w:val="01E0"/>
        </w:tblPrEx>
        <w:tc>
          <w:tcPr>
            <w:tcW w:w="9360" w:type="dxa"/>
            <w:gridSpan w:val="7"/>
            <w:tcBorders>
              <w:top w:val="single" w:sz="4" w:space="0" w:color="auto"/>
              <w:left w:val="single" w:sz="4" w:space="0" w:color="auto"/>
              <w:bottom w:val="single" w:sz="4" w:space="0" w:color="FF0000"/>
              <w:right w:val="single" w:sz="4" w:space="0" w:color="auto"/>
            </w:tcBorders>
            <w:shd w:val="clear" w:color="auto" w:fill="D9D9D9" w:themeFill="background1" w:themeFillShade="D9"/>
            <w:vAlign w:val="center"/>
          </w:tcPr>
          <w:p w:rsidR="0028378B" w:rsidRPr="002C074C" w:rsidP="0028378B" w14:paraId="44DE81FC" w14:textId="481BD72A">
            <w:pPr>
              <w:tabs>
                <w:tab w:val="left" w:pos="-1080"/>
                <w:tab w:val="left" w:pos="-720"/>
                <w:tab w:val="left" w:pos="360"/>
                <w:tab w:val="left" w:pos="720"/>
              </w:tabs>
              <w:rPr>
                <w:b/>
                <w:color w:val="000000" w:themeColor="text1"/>
                <w:sz w:val="18"/>
                <w:szCs w:val="18"/>
              </w:rPr>
            </w:pPr>
            <w:r w:rsidRPr="002C074C">
              <w:rPr>
                <w:b/>
                <w:color w:val="000000" w:themeColor="text1"/>
                <w:sz w:val="18"/>
                <w:szCs w:val="18"/>
              </w:rPr>
              <w:t>Behavioral Health and Wellness Program</w:t>
            </w:r>
            <w:r>
              <w:rPr>
                <w:b/>
                <w:color w:val="000000" w:themeColor="text1"/>
                <w:sz w:val="18"/>
                <w:szCs w:val="18"/>
              </w:rPr>
              <w:t xml:space="preserve"> Staff</w:t>
            </w:r>
          </w:p>
        </w:tc>
      </w:tr>
      <w:tr w14:paraId="0A9AE840" w14:textId="77777777" w:rsidTr="00D27CA4">
        <w:tblPrEx>
          <w:tblW w:w="9360" w:type="dxa"/>
          <w:tblInd w:w="108" w:type="dxa"/>
          <w:tblLayout w:type="fixed"/>
          <w:tblLook w:val="01E0"/>
        </w:tblPrEx>
        <w:trPr>
          <w:trHeight w:val="107"/>
        </w:trPr>
        <w:tc>
          <w:tcPr>
            <w:tcW w:w="1800" w:type="dxa"/>
            <w:tcBorders>
              <w:top w:val="single" w:sz="4" w:space="0" w:color="FF0000"/>
              <w:left w:val="single" w:sz="4" w:space="0" w:color="FF0000"/>
              <w:bottom w:val="single" w:sz="4" w:space="0" w:color="FF0000"/>
              <w:right w:val="single" w:sz="4" w:space="0" w:color="FF0000"/>
            </w:tcBorders>
            <w:vAlign w:val="center"/>
          </w:tcPr>
          <w:p w:rsidR="0028378B" w:rsidRPr="002C074C" w:rsidP="0028378B" w14:paraId="17FC0B49" w14:textId="3D41511D">
            <w:pPr>
              <w:tabs>
                <w:tab w:val="left" w:pos="-1080"/>
                <w:tab w:val="left" w:pos="-720"/>
                <w:tab w:val="left" w:pos="360"/>
                <w:tab w:val="left" w:pos="720"/>
              </w:tabs>
              <w:ind w:left="192"/>
              <w:rPr>
                <w:color w:val="FF0000"/>
                <w:sz w:val="18"/>
                <w:szCs w:val="18"/>
              </w:rPr>
            </w:pPr>
            <w:r w:rsidRPr="002C074C">
              <w:rPr>
                <w:color w:val="FF0000"/>
                <w:sz w:val="18"/>
                <w:szCs w:val="18"/>
              </w:rPr>
              <w:t>BHWP Staff</w:t>
            </w:r>
          </w:p>
        </w:tc>
        <w:tc>
          <w:tcPr>
            <w:tcW w:w="1597" w:type="dxa"/>
            <w:tcBorders>
              <w:top w:val="single" w:sz="4" w:space="0" w:color="FF0000"/>
              <w:left w:val="single" w:sz="4" w:space="0" w:color="FF0000"/>
              <w:bottom w:val="single" w:sz="4" w:space="0" w:color="FF0000"/>
              <w:right w:val="single" w:sz="4" w:space="0" w:color="FF0000"/>
            </w:tcBorders>
            <w:vAlign w:val="center"/>
          </w:tcPr>
          <w:p w:rsidR="0028378B" w:rsidRPr="002C074C" w:rsidP="0028378B" w14:paraId="3B49A578" w14:textId="06C27654">
            <w:pPr>
              <w:tabs>
                <w:tab w:val="left" w:pos="360"/>
                <w:tab w:val="left" w:pos="720"/>
              </w:tabs>
              <w:rPr>
                <w:color w:val="FF0000"/>
                <w:sz w:val="18"/>
                <w:szCs w:val="18"/>
              </w:rPr>
            </w:pPr>
            <w:r w:rsidRPr="002C074C">
              <w:rPr>
                <w:color w:val="FF0000"/>
              </w:rPr>
              <w:t>GS-14, Step 5</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135DBE0B" w14:textId="13DA591C">
            <w:pPr>
              <w:tabs>
                <w:tab w:val="left" w:pos="360"/>
                <w:tab w:val="left" w:pos="720"/>
              </w:tabs>
              <w:jc w:val="right"/>
              <w:rPr>
                <w:color w:val="FF0000"/>
              </w:rPr>
            </w:pPr>
            <w:r w:rsidRPr="00BD3859">
              <w:rPr>
                <w:color w:val="FF0000"/>
              </w:rPr>
              <w:t>$101.14</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0E50707C" w14:textId="77777777">
            <w:pPr>
              <w:tabs>
                <w:tab w:val="left" w:pos="360"/>
                <w:tab w:val="left" w:pos="720"/>
              </w:tabs>
              <w:jc w:val="right"/>
              <w:rPr>
                <w:color w:val="FF0000"/>
              </w:rPr>
            </w:pPr>
            <w:r w:rsidRPr="00D27CA4">
              <w:rPr>
                <w:color w:val="FF0000"/>
              </w:rPr>
              <w:t>1,000</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3EF7F946" w14:textId="4F2796FB">
            <w:pPr>
              <w:tabs>
                <w:tab w:val="left" w:pos="360"/>
                <w:tab w:val="left" w:pos="720"/>
              </w:tabs>
              <w:jc w:val="right"/>
              <w:rPr>
                <w:color w:val="FF0000"/>
              </w:rPr>
            </w:pPr>
            <w:r w:rsidRPr="00D27CA4">
              <w:rPr>
                <w:color w:val="FF0000"/>
              </w:rPr>
              <w:t>1</w:t>
            </w:r>
          </w:p>
        </w:tc>
        <w:tc>
          <w:tcPr>
            <w:tcW w:w="990"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4A22BD0F" w14:textId="53E96E3C">
            <w:pPr>
              <w:tabs>
                <w:tab w:val="left" w:pos="360"/>
                <w:tab w:val="left" w:pos="720"/>
              </w:tabs>
              <w:jc w:val="right"/>
              <w:rPr>
                <w:color w:val="FF0000"/>
              </w:rPr>
            </w:pPr>
            <w:r w:rsidRPr="00D27CA4">
              <w:rPr>
                <w:color w:val="FF0000"/>
              </w:rPr>
              <w:t>1,000</w:t>
            </w:r>
          </w:p>
        </w:tc>
        <w:tc>
          <w:tcPr>
            <w:tcW w:w="1463"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31BBBEFE" w14:textId="3A994C1B">
            <w:pPr>
              <w:tabs>
                <w:tab w:val="left" w:pos="360"/>
                <w:tab w:val="left" w:pos="720"/>
              </w:tabs>
              <w:jc w:val="right"/>
              <w:rPr>
                <w:color w:val="FF0000"/>
              </w:rPr>
            </w:pPr>
            <w:r w:rsidRPr="00AD38DE">
              <w:rPr>
                <w:color w:val="FF0000"/>
              </w:rPr>
              <w:t xml:space="preserve">$101,140 </w:t>
            </w:r>
          </w:p>
        </w:tc>
      </w:tr>
      <w:tr w14:paraId="0F449419" w14:textId="77777777" w:rsidTr="00D27CA4">
        <w:tblPrEx>
          <w:tblW w:w="9360" w:type="dxa"/>
          <w:tblInd w:w="108" w:type="dxa"/>
          <w:tblLayout w:type="fixed"/>
          <w:tblLook w:val="01E0"/>
        </w:tblPrEx>
        <w:trPr>
          <w:trHeight w:val="424"/>
        </w:trPr>
        <w:tc>
          <w:tcPr>
            <w:tcW w:w="9360" w:type="dxa"/>
            <w:gridSpan w:val="7"/>
            <w:tcBorders>
              <w:top w:val="single" w:sz="4" w:space="0" w:color="FF0000"/>
              <w:left w:val="single" w:sz="4" w:space="0" w:color="FF0000"/>
              <w:bottom w:val="single" w:sz="4" w:space="0" w:color="FF0000"/>
              <w:right w:val="single" w:sz="4" w:space="0" w:color="FF0000"/>
            </w:tcBorders>
            <w:shd w:val="clear" w:color="auto" w:fill="D9D9D9" w:themeFill="background1" w:themeFillShade="D9"/>
            <w:vAlign w:val="center"/>
          </w:tcPr>
          <w:p w:rsidR="0028378B" w:rsidRPr="0028378B" w:rsidP="00D27CA4" w14:paraId="18DA7198" w14:textId="1352767C">
            <w:pPr>
              <w:tabs>
                <w:tab w:val="left" w:pos="360"/>
                <w:tab w:val="left" w:pos="720"/>
              </w:tabs>
              <w:rPr>
                <w:color w:val="FF0000"/>
              </w:rPr>
            </w:pPr>
            <w:r w:rsidRPr="002C074C">
              <w:rPr>
                <w:b/>
                <w:color w:val="000000" w:themeColor="text1"/>
                <w:sz w:val="18"/>
                <w:szCs w:val="18"/>
              </w:rPr>
              <w:t>Behavioral Health and Wellness Program</w:t>
            </w:r>
            <w:r>
              <w:rPr>
                <w:b/>
                <w:color w:val="000000" w:themeColor="text1"/>
                <w:sz w:val="18"/>
                <w:szCs w:val="18"/>
              </w:rPr>
              <w:t xml:space="preserve"> Staff</w:t>
            </w:r>
          </w:p>
        </w:tc>
      </w:tr>
      <w:tr w14:paraId="4E18BFD9" w14:textId="77777777" w:rsidTr="00D27CA4">
        <w:tblPrEx>
          <w:tblW w:w="9360" w:type="dxa"/>
          <w:tblInd w:w="108" w:type="dxa"/>
          <w:tblLayout w:type="fixed"/>
          <w:tblLook w:val="01E0"/>
        </w:tblPrEx>
        <w:trPr>
          <w:trHeight w:val="424"/>
        </w:trPr>
        <w:tc>
          <w:tcPr>
            <w:tcW w:w="1800" w:type="dxa"/>
            <w:tcBorders>
              <w:top w:val="single" w:sz="4" w:space="0" w:color="FF0000"/>
              <w:left w:val="single" w:sz="4" w:space="0" w:color="FF0000"/>
              <w:bottom w:val="single" w:sz="4" w:space="0" w:color="FF0000"/>
              <w:right w:val="single" w:sz="4" w:space="0" w:color="FF0000"/>
            </w:tcBorders>
            <w:vAlign w:val="center"/>
          </w:tcPr>
          <w:p w:rsidR="0028378B" w:rsidRPr="0028378B" w:rsidP="0028378B" w14:paraId="1AD2D43F" w14:textId="72AAAA3A">
            <w:pPr>
              <w:tabs>
                <w:tab w:val="left" w:pos="-1080"/>
                <w:tab w:val="left" w:pos="-720"/>
                <w:tab w:val="left" w:pos="360"/>
                <w:tab w:val="left" w:pos="720"/>
              </w:tabs>
              <w:ind w:left="192"/>
              <w:rPr>
                <w:color w:val="FF0000"/>
                <w:sz w:val="18"/>
                <w:szCs w:val="18"/>
              </w:rPr>
            </w:pPr>
            <w:r w:rsidRPr="0028378B">
              <w:rPr>
                <w:color w:val="FF0000"/>
                <w:sz w:val="18"/>
                <w:szCs w:val="18"/>
              </w:rPr>
              <w:t>BHWP Contractor</w:t>
            </w:r>
          </w:p>
        </w:tc>
        <w:tc>
          <w:tcPr>
            <w:tcW w:w="1597"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252542BD" w14:textId="5B38B0E1">
            <w:pPr>
              <w:tabs>
                <w:tab w:val="left" w:pos="360"/>
                <w:tab w:val="left" w:pos="720"/>
              </w:tabs>
              <w:rPr>
                <w:color w:val="FF0000"/>
                <w:sz w:val="18"/>
                <w:szCs w:val="18"/>
              </w:rPr>
            </w:pPr>
            <w:r w:rsidRPr="00D27CA4">
              <w:rPr>
                <w:color w:val="FF0000"/>
                <w:sz w:val="18"/>
                <w:szCs w:val="18"/>
              </w:rPr>
              <w:t>N/A</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D27CA4" w:rsidP="0028378B" w14:paraId="217E1BF0" w14:textId="57BCB162">
            <w:pPr>
              <w:tabs>
                <w:tab w:val="left" w:pos="360"/>
                <w:tab w:val="left" w:pos="720"/>
              </w:tabs>
              <w:jc w:val="right"/>
              <w:rPr>
                <w:color w:val="FF0000"/>
                <w:sz w:val="18"/>
                <w:szCs w:val="18"/>
              </w:rPr>
            </w:pPr>
            <w:r w:rsidRPr="00D27CA4">
              <w:rPr>
                <w:color w:val="FF0000"/>
                <w:sz w:val="18"/>
                <w:szCs w:val="18"/>
              </w:rPr>
              <w:t>$41.25</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28378B" w:rsidP="0028378B" w14:paraId="7E028067" w14:textId="30C6DBA1">
            <w:pPr>
              <w:tabs>
                <w:tab w:val="left" w:pos="360"/>
                <w:tab w:val="left" w:pos="720"/>
              </w:tabs>
              <w:jc w:val="right"/>
              <w:rPr>
                <w:color w:val="FF0000"/>
                <w:sz w:val="18"/>
                <w:szCs w:val="18"/>
              </w:rPr>
            </w:pPr>
            <w:r w:rsidRPr="00D27CA4">
              <w:rPr>
                <w:color w:val="FF0000"/>
                <w:sz w:val="18"/>
                <w:szCs w:val="18"/>
              </w:rPr>
              <w:t>1,000</w:t>
            </w:r>
          </w:p>
        </w:tc>
        <w:tc>
          <w:tcPr>
            <w:tcW w:w="1170" w:type="dxa"/>
            <w:tcBorders>
              <w:top w:val="single" w:sz="4" w:space="0" w:color="FF0000"/>
              <w:left w:val="single" w:sz="4" w:space="0" w:color="FF0000"/>
              <w:bottom w:val="single" w:sz="4" w:space="0" w:color="FF0000"/>
              <w:right w:val="single" w:sz="4" w:space="0" w:color="FF0000"/>
            </w:tcBorders>
            <w:vAlign w:val="center"/>
          </w:tcPr>
          <w:p w:rsidR="0028378B" w:rsidRPr="0028378B" w:rsidP="0028378B" w14:paraId="4104F4CA" w14:textId="57E48056">
            <w:pPr>
              <w:tabs>
                <w:tab w:val="left" w:pos="360"/>
                <w:tab w:val="left" w:pos="720"/>
              </w:tabs>
              <w:jc w:val="right"/>
              <w:rPr>
                <w:color w:val="FF0000"/>
                <w:sz w:val="18"/>
                <w:szCs w:val="18"/>
              </w:rPr>
            </w:pPr>
            <w:r w:rsidRPr="00D27CA4">
              <w:rPr>
                <w:color w:val="FF0000"/>
                <w:sz w:val="18"/>
                <w:szCs w:val="18"/>
              </w:rPr>
              <w:t>1</w:t>
            </w:r>
          </w:p>
        </w:tc>
        <w:tc>
          <w:tcPr>
            <w:tcW w:w="990" w:type="dxa"/>
            <w:tcBorders>
              <w:top w:val="single" w:sz="4" w:space="0" w:color="FF0000"/>
              <w:left w:val="single" w:sz="4" w:space="0" w:color="FF0000"/>
              <w:bottom w:val="single" w:sz="4" w:space="0" w:color="FF0000"/>
              <w:right w:val="single" w:sz="4" w:space="0" w:color="FF0000"/>
            </w:tcBorders>
            <w:vAlign w:val="center"/>
          </w:tcPr>
          <w:p w:rsidR="0028378B" w:rsidRPr="0028378B" w:rsidP="0028378B" w14:paraId="762FCF82" w14:textId="741C3CB4">
            <w:pPr>
              <w:tabs>
                <w:tab w:val="left" w:pos="360"/>
                <w:tab w:val="left" w:pos="720"/>
              </w:tabs>
              <w:jc w:val="right"/>
              <w:rPr>
                <w:color w:val="FF0000"/>
                <w:sz w:val="18"/>
                <w:szCs w:val="18"/>
              </w:rPr>
            </w:pPr>
            <w:r w:rsidRPr="00D27CA4">
              <w:rPr>
                <w:color w:val="FF0000"/>
                <w:sz w:val="18"/>
                <w:szCs w:val="18"/>
              </w:rPr>
              <w:t>1,000</w:t>
            </w:r>
          </w:p>
        </w:tc>
        <w:tc>
          <w:tcPr>
            <w:tcW w:w="1463" w:type="dxa"/>
            <w:tcBorders>
              <w:top w:val="single" w:sz="4" w:space="0" w:color="FF0000"/>
              <w:left w:val="single" w:sz="4" w:space="0" w:color="FF0000"/>
              <w:bottom w:val="single" w:sz="4" w:space="0" w:color="FF0000"/>
              <w:right w:val="single" w:sz="4" w:space="0" w:color="FF0000"/>
            </w:tcBorders>
            <w:vAlign w:val="center"/>
          </w:tcPr>
          <w:p w:rsidR="0028378B" w:rsidRPr="0028378B" w:rsidP="0028378B" w14:paraId="23389E2C" w14:textId="0569C9D0">
            <w:pPr>
              <w:tabs>
                <w:tab w:val="left" w:pos="360"/>
                <w:tab w:val="left" w:pos="720"/>
              </w:tabs>
              <w:jc w:val="right"/>
              <w:rPr>
                <w:color w:val="FF0000"/>
                <w:sz w:val="18"/>
                <w:szCs w:val="18"/>
              </w:rPr>
            </w:pPr>
            <w:r w:rsidRPr="0028378B">
              <w:rPr>
                <w:color w:val="FF0000"/>
                <w:sz w:val="18"/>
                <w:szCs w:val="18"/>
              </w:rPr>
              <w:t>$41,250</w:t>
            </w:r>
          </w:p>
        </w:tc>
      </w:tr>
      <w:tr w14:paraId="07DE68FA" w14:textId="77777777" w:rsidTr="00D27CA4">
        <w:tblPrEx>
          <w:tblW w:w="9360" w:type="dxa"/>
          <w:tblInd w:w="108" w:type="dxa"/>
          <w:tblLayout w:type="fixed"/>
          <w:tblLook w:val="01E0"/>
        </w:tblPrEx>
        <w:tc>
          <w:tcPr>
            <w:tcW w:w="1800" w:type="dxa"/>
            <w:tcBorders>
              <w:top w:val="single" w:sz="4" w:space="0" w:color="FF0000"/>
              <w:left w:val="single" w:sz="4" w:space="0" w:color="auto"/>
              <w:bottom w:val="single" w:sz="4" w:space="0" w:color="auto"/>
              <w:right w:val="single" w:sz="4" w:space="0" w:color="auto"/>
            </w:tcBorders>
            <w:shd w:val="clear" w:color="auto" w:fill="99FF99"/>
            <w:vAlign w:val="center"/>
            <w:hideMark/>
          </w:tcPr>
          <w:p w:rsidR="0028378B" w:rsidRPr="00D27CA4" w:rsidP="0028378B" w14:paraId="73CC87C9" w14:textId="054A0A20">
            <w:pPr>
              <w:tabs>
                <w:tab w:val="left" w:pos="-1080"/>
                <w:tab w:val="left" w:pos="-720"/>
                <w:tab w:val="left" w:pos="360"/>
                <w:tab w:val="left" w:pos="720"/>
              </w:tabs>
              <w:rPr>
                <w:b/>
                <w:color w:val="000000" w:themeColor="text1"/>
              </w:rPr>
            </w:pPr>
            <w:r w:rsidRPr="00D27CA4">
              <w:rPr>
                <w:b/>
                <w:color w:val="000000" w:themeColor="text1"/>
              </w:rPr>
              <w:t>Total</w:t>
            </w:r>
          </w:p>
        </w:tc>
        <w:tc>
          <w:tcPr>
            <w:tcW w:w="1597"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28378B" w14:paraId="08820E21" w14:textId="014C5280">
            <w:pPr>
              <w:tabs>
                <w:tab w:val="left" w:pos="360"/>
                <w:tab w:val="left" w:pos="720"/>
              </w:tabs>
              <w:rPr>
                <w:b/>
                <w:color w:val="000000" w:themeColor="text1"/>
              </w:rPr>
            </w:pPr>
          </w:p>
        </w:tc>
        <w:tc>
          <w:tcPr>
            <w:tcW w:w="1170"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D27CA4" w14:paraId="0064AEE1" w14:textId="77777777">
            <w:pPr>
              <w:tabs>
                <w:tab w:val="left" w:pos="360"/>
                <w:tab w:val="left" w:pos="720"/>
              </w:tabs>
              <w:rPr>
                <w:b/>
                <w:color w:val="000000" w:themeColor="text1"/>
              </w:rPr>
            </w:pPr>
          </w:p>
        </w:tc>
        <w:tc>
          <w:tcPr>
            <w:tcW w:w="1170"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D27CA4" w14:paraId="3195ABA1" w14:textId="47076220">
            <w:pPr>
              <w:tabs>
                <w:tab w:val="left" w:pos="360"/>
                <w:tab w:val="left" w:pos="720"/>
              </w:tabs>
              <w:rPr>
                <w:b/>
                <w:color w:val="000000" w:themeColor="text1"/>
              </w:rPr>
            </w:pPr>
          </w:p>
        </w:tc>
        <w:tc>
          <w:tcPr>
            <w:tcW w:w="1170"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D27CA4" w14:paraId="55E61AAD" w14:textId="77777777">
            <w:pPr>
              <w:tabs>
                <w:tab w:val="left" w:pos="360"/>
                <w:tab w:val="left" w:pos="720"/>
              </w:tabs>
              <w:rPr>
                <w:b/>
                <w:color w:val="000000" w:themeColor="text1"/>
              </w:rPr>
            </w:pPr>
          </w:p>
        </w:tc>
        <w:tc>
          <w:tcPr>
            <w:tcW w:w="990"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D27CA4" w14:paraId="779A493E" w14:textId="2E0D15BB">
            <w:pPr>
              <w:tabs>
                <w:tab w:val="left" w:pos="360"/>
                <w:tab w:val="left" w:pos="720"/>
              </w:tabs>
              <w:rPr>
                <w:b/>
                <w:color w:val="000000" w:themeColor="text1"/>
              </w:rPr>
            </w:pPr>
          </w:p>
        </w:tc>
        <w:tc>
          <w:tcPr>
            <w:tcW w:w="1463" w:type="dxa"/>
            <w:tcBorders>
              <w:top w:val="single" w:sz="4" w:space="0" w:color="FF0000"/>
              <w:left w:val="single" w:sz="4" w:space="0" w:color="auto"/>
              <w:bottom w:val="single" w:sz="4" w:space="0" w:color="auto"/>
              <w:right w:val="single" w:sz="4" w:space="0" w:color="auto"/>
            </w:tcBorders>
            <w:shd w:val="clear" w:color="auto" w:fill="99FF99"/>
            <w:vAlign w:val="center"/>
          </w:tcPr>
          <w:p w:rsidR="0028378B" w:rsidRPr="00D27CA4" w:rsidP="006526B9" w14:paraId="74F8CD07" w14:textId="260985D8">
            <w:pPr>
              <w:tabs>
                <w:tab w:val="left" w:pos="360"/>
                <w:tab w:val="left" w:pos="720"/>
              </w:tabs>
              <w:jc w:val="right"/>
              <w:rPr>
                <w:b/>
                <w:color w:val="000000" w:themeColor="text1"/>
              </w:rPr>
            </w:pPr>
            <w:r w:rsidRPr="00D27CA4">
              <w:rPr>
                <w:b/>
                <w:color w:val="000000" w:themeColor="text1"/>
              </w:rPr>
              <w:t>806,632</w:t>
            </w:r>
          </w:p>
        </w:tc>
      </w:tr>
    </w:tbl>
    <w:p w:rsidR="00067223" w:rsidRPr="002C074C" w:rsidP="008A7C15" w14:paraId="6CD565EA" w14:textId="77777777">
      <w:pPr>
        <w:ind w:right="120"/>
        <w:rPr>
          <w:sz w:val="24"/>
          <w:szCs w:val="24"/>
        </w:rPr>
      </w:pPr>
    </w:p>
    <w:p w:rsidR="00027C45" w:rsidRPr="002C074C" w:rsidP="78E38E19" w14:paraId="695500C7" w14:textId="77777777">
      <w:pPr>
        <w:tabs>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bCs/>
          <w:sz w:val="24"/>
          <w:szCs w:val="24"/>
        </w:rPr>
      </w:pPr>
      <w:r w:rsidRPr="002C074C">
        <w:rPr>
          <w:b/>
          <w:bCs/>
          <w:sz w:val="24"/>
          <w:szCs w:val="24"/>
        </w:rPr>
        <w:t>15.</w:t>
      </w:r>
      <w:r w:rsidRPr="002C074C">
        <w:tab/>
      </w:r>
      <w:r w:rsidRPr="002C074C">
        <w:rPr>
          <w:b/>
          <w:bCs/>
          <w:sz w:val="24"/>
          <w:szCs w:val="24"/>
        </w:rPr>
        <w:t>Explain the reasons for any program changes or adjustments in hour or cost burden.</w:t>
      </w:r>
    </w:p>
    <w:p w:rsidR="00027C45" w:rsidRPr="002C074C" w:rsidP="00027C45" w14:paraId="7D0BBF76" w14:textId="427E1CA0">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276F0B" w:rsidRPr="002C074C" w:rsidP="00276F0B" w14:paraId="7B1D0C40" w14:textId="78B212BA">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Updates were made to the Bureau of Labor Statistics (BLS) and Office of Personnel Management (OPM) compensation data contained in Sections 12 and 14.</w:t>
      </w:r>
    </w:p>
    <w:p w:rsidR="00276F0B" w:rsidRPr="002C074C" w:rsidP="00276F0B" w14:paraId="6285546B" w14:textId="014AFA36">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BD271C" w:rsidP="004051F1" w14:paraId="7F6109B6" w14:textId="2D73D1BD">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BIE proposes updates to hour and cost burdens in order to establish</w:t>
      </w:r>
      <w:r w:rsidRPr="002C074C" w:rsidR="00DC07DB">
        <w:rPr>
          <w:bCs/>
          <w:sz w:val="24"/>
          <w:szCs w:val="24"/>
        </w:rPr>
        <w:t xml:space="preserve"> a</w:t>
      </w:r>
      <w:r w:rsidRPr="002C074C">
        <w:rPr>
          <w:bCs/>
          <w:sz w:val="24"/>
          <w:szCs w:val="24"/>
        </w:rPr>
        <w:t xml:space="preserve"> new Behavioral Health and Wellness Program (BHWP) through contractor services. The BHWP is focused on providing indigenous focused, evidence-based, and trauma-informed behavioral health and wellness services/resources for students and staff at all Bureau-funded programs, departments, and institutions including Bureau operated schools, Tribally controlled schools, post-secondary institutions, and Tribal colleges and universities. All data collected for the BHWP will be utilized for establishing the appropriate level of care, assessing client safety, ensuring services are individualized to meet the client’s specific needs, and providing clients with external referrals, as needed. </w:t>
      </w:r>
    </w:p>
    <w:p w:rsidR="00E43B63" w:rsidP="004051F1" w14:paraId="4F4212C1" w14:textId="16512C8B">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E43B63" w:rsidRPr="002C074C" w:rsidP="004051F1" w14:paraId="4326877E" w14:textId="2C1EA43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Pr>
          <w:bCs/>
          <w:sz w:val="24"/>
          <w:szCs w:val="24"/>
        </w:rPr>
        <w:t xml:space="preserve">Publication </w:t>
      </w:r>
      <w:r w:rsidRPr="00E43B63">
        <w:rPr>
          <w:bCs/>
          <w:sz w:val="24"/>
          <w:szCs w:val="24"/>
        </w:rPr>
        <w:t xml:space="preserve">in the Federal Register </w:t>
      </w:r>
      <w:r>
        <w:rPr>
          <w:bCs/>
          <w:sz w:val="24"/>
          <w:szCs w:val="24"/>
        </w:rPr>
        <w:t>of the System of Record Notice</w:t>
      </w:r>
      <w:r w:rsidRPr="00E43B63">
        <w:rPr>
          <w:bCs/>
          <w:sz w:val="24"/>
          <w:szCs w:val="24"/>
        </w:rPr>
        <w:t xml:space="preserve"> INTERIOR/BI</w:t>
      </w:r>
      <w:r>
        <w:rPr>
          <w:bCs/>
          <w:sz w:val="24"/>
          <w:szCs w:val="24"/>
        </w:rPr>
        <w:t>A</w:t>
      </w:r>
      <w:r w:rsidRPr="00E43B63">
        <w:rPr>
          <w:bCs/>
          <w:sz w:val="24"/>
          <w:szCs w:val="24"/>
        </w:rPr>
        <w:t>-</w:t>
      </w:r>
      <w:r>
        <w:rPr>
          <w:bCs/>
          <w:sz w:val="24"/>
          <w:szCs w:val="24"/>
        </w:rPr>
        <w:t>3</w:t>
      </w:r>
      <w:r w:rsidR="002F4D2A">
        <w:rPr>
          <w:bCs/>
          <w:sz w:val="24"/>
          <w:szCs w:val="24"/>
        </w:rPr>
        <w:t>5</w:t>
      </w:r>
      <w:r>
        <w:rPr>
          <w:bCs/>
          <w:sz w:val="24"/>
          <w:szCs w:val="24"/>
        </w:rPr>
        <w:t xml:space="preserve"> </w:t>
      </w:r>
      <w:r w:rsidRPr="00E43B63">
        <w:rPr>
          <w:bCs/>
          <w:sz w:val="24"/>
          <w:szCs w:val="24"/>
        </w:rPr>
        <w:t xml:space="preserve">is </w:t>
      </w:r>
      <w:r>
        <w:rPr>
          <w:bCs/>
          <w:sz w:val="24"/>
          <w:szCs w:val="24"/>
        </w:rPr>
        <w:t xml:space="preserve">currently </w:t>
      </w:r>
      <w:r w:rsidRPr="00E43B63">
        <w:rPr>
          <w:bCs/>
          <w:sz w:val="24"/>
          <w:szCs w:val="24"/>
        </w:rPr>
        <w:t>pending. When the SORN is approved BI</w:t>
      </w:r>
      <w:r>
        <w:rPr>
          <w:bCs/>
          <w:sz w:val="24"/>
          <w:szCs w:val="24"/>
        </w:rPr>
        <w:t>E</w:t>
      </w:r>
      <w:r w:rsidRPr="00E43B63">
        <w:rPr>
          <w:bCs/>
          <w:sz w:val="24"/>
          <w:szCs w:val="24"/>
        </w:rPr>
        <w:t xml:space="preserve"> will then submit a non-substantive change request to for this information collection, adding the published SORN.</w:t>
      </w:r>
    </w:p>
    <w:p w:rsidR="00D07322" w:rsidRPr="002C074C" w:rsidP="00C667D8" w14:paraId="3D068E52" w14:textId="77777777">
      <w:pPr>
        <w:tabs>
          <w:tab w:val="left" w:pos="-1080"/>
          <w:tab w:val="left" w:pos="-720"/>
          <w:tab w:val="left" w:pos="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4"/>
          <w:szCs w:val="24"/>
        </w:rPr>
      </w:pPr>
    </w:p>
    <w:p w:rsidR="00027C45" w:rsidRPr="002C074C" w:rsidP="00027C45" w14:paraId="30D0FC94"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16.</w:t>
      </w:r>
      <w:r w:rsidRPr="002C074C">
        <w:rPr>
          <w:b/>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027C45" w:rsidRPr="002C074C" w:rsidP="00027C45" w14:paraId="5C7691A8"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4BBEB658" w14:textId="1C3050B3">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 xml:space="preserve">The </w:t>
      </w:r>
      <w:r w:rsidRPr="002C074C" w:rsidR="00D718E7">
        <w:rPr>
          <w:bCs/>
          <w:sz w:val="24"/>
          <w:szCs w:val="24"/>
        </w:rPr>
        <w:t xml:space="preserve">Student Enrollment Application </w:t>
      </w:r>
      <w:r w:rsidRPr="002C074C" w:rsidR="00E33834">
        <w:rPr>
          <w:bCs/>
          <w:sz w:val="24"/>
          <w:szCs w:val="24"/>
        </w:rPr>
        <w:t>may be used to support budget requests and to report on the status of Indian education, but individual persons will not be identifiable.</w:t>
      </w:r>
    </w:p>
    <w:p w:rsidR="00D718E7" w:rsidRPr="002C074C" w:rsidP="00027C45" w14:paraId="2AE740EB" w14:textId="04B22FF2">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p>
    <w:p w:rsidR="00D718E7" w:rsidRPr="002C074C" w:rsidP="00027C45" w14:paraId="42E60FB6" w14:textId="2328D878">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Cs/>
          <w:sz w:val="24"/>
          <w:szCs w:val="24"/>
        </w:rPr>
      </w:pPr>
      <w:r w:rsidRPr="002C074C">
        <w:rPr>
          <w:bCs/>
          <w:sz w:val="24"/>
          <w:szCs w:val="24"/>
        </w:rPr>
        <w:t xml:space="preserve">The BIE contractor, BHWP, will not publish data or create external reports for the public. The data collection will not have any complex analytical techniques. Regular required BHWP reports will not include any PII from clients who have used services and will adhere to confidentiality regulations. The BIE internal reports will be created, evaluated, and reviewed monthly by BIE Leadership to exercise management oversight of the program, evaluate client participation, and for use in briefings, data calls, and reports.  </w:t>
      </w:r>
    </w:p>
    <w:p w:rsidR="00027C45" w:rsidRPr="002C074C" w:rsidP="00027C45" w14:paraId="6E661F6A"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5ED0105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r w:rsidRPr="002C074C">
        <w:rPr>
          <w:b/>
          <w:sz w:val="24"/>
          <w:szCs w:val="24"/>
        </w:rPr>
        <w:t>17.</w:t>
      </w:r>
      <w:r w:rsidRPr="002C074C">
        <w:rPr>
          <w:b/>
          <w:sz w:val="24"/>
          <w:szCs w:val="24"/>
        </w:rPr>
        <w:tab/>
        <w:t>If seeking approval to not display the expiration date for OMB approval of the information collection, explain the reasons that display would be inappropriate.</w:t>
      </w:r>
    </w:p>
    <w:p w:rsidR="00027C45" w:rsidRPr="002C074C" w:rsidP="00027C45" w14:paraId="6F104DCB"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sz w:val="24"/>
          <w:szCs w:val="24"/>
        </w:rPr>
      </w:pPr>
    </w:p>
    <w:p w:rsidR="00027C45" w:rsidRPr="002C074C" w:rsidP="00027C45" w14:paraId="5F8563AC"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rPr>
          <w:b/>
          <w:bCs/>
          <w:sz w:val="24"/>
          <w:szCs w:val="24"/>
        </w:rPr>
      </w:pPr>
      <w:r w:rsidRPr="002C074C">
        <w:rPr>
          <w:sz w:val="24"/>
          <w:szCs w:val="24"/>
        </w:rPr>
        <w:t>We int</w:t>
      </w:r>
      <w:r w:rsidRPr="002C074C" w:rsidR="002F0626">
        <w:rPr>
          <w:sz w:val="24"/>
          <w:szCs w:val="24"/>
        </w:rPr>
        <w:t>end to display the OMB control n</w:t>
      </w:r>
      <w:r w:rsidRPr="002C074C">
        <w:rPr>
          <w:sz w:val="24"/>
          <w:szCs w:val="24"/>
        </w:rPr>
        <w:t>umber and the expiration date.</w:t>
      </w:r>
    </w:p>
    <w:p w:rsidR="00027C45" w:rsidRPr="002C074C" w:rsidP="00027C45" w14:paraId="1B4DB24D"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4"/>
          <w:szCs w:val="24"/>
        </w:rPr>
      </w:pPr>
    </w:p>
    <w:p w:rsidR="00027C45" w:rsidRPr="002C074C" w:rsidP="00027C45" w14:paraId="0EBDEE45"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sz w:val="24"/>
          <w:szCs w:val="24"/>
        </w:rPr>
      </w:pPr>
      <w:r w:rsidRPr="002C074C">
        <w:rPr>
          <w:b/>
          <w:sz w:val="24"/>
          <w:szCs w:val="24"/>
        </w:rPr>
        <w:t>18.</w:t>
      </w:r>
      <w:r w:rsidRPr="002C074C">
        <w:rPr>
          <w:b/>
          <w:sz w:val="24"/>
          <w:szCs w:val="24"/>
        </w:rPr>
        <w:tab/>
        <w:t>Explain each exception to the topics of the certification statement identified in "Certification for Paperwork Reduction Act Submissions."</w:t>
      </w:r>
    </w:p>
    <w:p w:rsidR="00027C45" w:rsidRPr="002C074C" w:rsidP="00027C45" w14:paraId="276A8CAF" w14:textId="77777777">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rPr>
          <w:b/>
        </w:rPr>
      </w:pPr>
    </w:p>
    <w:p w:rsidR="00E33834" w:rsidRPr="006403FA" w:rsidP="00D27CA4" w14:paraId="509E1B4C" w14:textId="566087BC">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pPr>
      <w:r w:rsidRPr="002C074C">
        <w:rPr>
          <w:sz w:val="24"/>
          <w:szCs w:val="24"/>
        </w:rPr>
        <w:t>We are not seeking any exceptions to the certification statement.</w:t>
      </w:r>
    </w:p>
    <w:p w:rsidR="00851D2D" w:rsidRPr="006403FA" w14:paraId="5C8A1729" w14:textId="77777777"/>
    <w:sectPr w:rsidSect="00C747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0178C5"/>
    <w:multiLevelType w:val="hybridMultilevel"/>
    <w:tmpl w:val="E736AE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3F34335"/>
    <w:multiLevelType w:val="hybridMultilevel"/>
    <w:tmpl w:val="3A16D222"/>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92A5302"/>
    <w:multiLevelType w:val="hybridMultilevel"/>
    <w:tmpl w:val="992EFFB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3F340150"/>
    <w:multiLevelType w:val="hybridMultilevel"/>
    <w:tmpl w:val="FD5E8DEE"/>
    <w:lvl w:ilvl="0">
      <w:start w:val="0"/>
      <w:numFmt w:val="bullet"/>
      <w:lvlText w:val="-"/>
      <w:lvlJc w:val="left"/>
      <w:pPr>
        <w:ind w:left="720" w:hanging="360"/>
      </w:pPr>
      <w:rPr>
        <w:rFonts w:ascii="Calibri" w:hAnsi="Calibri" w:eastAsiaTheme="minorHAnsi" w:cstheme="minorBidi"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44815867"/>
    <w:multiLevelType w:val="hybridMultilevel"/>
    <w:tmpl w:val="4B5EC6C0"/>
    <w:lvl w:ilvl="0">
      <w:start w:val="0"/>
      <w:numFmt w:val="bullet"/>
      <w:lvlText w:val="-"/>
      <w:lvlJc w:val="left"/>
      <w:pPr>
        <w:ind w:left="1080" w:hanging="360"/>
      </w:pPr>
      <w:rPr>
        <w:rFonts w:ascii="Times New Roman" w:eastAsia="Times New Roman" w:hAnsi="Times New Roman" w:cs="Times New Roman"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9C5296"/>
    <w:multiLevelType w:val="hybridMultilevel"/>
    <w:tmpl w:val="FDB6CC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51DC31C0"/>
    <w:multiLevelType w:val="hybridMultilevel"/>
    <w:tmpl w:val="B43606F8"/>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7">
    <w:nsid w:val="57470800"/>
    <w:multiLevelType w:val="hybridMultilevel"/>
    <w:tmpl w:val="472CF254"/>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
    <w:nsid w:val="584E70B3"/>
    <w:multiLevelType w:val="hybridMultilevel"/>
    <w:tmpl w:val="B2F60218"/>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9">
    <w:nsid w:val="6F4B7195"/>
    <w:multiLevelType w:val="hybridMultilevel"/>
    <w:tmpl w:val="C8F01590"/>
    <w:lvl w:ilvl="0">
      <w:start w:val="1"/>
      <w:numFmt w:val="bullet"/>
      <w:lvlText w:val=""/>
      <w:lvlJc w:val="left"/>
      <w:pPr>
        <w:ind w:left="1080" w:hanging="360"/>
      </w:pPr>
      <w:rPr>
        <w:rFonts w:ascii="Symbol" w:hAnsi="Symbol"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10">
    <w:nsid w:val="75516D20"/>
    <w:multiLevelType w:val="hybridMultilevel"/>
    <w:tmpl w:val="76E23A8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7A7E0267"/>
    <w:multiLevelType w:val="hybridMultilevel"/>
    <w:tmpl w:val="262E1CEE"/>
    <w:lvl w:ilvl="0">
      <w:start w:val="0"/>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6216237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86709476">
    <w:abstractNumId w:val="4"/>
  </w:num>
  <w:num w:numId="3" w16cid:durableId="1934513850">
    <w:abstractNumId w:val="11"/>
  </w:num>
  <w:num w:numId="4" w16cid:durableId="596838682">
    <w:abstractNumId w:val="3"/>
  </w:num>
  <w:num w:numId="5" w16cid:durableId="65350133">
    <w:abstractNumId w:val="5"/>
  </w:num>
  <w:num w:numId="6" w16cid:durableId="954211568">
    <w:abstractNumId w:val="2"/>
  </w:num>
  <w:num w:numId="7" w16cid:durableId="1443528084">
    <w:abstractNumId w:val="0"/>
  </w:num>
  <w:num w:numId="8" w16cid:durableId="563756538">
    <w:abstractNumId w:val="7"/>
  </w:num>
  <w:num w:numId="9" w16cid:durableId="1604220915">
    <w:abstractNumId w:val="10"/>
  </w:num>
  <w:num w:numId="10" w16cid:durableId="1017078216">
    <w:abstractNumId w:val="9"/>
  </w:num>
  <w:num w:numId="11" w16cid:durableId="1384064911">
    <w:abstractNumId w:val="8"/>
  </w:num>
  <w:num w:numId="12" w16cid:durableId="312222992">
    <w:abstractNumId w:val="1"/>
  </w:num>
  <w:num w:numId="13" w16cid:durableId="173384343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C45"/>
    <w:rsid w:val="00006C9E"/>
    <w:rsid w:val="00011740"/>
    <w:rsid w:val="00023260"/>
    <w:rsid w:val="00027C45"/>
    <w:rsid w:val="00033E1C"/>
    <w:rsid w:val="000356BF"/>
    <w:rsid w:val="000367C9"/>
    <w:rsid w:val="00044C9C"/>
    <w:rsid w:val="000575D5"/>
    <w:rsid w:val="00067223"/>
    <w:rsid w:val="00090296"/>
    <w:rsid w:val="00094243"/>
    <w:rsid w:val="000A1489"/>
    <w:rsid w:val="000A380F"/>
    <w:rsid w:val="000A5315"/>
    <w:rsid w:val="000B3BA2"/>
    <w:rsid w:val="000C4C7A"/>
    <w:rsid w:val="000C7387"/>
    <w:rsid w:val="000D2EAF"/>
    <w:rsid w:val="000E3BA2"/>
    <w:rsid w:val="00103787"/>
    <w:rsid w:val="00131037"/>
    <w:rsid w:val="00141B21"/>
    <w:rsid w:val="0014515B"/>
    <w:rsid w:val="001517B5"/>
    <w:rsid w:val="00160C6C"/>
    <w:rsid w:val="00167FE9"/>
    <w:rsid w:val="00175C44"/>
    <w:rsid w:val="001930B7"/>
    <w:rsid w:val="001A335F"/>
    <w:rsid w:val="001D351A"/>
    <w:rsid w:val="001D6A84"/>
    <w:rsid w:val="00213610"/>
    <w:rsid w:val="0021526F"/>
    <w:rsid w:val="00223538"/>
    <w:rsid w:val="002257C4"/>
    <w:rsid w:val="002305D4"/>
    <w:rsid w:val="002314C7"/>
    <w:rsid w:val="0023766F"/>
    <w:rsid w:val="002628DC"/>
    <w:rsid w:val="00276F0B"/>
    <w:rsid w:val="0028378B"/>
    <w:rsid w:val="002C074C"/>
    <w:rsid w:val="002F0626"/>
    <w:rsid w:val="002F0E34"/>
    <w:rsid w:val="002F4D2A"/>
    <w:rsid w:val="00320622"/>
    <w:rsid w:val="003262CC"/>
    <w:rsid w:val="00331258"/>
    <w:rsid w:val="003618F9"/>
    <w:rsid w:val="00370A7E"/>
    <w:rsid w:val="003977E6"/>
    <w:rsid w:val="003C0906"/>
    <w:rsid w:val="003C4440"/>
    <w:rsid w:val="003D5177"/>
    <w:rsid w:val="003D6F56"/>
    <w:rsid w:val="003D74F0"/>
    <w:rsid w:val="003F6DEE"/>
    <w:rsid w:val="004051F1"/>
    <w:rsid w:val="00406CA4"/>
    <w:rsid w:val="00414F25"/>
    <w:rsid w:val="00415DFE"/>
    <w:rsid w:val="00494DEF"/>
    <w:rsid w:val="004A7B05"/>
    <w:rsid w:val="004B1B99"/>
    <w:rsid w:val="004D6C7D"/>
    <w:rsid w:val="004E1BB6"/>
    <w:rsid w:val="00501425"/>
    <w:rsid w:val="00514A67"/>
    <w:rsid w:val="00527C8B"/>
    <w:rsid w:val="005422D6"/>
    <w:rsid w:val="00542ECE"/>
    <w:rsid w:val="0055364E"/>
    <w:rsid w:val="00557305"/>
    <w:rsid w:val="00574916"/>
    <w:rsid w:val="005A684B"/>
    <w:rsid w:val="005B5719"/>
    <w:rsid w:val="005E6E9C"/>
    <w:rsid w:val="005F2DFC"/>
    <w:rsid w:val="00613E22"/>
    <w:rsid w:val="006176B4"/>
    <w:rsid w:val="0062089A"/>
    <w:rsid w:val="00627F4C"/>
    <w:rsid w:val="006403FA"/>
    <w:rsid w:val="006526B9"/>
    <w:rsid w:val="00652777"/>
    <w:rsid w:val="00667F90"/>
    <w:rsid w:val="0067057E"/>
    <w:rsid w:val="00672599"/>
    <w:rsid w:val="00677400"/>
    <w:rsid w:val="00682892"/>
    <w:rsid w:val="006B65FA"/>
    <w:rsid w:val="006C68B2"/>
    <w:rsid w:val="006D0085"/>
    <w:rsid w:val="006E1050"/>
    <w:rsid w:val="006E1089"/>
    <w:rsid w:val="006E6BF2"/>
    <w:rsid w:val="006F0B48"/>
    <w:rsid w:val="00703AFF"/>
    <w:rsid w:val="0072222D"/>
    <w:rsid w:val="0072462E"/>
    <w:rsid w:val="00732833"/>
    <w:rsid w:val="00770ED7"/>
    <w:rsid w:val="007A4502"/>
    <w:rsid w:val="007A6667"/>
    <w:rsid w:val="007D4B21"/>
    <w:rsid w:val="007D69AA"/>
    <w:rsid w:val="007E0488"/>
    <w:rsid w:val="007F3B59"/>
    <w:rsid w:val="007F5611"/>
    <w:rsid w:val="00827623"/>
    <w:rsid w:val="008277A1"/>
    <w:rsid w:val="008440FF"/>
    <w:rsid w:val="00851D2D"/>
    <w:rsid w:val="00853C17"/>
    <w:rsid w:val="00881AE8"/>
    <w:rsid w:val="008A487C"/>
    <w:rsid w:val="008A6A2F"/>
    <w:rsid w:val="008A7C15"/>
    <w:rsid w:val="008B066E"/>
    <w:rsid w:val="008B39CE"/>
    <w:rsid w:val="008B44A6"/>
    <w:rsid w:val="008B59A8"/>
    <w:rsid w:val="008D6474"/>
    <w:rsid w:val="009079D8"/>
    <w:rsid w:val="0091345A"/>
    <w:rsid w:val="009803AB"/>
    <w:rsid w:val="00993F70"/>
    <w:rsid w:val="00997CCC"/>
    <w:rsid w:val="009C7740"/>
    <w:rsid w:val="009C7E55"/>
    <w:rsid w:val="009F5F0F"/>
    <w:rsid w:val="00A008D1"/>
    <w:rsid w:val="00A02D05"/>
    <w:rsid w:val="00A349F3"/>
    <w:rsid w:val="00A42AE3"/>
    <w:rsid w:val="00A52149"/>
    <w:rsid w:val="00A800E7"/>
    <w:rsid w:val="00A80145"/>
    <w:rsid w:val="00A95859"/>
    <w:rsid w:val="00AA037A"/>
    <w:rsid w:val="00AA57E9"/>
    <w:rsid w:val="00AC0BF7"/>
    <w:rsid w:val="00AD38DE"/>
    <w:rsid w:val="00AD5EC4"/>
    <w:rsid w:val="00AE590C"/>
    <w:rsid w:val="00AE61AA"/>
    <w:rsid w:val="00AF4780"/>
    <w:rsid w:val="00AF64B4"/>
    <w:rsid w:val="00B02C3D"/>
    <w:rsid w:val="00B10C05"/>
    <w:rsid w:val="00B27463"/>
    <w:rsid w:val="00B36B2D"/>
    <w:rsid w:val="00B45008"/>
    <w:rsid w:val="00B7311E"/>
    <w:rsid w:val="00B849B7"/>
    <w:rsid w:val="00B91424"/>
    <w:rsid w:val="00B92318"/>
    <w:rsid w:val="00B92914"/>
    <w:rsid w:val="00B94228"/>
    <w:rsid w:val="00BA2A0A"/>
    <w:rsid w:val="00BD271C"/>
    <w:rsid w:val="00BD3859"/>
    <w:rsid w:val="00BD4088"/>
    <w:rsid w:val="00BF71AD"/>
    <w:rsid w:val="00C03A59"/>
    <w:rsid w:val="00C06BB3"/>
    <w:rsid w:val="00C21E5C"/>
    <w:rsid w:val="00C40C22"/>
    <w:rsid w:val="00C436E7"/>
    <w:rsid w:val="00C4773D"/>
    <w:rsid w:val="00C549A8"/>
    <w:rsid w:val="00C667D8"/>
    <w:rsid w:val="00C733E9"/>
    <w:rsid w:val="00C7472B"/>
    <w:rsid w:val="00C82E28"/>
    <w:rsid w:val="00C87AA2"/>
    <w:rsid w:val="00C93070"/>
    <w:rsid w:val="00C95FAA"/>
    <w:rsid w:val="00C9751F"/>
    <w:rsid w:val="00CC343B"/>
    <w:rsid w:val="00CC4002"/>
    <w:rsid w:val="00CC4289"/>
    <w:rsid w:val="00CC6D7B"/>
    <w:rsid w:val="00CD0F4A"/>
    <w:rsid w:val="00CD6A6A"/>
    <w:rsid w:val="00CE77F2"/>
    <w:rsid w:val="00D01047"/>
    <w:rsid w:val="00D027E7"/>
    <w:rsid w:val="00D07322"/>
    <w:rsid w:val="00D1699D"/>
    <w:rsid w:val="00D271C5"/>
    <w:rsid w:val="00D27CA4"/>
    <w:rsid w:val="00D42088"/>
    <w:rsid w:val="00D718E7"/>
    <w:rsid w:val="00D95C0A"/>
    <w:rsid w:val="00D95E83"/>
    <w:rsid w:val="00DA0243"/>
    <w:rsid w:val="00DC07DB"/>
    <w:rsid w:val="00DD3E5E"/>
    <w:rsid w:val="00DF08B1"/>
    <w:rsid w:val="00DF15B3"/>
    <w:rsid w:val="00DF7DB8"/>
    <w:rsid w:val="00E071BA"/>
    <w:rsid w:val="00E33834"/>
    <w:rsid w:val="00E43B63"/>
    <w:rsid w:val="00E5452E"/>
    <w:rsid w:val="00E71DB6"/>
    <w:rsid w:val="00E75179"/>
    <w:rsid w:val="00E771E3"/>
    <w:rsid w:val="00E856AF"/>
    <w:rsid w:val="00E929BC"/>
    <w:rsid w:val="00E94DE0"/>
    <w:rsid w:val="00EB2476"/>
    <w:rsid w:val="00EC13B2"/>
    <w:rsid w:val="00EE7533"/>
    <w:rsid w:val="00EF0A4E"/>
    <w:rsid w:val="00F1346D"/>
    <w:rsid w:val="00F27954"/>
    <w:rsid w:val="00F77BBB"/>
    <w:rsid w:val="00FA636F"/>
    <w:rsid w:val="00FB0BB1"/>
    <w:rsid w:val="00FE1F23"/>
    <w:rsid w:val="00FE50AC"/>
    <w:rsid w:val="00FF1F99"/>
    <w:rsid w:val="012CF719"/>
    <w:rsid w:val="0166E015"/>
    <w:rsid w:val="03ECB5EE"/>
    <w:rsid w:val="04974C41"/>
    <w:rsid w:val="058B0F34"/>
    <w:rsid w:val="05D337E9"/>
    <w:rsid w:val="05D6547F"/>
    <w:rsid w:val="0600683C"/>
    <w:rsid w:val="062541A4"/>
    <w:rsid w:val="063C2D85"/>
    <w:rsid w:val="06BF0D56"/>
    <w:rsid w:val="072A9A52"/>
    <w:rsid w:val="09699723"/>
    <w:rsid w:val="097DA93B"/>
    <w:rsid w:val="0990772C"/>
    <w:rsid w:val="09BB7E7B"/>
    <w:rsid w:val="0B77A4BF"/>
    <w:rsid w:val="0B927E79"/>
    <w:rsid w:val="0CAB6F09"/>
    <w:rsid w:val="0CCC6031"/>
    <w:rsid w:val="0D226D7B"/>
    <w:rsid w:val="0D7CF8BC"/>
    <w:rsid w:val="0D986683"/>
    <w:rsid w:val="0E01945D"/>
    <w:rsid w:val="0E472925"/>
    <w:rsid w:val="0EFC9733"/>
    <w:rsid w:val="0F93428C"/>
    <w:rsid w:val="1014095C"/>
    <w:rsid w:val="1026D7CA"/>
    <w:rsid w:val="1035FDBD"/>
    <w:rsid w:val="107D8171"/>
    <w:rsid w:val="11A071B4"/>
    <w:rsid w:val="11AFD9BD"/>
    <w:rsid w:val="1201BFFD"/>
    <w:rsid w:val="125A47DD"/>
    <w:rsid w:val="1284E422"/>
    <w:rsid w:val="13A9D514"/>
    <w:rsid w:val="13B64D4D"/>
    <w:rsid w:val="14051DD8"/>
    <w:rsid w:val="147D83A3"/>
    <w:rsid w:val="149A489D"/>
    <w:rsid w:val="14DFFD33"/>
    <w:rsid w:val="14F92590"/>
    <w:rsid w:val="15414E45"/>
    <w:rsid w:val="15880AA1"/>
    <w:rsid w:val="1694F5F1"/>
    <w:rsid w:val="16AF0EDA"/>
    <w:rsid w:val="176F204D"/>
    <w:rsid w:val="179CF408"/>
    <w:rsid w:val="1827E745"/>
    <w:rsid w:val="1834352B"/>
    <w:rsid w:val="184ADF3B"/>
    <w:rsid w:val="18C0DE41"/>
    <w:rsid w:val="18C488EA"/>
    <w:rsid w:val="18E9E759"/>
    <w:rsid w:val="1902B5BB"/>
    <w:rsid w:val="197DECD1"/>
    <w:rsid w:val="19A1C345"/>
    <w:rsid w:val="1A05A243"/>
    <w:rsid w:val="1A37D484"/>
    <w:rsid w:val="1A9E861C"/>
    <w:rsid w:val="1AA92987"/>
    <w:rsid w:val="1ADB090C"/>
    <w:rsid w:val="1AEEAC5B"/>
    <w:rsid w:val="1B9A8402"/>
    <w:rsid w:val="1BA05111"/>
    <w:rsid w:val="1BCE3E3D"/>
    <w:rsid w:val="1C44F9E8"/>
    <w:rsid w:val="1C71ECD2"/>
    <w:rsid w:val="1C9796C6"/>
    <w:rsid w:val="1D3A77B0"/>
    <w:rsid w:val="1D4C4BE4"/>
    <w:rsid w:val="1D91C1F0"/>
    <w:rsid w:val="1F36DA6D"/>
    <w:rsid w:val="1F8DC65B"/>
    <w:rsid w:val="1FD1FE85"/>
    <w:rsid w:val="20BB9755"/>
    <w:rsid w:val="20D2AACE"/>
    <w:rsid w:val="2275D064"/>
    <w:rsid w:val="2290C99F"/>
    <w:rsid w:val="2298659F"/>
    <w:rsid w:val="22E12E56"/>
    <w:rsid w:val="23A7F0CC"/>
    <w:rsid w:val="2497440A"/>
    <w:rsid w:val="25392B55"/>
    <w:rsid w:val="25A629AD"/>
    <w:rsid w:val="268264FA"/>
    <w:rsid w:val="268CC768"/>
    <w:rsid w:val="26DF9F21"/>
    <w:rsid w:val="281F577E"/>
    <w:rsid w:val="28EDE2BB"/>
    <w:rsid w:val="28FEC6E1"/>
    <w:rsid w:val="2922AABC"/>
    <w:rsid w:val="29616699"/>
    <w:rsid w:val="2A2AE332"/>
    <w:rsid w:val="2A484EBB"/>
    <w:rsid w:val="2A749248"/>
    <w:rsid w:val="2C90F233"/>
    <w:rsid w:val="2CE89C9D"/>
    <w:rsid w:val="2DCFFAE2"/>
    <w:rsid w:val="2E69EE74"/>
    <w:rsid w:val="2E898732"/>
    <w:rsid w:val="2F4CFE37"/>
    <w:rsid w:val="2FB025A0"/>
    <w:rsid w:val="2FD8EEEB"/>
    <w:rsid w:val="306F5C70"/>
    <w:rsid w:val="30708038"/>
    <w:rsid w:val="30CDB9A4"/>
    <w:rsid w:val="30E8CE98"/>
    <w:rsid w:val="31685BE0"/>
    <w:rsid w:val="317789AC"/>
    <w:rsid w:val="320B8ABB"/>
    <w:rsid w:val="3229F4AE"/>
    <w:rsid w:val="33AA7EDA"/>
    <w:rsid w:val="33CB3C6B"/>
    <w:rsid w:val="35176E2E"/>
    <w:rsid w:val="3655434A"/>
    <w:rsid w:val="3724886D"/>
    <w:rsid w:val="372BAA9B"/>
    <w:rsid w:val="37F562E5"/>
    <w:rsid w:val="39235E29"/>
    <w:rsid w:val="3A2EB6F8"/>
    <w:rsid w:val="3B146075"/>
    <w:rsid w:val="3D7095A5"/>
    <w:rsid w:val="3D78CEFC"/>
    <w:rsid w:val="3E534254"/>
    <w:rsid w:val="3E82D7DE"/>
    <w:rsid w:val="3F0EA713"/>
    <w:rsid w:val="3F762260"/>
    <w:rsid w:val="4026CB42"/>
    <w:rsid w:val="407D7F56"/>
    <w:rsid w:val="41687429"/>
    <w:rsid w:val="41F8F81E"/>
    <w:rsid w:val="42B09203"/>
    <w:rsid w:val="43294009"/>
    <w:rsid w:val="4330131C"/>
    <w:rsid w:val="433B157C"/>
    <w:rsid w:val="436B9FCE"/>
    <w:rsid w:val="43821329"/>
    <w:rsid w:val="441FDA8C"/>
    <w:rsid w:val="450ADF5E"/>
    <w:rsid w:val="45A45E51"/>
    <w:rsid w:val="465AE772"/>
    <w:rsid w:val="46CA1B39"/>
    <w:rsid w:val="47FA249A"/>
    <w:rsid w:val="4829BECA"/>
    <w:rsid w:val="4886F120"/>
    <w:rsid w:val="49521FA1"/>
    <w:rsid w:val="4C318D8F"/>
    <w:rsid w:val="4C4401EE"/>
    <w:rsid w:val="4C495EC3"/>
    <w:rsid w:val="4D704078"/>
    <w:rsid w:val="4DAB4CE9"/>
    <w:rsid w:val="4E12ED95"/>
    <w:rsid w:val="4F177BDB"/>
    <w:rsid w:val="4FAF66CD"/>
    <w:rsid w:val="51239914"/>
    <w:rsid w:val="515A0188"/>
    <w:rsid w:val="51970BEC"/>
    <w:rsid w:val="52251713"/>
    <w:rsid w:val="52275D56"/>
    <w:rsid w:val="5285937A"/>
    <w:rsid w:val="5332DC4D"/>
    <w:rsid w:val="5371858A"/>
    <w:rsid w:val="54016610"/>
    <w:rsid w:val="546135DF"/>
    <w:rsid w:val="54881C32"/>
    <w:rsid w:val="5515DF8B"/>
    <w:rsid w:val="572AAAB2"/>
    <w:rsid w:val="5753C2C6"/>
    <w:rsid w:val="585437A1"/>
    <w:rsid w:val="587FD45D"/>
    <w:rsid w:val="58D25310"/>
    <w:rsid w:val="5A9B1560"/>
    <w:rsid w:val="5B36AE4F"/>
    <w:rsid w:val="5B6438B1"/>
    <w:rsid w:val="5BA32BFA"/>
    <w:rsid w:val="5BB7751F"/>
    <w:rsid w:val="5BEB3E99"/>
    <w:rsid w:val="5C43DCCE"/>
    <w:rsid w:val="5D11704F"/>
    <w:rsid w:val="5D224BEF"/>
    <w:rsid w:val="5D4827B4"/>
    <w:rsid w:val="5D534580"/>
    <w:rsid w:val="5D7F3C4B"/>
    <w:rsid w:val="5DCC232B"/>
    <w:rsid w:val="5F6CAA58"/>
    <w:rsid w:val="6059ECB1"/>
    <w:rsid w:val="6068DF15"/>
    <w:rsid w:val="62ADBABC"/>
    <w:rsid w:val="63858833"/>
    <w:rsid w:val="6448C111"/>
    <w:rsid w:val="64F1F29A"/>
    <w:rsid w:val="65104392"/>
    <w:rsid w:val="652AA6E0"/>
    <w:rsid w:val="6535608A"/>
    <w:rsid w:val="6595B414"/>
    <w:rsid w:val="659C6F43"/>
    <w:rsid w:val="66180FE4"/>
    <w:rsid w:val="665B6681"/>
    <w:rsid w:val="66955672"/>
    <w:rsid w:val="66B23D99"/>
    <w:rsid w:val="670874D9"/>
    <w:rsid w:val="675EE834"/>
    <w:rsid w:val="67BCF128"/>
    <w:rsid w:val="67DD2107"/>
    <w:rsid w:val="6848C645"/>
    <w:rsid w:val="688E7ADB"/>
    <w:rsid w:val="6A75A610"/>
    <w:rsid w:val="6AA66BFA"/>
    <w:rsid w:val="6B13F55D"/>
    <w:rsid w:val="6BD5866F"/>
    <w:rsid w:val="6C4AB73E"/>
    <w:rsid w:val="6C845D0B"/>
    <w:rsid w:val="6DB438EF"/>
    <w:rsid w:val="6DCA7CF3"/>
    <w:rsid w:val="6DE33FAE"/>
    <w:rsid w:val="6E7A77E7"/>
    <w:rsid w:val="6E9DC276"/>
    <w:rsid w:val="6EFDBC5F"/>
    <w:rsid w:val="6FB5349F"/>
    <w:rsid w:val="703C38B8"/>
    <w:rsid w:val="703F8AE6"/>
    <w:rsid w:val="70A2429E"/>
    <w:rsid w:val="71C6FE48"/>
    <w:rsid w:val="7230EC97"/>
    <w:rsid w:val="72DA7632"/>
    <w:rsid w:val="72FE8072"/>
    <w:rsid w:val="7358783B"/>
    <w:rsid w:val="7470B5E8"/>
    <w:rsid w:val="755371DA"/>
    <w:rsid w:val="75D1A60C"/>
    <w:rsid w:val="75EE32BA"/>
    <w:rsid w:val="766997E2"/>
    <w:rsid w:val="76CE1728"/>
    <w:rsid w:val="78830FE6"/>
    <w:rsid w:val="788B129C"/>
    <w:rsid w:val="78A49EA5"/>
    <w:rsid w:val="78E38E19"/>
    <w:rsid w:val="7A4FD9D8"/>
    <w:rsid w:val="7A8FD79E"/>
    <w:rsid w:val="7B36E152"/>
    <w:rsid w:val="7BFFF6E6"/>
    <w:rsid w:val="7C41B3C8"/>
    <w:rsid w:val="7CB400D0"/>
    <w:rsid w:val="7CC66C0D"/>
    <w:rsid w:val="7D31536C"/>
    <w:rsid w:val="7D5247C1"/>
    <w:rsid w:val="7DB1D7FA"/>
    <w:rsid w:val="7DF2B075"/>
    <w:rsid w:val="7F75313B"/>
  </w:rsids>
  <m:mathPr>
    <m:mathFont m:val="Cambria Math"/>
  </m:mathPr>
  <w:themeFontLang w:val="en-US" w:eastAsia="ko-KR"/>
  <w:clrSchemeMapping w:bg1="light1" w:t1="dark1" w:bg2="light2" w:t2="dark2" w:accent1="accent1" w:accent2="accent2" w:accent3="accent3" w:accent4="accent4" w:accent5="accent5" w:accent6="accent6" w:hyperlink="hyperlink" w:followedHyperlink="followedHyperlink"/>
  <w14:docId w14:val="1F1CFCF3"/>
  <w15:docId w15:val="{2F41E84C-2065-492C-B843-577AC775DF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C4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7C45"/>
    <w:rPr>
      <w:color w:val="0000FF"/>
      <w:u w:val="single"/>
    </w:rPr>
  </w:style>
  <w:style w:type="character" w:styleId="FootnoteReference">
    <w:name w:val="footnote reference"/>
    <w:basedOn w:val="DefaultParagraphFont"/>
    <w:uiPriority w:val="99"/>
    <w:semiHidden/>
    <w:unhideWhenUsed/>
    <w:rsid w:val="00027C45"/>
    <w:rPr>
      <w:vertAlign w:val="superscript"/>
    </w:rPr>
  </w:style>
  <w:style w:type="table" w:styleId="TableGrid">
    <w:name w:val="Table Grid"/>
    <w:basedOn w:val="TableNormal"/>
    <w:uiPriority w:val="39"/>
    <w:rsid w:val="00027C45"/>
    <w:pPr>
      <w:widowControl w:val="0"/>
      <w:autoSpaceDE w:val="0"/>
      <w:autoSpaceDN w:val="0"/>
      <w:adjustRightInd w:val="0"/>
      <w:spacing w:after="0" w:line="240" w:lineRule="auto"/>
    </w:pPr>
    <w:rPr>
      <w:rFonts w:ascii="Times New Roman" w:eastAsia="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027C45"/>
    <w:pPr>
      <w:widowControl/>
      <w:autoSpaceDE/>
      <w:autoSpaceDN/>
      <w:adjustRightInd/>
    </w:pPr>
    <w:rPr>
      <w:rFonts w:ascii="Book Antiqua" w:hAnsi="Book Antiqua"/>
      <w:sz w:val="24"/>
      <w:szCs w:val="24"/>
    </w:rPr>
  </w:style>
  <w:style w:type="character" w:customStyle="1" w:styleId="FootnoteTextChar">
    <w:name w:val="Footnote Text Char"/>
    <w:basedOn w:val="DefaultParagraphFont"/>
    <w:link w:val="FootnoteText"/>
    <w:uiPriority w:val="99"/>
    <w:rsid w:val="00027C45"/>
    <w:rPr>
      <w:rFonts w:ascii="Book Antiqua" w:eastAsia="Times New Roman" w:hAnsi="Book Antiqua" w:cs="Times New Roman"/>
      <w:sz w:val="24"/>
      <w:szCs w:val="24"/>
    </w:rPr>
  </w:style>
  <w:style w:type="character" w:styleId="FollowedHyperlink">
    <w:name w:val="FollowedHyperlink"/>
    <w:basedOn w:val="DefaultParagraphFont"/>
    <w:uiPriority w:val="99"/>
    <w:semiHidden/>
    <w:unhideWhenUsed/>
    <w:rsid w:val="0021526F"/>
    <w:rPr>
      <w:color w:val="800080" w:themeColor="followedHyperlink"/>
      <w:u w:val="single"/>
    </w:rPr>
  </w:style>
  <w:style w:type="paragraph" w:styleId="ListParagraph">
    <w:name w:val="List Paragraph"/>
    <w:basedOn w:val="Normal"/>
    <w:uiPriority w:val="34"/>
    <w:qFormat/>
    <w:rsid w:val="00851D2D"/>
    <w:pPr>
      <w:widowControl/>
      <w:autoSpaceDE/>
      <w:autoSpaceDN/>
      <w:adjustRightInd/>
      <w:ind w:left="720"/>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A02D05"/>
    <w:rPr>
      <w:sz w:val="16"/>
      <w:szCs w:val="16"/>
    </w:rPr>
  </w:style>
  <w:style w:type="paragraph" w:styleId="CommentText">
    <w:name w:val="annotation text"/>
    <w:basedOn w:val="Normal"/>
    <w:link w:val="CommentTextChar"/>
    <w:uiPriority w:val="99"/>
    <w:semiHidden/>
    <w:unhideWhenUsed/>
    <w:rsid w:val="00A02D05"/>
  </w:style>
  <w:style w:type="character" w:customStyle="1" w:styleId="CommentTextChar">
    <w:name w:val="Comment Text Char"/>
    <w:basedOn w:val="DefaultParagraphFont"/>
    <w:link w:val="CommentText"/>
    <w:uiPriority w:val="99"/>
    <w:semiHidden/>
    <w:rsid w:val="00A02D0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02D05"/>
    <w:rPr>
      <w:b/>
      <w:bCs/>
    </w:rPr>
  </w:style>
  <w:style w:type="character" w:customStyle="1" w:styleId="CommentSubjectChar">
    <w:name w:val="Comment Subject Char"/>
    <w:basedOn w:val="CommentTextChar"/>
    <w:link w:val="CommentSubject"/>
    <w:uiPriority w:val="99"/>
    <w:semiHidden/>
    <w:rsid w:val="00A02D05"/>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02D05"/>
    <w:rPr>
      <w:rFonts w:ascii="Tahoma" w:hAnsi="Tahoma" w:cs="Tahoma"/>
      <w:sz w:val="16"/>
      <w:szCs w:val="16"/>
    </w:rPr>
  </w:style>
  <w:style w:type="character" w:customStyle="1" w:styleId="BalloonTextChar">
    <w:name w:val="Balloon Text Char"/>
    <w:basedOn w:val="DefaultParagraphFont"/>
    <w:link w:val="BalloonText"/>
    <w:uiPriority w:val="99"/>
    <w:semiHidden/>
    <w:rsid w:val="00A02D05"/>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C03A59"/>
    <w:rPr>
      <w:color w:val="605E5C"/>
      <w:shd w:val="clear" w:color="auto" w:fill="E1DFDD"/>
    </w:rPr>
  </w:style>
  <w:style w:type="paragraph" w:styleId="Revision">
    <w:name w:val="Revision"/>
    <w:hidden/>
    <w:uiPriority w:val="99"/>
    <w:semiHidden/>
    <w:rsid w:val="008277A1"/>
    <w:pPr>
      <w:spacing w:after="0" w:line="240" w:lineRule="auto"/>
    </w:pPr>
    <w:rPr>
      <w:rFonts w:ascii="Times New Roman" w:eastAsia="Times New Roman" w:hAnsi="Times New Roman" w:cs="Times New Roman"/>
      <w:sz w:val="20"/>
      <w:szCs w:val="20"/>
    </w:rPr>
  </w:style>
  <w:style w:type="paragraph" w:styleId="HTMLPreformatted">
    <w:name w:val="HTML Preformatted"/>
    <w:basedOn w:val="Normal"/>
    <w:link w:val="HTMLPreformattedChar"/>
    <w:rsid w:val="006403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rPr>
  </w:style>
  <w:style w:type="character" w:customStyle="1" w:styleId="HTMLPreformattedChar">
    <w:name w:val="HTML Preformatted Char"/>
    <w:basedOn w:val="DefaultParagraphFont"/>
    <w:link w:val="HTMLPreformatted"/>
    <w:rsid w:val="006403FA"/>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ie.edu/landing-page/native-american-student-information-system-nasis" TargetMode="External" /><Relationship Id="rId6" Type="http://schemas.openxmlformats.org/officeDocument/2006/relationships/hyperlink" Target="https://www.bls.gov/news.release/pdf/ecec.pdf" TargetMode="External" /><Relationship Id="rId7" Type="http://schemas.openxmlformats.org/officeDocument/2006/relationships/hyperlink" Target="https://www.opm.gov/policy-data-oversight/pay-leave/salaries-wages/salary-tables/23Tables/html/RUS_h.aspx" TargetMode="External" /><Relationship Id="rId8" Type="http://schemas.openxmlformats.org/officeDocument/2006/relationships/theme" Target="theme/theme1.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3AB0DF-0BB4-4517-B057-A60EC98D36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81</TotalTime>
  <Pages>12</Pages>
  <Words>4767</Words>
  <Characters>27178</Characters>
  <Application>Microsoft Office Word</Application>
  <DocSecurity>0</DocSecurity>
  <Lines>226</Lines>
  <Paragraphs>63</Paragraphs>
  <ScaleCrop>false</ScaleCrop>
  <HeadingPairs>
    <vt:vector size="2" baseType="variant">
      <vt:variant>
        <vt:lpstr>Title</vt:lpstr>
      </vt:variant>
      <vt:variant>
        <vt:i4>1</vt:i4>
      </vt:variant>
    </vt:vector>
  </HeadingPairs>
  <TitlesOfParts>
    <vt:vector size="1" baseType="lpstr">
      <vt:lpstr/>
    </vt:vector>
  </TitlesOfParts>
  <Company>BIE</Company>
  <LinksUpToDate>false</LinksUpToDate>
  <CharactersWithSpaces>31882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Underwood, Patricia M. EOP/OMB</dc:creator>
  <cp:lastModifiedBy>Mullen, Steven M</cp:lastModifiedBy>
  <cp:revision>25</cp:revision>
  <cp:lastPrinted>2012-02-16T20:26:00Z</cp:lastPrinted>
  <dcterms:created xsi:type="dcterms:W3CDTF">2023-04-19T15:35:00Z</dcterms:created>
  <dcterms:modified xsi:type="dcterms:W3CDTF">2023-05-31T15:13:00Z</dcterms:modified>
</cp:coreProperties>
</file>