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404D" w14:paraId="3DFB9104" w14:textId="77777777">
      <w:pPr>
        <w:widowControl/>
        <w:tabs>
          <w:tab w:val="center" w:pos="5040"/>
        </w:tabs>
        <w:jc w:val="center"/>
      </w:pPr>
      <w:r>
        <w:t>Supporting Statement for</w:t>
      </w:r>
    </w:p>
    <w:p w:rsidR="0065404D" w14:paraId="76F70A56" w14:textId="77777777">
      <w:pPr>
        <w:widowControl/>
        <w:tabs>
          <w:tab w:val="center" w:pos="5040"/>
        </w:tabs>
        <w:jc w:val="center"/>
        <w:rPr>
          <w:b/>
          <w:bCs/>
        </w:rPr>
      </w:pPr>
      <w:r>
        <w:rPr>
          <w:b/>
          <w:bCs/>
        </w:rPr>
        <w:t xml:space="preserve">FERC-923, Communication of Operational Information </w:t>
      </w:r>
    </w:p>
    <w:p w:rsidR="0065404D" w14:paraId="7E5474CF" w14:textId="77777777">
      <w:pPr>
        <w:widowControl/>
        <w:tabs>
          <w:tab w:val="center" w:pos="5040"/>
        </w:tabs>
        <w:jc w:val="center"/>
        <w:rPr>
          <w:b/>
        </w:rPr>
      </w:pPr>
      <w:r>
        <w:rPr>
          <w:b/>
          <w:bCs/>
        </w:rPr>
        <w:t>between Natural Gas Pipelines and Electric Transmission Operators</w:t>
      </w:r>
    </w:p>
    <w:p w:rsidR="0065404D" w14:paraId="091214E0" w14:textId="77777777">
      <w:pPr>
        <w:widowControl/>
        <w:tabs>
          <w:tab w:val="center" w:pos="5040"/>
        </w:tabs>
        <w:jc w:val="center"/>
      </w:pPr>
    </w:p>
    <w:p w:rsidR="0065404D" w14:paraId="15B7899A" w14:textId="27D31E66">
      <w:pPr>
        <w:widowControl/>
        <w:tabs>
          <w:tab w:val="center" w:pos="5040"/>
        </w:tabs>
        <w:rPr>
          <w:bCs/>
        </w:rPr>
      </w:pPr>
      <w:r>
        <w:rPr>
          <w:bCs/>
        </w:rPr>
        <w:t xml:space="preserve">The Federal Energy Regulatory Commission (Commission or FERC) requests </w:t>
      </w:r>
      <w:r w:rsidR="003F1DF9">
        <w:rPr>
          <w:bCs/>
        </w:rPr>
        <w:t xml:space="preserve">an approval of an extension </w:t>
      </w:r>
      <w:r>
        <w:rPr>
          <w:bCs/>
        </w:rPr>
        <w:t xml:space="preserve">of </w:t>
      </w:r>
      <w:r>
        <w:rPr>
          <w:b/>
          <w:bCs/>
        </w:rPr>
        <w:t xml:space="preserve">FERC-923 (Communication of Operational Information between Natural Gas Pipelines and Electric Transmission Operators) </w:t>
      </w:r>
      <w:r>
        <w:rPr>
          <w:bCs/>
        </w:rPr>
        <w:t>(OMB Control No. 1902-0265)</w:t>
      </w:r>
      <w:r w:rsidR="003F1DF9">
        <w:rPr>
          <w:bCs/>
        </w:rPr>
        <w:t xml:space="preserve"> information collection</w:t>
      </w:r>
      <w:r>
        <w:rPr>
          <w:bCs/>
        </w:rPr>
        <w:t xml:space="preserve">, for a three-year period. </w:t>
      </w:r>
      <w:r w:rsidR="003F1DF9">
        <w:rPr>
          <w:bCs/>
        </w:rPr>
        <w:t xml:space="preserve"> There is no change to the current collection.</w:t>
      </w:r>
    </w:p>
    <w:p w:rsidR="0065404D" w14:paraId="25B7FDC5" w14:textId="77777777">
      <w:pPr>
        <w:widowControl/>
      </w:pPr>
    </w:p>
    <w:p w:rsidR="0065404D" w14:paraId="1E8F2484" w14:textId="77777777">
      <w:pPr>
        <w:widowControl/>
        <w:rPr>
          <w:b/>
        </w:rPr>
      </w:pPr>
      <w:r>
        <w:rPr>
          <w:b/>
        </w:rPr>
        <w:t>1.</w:t>
      </w:r>
      <w:r>
        <w:rPr>
          <w:b/>
        </w:rPr>
        <w:tab/>
        <w:t xml:space="preserve">CIRCUMSTANCES THAT MAKE THE COLLECTION OF INFORMATION </w:t>
      </w:r>
      <w:r>
        <w:rPr>
          <w:b/>
        </w:rPr>
        <w:tab/>
        <w:t>NECESSARY</w:t>
      </w:r>
    </w:p>
    <w:p w:rsidR="0065404D" w14:paraId="7478AD66" w14:textId="77777777">
      <w:pPr>
        <w:widowControl/>
        <w:ind w:left="1440"/>
        <w:rPr>
          <w:b/>
        </w:rPr>
      </w:pPr>
    </w:p>
    <w:p w:rsidR="0065404D" w14:paraId="54A10CE7" w14:textId="3DD36314">
      <w:r>
        <w:t xml:space="preserve">  Natural gas continues to be the single largest fuel source for electricity generation in the United States.</w:t>
      </w:r>
      <w:r w:rsidR="00A45BD8">
        <w:t xml:space="preserve">  This trend is expected to continue, resulting in greater interdependence between the natural gas and electric industries.  Several events over the last few years</w:t>
      </w:r>
      <w:r w:rsidR="00A45BD8">
        <w:rPr>
          <w:vertAlign w:val="superscript"/>
        </w:rPr>
        <w:t xml:space="preserve"> </w:t>
      </w:r>
      <w:r w:rsidR="00A45BD8">
        <w:t xml:space="preserve">demonstrated the crucial interconnection between natural gas pipelines and electric transmission operators and the need for robust communication between these industry sectors to ensure that both systems operate safely and effectively for the benefit of their customers.  </w:t>
      </w:r>
    </w:p>
    <w:p w:rsidR="0065404D" w14:paraId="4178D4A8" w14:textId="77777777"/>
    <w:p w:rsidR="0065404D" w14:paraId="53830998" w14:textId="77777777">
      <w:r>
        <w:t>The applicable regulations are in 18 CFR:</w:t>
      </w:r>
    </w:p>
    <w:p w:rsidR="0065404D" w14:paraId="651400E1" w14:textId="77777777">
      <w:pPr>
        <w:pStyle w:val="ListParagraph"/>
        <w:numPr>
          <w:ilvl w:val="0"/>
          <w:numId w:val="11"/>
        </w:numPr>
        <w:rPr>
          <w:rFonts w:ascii="Times New Roman" w:hAnsi="Times New Roman"/>
          <w:sz w:val="24"/>
          <w:szCs w:val="24"/>
        </w:rPr>
      </w:pPr>
      <w:r>
        <w:rPr>
          <w:rFonts w:ascii="Times New Roman" w:hAnsi="Times New Roman"/>
          <w:sz w:val="24"/>
          <w:szCs w:val="24"/>
        </w:rPr>
        <w:t>Section 38.2, which applies to any public utility that owns, operates, or controls facilities used for the transmission of electric energy in interstate commerce; and</w:t>
      </w:r>
    </w:p>
    <w:p w:rsidR="0065404D" w14:paraId="4B72B0D2" w14:textId="77777777">
      <w:pPr>
        <w:pStyle w:val="ListParagraph"/>
        <w:numPr>
          <w:ilvl w:val="0"/>
          <w:numId w:val="11"/>
        </w:numPr>
        <w:rPr>
          <w:rFonts w:ascii="Times New Roman" w:hAnsi="Times New Roman"/>
          <w:sz w:val="24"/>
          <w:szCs w:val="24"/>
        </w:rPr>
      </w:pPr>
      <w:r>
        <w:rPr>
          <w:rFonts w:ascii="Times New Roman" w:hAnsi="Times New Roman"/>
          <w:sz w:val="24"/>
          <w:szCs w:val="24"/>
        </w:rPr>
        <w:t>Section 284.12(b)(4)(</w:t>
      </w:r>
      <w:r>
        <w:rPr>
          <w:rFonts w:ascii="Times New Roman" w:hAnsi="Times New Roman"/>
          <w:sz w:val="24"/>
          <w:szCs w:val="24"/>
        </w:rPr>
        <w:t>i</w:t>
      </w:r>
      <w:r>
        <w:rPr>
          <w:rFonts w:ascii="Times New Roman" w:hAnsi="Times New Roman"/>
          <w:sz w:val="24"/>
          <w:szCs w:val="24"/>
        </w:rPr>
        <w:t xml:space="preserve">), which applies to any interstate pipeline.  </w:t>
      </w:r>
    </w:p>
    <w:p w:rsidR="0065404D" w14:paraId="09F65683" w14:textId="786A0E18">
      <w:r>
        <w:t>These regulations authorize public utilities providing transmission service and interstate natural gas pipelines to share non-public, operational information when such information is for the purpose of promoting reliable service or operational planning.</w:t>
      </w:r>
    </w:p>
    <w:p w:rsidR="0065404D" w14:paraId="4A619A7C" w14:textId="77777777">
      <w:pPr>
        <w:pStyle w:val="FERCparanumber"/>
        <w:numPr>
          <w:ilvl w:val="0"/>
          <w:numId w:val="0"/>
        </w:numPr>
        <w:tabs>
          <w:tab w:val="left" w:pos="720"/>
          <w:tab w:val="left" w:pos="4860"/>
        </w:tabs>
        <w:rPr>
          <w:sz w:val="24"/>
        </w:rPr>
      </w:pPr>
    </w:p>
    <w:p w:rsidR="0065404D" w14:paraId="1D70580C" w14:textId="77777777">
      <w:pPr>
        <w:pStyle w:val="FERCparanumber"/>
        <w:numPr>
          <w:ilvl w:val="0"/>
          <w:numId w:val="7"/>
        </w:numPr>
        <w:tabs>
          <w:tab w:val="left" w:pos="720"/>
          <w:tab w:val="left" w:pos="4860"/>
        </w:tabs>
        <w:rPr>
          <w:sz w:val="24"/>
        </w:rPr>
      </w:pPr>
      <w:r>
        <w:rPr>
          <w:b/>
          <w:sz w:val="24"/>
        </w:rPr>
        <w:t>HOW, BY WHOM AND FOR WHAT PURPOSE IS THE INFORMATION USED AND THE CONSEQUENCES OF NOT COLLECTING THE INFORMATION</w:t>
      </w:r>
    </w:p>
    <w:p w:rsidR="0065404D" w14:paraId="79EE8565" w14:textId="77777777">
      <w:pPr>
        <w:pStyle w:val="FERCparanumber"/>
        <w:numPr>
          <w:ilvl w:val="0"/>
          <w:numId w:val="0"/>
        </w:numPr>
        <w:tabs>
          <w:tab w:val="left" w:pos="720"/>
          <w:tab w:val="left" w:pos="4860"/>
        </w:tabs>
        <w:rPr>
          <w:b/>
          <w:sz w:val="24"/>
        </w:rPr>
      </w:pPr>
    </w:p>
    <w:p w:rsidR="001B3CB4" w:rsidP="001B3CB4" w14:paraId="4E806701" w14:textId="4183F008">
      <w:r>
        <w:t>Note that this non-public information will be communicated and shared between transmission operators and is not being submitted to FERC.</w:t>
      </w:r>
      <w:r>
        <w:t xml:space="preserve">  18 CFR 38.2 </w:t>
      </w:r>
      <w:r w:rsidR="000E7C17">
        <w:t xml:space="preserve">[electric side] </w:t>
      </w:r>
      <w:r>
        <w:t>includes the following.</w:t>
      </w:r>
    </w:p>
    <w:p w:rsidR="001B3CB4" w:rsidRPr="001B3CB4" w:rsidP="001666E4" w14:paraId="2EFC802F" w14:textId="77777777">
      <w:pPr>
        <w:ind w:left="720"/>
      </w:pPr>
      <w:r w:rsidRPr="001B3CB4">
        <w:t>§38.2 Communication and information sharing among public utilities and pipelines.</w:t>
      </w:r>
    </w:p>
    <w:p w:rsidR="001B3CB4" w:rsidRPr="001B3CB4" w:rsidP="001666E4" w14:paraId="27CE575A" w14:textId="77777777">
      <w:pPr>
        <w:ind w:left="720"/>
      </w:pPr>
      <w:r w:rsidRPr="001B3CB4">
        <w:t>(a) Any public utility that owns, operates, or controls facilities used for the transmission of electric energy in interstate</w:t>
      </w:r>
      <w:r>
        <w:t xml:space="preserve"> </w:t>
      </w:r>
      <w:r w:rsidRPr="001B3CB4">
        <w:t xml:space="preserve">commerce is authorized to share non-public, operational information with a pipeline, as defined in </w:t>
      </w:r>
      <w:r w:rsidRPr="001B3CB4">
        <w:rPr>
          <w:rFonts w:hint="eastAsia"/>
        </w:rPr>
        <w:t>§</w:t>
      </w:r>
      <w:r w:rsidRPr="001B3CB4">
        <w:t>284.12(b)(4) of this chapter,</w:t>
      </w:r>
      <w:r>
        <w:t xml:space="preserve"> </w:t>
      </w:r>
      <w:r w:rsidRPr="001B3CB4">
        <w:t>or another public utility covered by this section for the purpose of promoting reliable service or operational planning.</w:t>
      </w:r>
    </w:p>
    <w:p w:rsidR="001B3CB4" w:rsidP="001666E4" w14:paraId="31F9EE17" w14:textId="77777777">
      <w:pPr>
        <w:ind w:left="720"/>
      </w:pPr>
      <w:r w:rsidRPr="001B3CB4">
        <w:t>(b) Except as permitted in paragraph (a) of this section, a public utility, as defined in this section, and its employees,</w:t>
      </w:r>
      <w:r>
        <w:t xml:space="preserve"> </w:t>
      </w:r>
      <w:r w:rsidRPr="001B3CB4">
        <w:t>contractors, consultants, and agents are prohibited from disclosing, or using anyone as a conduit for the disclosure of, nonpublic,</w:t>
      </w:r>
      <w:r>
        <w:t xml:space="preserve"> </w:t>
      </w:r>
      <w:r w:rsidRPr="001B3CB4">
        <w:t xml:space="preserve">operational information received from a pipeline pursuant to </w:t>
      </w:r>
      <w:r w:rsidRPr="001B3CB4">
        <w:rPr>
          <w:rFonts w:hint="eastAsia"/>
        </w:rPr>
        <w:t>§</w:t>
      </w:r>
      <w:r w:rsidRPr="001B3CB4">
        <w:t>284.12(b)(4) of this chapter to a third party or to its</w:t>
      </w:r>
      <w:r>
        <w:t xml:space="preserve"> </w:t>
      </w:r>
      <w:r w:rsidRPr="001B3CB4">
        <w:t xml:space="preserve">marketing function employees as that term is defined in </w:t>
      </w:r>
      <w:r w:rsidRPr="001B3CB4">
        <w:rPr>
          <w:rFonts w:hint="eastAsia"/>
        </w:rPr>
        <w:t>§</w:t>
      </w:r>
      <w:r w:rsidRPr="001B3CB4">
        <w:t>358.3(d) of this chapter.</w:t>
      </w:r>
    </w:p>
    <w:p w:rsidR="0065404D" w14:paraId="5C2FAC64" w14:textId="317A6A7E"/>
    <w:p w:rsidR="004C6551" w14:paraId="40543A64" w14:textId="3AAFAF76">
      <w:r>
        <w:t xml:space="preserve">18CFR 284.12(b)(4) </w:t>
      </w:r>
      <w:r w:rsidR="000E7C17">
        <w:t xml:space="preserve">[gas side] </w:t>
      </w:r>
      <w:r>
        <w:t>includes the following:</w:t>
      </w:r>
    </w:p>
    <w:p w:rsidR="004C6551" w:rsidP="001666E4" w14:paraId="157E4E4B" w14:textId="1DC8F40A">
      <w:pPr>
        <w:ind w:left="720"/>
      </w:pPr>
      <w:r w:rsidRPr="004C6551">
        <w:t>§284.12 Standards for pipeline business operations and communications</w:t>
      </w:r>
      <w:r>
        <w:t>….</w:t>
      </w:r>
    </w:p>
    <w:p w:rsidR="004C6551" w:rsidP="001666E4" w14:paraId="03C179CB" w14:textId="52AA5F9E">
      <w:pPr>
        <w:ind w:left="720"/>
      </w:pPr>
      <w:r>
        <w:t>(4) Communication and information sharing among pipelines and public utilities. (</w:t>
      </w:r>
      <w:r>
        <w:t>i</w:t>
      </w:r>
      <w:r>
        <w:t xml:space="preserve">) A pipeline is authorized to share nonpublic, operational information with a public utility, as defined in §38.2(a) of this chapter or another pipeline covered by this section, for the purpose of promoting reliable service or operational planning. </w:t>
      </w:r>
    </w:p>
    <w:p w:rsidR="004C6551" w:rsidP="001666E4" w14:paraId="2F83E62E" w14:textId="14855256">
      <w:pPr>
        <w:ind w:left="720"/>
      </w:pPr>
      <w:r>
        <w:t>(ii) Except as permitted in paragraph (b)(4)(</w:t>
      </w:r>
      <w:r>
        <w:t>i</w:t>
      </w:r>
      <w:r>
        <w:t>) of this section, a pipeline and its employees, contractors, consultants, and agents are prohibited from disclosing, or using anyone as a conduit for the disclosure of, non-public, operational information received from a public utility pursuant to §38.2 of this chapter to a third party or to its marketing function employees as that term</w:t>
      </w:r>
      <w:r w:rsidR="00EA2C8B">
        <w:t xml:space="preserve"> </w:t>
      </w:r>
      <w:r>
        <w:t>is defined in §358.3(d) of this chapter.</w:t>
      </w:r>
    </w:p>
    <w:p w:rsidR="004C6551" w14:paraId="54F65E56" w14:textId="77777777"/>
    <w:p w:rsidR="0065404D" w14:paraId="2BF54F79" w14:textId="59B45939">
      <w:r>
        <w:t>Entities from both electric and natural gas industries have made efforts to improve coordination and enhance system reliability by sharing non-public, operational information and continued sharing of non-public, operational information between transmission operators should continue to enhance system reliability and contingency planning in both industries.  The information sharing and communications between industry entities are voluntary.  FERC’s regulations provide a limited exception to actual and perceived restrictions on providing non-public, operational information to third parties.</w:t>
      </w:r>
    </w:p>
    <w:p w:rsidR="0065404D" w14:paraId="7CF691F2" w14:textId="77777777">
      <w:pPr>
        <w:pStyle w:val="FERCparanumber"/>
        <w:numPr>
          <w:ilvl w:val="0"/>
          <w:numId w:val="0"/>
        </w:numPr>
        <w:tabs>
          <w:tab w:val="left" w:pos="720"/>
          <w:tab w:val="left" w:pos="4860"/>
        </w:tabs>
        <w:rPr>
          <w:sz w:val="24"/>
        </w:rPr>
      </w:pPr>
    </w:p>
    <w:p w:rsidR="0065404D" w14:paraId="1A49EB93" w14:textId="77777777">
      <w:pPr>
        <w:widowControl/>
        <w:numPr>
          <w:ilvl w:val="0"/>
          <w:numId w:val="7"/>
        </w:numPr>
      </w:pPr>
      <w:r>
        <w:rPr>
          <w:b/>
        </w:rPr>
        <w:t>DESCRIBE ANY CONSIDERATION OF THE USE OF IMPROVED INFORMATION TECHNOLOGY TO REDUCE BURDEN AND THE TECHNICAL OR LEGAL OBSTACLES TO REDUCING BURDEN</w:t>
      </w:r>
    </w:p>
    <w:p w:rsidR="0065404D" w14:paraId="20DF2738" w14:textId="77777777"/>
    <w:p w:rsidR="0065404D" w14:paraId="2BF04764" w14:textId="77777777">
      <w:r>
        <w:t>The permitted communications are voluntary.  FERC does not prescribe the content, medium, format, or frequency for the information sharing and communications; those decisions are made by the transmission operators, depending on their needs for maintaining reliability or operational planning.  As such, no physical or electronic form for the FERC-923 information collection exists.</w:t>
      </w:r>
    </w:p>
    <w:p w:rsidR="0065404D" w14:paraId="3BEF9C13" w14:textId="77777777"/>
    <w:p w:rsidR="0065404D" w14:paraId="72434916" w14:textId="77777777">
      <w:pPr>
        <w:pStyle w:val="FERCparanumber"/>
        <w:numPr>
          <w:ilvl w:val="0"/>
          <w:numId w:val="7"/>
        </w:numPr>
        <w:rPr>
          <w:sz w:val="24"/>
        </w:rPr>
      </w:pPr>
      <w:r>
        <w:rPr>
          <w:b/>
          <w:sz w:val="24"/>
        </w:rPr>
        <w:t>DESCRIBE EFFORTS TO IDENTIFY DUPLICATON AND SHOW SPECIFICALLY WHY ANY SIMILAR INFORMATION ALREADY AVAILABLE CANNOT BE USED OR MODIFIED FOR USE FOR THE PURPOSE(S) DESCRIBED IN INSTRUCTION NO. 2.</w:t>
      </w:r>
    </w:p>
    <w:p w:rsidR="0065404D" w14:paraId="1A57B613" w14:textId="77777777">
      <w:pPr>
        <w:pStyle w:val="FERCparanumber"/>
        <w:numPr>
          <w:ilvl w:val="0"/>
          <w:numId w:val="0"/>
        </w:numPr>
        <w:rPr>
          <w:b/>
          <w:sz w:val="24"/>
        </w:rPr>
      </w:pPr>
    </w:p>
    <w:p w:rsidR="0065404D" w14:paraId="31F0ABBA" w14:textId="77777777">
      <w:r>
        <w:t>The operational information the transmission operators may choose to share is non-public and, in many cases, consists of current or time-sensitive operational data.  The tariff filings are generally public.  The information is not publicly available elsewhere.</w:t>
      </w:r>
    </w:p>
    <w:p w:rsidR="0065404D" w14:paraId="78F8DA94" w14:textId="77777777">
      <w:pPr>
        <w:pStyle w:val="FERCparanumber"/>
        <w:numPr>
          <w:ilvl w:val="0"/>
          <w:numId w:val="0"/>
        </w:numPr>
        <w:rPr>
          <w:sz w:val="24"/>
        </w:rPr>
      </w:pPr>
    </w:p>
    <w:p w:rsidR="0065404D" w14:paraId="7DE66210" w14:textId="77777777">
      <w:pPr>
        <w:pStyle w:val="FERCparanumber"/>
        <w:numPr>
          <w:ilvl w:val="0"/>
          <w:numId w:val="7"/>
        </w:numPr>
        <w:rPr>
          <w:sz w:val="24"/>
        </w:rPr>
      </w:pPr>
      <w:r>
        <w:rPr>
          <w:b/>
          <w:sz w:val="24"/>
        </w:rPr>
        <w:t>METHODS USED TO MINIMIZE BURDEN IN COLLECTION OF INFORMATION INVOLVING SMALL ENTITIES</w:t>
      </w:r>
      <w:r>
        <w:rPr>
          <w:sz w:val="24"/>
        </w:rPr>
        <w:t xml:space="preserve"> </w:t>
      </w:r>
    </w:p>
    <w:p w:rsidR="0065404D" w14:paraId="0A4CFB39" w14:textId="77777777"/>
    <w:p w:rsidR="0065404D" w14:paraId="464E737A" w14:textId="77777777">
      <w:r>
        <w:t>The information sharing is voluntary (regardless of respondents’ size) and between transmission operators that believe sharing the non-public, operational information is useful for the purposes of reliability and operational planning.</w:t>
      </w:r>
    </w:p>
    <w:p w:rsidR="0065404D" w14:paraId="4AB0EAE2" w14:textId="77777777"/>
    <w:p w:rsidR="0065404D" w14:paraId="002FB899" w14:textId="242E3872">
      <w:r>
        <w:t>None of the entities impacted by FERC-923 meet the Small Business Administration’s definition of a “small entity</w:t>
      </w:r>
      <w:r w:rsidR="003F1DF9">
        <w:t>.</w:t>
      </w:r>
      <w:r>
        <w:t>”</w:t>
      </w:r>
    </w:p>
    <w:p w:rsidR="0065404D" w14:paraId="41C9668D" w14:textId="77777777">
      <w:pPr>
        <w:pStyle w:val="FERCparanumber"/>
        <w:numPr>
          <w:ilvl w:val="0"/>
          <w:numId w:val="0"/>
        </w:numPr>
        <w:tabs>
          <w:tab w:val="num" w:pos="0"/>
        </w:tabs>
        <w:rPr>
          <w:sz w:val="24"/>
        </w:rPr>
      </w:pPr>
    </w:p>
    <w:p w:rsidR="0065404D" w14:paraId="66700610" w14:textId="77777777">
      <w:pPr>
        <w:pStyle w:val="FERCparanumber"/>
        <w:numPr>
          <w:ilvl w:val="0"/>
          <w:numId w:val="7"/>
        </w:numPr>
        <w:rPr>
          <w:sz w:val="24"/>
        </w:rPr>
      </w:pPr>
      <w:r>
        <w:rPr>
          <w:b/>
          <w:sz w:val="24"/>
        </w:rPr>
        <w:t>CONSEQUENCE TO FEDERAL PROGRAM IF COLLECTION WERE CONDUCTED LESS FREQUENTLY</w:t>
      </w:r>
    </w:p>
    <w:p w:rsidR="0065404D" w14:paraId="72A5900A" w14:textId="77777777">
      <w:pPr>
        <w:pStyle w:val="FERCparanumber"/>
        <w:numPr>
          <w:ilvl w:val="0"/>
          <w:numId w:val="0"/>
        </w:numPr>
        <w:rPr>
          <w:b/>
          <w:sz w:val="24"/>
        </w:rPr>
      </w:pPr>
    </w:p>
    <w:p w:rsidR="0065404D" w14:paraId="5493D5FA" w14:textId="77777777">
      <w:r>
        <w:t xml:space="preserve">The frequency and content of the information being shared is not mandated by FERC; rather it is determined by the affected entities based on operational circumstances. (FERC, however, estimates the frequency of this information sharing to be 12 times per year, based on operational circumstances and needs.)  The goal of the inter-industry communications is to promote operational planning and reliability on either the interstate natural gas </w:t>
      </w:r>
      <w:r>
        <w:t>pipeline’s</w:t>
      </w:r>
      <w:r>
        <w:t xml:space="preserve"> or utility’s system.  </w:t>
      </w:r>
    </w:p>
    <w:p w:rsidR="0065404D" w14:paraId="4684CBE2" w14:textId="77777777"/>
    <w:p w:rsidR="0065404D" w14:paraId="4989954C" w14:textId="77777777">
      <w:pPr>
        <w:pStyle w:val="FERCparanumber"/>
        <w:numPr>
          <w:ilvl w:val="0"/>
          <w:numId w:val="0"/>
        </w:numPr>
        <w:rPr>
          <w:sz w:val="24"/>
        </w:rPr>
      </w:pPr>
    </w:p>
    <w:p w:rsidR="0065404D" w14:paraId="3E3162F2" w14:textId="77777777">
      <w:pPr>
        <w:pStyle w:val="FERCparanumber"/>
        <w:numPr>
          <w:ilvl w:val="0"/>
          <w:numId w:val="7"/>
        </w:numPr>
        <w:rPr>
          <w:sz w:val="24"/>
        </w:rPr>
      </w:pPr>
      <w:r>
        <w:rPr>
          <w:b/>
          <w:sz w:val="24"/>
        </w:rPr>
        <w:t>EXPLAIN ANY SPECIAL CIRCUMSTANCES RELATING TO THE INFORMATION</w:t>
      </w:r>
    </w:p>
    <w:p w:rsidR="0065404D" w14:paraId="07ADABB2" w14:textId="77777777">
      <w:pPr>
        <w:pStyle w:val="FERCparanumber"/>
        <w:numPr>
          <w:ilvl w:val="0"/>
          <w:numId w:val="0"/>
        </w:numPr>
        <w:rPr>
          <w:b/>
          <w:sz w:val="24"/>
        </w:rPr>
      </w:pPr>
    </w:p>
    <w:p w:rsidR="0065404D" w14:paraId="2CA06D9C" w14:textId="77777777">
      <w:r>
        <w:t xml:space="preserve">There are no special circumstances. </w:t>
      </w:r>
    </w:p>
    <w:p w:rsidR="0065404D" w14:paraId="2199B804" w14:textId="77777777">
      <w:pPr>
        <w:pStyle w:val="FERCparanumber"/>
        <w:numPr>
          <w:ilvl w:val="0"/>
          <w:numId w:val="0"/>
        </w:numPr>
        <w:rPr>
          <w:sz w:val="24"/>
        </w:rPr>
      </w:pPr>
    </w:p>
    <w:p w:rsidR="0065404D" w14:paraId="213529BA" w14:textId="77777777">
      <w:pPr>
        <w:pStyle w:val="FERCparanumber"/>
        <w:numPr>
          <w:ilvl w:val="0"/>
          <w:numId w:val="7"/>
        </w:numPr>
        <w:rPr>
          <w:sz w:val="24"/>
        </w:rPr>
      </w:pPr>
      <w:r>
        <w:rPr>
          <w:b/>
          <w:sz w:val="24"/>
        </w:rPr>
        <w:t>DESCRIBE EFFORTS TO CONSULT OUTSIDE THE AGENCY: SUMMARIZE PUBLIC COMMENTS AND THE AGENCY’S RESPONSE TO THESE COMMENTS</w:t>
      </w:r>
    </w:p>
    <w:p w:rsidR="0065404D" w14:paraId="0F8E87DC" w14:textId="77777777">
      <w:pPr>
        <w:pStyle w:val="FERCparanumber"/>
        <w:numPr>
          <w:ilvl w:val="0"/>
          <w:numId w:val="0"/>
        </w:numPr>
        <w:rPr>
          <w:b/>
          <w:sz w:val="24"/>
        </w:rPr>
      </w:pPr>
    </w:p>
    <w:p w:rsidR="0065404D" w14:paraId="69FEBABE" w14:textId="214E6681">
      <w:r>
        <w:t>FERC initiated the renewal process for FERC-923 on</w:t>
      </w:r>
      <w:r w:rsidR="003F11A8">
        <w:t xml:space="preserve"> October 27</w:t>
      </w:r>
      <w:r>
        <w:t>, 20</w:t>
      </w:r>
      <w:r w:rsidR="003F11A8">
        <w:t>22</w:t>
      </w:r>
      <w:r>
        <w:t>, by publishing a 60-day notice (8</w:t>
      </w:r>
      <w:r w:rsidR="003F11A8">
        <w:t>7</w:t>
      </w:r>
      <w:r>
        <w:t xml:space="preserve"> FR </w:t>
      </w:r>
      <w:r w:rsidR="003F11A8">
        <w:t>65049</w:t>
      </w:r>
      <w:r>
        <w:t xml:space="preserve">).  That notice provided for a comment period that ended on </w:t>
      </w:r>
      <w:r w:rsidR="003F11A8">
        <w:t>December</w:t>
      </w:r>
      <w:r>
        <w:t xml:space="preserve"> 2</w:t>
      </w:r>
      <w:r w:rsidR="003F11A8">
        <w:t>7</w:t>
      </w:r>
      <w:r>
        <w:t>, 202</w:t>
      </w:r>
      <w:r w:rsidR="003F11A8">
        <w:t>2</w:t>
      </w:r>
      <w:r>
        <w:t>.</w:t>
      </w:r>
      <w:r w:rsidR="00676CEF">
        <w:t xml:space="preserve"> </w:t>
      </w:r>
      <w:r>
        <w:t xml:space="preserve"> </w:t>
      </w:r>
      <w:r w:rsidRPr="00676CEF">
        <w:t>The Commission received no comments in response to the 60-day notice.</w:t>
      </w:r>
    </w:p>
    <w:p w:rsidR="0065404D" w14:paraId="6C4EF139" w14:textId="77777777"/>
    <w:p w:rsidR="0065404D" w14:paraId="2B890E9F" w14:textId="299B9A4D">
      <w:r>
        <w:t xml:space="preserve">FERC published, a 30-day notice on </w:t>
      </w:r>
      <w:r w:rsidR="003B2665">
        <w:t>January</w:t>
      </w:r>
      <w:r>
        <w:t xml:space="preserve"> </w:t>
      </w:r>
      <w:r w:rsidR="003B2665">
        <w:t>10</w:t>
      </w:r>
      <w:r>
        <w:t>, 202</w:t>
      </w:r>
      <w:r w:rsidR="003B2665">
        <w:t>3</w:t>
      </w:r>
      <w:r>
        <w:t xml:space="preserve"> </w:t>
      </w:r>
      <w:r>
        <w:rPr>
          <w:bCs/>
        </w:rPr>
        <w:t>(</w:t>
      </w:r>
      <w:r w:rsidRPr="00164195" w:rsidR="00164195">
        <w:rPr>
          <w:bCs/>
        </w:rPr>
        <w:t>88 FR 1373</w:t>
      </w:r>
      <w:r>
        <w:rPr>
          <w:bCs/>
        </w:rPr>
        <w:t>)</w:t>
      </w:r>
      <w:r>
        <w:t>.</w:t>
      </w:r>
      <w:r>
        <w:rPr>
          <w:vertAlign w:val="superscript"/>
        </w:rPr>
        <w:t>.</w:t>
      </w:r>
      <w:r>
        <w:rPr>
          <w:vertAlign w:val="superscript"/>
        </w:rPr>
        <w:t xml:space="preserve"> </w:t>
      </w:r>
      <w:r>
        <w:t xml:space="preserve"> Within the 30-day notice, the Commission noted that it is requesting reinstatement, with adjustments to the burden estimates.  </w:t>
      </w:r>
    </w:p>
    <w:p w:rsidR="0065404D" w14:paraId="4402A76E" w14:textId="77777777">
      <w:pPr>
        <w:pStyle w:val="FERCparanumber"/>
        <w:numPr>
          <w:ilvl w:val="0"/>
          <w:numId w:val="0"/>
        </w:numPr>
        <w:rPr>
          <w:sz w:val="24"/>
        </w:rPr>
      </w:pPr>
    </w:p>
    <w:p w:rsidR="0065404D" w14:paraId="34DDED3F" w14:textId="77777777">
      <w:pPr>
        <w:pStyle w:val="FERCparanumber"/>
        <w:numPr>
          <w:ilvl w:val="0"/>
          <w:numId w:val="7"/>
        </w:numPr>
        <w:rPr>
          <w:sz w:val="24"/>
        </w:rPr>
      </w:pPr>
      <w:r>
        <w:rPr>
          <w:b/>
          <w:sz w:val="24"/>
        </w:rPr>
        <w:t>EXPLAIN ANY PAYMENT OR GIFTS TO RESPONDENTS</w:t>
      </w:r>
    </w:p>
    <w:p w:rsidR="0065404D" w14:paraId="40E34BE6" w14:textId="77777777">
      <w:pPr>
        <w:pStyle w:val="FERCparanumber"/>
        <w:numPr>
          <w:ilvl w:val="0"/>
          <w:numId w:val="0"/>
        </w:numPr>
        <w:rPr>
          <w:b/>
          <w:sz w:val="24"/>
        </w:rPr>
      </w:pPr>
    </w:p>
    <w:p w:rsidR="0065404D" w14:paraId="6AE3915E" w14:textId="77777777">
      <w:pPr>
        <w:widowControl/>
      </w:pPr>
      <w:r>
        <w:t>There are no payments or gifts to respondents of this collection.</w:t>
      </w:r>
    </w:p>
    <w:p w:rsidR="0065404D" w14:paraId="374CA2AF" w14:textId="77777777">
      <w:pPr>
        <w:pStyle w:val="FERCparanumber"/>
        <w:numPr>
          <w:ilvl w:val="0"/>
          <w:numId w:val="0"/>
        </w:numPr>
        <w:rPr>
          <w:b/>
          <w:sz w:val="24"/>
        </w:rPr>
      </w:pPr>
    </w:p>
    <w:p w:rsidR="0065404D" w14:paraId="1209DDD5" w14:textId="77777777">
      <w:pPr>
        <w:pStyle w:val="FERCparanumber"/>
        <w:numPr>
          <w:ilvl w:val="0"/>
          <w:numId w:val="0"/>
        </w:numPr>
        <w:rPr>
          <w:sz w:val="24"/>
        </w:rPr>
      </w:pPr>
    </w:p>
    <w:p w:rsidR="0065404D" w14:paraId="1F8FE815" w14:textId="77777777">
      <w:pPr>
        <w:pStyle w:val="FERCparanumber"/>
        <w:numPr>
          <w:ilvl w:val="0"/>
          <w:numId w:val="7"/>
        </w:numPr>
        <w:rPr>
          <w:sz w:val="24"/>
        </w:rPr>
      </w:pPr>
      <w:r>
        <w:rPr>
          <w:b/>
          <w:sz w:val="24"/>
        </w:rPr>
        <w:t>DESCRIBE ANY ASSURANCE OF CONFIDENTIALITY PROVIDED TO RESPONDENTS</w:t>
      </w:r>
    </w:p>
    <w:p w:rsidR="0065404D" w14:paraId="6EC72DD7" w14:textId="77777777">
      <w:pPr>
        <w:pStyle w:val="FERCparanumber"/>
        <w:numPr>
          <w:ilvl w:val="0"/>
          <w:numId w:val="0"/>
        </w:numPr>
        <w:rPr>
          <w:b/>
          <w:sz w:val="24"/>
        </w:rPr>
      </w:pPr>
    </w:p>
    <w:p w:rsidR="0065404D" w14:paraId="6A36847E" w14:textId="0E3F77B4">
      <w:r>
        <w:t xml:space="preserve">The sharing of the non-public data occurs between transmission operators; the data </w:t>
      </w:r>
      <w:r w:rsidR="003F11A8">
        <w:t>is</w:t>
      </w:r>
      <w:r>
        <w:t xml:space="preserve"> not provided to FERC.  Recipients of the non-public, operational information are subject to a No-Conduit Rule that prohibits subsequent disclosure of that information to a third party or marketing function employee.</w:t>
      </w:r>
    </w:p>
    <w:p w:rsidR="0065404D" w14:paraId="4885CB7C" w14:textId="77777777"/>
    <w:p w:rsidR="0065404D" w14:paraId="4FDC3B99" w14:textId="77777777">
      <w:pPr>
        <w:pStyle w:val="FERCparanumber"/>
        <w:numPr>
          <w:ilvl w:val="0"/>
          <w:numId w:val="7"/>
        </w:numPr>
        <w:rPr>
          <w:sz w:val="24"/>
        </w:rPr>
      </w:pPr>
      <w:r>
        <w:rPr>
          <w:b/>
          <w:sz w:val="24"/>
        </w:rPr>
        <w:t>PROVIDE ADDITIONAL JUSTIFICATION FOR ANY QUESTIONS OF A SENSITIVE NATURE, SUCH AS SEXUAL BEHAVIOR AND ATTITUDES, RELIGIOUS BELIEFS, AND OTHER MATTERS THAT ARE COMMONLY CONSIDERED PRIVATE</w:t>
      </w:r>
    </w:p>
    <w:p w:rsidR="0065404D" w14:paraId="4EE73778" w14:textId="77777777">
      <w:pPr>
        <w:pStyle w:val="FERCparanumber"/>
        <w:numPr>
          <w:ilvl w:val="0"/>
          <w:numId w:val="0"/>
        </w:numPr>
        <w:rPr>
          <w:b/>
          <w:sz w:val="24"/>
        </w:rPr>
      </w:pPr>
    </w:p>
    <w:p w:rsidR="0065404D" w14:paraId="1747DD19" w14:textId="515B1930">
      <w:pPr>
        <w:widowControl/>
        <w:rPr>
          <w:b/>
        </w:rPr>
      </w:pPr>
      <w:r>
        <w:t>The content being shared is determined by the entities involved based on reliability needs and the operational situation.</w:t>
      </w:r>
    </w:p>
    <w:p w:rsidR="0065404D" w14:paraId="3AF9CE24" w14:textId="77777777">
      <w:pPr>
        <w:pStyle w:val="FERCparanumber"/>
        <w:numPr>
          <w:ilvl w:val="0"/>
          <w:numId w:val="0"/>
        </w:numPr>
        <w:rPr>
          <w:sz w:val="24"/>
        </w:rPr>
      </w:pPr>
    </w:p>
    <w:p w:rsidR="0065404D" w14:paraId="1C660E8D" w14:textId="77777777">
      <w:pPr>
        <w:pStyle w:val="FERCparanumber"/>
        <w:numPr>
          <w:ilvl w:val="0"/>
          <w:numId w:val="7"/>
        </w:numPr>
        <w:rPr>
          <w:sz w:val="24"/>
        </w:rPr>
      </w:pPr>
      <w:r>
        <w:rPr>
          <w:b/>
          <w:sz w:val="24"/>
        </w:rPr>
        <w:t>ESTIMATED BURDEN COLLECTION OF INFORMATION</w:t>
      </w:r>
    </w:p>
    <w:p w:rsidR="0065404D" w14:paraId="1248F80A" w14:textId="77777777">
      <w:pPr>
        <w:pStyle w:val="FERCparanumber"/>
        <w:numPr>
          <w:ilvl w:val="0"/>
          <w:numId w:val="0"/>
        </w:numPr>
        <w:ind w:left="72"/>
        <w:rPr>
          <w:sz w:val="24"/>
        </w:rPr>
      </w:pPr>
    </w:p>
    <w:p w:rsidR="0065404D" w14:paraId="14604FAF" w14:textId="77777777">
      <w:pPr>
        <w:pStyle w:val="FERCparanumber"/>
        <w:numPr>
          <w:ilvl w:val="0"/>
          <w:numId w:val="0"/>
        </w:numPr>
        <w:ind w:left="72"/>
        <w:rPr>
          <w:sz w:val="24"/>
        </w:rPr>
      </w:pPr>
      <w:r>
        <w:rPr>
          <w:sz w:val="24"/>
        </w:rPr>
        <w:t>The total estimated annual burden</w:t>
      </w:r>
      <w:r>
        <w:rPr>
          <w:b/>
          <w:sz w:val="24"/>
          <w:vertAlign w:val="superscript"/>
        </w:rPr>
        <w:footnoteReference w:id="2"/>
      </w:r>
      <w:r>
        <w:rPr>
          <w:sz w:val="24"/>
        </w:rPr>
        <w:t xml:space="preserve"> for respondents is:</w:t>
      </w:r>
    </w:p>
    <w:p w:rsidR="0065404D" w14:paraId="4DDD9AF4" w14:textId="77777777">
      <w:pPr>
        <w:pStyle w:val="FERCparanumber"/>
        <w:numPr>
          <w:ilvl w:val="0"/>
          <w:numId w:val="12"/>
        </w:numPr>
        <w:rPr>
          <w:sz w:val="24"/>
        </w:rPr>
      </w:pPr>
      <w:r>
        <w:rPr>
          <w:sz w:val="24"/>
        </w:rPr>
        <w:t xml:space="preserve">4,152 </w:t>
      </w:r>
      <w:r>
        <w:rPr>
          <w:sz w:val="24"/>
        </w:rPr>
        <w:t>responses;</w:t>
      </w:r>
    </w:p>
    <w:p w:rsidR="0065404D" w14:paraId="498E6D30" w14:textId="77777777">
      <w:pPr>
        <w:pStyle w:val="FERCparanumber"/>
        <w:numPr>
          <w:ilvl w:val="0"/>
          <w:numId w:val="12"/>
        </w:numPr>
        <w:rPr>
          <w:sz w:val="24"/>
        </w:rPr>
      </w:pPr>
      <w:r>
        <w:rPr>
          <w:sz w:val="24"/>
        </w:rPr>
        <w:t>2,076 burden hours; and</w:t>
      </w:r>
    </w:p>
    <w:p w:rsidR="0065404D" w14:paraId="77FFAF83" w14:textId="2E460977">
      <w:pPr>
        <w:pStyle w:val="FERCparanumber"/>
        <w:numPr>
          <w:ilvl w:val="0"/>
          <w:numId w:val="12"/>
        </w:numPr>
        <w:rPr>
          <w:sz w:val="24"/>
        </w:rPr>
      </w:pPr>
      <w:r>
        <w:rPr>
          <w:sz w:val="24"/>
        </w:rPr>
        <w:t>$1</w:t>
      </w:r>
      <w:r w:rsidR="003F11A8">
        <w:rPr>
          <w:sz w:val="24"/>
        </w:rPr>
        <w:t>88</w:t>
      </w:r>
      <w:r>
        <w:rPr>
          <w:sz w:val="24"/>
        </w:rPr>
        <w:t>,</w:t>
      </w:r>
      <w:r w:rsidR="003F11A8">
        <w:rPr>
          <w:sz w:val="24"/>
        </w:rPr>
        <w:t>916</w:t>
      </w:r>
      <w:r>
        <w:rPr>
          <w:sz w:val="24"/>
        </w:rPr>
        <w:t>.</w:t>
      </w:r>
    </w:p>
    <w:p w:rsidR="0065404D" w14:paraId="26FD3611" w14:textId="77777777">
      <w:pPr>
        <w:pStyle w:val="FERCparanumber"/>
        <w:numPr>
          <w:ilvl w:val="0"/>
          <w:numId w:val="0"/>
        </w:numPr>
        <w:rPr>
          <w:sz w:val="24"/>
        </w:rPr>
      </w:pPr>
    </w:p>
    <w:p w:rsidR="0065404D" w14:paraId="5B0FFF38" w14:textId="77777777">
      <w:pPr>
        <w:pStyle w:val="FERCparanumber"/>
        <w:numPr>
          <w:ilvl w:val="0"/>
          <w:numId w:val="0"/>
        </w:numPr>
        <w:rPr>
          <w:sz w:val="24"/>
        </w:rPr>
      </w:pPr>
      <w:r>
        <w:rPr>
          <w:sz w:val="24"/>
        </w:rPr>
        <w:t>The following table shows the pertinent calculations:</w:t>
      </w:r>
    </w:p>
    <w:p w:rsidR="0065404D" w14:paraId="0FBEE768" w14:textId="77777777">
      <w:pPr>
        <w:pStyle w:val="FERCparanumber"/>
        <w:numPr>
          <w:ilvl w:val="0"/>
          <w:numId w:val="0"/>
        </w:num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4FFB4E80" w14:textId="77777777" w:rsidTr="00C7698D">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61FA" w:rsidRPr="00DE01D7" w:rsidP="00C7698D" w14:paraId="077288EB" w14:textId="77777777">
            <w:pPr>
              <w:tabs>
                <w:tab w:val="left" w:pos="720"/>
              </w:tabs>
              <w:jc w:val="center"/>
              <w:rPr>
                <w:b/>
                <w:sz w:val="20"/>
                <w:szCs w:val="20"/>
              </w:rPr>
            </w:pPr>
            <w:r>
              <w:rPr>
                <w:b/>
                <w:sz w:val="20"/>
                <w:szCs w:val="20"/>
              </w:rPr>
              <w:t xml:space="preserve">FERC-923: </w:t>
            </w:r>
            <w:r w:rsidRPr="00DE01D7">
              <w:rPr>
                <w:bCs/>
                <w:sz w:val="20"/>
                <w:szCs w:val="20"/>
              </w:rPr>
              <w:t>Communication of Operational Information between Natural Gas Pipelines and Electric Transmission Operators</w:t>
            </w:r>
          </w:p>
        </w:tc>
      </w:tr>
      <w:tr w14:paraId="5AEE1700"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1FA" w:rsidP="00C7698D" w14:paraId="76FF6800"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3F45D098" w14:textId="77777777">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74603626" w14:textId="77777777">
            <w:pPr>
              <w:jc w:val="center"/>
              <w:rPr>
                <w:rFonts w:eastAsia="Calibri"/>
                <w:b/>
                <w:sz w:val="20"/>
                <w:szCs w:val="20"/>
              </w:rPr>
            </w:pPr>
            <w:r>
              <w:rPr>
                <w:rFonts w:eastAsia="Calibri"/>
                <w:b/>
                <w:sz w:val="20"/>
                <w:szCs w:val="20"/>
              </w:rPr>
              <w:t>Annual Number of Responses per Respondent</w:t>
            </w:r>
          </w:p>
          <w:p w:rsidR="004661FA" w:rsidP="00C7698D" w14:paraId="2A0A5554" w14:textId="77777777">
            <w:pPr>
              <w:jc w:val="center"/>
              <w:rPr>
                <w:rFonts w:eastAsia="Calibri"/>
                <w:b/>
                <w:sz w:val="20"/>
                <w:szCs w:val="20"/>
              </w:rPr>
            </w:pPr>
            <w:r>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6978455D" w14:textId="77777777">
            <w:pPr>
              <w:jc w:val="center"/>
              <w:rPr>
                <w:rFonts w:eastAsia="Calibri"/>
                <w:b/>
                <w:sz w:val="20"/>
                <w:szCs w:val="20"/>
              </w:rPr>
            </w:pPr>
            <w:r>
              <w:rPr>
                <w:rFonts w:eastAsia="Calibri"/>
                <w:b/>
                <w:sz w:val="20"/>
                <w:szCs w:val="20"/>
              </w:rPr>
              <w:t>Total Number of Responses (</w:t>
            </w:r>
            <w:r>
              <w:rPr>
                <w:rFonts w:eastAsia="Calibri"/>
                <w:b/>
                <w:sz w:val="20"/>
                <w:szCs w:val="20"/>
              </w:rPr>
              <w:t>1)*</w:t>
            </w:r>
            <w:r>
              <w:rPr>
                <w:rFonts w:eastAsia="Calibri"/>
                <w:b/>
                <w:sz w:val="20"/>
                <w:szCs w:val="20"/>
              </w:rPr>
              <w:t>(2)=(3)</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4609F66C" w14:textId="77777777">
            <w:pPr>
              <w:jc w:val="center"/>
              <w:rPr>
                <w:rFonts w:eastAsia="Calibri"/>
                <w:b/>
                <w:sz w:val="20"/>
                <w:szCs w:val="20"/>
              </w:rPr>
            </w:pPr>
            <w:r>
              <w:rPr>
                <w:rFonts w:eastAsia="Calibri"/>
                <w:b/>
                <w:sz w:val="20"/>
                <w:szCs w:val="20"/>
              </w:rPr>
              <w:t>Average Burden Hrs. &amp; Cost ($) Per Response</w:t>
            </w:r>
          </w:p>
          <w:p w:rsidR="004661FA" w:rsidP="00C7698D" w14:paraId="073F6DD2" w14:textId="77777777">
            <w:pPr>
              <w:jc w:val="center"/>
              <w:rPr>
                <w:rFonts w:eastAsia="Calibri"/>
                <w:b/>
                <w:sz w:val="20"/>
                <w:szCs w:val="20"/>
              </w:rPr>
            </w:pPr>
            <w:r>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2764C9F0" w14:textId="77777777">
            <w:pPr>
              <w:jc w:val="center"/>
              <w:rPr>
                <w:rFonts w:eastAsia="Calibri"/>
                <w:b/>
                <w:sz w:val="20"/>
                <w:szCs w:val="20"/>
              </w:rPr>
            </w:pPr>
            <w:r>
              <w:rPr>
                <w:rFonts w:eastAsia="Calibri"/>
                <w:b/>
                <w:sz w:val="20"/>
                <w:szCs w:val="20"/>
              </w:rPr>
              <w:t>Total Annual Burden Hrs. &amp; Total Annual Cost ($)</w:t>
            </w:r>
          </w:p>
          <w:p w:rsidR="004661FA" w:rsidP="00C7698D" w14:paraId="60A3BBF3" w14:textId="77777777">
            <w:pPr>
              <w:jc w:val="center"/>
              <w:rPr>
                <w:rFonts w:eastAsia="Calibri"/>
                <w:b/>
                <w:sz w:val="20"/>
                <w:szCs w:val="20"/>
              </w:rPr>
            </w:pPr>
            <w:r>
              <w:rPr>
                <w:rFonts w:eastAsia="Calibri"/>
                <w:b/>
                <w:sz w:val="20"/>
                <w:szCs w:val="20"/>
              </w:rPr>
              <w:t>(</w:t>
            </w:r>
            <w:r>
              <w:rPr>
                <w:rFonts w:eastAsia="Calibri"/>
                <w:b/>
                <w:sz w:val="20"/>
                <w:szCs w:val="20"/>
              </w:rPr>
              <w:t>3)*</w:t>
            </w:r>
            <w:r>
              <w:rPr>
                <w:rFonts w:eastAsia="Calibri"/>
                <w:b/>
                <w:sz w:val="20"/>
                <w:szCs w:val="20"/>
              </w:rPr>
              <w:t>(4)=(5)</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61FA" w:rsidP="00C7698D" w14:paraId="046E4939" w14:textId="77777777">
            <w:pPr>
              <w:jc w:val="center"/>
              <w:rPr>
                <w:rFonts w:eastAsia="Calibri"/>
                <w:b/>
                <w:sz w:val="20"/>
                <w:szCs w:val="20"/>
              </w:rPr>
            </w:pPr>
            <w:r>
              <w:rPr>
                <w:rFonts w:eastAsia="Calibri"/>
                <w:b/>
                <w:sz w:val="20"/>
                <w:szCs w:val="20"/>
              </w:rPr>
              <w:t>Cost per Respondent</w:t>
            </w:r>
          </w:p>
          <w:p w:rsidR="004661FA" w:rsidP="00C7698D" w14:paraId="15FBD16C" w14:textId="77777777">
            <w:pPr>
              <w:jc w:val="center"/>
              <w:rPr>
                <w:rFonts w:eastAsia="Calibri"/>
                <w:b/>
                <w:sz w:val="20"/>
                <w:szCs w:val="20"/>
              </w:rPr>
            </w:pPr>
            <w:r>
              <w:rPr>
                <w:rFonts w:eastAsia="Calibri"/>
                <w:b/>
                <w:sz w:val="20"/>
                <w:szCs w:val="20"/>
              </w:rPr>
              <w:t xml:space="preserve"> ($)</w:t>
            </w:r>
          </w:p>
          <w:p w:rsidR="004661FA" w:rsidP="00C7698D" w14:paraId="789DDB2C" w14:textId="77777777">
            <w:pPr>
              <w:jc w:val="center"/>
              <w:rPr>
                <w:rFonts w:eastAsia="Calibri"/>
                <w:b/>
                <w:sz w:val="20"/>
                <w:szCs w:val="20"/>
              </w:rPr>
            </w:pPr>
            <w:r>
              <w:rPr>
                <w:rFonts w:eastAsia="Calibri"/>
                <w:b/>
                <w:sz w:val="20"/>
                <w:szCs w:val="20"/>
              </w:rPr>
              <w:t>(</w:t>
            </w:r>
            <w:r>
              <w:rPr>
                <w:rFonts w:eastAsia="Calibri"/>
                <w:b/>
                <w:sz w:val="20"/>
                <w:szCs w:val="20"/>
              </w:rPr>
              <w:t>5)÷</w:t>
            </w:r>
            <w:r>
              <w:rPr>
                <w:rFonts w:eastAsia="Calibri"/>
                <w:b/>
                <w:sz w:val="20"/>
                <w:szCs w:val="20"/>
              </w:rPr>
              <w:t>(1)</w:t>
            </w:r>
          </w:p>
        </w:tc>
      </w:tr>
      <w:tr w14:paraId="72ABFA84"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4661FA" w:rsidP="00C7698D" w14:paraId="7AF54A1E" w14:textId="77777777">
            <w:pPr>
              <w:rPr>
                <w:rFonts w:eastAsia="Calibri"/>
                <w:sz w:val="20"/>
                <w:szCs w:val="20"/>
              </w:rPr>
            </w:pPr>
            <w:r>
              <w:rPr>
                <w:sz w:val="20"/>
                <w:szCs w:val="20"/>
              </w:rPr>
              <w:t>Public Utility Transmission Operator, communications</w:t>
            </w:r>
          </w:p>
        </w:tc>
        <w:tc>
          <w:tcPr>
            <w:tcW w:w="746" w:type="pct"/>
            <w:tcBorders>
              <w:top w:val="single" w:sz="4" w:space="0" w:color="auto"/>
              <w:left w:val="single" w:sz="4" w:space="0" w:color="auto"/>
              <w:bottom w:val="single" w:sz="4" w:space="0" w:color="auto"/>
              <w:right w:val="single" w:sz="4" w:space="0" w:color="auto"/>
            </w:tcBorders>
          </w:tcPr>
          <w:p w:rsidR="004661FA" w:rsidP="00C7698D" w14:paraId="2F29490D" w14:textId="77777777">
            <w:pPr>
              <w:jc w:val="right"/>
              <w:rPr>
                <w:rFonts w:eastAsia="Calibri"/>
                <w:sz w:val="20"/>
                <w:szCs w:val="20"/>
              </w:rPr>
            </w:pPr>
            <w:r>
              <w:rPr>
                <w:rFonts w:eastAsia="Calibri"/>
                <w:sz w:val="20"/>
                <w:szCs w:val="20"/>
              </w:rPr>
              <w:t>155</w:t>
            </w:r>
            <w:r>
              <w:rPr>
                <w:rStyle w:val="FootnoteReference"/>
                <w:rFonts w:eastAsia="Calibri"/>
                <w:vertAlign w:val="superscript"/>
              </w:rPr>
              <w:footnoteReference w:id="3"/>
            </w:r>
          </w:p>
        </w:tc>
        <w:tc>
          <w:tcPr>
            <w:tcW w:w="746" w:type="pct"/>
            <w:tcBorders>
              <w:top w:val="single" w:sz="4" w:space="0" w:color="auto"/>
              <w:left w:val="single" w:sz="4" w:space="0" w:color="auto"/>
              <w:bottom w:val="single" w:sz="4" w:space="0" w:color="auto"/>
              <w:right w:val="single" w:sz="4" w:space="0" w:color="auto"/>
            </w:tcBorders>
            <w:hideMark/>
          </w:tcPr>
          <w:p w:rsidR="004661FA" w:rsidP="00C7698D" w14:paraId="5DE43DC7" w14:textId="77777777">
            <w:pPr>
              <w:jc w:val="right"/>
              <w:rPr>
                <w:rFonts w:eastAsia="Calibri"/>
                <w:sz w:val="20"/>
                <w:szCs w:val="20"/>
              </w:rPr>
            </w:pPr>
            <w:r>
              <w:rPr>
                <w:rFonts w:eastAsia="Calibri"/>
                <w:sz w:val="20"/>
                <w:szCs w:val="20"/>
              </w:rPr>
              <w:t>12</w:t>
            </w:r>
          </w:p>
        </w:tc>
        <w:tc>
          <w:tcPr>
            <w:tcW w:w="703" w:type="pct"/>
            <w:tcBorders>
              <w:top w:val="single" w:sz="4" w:space="0" w:color="auto"/>
              <w:left w:val="single" w:sz="4" w:space="0" w:color="auto"/>
              <w:bottom w:val="single" w:sz="4" w:space="0" w:color="auto"/>
              <w:right w:val="single" w:sz="4" w:space="0" w:color="auto"/>
            </w:tcBorders>
            <w:hideMark/>
          </w:tcPr>
          <w:p w:rsidR="004661FA" w:rsidP="00C7698D" w14:paraId="1822F521" w14:textId="77777777">
            <w:pPr>
              <w:jc w:val="right"/>
              <w:rPr>
                <w:rFonts w:eastAsia="Calibri"/>
                <w:sz w:val="20"/>
                <w:szCs w:val="20"/>
              </w:rPr>
            </w:pPr>
            <w:r>
              <w:rPr>
                <w:rFonts w:eastAsia="Calibri"/>
                <w:sz w:val="20"/>
                <w:szCs w:val="20"/>
              </w:rPr>
              <w:t>1,860</w:t>
            </w:r>
          </w:p>
        </w:tc>
        <w:tc>
          <w:tcPr>
            <w:tcW w:w="654" w:type="pct"/>
            <w:tcBorders>
              <w:top w:val="single" w:sz="4" w:space="0" w:color="auto"/>
              <w:left w:val="single" w:sz="4" w:space="0" w:color="auto"/>
              <w:bottom w:val="single" w:sz="4" w:space="0" w:color="auto"/>
              <w:right w:val="single" w:sz="4" w:space="0" w:color="auto"/>
            </w:tcBorders>
            <w:hideMark/>
          </w:tcPr>
          <w:p w:rsidR="004661FA" w:rsidP="00C7698D" w14:paraId="1022B3CE" w14:textId="77777777">
            <w:pPr>
              <w:jc w:val="right"/>
              <w:rPr>
                <w:rFonts w:eastAsia="Calibri"/>
                <w:sz w:val="20"/>
                <w:szCs w:val="20"/>
              </w:rPr>
            </w:pPr>
            <w:r>
              <w:rPr>
                <w:rFonts w:eastAsia="Calibri"/>
                <w:sz w:val="20"/>
                <w:szCs w:val="20"/>
              </w:rPr>
              <w:t xml:space="preserve">0.5 </w:t>
            </w:r>
            <w:r>
              <w:rPr>
                <w:rFonts w:eastAsia="Calibri"/>
                <w:sz w:val="20"/>
                <w:szCs w:val="20"/>
              </w:rPr>
              <w:t>hrs.;</w:t>
            </w:r>
          </w:p>
          <w:p w:rsidR="004661FA" w:rsidP="00C7698D" w14:paraId="1E589DE2" w14:textId="5EA8CF0C">
            <w:pPr>
              <w:jc w:val="right"/>
              <w:rPr>
                <w:rFonts w:eastAsia="Calibri"/>
                <w:sz w:val="20"/>
                <w:szCs w:val="20"/>
              </w:rPr>
            </w:pPr>
            <w:r>
              <w:rPr>
                <w:rFonts w:eastAsia="Calibri"/>
                <w:sz w:val="20"/>
                <w:szCs w:val="20"/>
              </w:rPr>
              <w:t>$45.50</w:t>
            </w:r>
          </w:p>
        </w:tc>
        <w:tc>
          <w:tcPr>
            <w:tcW w:w="657" w:type="pct"/>
            <w:tcBorders>
              <w:top w:val="single" w:sz="4" w:space="0" w:color="auto"/>
              <w:left w:val="single" w:sz="4" w:space="0" w:color="auto"/>
              <w:bottom w:val="single" w:sz="4" w:space="0" w:color="auto"/>
              <w:right w:val="single" w:sz="4" w:space="0" w:color="auto"/>
            </w:tcBorders>
            <w:hideMark/>
          </w:tcPr>
          <w:p w:rsidR="004661FA" w:rsidP="00C7698D" w14:paraId="48ADBBD8" w14:textId="77777777">
            <w:pPr>
              <w:jc w:val="right"/>
              <w:rPr>
                <w:rFonts w:eastAsia="Calibri"/>
                <w:sz w:val="20"/>
                <w:szCs w:val="20"/>
              </w:rPr>
            </w:pPr>
            <w:r>
              <w:rPr>
                <w:rFonts w:eastAsia="Calibri"/>
                <w:sz w:val="20"/>
                <w:szCs w:val="20"/>
              </w:rPr>
              <w:t xml:space="preserve"> 930 </w:t>
            </w:r>
            <w:r>
              <w:rPr>
                <w:rFonts w:eastAsia="Calibri"/>
                <w:sz w:val="20"/>
                <w:szCs w:val="20"/>
              </w:rPr>
              <w:t>hrs.;</w:t>
            </w:r>
          </w:p>
          <w:p w:rsidR="004661FA" w:rsidP="00C7698D" w14:paraId="4C0C3804" w14:textId="77777777">
            <w:pPr>
              <w:jc w:val="right"/>
              <w:rPr>
                <w:rFonts w:eastAsia="Calibri"/>
                <w:sz w:val="20"/>
                <w:szCs w:val="20"/>
              </w:rPr>
            </w:pPr>
            <w:r>
              <w:rPr>
                <w:rFonts w:eastAsia="Calibri"/>
                <w:sz w:val="20"/>
                <w:szCs w:val="20"/>
              </w:rPr>
              <w:t xml:space="preserve">$84,630 </w:t>
            </w:r>
          </w:p>
        </w:tc>
        <w:tc>
          <w:tcPr>
            <w:tcW w:w="616" w:type="pct"/>
            <w:tcBorders>
              <w:top w:val="single" w:sz="4" w:space="0" w:color="auto"/>
              <w:left w:val="single" w:sz="4" w:space="0" w:color="auto"/>
              <w:bottom w:val="single" w:sz="4" w:space="0" w:color="auto"/>
              <w:right w:val="single" w:sz="4" w:space="0" w:color="auto"/>
            </w:tcBorders>
          </w:tcPr>
          <w:p w:rsidR="004661FA" w:rsidP="00C7698D" w14:paraId="0BCDD689" w14:textId="77777777">
            <w:pPr>
              <w:jc w:val="right"/>
              <w:rPr>
                <w:rFonts w:eastAsia="Calibri"/>
                <w:sz w:val="20"/>
                <w:szCs w:val="20"/>
              </w:rPr>
            </w:pPr>
            <w:r>
              <w:rPr>
                <w:rFonts w:eastAsia="Calibri"/>
                <w:sz w:val="20"/>
                <w:szCs w:val="20"/>
              </w:rPr>
              <w:t>$546</w:t>
            </w:r>
          </w:p>
        </w:tc>
      </w:tr>
      <w:tr w14:paraId="387DF55C"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4661FA" w:rsidP="00C7698D" w14:paraId="4AB6955C" w14:textId="77777777">
            <w:pPr>
              <w:rPr>
                <w:rFonts w:eastAsia="Calibri"/>
                <w:sz w:val="20"/>
                <w:szCs w:val="20"/>
              </w:rPr>
            </w:pPr>
            <w:r>
              <w:rPr>
                <w:sz w:val="20"/>
                <w:szCs w:val="20"/>
              </w:rPr>
              <w:t>Interstate Natural Gas Pipelines, communications</w:t>
            </w:r>
          </w:p>
        </w:tc>
        <w:tc>
          <w:tcPr>
            <w:tcW w:w="746" w:type="pct"/>
            <w:tcBorders>
              <w:top w:val="single" w:sz="4" w:space="0" w:color="auto"/>
              <w:left w:val="single" w:sz="4" w:space="0" w:color="auto"/>
              <w:bottom w:val="single" w:sz="4" w:space="0" w:color="auto"/>
              <w:right w:val="single" w:sz="4" w:space="0" w:color="auto"/>
            </w:tcBorders>
            <w:hideMark/>
          </w:tcPr>
          <w:p w:rsidR="004661FA" w:rsidP="00C7698D" w14:paraId="598CCA8E" w14:textId="77777777">
            <w:pPr>
              <w:jc w:val="right"/>
              <w:rPr>
                <w:rFonts w:eastAsia="Calibri"/>
                <w:sz w:val="20"/>
                <w:szCs w:val="20"/>
              </w:rPr>
            </w:pPr>
            <w:r>
              <w:rPr>
                <w:rFonts w:eastAsia="Calibri"/>
                <w:sz w:val="20"/>
                <w:szCs w:val="20"/>
              </w:rPr>
              <w:t>191</w:t>
            </w:r>
            <w:r>
              <w:rPr>
                <w:rStyle w:val="FootnoteReference"/>
                <w:rFonts w:eastAsia="Calibri"/>
                <w:vertAlign w:val="superscript"/>
              </w:rPr>
              <w:footnoteReference w:id="4"/>
            </w:r>
          </w:p>
        </w:tc>
        <w:tc>
          <w:tcPr>
            <w:tcW w:w="746" w:type="pct"/>
            <w:tcBorders>
              <w:top w:val="single" w:sz="4" w:space="0" w:color="auto"/>
              <w:left w:val="single" w:sz="4" w:space="0" w:color="auto"/>
              <w:bottom w:val="single" w:sz="4" w:space="0" w:color="auto"/>
              <w:right w:val="single" w:sz="4" w:space="0" w:color="auto"/>
            </w:tcBorders>
            <w:hideMark/>
          </w:tcPr>
          <w:p w:rsidR="004661FA" w:rsidP="00C7698D" w14:paraId="09438527" w14:textId="77777777">
            <w:pPr>
              <w:jc w:val="right"/>
              <w:rPr>
                <w:rFonts w:eastAsia="Calibri"/>
                <w:sz w:val="20"/>
                <w:szCs w:val="20"/>
              </w:rPr>
            </w:pPr>
            <w:r>
              <w:rPr>
                <w:rFonts w:eastAsia="Calibri"/>
                <w:sz w:val="20"/>
                <w:szCs w:val="20"/>
              </w:rPr>
              <w:t>12</w:t>
            </w:r>
          </w:p>
        </w:tc>
        <w:tc>
          <w:tcPr>
            <w:tcW w:w="703" w:type="pct"/>
            <w:tcBorders>
              <w:top w:val="single" w:sz="4" w:space="0" w:color="auto"/>
              <w:left w:val="single" w:sz="4" w:space="0" w:color="auto"/>
              <w:bottom w:val="single" w:sz="4" w:space="0" w:color="auto"/>
              <w:right w:val="single" w:sz="4" w:space="0" w:color="auto"/>
            </w:tcBorders>
            <w:hideMark/>
          </w:tcPr>
          <w:p w:rsidR="004661FA" w:rsidP="00C7698D" w14:paraId="7E57DB4B" w14:textId="77777777">
            <w:pPr>
              <w:jc w:val="right"/>
              <w:rPr>
                <w:rFonts w:eastAsia="Calibri"/>
                <w:sz w:val="20"/>
                <w:szCs w:val="20"/>
              </w:rPr>
            </w:pPr>
            <w:r w:rsidRPr="1CA302AA">
              <w:rPr>
                <w:rFonts w:eastAsia="Calibri"/>
                <w:sz w:val="20"/>
                <w:szCs w:val="20"/>
              </w:rPr>
              <w:t>2,</w:t>
            </w:r>
            <w:r>
              <w:rPr>
                <w:rFonts w:eastAsia="Calibri"/>
                <w:sz w:val="20"/>
                <w:szCs w:val="20"/>
              </w:rPr>
              <w:t>29</w:t>
            </w:r>
            <w:r w:rsidRPr="1CA302AA">
              <w:rPr>
                <w:rFonts w:eastAsia="Calibri"/>
                <w:sz w:val="20"/>
                <w:szCs w:val="20"/>
              </w:rPr>
              <w:t>2</w:t>
            </w:r>
          </w:p>
        </w:tc>
        <w:tc>
          <w:tcPr>
            <w:tcW w:w="654" w:type="pct"/>
            <w:tcBorders>
              <w:top w:val="single" w:sz="4" w:space="0" w:color="auto"/>
              <w:left w:val="single" w:sz="4" w:space="0" w:color="auto"/>
              <w:bottom w:val="single" w:sz="4" w:space="0" w:color="auto"/>
              <w:right w:val="single" w:sz="4" w:space="0" w:color="auto"/>
            </w:tcBorders>
            <w:hideMark/>
          </w:tcPr>
          <w:p w:rsidR="004661FA" w:rsidP="00C7698D" w14:paraId="0B84B9F2" w14:textId="77777777">
            <w:pPr>
              <w:jc w:val="right"/>
              <w:rPr>
                <w:rFonts w:eastAsia="Calibri"/>
                <w:sz w:val="20"/>
                <w:szCs w:val="20"/>
              </w:rPr>
            </w:pPr>
            <w:r>
              <w:rPr>
                <w:rFonts w:eastAsia="Calibri"/>
                <w:sz w:val="20"/>
                <w:szCs w:val="20"/>
              </w:rPr>
              <w:t xml:space="preserve">0.5 </w:t>
            </w:r>
            <w:r>
              <w:rPr>
                <w:rFonts w:eastAsia="Calibri"/>
                <w:sz w:val="20"/>
                <w:szCs w:val="20"/>
              </w:rPr>
              <w:t>hrs.;</w:t>
            </w:r>
          </w:p>
          <w:p w:rsidR="004661FA" w:rsidP="00C7698D" w14:paraId="7DDE2964" w14:textId="0D1BF107">
            <w:pPr>
              <w:jc w:val="right"/>
              <w:rPr>
                <w:rFonts w:eastAsia="Calibri"/>
                <w:sz w:val="20"/>
                <w:szCs w:val="20"/>
              </w:rPr>
            </w:pPr>
            <w:r>
              <w:rPr>
                <w:rFonts w:eastAsia="Calibri"/>
                <w:sz w:val="20"/>
                <w:szCs w:val="20"/>
              </w:rPr>
              <w:t>$45.50</w:t>
            </w:r>
          </w:p>
        </w:tc>
        <w:tc>
          <w:tcPr>
            <w:tcW w:w="657" w:type="pct"/>
            <w:tcBorders>
              <w:top w:val="single" w:sz="4" w:space="0" w:color="auto"/>
              <w:left w:val="single" w:sz="4" w:space="0" w:color="auto"/>
              <w:bottom w:val="single" w:sz="4" w:space="0" w:color="auto"/>
              <w:right w:val="single" w:sz="4" w:space="0" w:color="auto"/>
            </w:tcBorders>
            <w:hideMark/>
          </w:tcPr>
          <w:p w:rsidR="004661FA" w:rsidP="00C7698D" w14:paraId="4EE6CF2C" w14:textId="77777777">
            <w:pPr>
              <w:jc w:val="right"/>
              <w:rPr>
                <w:rFonts w:eastAsia="Calibri"/>
                <w:sz w:val="20"/>
                <w:szCs w:val="20"/>
              </w:rPr>
            </w:pPr>
            <w:r>
              <w:rPr>
                <w:rFonts w:eastAsia="Calibri"/>
                <w:sz w:val="20"/>
                <w:szCs w:val="20"/>
              </w:rPr>
              <w:t xml:space="preserve">1,146 </w:t>
            </w:r>
            <w:r>
              <w:rPr>
                <w:rFonts w:eastAsia="Calibri"/>
                <w:sz w:val="20"/>
                <w:szCs w:val="20"/>
              </w:rPr>
              <w:t>hrs.;</w:t>
            </w:r>
          </w:p>
          <w:p w:rsidR="004661FA" w:rsidP="00C7698D" w14:paraId="07A6AFEB" w14:textId="77777777">
            <w:pPr>
              <w:jc w:val="right"/>
              <w:rPr>
                <w:rFonts w:eastAsia="Calibri"/>
                <w:sz w:val="20"/>
                <w:szCs w:val="20"/>
              </w:rPr>
            </w:pPr>
            <w:r>
              <w:rPr>
                <w:rFonts w:eastAsia="Calibri"/>
                <w:sz w:val="20"/>
                <w:szCs w:val="20"/>
              </w:rPr>
              <w:t>$104,286</w:t>
            </w:r>
          </w:p>
        </w:tc>
        <w:tc>
          <w:tcPr>
            <w:tcW w:w="616" w:type="pct"/>
            <w:tcBorders>
              <w:top w:val="single" w:sz="4" w:space="0" w:color="auto"/>
              <w:left w:val="single" w:sz="4" w:space="0" w:color="auto"/>
              <w:bottom w:val="single" w:sz="4" w:space="0" w:color="auto"/>
              <w:right w:val="single" w:sz="4" w:space="0" w:color="auto"/>
            </w:tcBorders>
            <w:hideMark/>
          </w:tcPr>
          <w:p w:rsidR="004661FA" w:rsidP="00C7698D" w14:paraId="20B77130" w14:textId="77777777">
            <w:pPr>
              <w:jc w:val="right"/>
              <w:rPr>
                <w:rFonts w:eastAsia="Calibri"/>
                <w:sz w:val="20"/>
                <w:szCs w:val="20"/>
              </w:rPr>
            </w:pPr>
            <w:r>
              <w:rPr>
                <w:rFonts w:eastAsia="Calibri"/>
                <w:sz w:val="20"/>
                <w:szCs w:val="20"/>
              </w:rPr>
              <w:t>$546</w:t>
            </w:r>
          </w:p>
        </w:tc>
      </w:tr>
      <w:tr w14:paraId="0A68AEC2" w14:textId="77777777" w:rsidTr="00C7698D">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4661FA" w:rsidP="00C7698D" w14:paraId="533AA9BB" w14:textId="77777777">
            <w:pPr>
              <w:rPr>
                <w:b/>
                <w:sz w:val="20"/>
                <w:szCs w:val="20"/>
              </w:rPr>
            </w:pPr>
            <w:r>
              <w:rPr>
                <w:b/>
                <w:sz w:val="20"/>
                <w:szCs w:val="20"/>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1FA" w:rsidP="00C7698D" w14:paraId="0C8E4693" w14:textId="77777777">
            <w:pPr>
              <w:jc w:val="right"/>
              <w:rPr>
                <w:rFonts w:eastAsia="Calibri"/>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rsidR="004661FA" w:rsidP="00C7698D" w14:paraId="49362E7F" w14:textId="77777777">
            <w:pPr>
              <w:jc w:val="right"/>
              <w:rPr>
                <w:rFonts w:eastAsia="Calibri"/>
                <w:sz w:val="20"/>
                <w:szCs w:val="20"/>
              </w:rPr>
            </w:pPr>
            <w:r w:rsidRPr="1CA302AA">
              <w:rPr>
                <w:rFonts w:eastAsia="Calibri"/>
                <w:sz w:val="20"/>
                <w:szCs w:val="20"/>
              </w:rPr>
              <w:t>4,152</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1FA" w:rsidP="00C7698D" w14:paraId="3EA2A7B6"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4661FA" w:rsidP="00C7698D" w14:paraId="0108C856" w14:textId="77777777">
            <w:pPr>
              <w:jc w:val="right"/>
              <w:rPr>
                <w:rFonts w:eastAsia="Calibri"/>
                <w:sz w:val="20"/>
                <w:szCs w:val="20"/>
              </w:rPr>
            </w:pPr>
            <w:r>
              <w:rPr>
                <w:rFonts w:eastAsia="Calibri"/>
                <w:sz w:val="20"/>
                <w:szCs w:val="20"/>
              </w:rPr>
              <w:t xml:space="preserve">2,076 </w:t>
            </w:r>
            <w:r>
              <w:rPr>
                <w:rFonts w:eastAsia="Calibri"/>
                <w:sz w:val="20"/>
                <w:szCs w:val="20"/>
              </w:rPr>
              <w:t>hrs.;</w:t>
            </w:r>
          </w:p>
          <w:p w:rsidR="004661FA" w:rsidP="00C7698D" w14:paraId="48FA4F34" w14:textId="77777777">
            <w:pPr>
              <w:jc w:val="right"/>
              <w:rPr>
                <w:rFonts w:eastAsia="Calibri"/>
                <w:sz w:val="20"/>
                <w:szCs w:val="20"/>
              </w:rPr>
            </w:pPr>
            <w:r>
              <w:rPr>
                <w:rFonts w:eastAsia="Calibri"/>
                <w:sz w:val="20"/>
                <w:szCs w:val="20"/>
              </w:rPr>
              <w:t>$188,916</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1FA" w:rsidP="00C7698D" w14:paraId="45BD4E11" w14:textId="77777777">
            <w:pPr>
              <w:jc w:val="right"/>
              <w:rPr>
                <w:rFonts w:eastAsia="Calibri"/>
                <w:sz w:val="20"/>
                <w:szCs w:val="20"/>
              </w:rPr>
            </w:pPr>
          </w:p>
        </w:tc>
      </w:tr>
    </w:tbl>
    <w:p w:rsidR="0065404D" w14:paraId="54A010D4" w14:textId="77777777">
      <w:pPr>
        <w:pStyle w:val="FERCparanumber"/>
        <w:numPr>
          <w:ilvl w:val="0"/>
          <w:numId w:val="0"/>
        </w:numPr>
        <w:rPr>
          <w:sz w:val="24"/>
        </w:rPr>
      </w:pPr>
    </w:p>
    <w:p w:rsidR="0065404D" w14:paraId="1BB27B98" w14:textId="77777777">
      <w:pPr>
        <w:pStyle w:val="FERCparanumber"/>
        <w:numPr>
          <w:ilvl w:val="0"/>
          <w:numId w:val="0"/>
        </w:numPr>
        <w:rPr>
          <w:b/>
          <w:sz w:val="24"/>
        </w:rPr>
      </w:pPr>
    </w:p>
    <w:p w:rsidR="0065404D" w14:paraId="293C433F" w14:textId="77777777">
      <w:pPr>
        <w:pStyle w:val="FERCparanumber"/>
        <w:numPr>
          <w:ilvl w:val="0"/>
          <w:numId w:val="7"/>
        </w:numPr>
        <w:rPr>
          <w:sz w:val="24"/>
        </w:rPr>
      </w:pPr>
      <w:r>
        <w:rPr>
          <w:b/>
          <w:sz w:val="24"/>
        </w:rPr>
        <w:t>ESTIMATE OF THE TOTAL ANNUAL COST BURDEN TO RESPONDENTS</w:t>
      </w:r>
    </w:p>
    <w:p w:rsidR="0065404D" w14:paraId="07EC973D" w14:textId="77777777">
      <w:pPr>
        <w:pStyle w:val="FERCparanumber"/>
        <w:numPr>
          <w:ilvl w:val="0"/>
          <w:numId w:val="0"/>
        </w:numPr>
        <w:rPr>
          <w:b/>
          <w:sz w:val="24"/>
        </w:rPr>
      </w:pPr>
    </w:p>
    <w:p w:rsidR="0065404D" w14:paraId="1A72C05A" w14:textId="77777777">
      <w:pPr>
        <w:widowControl/>
      </w:pPr>
      <w:r>
        <w:t>There are no non-labor start-up costs. All costs are related to burden hours and are addressed in Questions #12 and #15.</w:t>
      </w:r>
    </w:p>
    <w:p w:rsidR="0065404D" w14:paraId="3F49F138" w14:textId="77777777">
      <w:pPr>
        <w:pStyle w:val="FERCparanumber"/>
        <w:numPr>
          <w:ilvl w:val="0"/>
          <w:numId w:val="0"/>
        </w:numPr>
        <w:rPr>
          <w:sz w:val="24"/>
        </w:rPr>
      </w:pPr>
    </w:p>
    <w:p w:rsidR="0065404D" w14:paraId="12B7D7D9" w14:textId="77777777">
      <w:pPr>
        <w:pStyle w:val="FERCparanumber"/>
        <w:numPr>
          <w:ilvl w:val="0"/>
          <w:numId w:val="7"/>
        </w:numPr>
        <w:rPr>
          <w:b/>
          <w:sz w:val="24"/>
        </w:rPr>
      </w:pPr>
      <w:r>
        <w:rPr>
          <w:b/>
          <w:sz w:val="24"/>
        </w:rPr>
        <w:t>ESTIMATED ANNUALIZED COST TO FEDERAL GOVERNMENT</w:t>
      </w:r>
    </w:p>
    <w:p w:rsidR="0065404D" w14:paraId="31E065E4" w14:textId="77777777">
      <w:pPr>
        <w:pStyle w:val="FERCparanumber"/>
        <w:numPr>
          <w:ilvl w:val="0"/>
          <w:numId w:val="0"/>
        </w:numPr>
        <w:rPr>
          <w:b/>
          <w:sz w:val="24"/>
        </w:rPr>
      </w:pPr>
    </w:p>
    <w:p w:rsidR="0065404D" w14:paraId="08B1AF4D" w14:textId="114A2C4D">
      <w:r>
        <w:t>Since respondents do not submit information to FERC, the sole federal cost for FERC-923 is $</w:t>
      </w:r>
      <w:r w:rsidR="003F11A8">
        <w:t>7</w:t>
      </w:r>
      <w:r>
        <w:t>,</w:t>
      </w:r>
      <w:r w:rsidR="003F11A8">
        <w:t>694</w:t>
      </w:r>
      <w:r>
        <w:t>.  This is the Paperwork Reduction Act (PRA) Administrative Cost,</w:t>
      </w:r>
      <w:r>
        <w:rPr>
          <w:vertAlign w:val="superscript"/>
        </w:rPr>
        <w:footnoteReference w:id="5"/>
      </w:r>
      <w:r>
        <w:t xml:space="preserve"> which includes the average annual FERC cost in 20</w:t>
      </w:r>
      <w:r w:rsidR="003F11A8">
        <w:t>22</w:t>
      </w:r>
      <w:r>
        <w:t xml:space="preserve"> associated with preparing, issuing, and submitting materials necessary to comply with the PRA for rulemakings, orders, or any other vehicle used to create, modify, extend, or discontinue an information collection.  This estimate also includes the cost of publishing the necessary notices in the Federal Register.</w:t>
      </w:r>
    </w:p>
    <w:p w:rsidR="0065404D" w14:paraId="239EDDCA" w14:textId="77777777"/>
    <w:p w:rsidR="0065404D" w14:paraId="20AF466E" w14:textId="77777777">
      <w:pPr>
        <w:pStyle w:val="FERCparanumber"/>
        <w:numPr>
          <w:ilvl w:val="0"/>
          <w:numId w:val="7"/>
        </w:numPr>
        <w:rPr>
          <w:b/>
          <w:sz w:val="24"/>
        </w:rPr>
      </w:pPr>
      <w:r>
        <w:rPr>
          <w:b/>
          <w:sz w:val="24"/>
        </w:rPr>
        <w:t>REASONS FOR CHANGES IN BURDEN INCLUDING THE NEED FOR ANY INCREASE</w:t>
      </w:r>
    </w:p>
    <w:p w:rsidR="0065404D" w14:paraId="7F2DBEB4" w14:textId="77777777">
      <w:pPr>
        <w:pStyle w:val="FERCparanumber"/>
        <w:numPr>
          <w:ilvl w:val="0"/>
          <w:numId w:val="0"/>
        </w:numPr>
        <w:rPr>
          <w:b/>
          <w:sz w:val="24"/>
        </w:rPr>
      </w:pPr>
    </w:p>
    <w:p w:rsidR="0065404D" w14:paraId="30C1A88F" w14:textId="0269B0E0">
      <w:r>
        <w:t xml:space="preserve">There is no change in reporting or recordkeeping </w:t>
      </w:r>
      <w:r w:rsidR="00E66054">
        <w:t xml:space="preserve">requirements and the burden request remains the same. </w:t>
      </w:r>
    </w:p>
    <w:p w:rsidR="0065404D" w14:paraId="106C42C1" w14:textId="77777777">
      <w:pPr>
        <w:widowControl/>
      </w:pPr>
    </w:p>
    <w:p w:rsidR="0065404D" w14:paraId="2449A08F" w14:textId="77777777">
      <w:pPr>
        <w:rPr>
          <w:szCs w:val="26"/>
        </w:rPr>
      </w:pPr>
      <w:r>
        <w:rPr>
          <w:szCs w:val="26"/>
        </w:rPr>
        <w:t>The following table shows the changes in the burden estimates.</w:t>
      </w:r>
    </w:p>
    <w:p w:rsidR="0065404D" w14:paraId="37A15B80" w14:textId="77777777">
      <w:pPr>
        <w:widowControl/>
        <w:tabs>
          <w:tab w:val="left" w:pos="2394"/>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1546"/>
        <w:gridCol w:w="1406"/>
        <w:gridCol w:w="2250"/>
        <w:gridCol w:w="2369"/>
      </w:tblGrid>
      <w:tr w14:paraId="49941183" w14:textId="66E2478E" w:rsidTr="10AF61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779" w:type="dxa"/>
            <w:shd w:val="clear" w:color="auto" w:fill="D9D9D9" w:themeFill="background1" w:themeFillShade="D9"/>
            <w:vAlign w:val="bottom"/>
          </w:tcPr>
          <w:p w:rsidR="004661FA" w14:paraId="44401744" w14:textId="77777777">
            <w:pPr>
              <w:jc w:val="center"/>
              <w:rPr>
                <w:b/>
              </w:rPr>
            </w:pPr>
            <w:r>
              <w:rPr>
                <w:b/>
              </w:rPr>
              <w:t>FERC-923</w:t>
            </w:r>
          </w:p>
        </w:tc>
        <w:tc>
          <w:tcPr>
            <w:tcW w:w="1546" w:type="dxa"/>
            <w:shd w:val="clear" w:color="auto" w:fill="D9D9D9" w:themeFill="background1" w:themeFillShade="D9"/>
            <w:vAlign w:val="bottom"/>
          </w:tcPr>
          <w:p w:rsidR="004661FA" w14:paraId="69C95668" w14:textId="77777777">
            <w:pPr>
              <w:jc w:val="center"/>
              <w:rPr>
                <w:b/>
              </w:rPr>
            </w:pPr>
            <w:r>
              <w:rPr>
                <w:b/>
              </w:rPr>
              <w:t>Total Request</w:t>
            </w:r>
          </w:p>
        </w:tc>
        <w:tc>
          <w:tcPr>
            <w:tcW w:w="1406" w:type="dxa"/>
            <w:shd w:val="clear" w:color="auto" w:fill="D9D9D9" w:themeFill="background1" w:themeFillShade="D9"/>
            <w:vAlign w:val="bottom"/>
          </w:tcPr>
          <w:p w:rsidR="004661FA" w14:paraId="0B12581A" w14:textId="2CE04B8A">
            <w:pPr>
              <w:jc w:val="center"/>
              <w:rPr>
                <w:b/>
              </w:rPr>
            </w:pPr>
            <w:r>
              <w:rPr>
                <w:b/>
              </w:rPr>
              <w:t xml:space="preserve"> Previously Approved</w:t>
            </w:r>
          </w:p>
        </w:tc>
        <w:tc>
          <w:tcPr>
            <w:tcW w:w="2250" w:type="dxa"/>
            <w:shd w:val="clear" w:color="auto" w:fill="D9D9D9" w:themeFill="background1" w:themeFillShade="D9"/>
            <w:vAlign w:val="bottom"/>
          </w:tcPr>
          <w:p w:rsidR="004661FA" w14:paraId="59CA866E" w14:textId="357CB742">
            <w:pPr>
              <w:jc w:val="center"/>
              <w:rPr>
                <w:b/>
              </w:rPr>
            </w:pPr>
            <w:r>
              <w:rPr>
                <w:b/>
              </w:rPr>
              <w:t>Change Due to Adjustment in Estimate</w:t>
            </w:r>
          </w:p>
        </w:tc>
        <w:tc>
          <w:tcPr>
            <w:tcW w:w="2369" w:type="dxa"/>
            <w:shd w:val="clear" w:color="auto" w:fill="D9D9D9" w:themeFill="background1" w:themeFillShade="D9"/>
            <w:vAlign w:val="bottom"/>
          </w:tcPr>
          <w:p w:rsidR="004661FA" w14:paraId="11E00BD3" w14:textId="7CDE2E0C">
            <w:pPr>
              <w:jc w:val="center"/>
              <w:rPr>
                <w:b/>
              </w:rPr>
            </w:pPr>
            <w:r>
              <w:rPr>
                <w:b/>
              </w:rPr>
              <w:t>Change Due to Agency Discretion</w:t>
            </w:r>
          </w:p>
        </w:tc>
      </w:tr>
      <w:tr w14:paraId="119DD9AD" w14:textId="5B324D15" w:rsidTr="10AF615C">
        <w:tblPrEx>
          <w:tblW w:w="0" w:type="auto"/>
          <w:tblLook w:val="01E0"/>
        </w:tblPrEx>
        <w:trPr>
          <w:trHeight w:val="591"/>
        </w:trPr>
        <w:tc>
          <w:tcPr>
            <w:tcW w:w="1779" w:type="dxa"/>
            <w:shd w:val="clear" w:color="auto" w:fill="auto"/>
          </w:tcPr>
          <w:p w:rsidR="004661FA" w14:paraId="5070A97A" w14:textId="77777777">
            <w:pPr>
              <w:jc w:val="center"/>
            </w:pPr>
            <w:r>
              <w:t>Annual Number of Responses</w:t>
            </w:r>
          </w:p>
        </w:tc>
        <w:tc>
          <w:tcPr>
            <w:tcW w:w="1546" w:type="dxa"/>
            <w:shd w:val="clear" w:color="auto" w:fill="auto"/>
            <w:vAlign w:val="center"/>
          </w:tcPr>
          <w:p w:rsidR="004661FA" w14:paraId="0D2293D3" w14:textId="77777777">
            <w:pPr>
              <w:jc w:val="right"/>
            </w:pPr>
            <w:r>
              <w:t>4,152</w:t>
            </w:r>
          </w:p>
        </w:tc>
        <w:tc>
          <w:tcPr>
            <w:tcW w:w="1406" w:type="dxa"/>
            <w:shd w:val="clear" w:color="auto" w:fill="auto"/>
            <w:vAlign w:val="center"/>
          </w:tcPr>
          <w:p w:rsidR="004661FA" w:rsidP="003A7E1D" w14:paraId="028DCBB7" w14:textId="51C81475">
            <w:pPr>
              <w:jc w:val="right"/>
            </w:pPr>
            <w:r>
              <w:t>4,152</w:t>
            </w:r>
          </w:p>
        </w:tc>
        <w:tc>
          <w:tcPr>
            <w:tcW w:w="2250" w:type="dxa"/>
            <w:shd w:val="clear" w:color="auto" w:fill="auto"/>
            <w:vAlign w:val="center"/>
          </w:tcPr>
          <w:p w:rsidR="004661FA" w14:paraId="14CCD897" w14:textId="3D619A85">
            <w:pPr>
              <w:jc w:val="right"/>
            </w:pPr>
            <w:r>
              <w:t>0</w:t>
            </w:r>
          </w:p>
        </w:tc>
        <w:tc>
          <w:tcPr>
            <w:tcW w:w="2369" w:type="dxa"/>
            <w:vAlign w:val="center"/>
          </w:tcPr>
          <w:p w:rsidR="004661FA" w14:paraId="33C3F7A5" w14:textId="5CFE4CDA">
            <w:pPr>
              <w:jc w:val="right"/>
            </w:pPr>
            <w:r>
              <w:t>0</w:t>
            </w:r>
          </w:p>
        </w:tc>
      </w:tr>
      <w:tr w14:paraId="2BD30AFA" w14:textId="000046B1" w:rsidTr="10AF615C">
        <w:tblPrEx>
          <w:tblW w:w="0" w:type="auto"/>
          <w:tblLook w:val="01E0"/>
        </w:tblPrEx>
        <w:trPr>
          <w:trHeight w:val="575"/>
        </w:trPr>
        <w:tc>
          <w:tcPr>
            <w:tcW w:w="1779" w:type="dxa"/>
            <w:shd w:val="clear" w:color="auto" w:fill="auto"/>
          </w:tcPr>
          <w:p w:rsidR="004661FA" w14:paraId="6FB46A88" w14:textId="77777777">
            <w:pPr>
              <w:jc w:val="center"/>
            </w:pPr>
            <w:r>
              <w:t>Annual Time Burden (Hours)</w:t>
            </w:r>
          </w:p>
        </w:tc>
        <w:tc>
          <w:tcPr>
            <w:tcW w:w="1546" w:type="dxa"/>
            <w:shd w:val="clear" w:color="auto" w:fill="auto"/>
            <w:vAlign w:val="center"/>
          </w:tcPr>
          <w:p w:rsidR="004661FA" w14:paraId="7767D572" w14:textId="77777777">
            <w:pPr>
              <w:jc w:val="right"/>
            </w:pPr>
            <w:r>
              <w:t>2,076</w:t>
            </w:r>
          </w:p>
        </w:tc>
        <w:tc>
          <w:tcPr>
            <w:tcW w:w="1406" w:type="dxa"/>
            <w:shd w:val="clear" w:color="auto" w:fill="auto"/>
            <w:vAlign w:val="center"/>
          </w:tcPr>
          <w:p w:rsidR="004661FA" w:rsidP="003A7E1D" w14:paraId="657461EF" w14:textId="63DCD44C">
            <w:pPr>
              <w:jc w:val="right"/>
            </w:pPr>
            <w:r>
              <w:t>2,076</w:t>
            </w:r>
          </w:p>
        </w:tc>
        <w:tc>
          <w:tcPr>
            <w:tcW w:w="2250" w:type="dxa"/>
            <w:shd w:val="clear" w:color="auto" w:fill="auto"/>
            <w:vAlign w:val="center"/>
          </w:tcPr>
          <w:p w:rsidR="004661FA" w14:paraId="3CDE00D7" w14:textId="05F68438">
            <w:pPr>
              <w:jc w:val="right"/>
            </w:pPr>
            <w:r>
              <w:t>0</w:t>
            </w:r>
          </w:p>
        </w:tc>
        <w:tc>
          <w:tcPr>
            <w:tcW w:w="2369" w:type="dxa"/>
            <w:vAlign w:val="center"/>
          </w:tcPr>
          <w:p w:rsidR="004661FA" w14:paraId="25A4AE4C" w14:textId="22D728AE">
            <w:pPr>
              <w:jc w:val="right"/>
            </w:pPr>
            <w:r>
              <w:t>0</w:t>
            </w:r>
          </w:p>
        </w:tc>
      </w:tr>
      <w:tr w14:paraId="4846FBBF" w14:textId="39BF63B7" w:rsidTr="10AF615C">
        <w:tblPrEx>
          <w:tblW w:w="0" w:type="auto"/>
          <w:tblLook w:val="01E0"/>
        </w:tblPrEx>
        <w:trPr>
          <w:trHeight w:val="295"/>
        </w:trPr>
        <w:tc>
          <w:tcPr>
            <w:tcW w:w="1779" w:type="dxa"/>
            <w:tcBorders>
              <w:bottom w:val="single" w:sz="4" w:space="0" w:color="auto"/>
            </w:tcBorders>
            <w:shd w:val="clear" w:color="auto" w:fill="auto"/>
          </w:tcPr>
          <w:p w:rsidR="004661FA" w14:paraId="5A58EE9D" w14:textId="77777777">
            <w:pPr>
              <w:jc w:val="center"/>
            </w:pPr>
            <w:r>
              <w:t>Annual Cost Burden ($)</w:t>
            </w:r>
          </w:p>
        </w:tc>
        <w:tc>
          <w:tcPr>
            <w:tcW w:w="1546" w:type="dxa"/>
            <w:tcBorders>
              <w:bottom w:val="single" w:sz="4" w:space="0" w:color="auto"/>
            </w:tcBorders>
            <w:shd w:val="clear" w:color="auto" w:fill="auto"/>
            <w:vAlign w:val="center"/>
          </w:tcPr>
          <w:p w:rsidR="004661FA" w14:paraId="20C6D60D" w14:textId="77777777">
            <w:pPr>
              <w:jc w:val="right"/>
            </w:pPr>
            <w:r>
              <w:t>$0</w:t>
            </w:r>
          </w:p>
        </w:tc>
        <w:tc>
          <w:tcPr>
            <w:tcW w:w="1406" w:type="dxa"/>
            <w:tcBorders>
              <w:bottom w:val="single" w:sz="4" w:space="0" w:color="auto"/>
            </w:tcBorders>
            <w:shd w:val="clear" w:color="auto" w:fill="auto"/>
            <w:vAlign w:val="center"/>
          </w:tcPr>
          <w:p w:rsidR="004661FA" w14:paraId="070E8279" w14:textId="77777777">
            <w:pPr>
              <w:jc w:val="right"/>
            </w:pPr>
            <w:r>
              <w:t>$0</w:t>
            </w:r>
          </w:p>
        </w:tc>
        <w:tc>
          <w:tcPr>
            <w:tcW w:w="2250" w:type="dxa"/>
            <w:tcBorders>
              <w:bottom w:val="single" w:sz="4" w:space="0" w:color="auto"/>
            </w:tcBorders>
            <w:shd w:val="clear" w:color="auto" w:fill="auto"/>
            <w:vAlign w:val="center"/>
          </w:tcPr>
          <w:p w:rsidR="004661FA" w14:paraId="52B015F3" w14:textId="77777777">
            <w:pPr>
              <w:jc w:val="right"/>
            </w:pPr>
            <w:r>
              <w:t>$0</w:t>
            </w:r>
          </w:p>
        </w:tc>
        <w:tc>
          <w:tcPr>
            <w:tcW w:w="2369" w:type="dxa"/>
            <w:tcBorders>
              <w:bottom w:val="single" w:sz="4" w:space="0" w:color="auto"/>
            </w:tcBorders>
            <w:vAlign w:val="center"/>
          </w:tcPr>
          <w:p w:rsidR="004661FA" w14:paraId="7E613D64" w14:textId="33405AC0">
            <w:pPr>
              <w:jc w:val="right"/>
            </w:pPr>
            <w:r>
              <w:t>0</w:t>
            </w:r>
          </w:p>
        </w:tc>
      </w:tr>
    </w:tbl>
    <w:p w:rsidR="0065404D" w14:paraId="66349A83" w14:textId="77777777">
      <w:pPr>
        <w:pStyle w:val="FERCparanumber"/>
        <w:numPr>
          <w:ilvl w:val="0"/>
          <w:numId w:val="0"/>
        </w:numPr>
        <w:rPr>
          <w:b/>
          <w:sz w:val="24"/>
        </w:rPr>
      </w:pPr>
    </w:p>
    <w:p w:rsidR="0065404D" w14:paraId="0B18826A" w14:textId="77777777">
      <w:pPr>
        <w:pStyle w:val="FERCparanumber"/>
        <w:numPr>
          <w:ilvl w:val="0"/>
          <w:numId w:val="7"/>
        </w:numPr>
        <w:rPr>
          <w:b/>
          <w:sz w:val="24"/>
        </w:rPr>
      </w:pPr>
      <w:r>
        <w:rPr>
          <w:b/>
          <w:sz w:val="24"/>
        </w:rPr>
        <w:t>TIME SCHEDULE FOR PUBLICATION OF DATA</w:t>
      </w:r>
    </w:p>
    <w:p w:rsidR="0065404D" w14:paraId="464FC26C" w14:textId="77777777">
      <w:pPr>
        <w:pStyle w:val="FERCparanumber"/>
        <w:numPr>
          <w:ilvl w:val="0"/>
          <w:numId w:val="0"/>
        </w:numPr>
        <w:rPr>
          <w:b/>
          <w:sz w:val="24"/>
        </w:rPr>
      </w:pPr>
    </w:p>
    <w:p w:rsidR="0065404D" w14:paraId="7CE27FA0" w14:textId="76CFD172">
      <w:pPr>
        <w:widowControl/>
      </w:pPr>
      <w:r>
        <w:t>The non-public operational data are shared between companies and are not submitted to FERC o</w:t>
      </w:r>
      <w:r w:rsidR="008526F5">
        <w:t>r</w:t>
      </w:r>
      <w:r>
        <w:t xml:space="preserve"> published.</w:t>
      </w:r>
    </w:p>
    <w:p w:rsidR="0065404D" w14:paraId="18470787" w14:textId="77777777">
      <w:pPr>
        <w:pStyle w:val="FERCparanumber"/>
        <w:numPr>
          <w:ilvl w:val="0"/>
          <w:numId w:val="0"/>
        </w:numPr>
        <w:rPr>
          <w:b/>
          <w:sz w:val="24"/>
        </w:rPr>
      </w:pPr>
    </w:p>
    <w:p w:rsidR="0065404D" w14:paraId="77F876D1" w14:textId="77777777">
      <w:pPr>
        <w:pStyle w:val="FERCparanumber"/>
        <w:numPr>
          <w:ilvl w:val="0"/>
          <w:numId w:val="7"/>
        </w:numPr>
        <w:rPr>
          <w:b/>
          <w:sz w:val="24"/>
        </w:rPr>
      </w:pPr>
      <w:r>
        <w:rPr>
          <w:b/>
          <w:sz w:val="24"/>
        </w:rPr>
        <w:t>DISPLAY OF EXPIRATION DATE</w:t>
      </w:r>
    </w:p>
    <w:p w:rsidR="0065404D" w14:paraId="11F339A6" w14:textId="77777777">
      <w:pPr>
        <w:pStyle w:val="FERCparanumber"/>
        <w:numPr>
          <w:ilvl w:val="0"/>
          <w:numId w:val="0"/>
        </w:numPr>
        <w:rPr>
          <w:b/>
          <w:sz w:val="24"/>
        </w:rPr>
      </w:pPr>
    </w:p>
    <w:p w:rsidR="008B6DAB" w:rsidP="003A7E1D" w14:paraId="32916AA4" w14:textId="67D11615">
      <w:r>
        <w:t xml:space="preserve">The </w:t>
      </w:r>
      <w:r w:rsidR="003F11A8">
        <w:t xml:space="preserve">expiration dates are </w:t>
      </w:r>
      <w:r>
        <w:t xml:space="preserve">displayed in a table posted on ferc.gov at </w:t>
      </w:r>
      <w:hyperlink r:id="rId9" w:history="1">
        <w:r w:rsidRPr="00C71926" w:rsidR="00C71926">
          <w:rPr>
            <w:rStyle w:val="Hyperlink"/>
          </w:rPr>
          <w:t>https://www.ferc.gov/information-collections</w:t>
        </w:r>
      </w:hyperlink>
      <w:r w:rsidRPr="00C71926" w:rsidR="00C71926">
        <w:t>.</w:t>
      </w:r>
    </w:p>
    <w:p w:rsidR="008B6DAB" w:rsidP="003A7E1D" w14:paraId="49E09828" w14:textId="77777777"/>
    <w:p w:rsidR="0065404D" w:rsidP="003A7E1D" w14:paraId="642291C7" w14:textId="79AFC17B">
      <w:pPr>
        <w:rPr>
          <w:b/>
        </w:rPr>
      </w:pPr>
      <w:r w:rsidRPr="00B214A6">
        <w:rPr>
          <w:b/>
        </w:rPr>
        <w:t xml:space="preserve">18. </w:t>
      </w:r>
      <w:r>
        <w:rPr>
          <w:b/>
        </w:rPr>
        <w:t xml:space="preserve">     </w:t>
      </w:r>
      <w:r w:rsidR="00A45BD8">
        <w:rPr>
          <w:b/>
        </w:rPr>
        <w:t>EXCEPTIONS TO THE CERTIFICATION STATEMENT</w:t>
      </w:r>
    </w:p>
    <w:p w:rsidR="0065404D" w14:paraId="1D3F58E9" w14:textId="77777777">
      <w:pPr>
        <w:widowControl/>
        <w:ind w:left="720"/>
        <w:rPr>
          <w:b/>
        </w:rPr>
      </w:pPr>
    </w:p>
    <w:p w:rsidR="0065404D" w14:paraId="22429F6A" w14:textId="77777777">
      <w:pPr>
        <w:widowControl/>
      </w:pPr>
      <w:r>
        <w:t>There are no exceptions.</w:t>
      </w:r>
    </w:p>
    <w:sectPr>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04D" w14:paraId="0B5A297C"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rsidR="0065404D" w14:paraId="1CF631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F4075" w14:paraId="7F6EAD21" w14:textId="77777777">
      <w:r>
        <w:separator/>
      </w:r>
    </w:p>
  </w:footnote>
  <w:footnote w:type="continuationSeparator" w:id="1">
    <w:p w:rsidR="001F4075" w14:paraId="6F329EFE" w14:textId="77777777">
      <w:r>
        <w:continuationSeparator/>
      </w:r>
    </w:p>
  </w:footnote>
  <w:footnote w:id="2">
    <w:p w:rsidR="0065404D" w14:paraId="5C2C778B" w14:textId="77777777">
      <w:pPr>
        <w:pStyle w:val="FootnoteText"/>
        <w:rPr>
          <w:szCs w:val="26"/>
        </w:rPr>
      </w:pPr>
      <w:r w:rsidRPr="001666E4">
        <w:rPr>
          <w:rStyle w:val="FootnoteReference"/>
          <w:vertAlign w:val="superscript"/>
        </w:rPr>
        <w:footnoteRef/>
      </w:r>
      <w:r w:rsidRPr="001666E4">
        <w:rPr>
          <w:vertAlign w:val="superscript"/>
        </w:rPr>
        <w:t xml:space="preserve"> </w:t>
      </w:r>
      <w:r>
        <w:rPr>
          <w:szCs w:val="26"/>
        </w:rPr>
        <w:t xml:space="preserve">“Burden” is the total time, effort, or financial resources expended by persons to generate, maintain, retain, or disclose or provide information to or for a </w:t>
      </w:r>
      <w:r>
        <w:rPr>
          <w:szCs w:val="26"/>
        </w:rPr>
        <w:t>Federal</w:t>
      </w:r>
      <w:r>
        <w:rPr>
          <w:szCs w:val="26"/>
        </w:rPr>
        <w:t xml:space="preserve"> agency. For further explanation of what is included in the estimated burden, refer to Title 5 Code of Federal Regulations 1320.3.</w:t>
      </w:r>
    </w:p>
  </w:footnote>
  <w:footnote w:id="3">
    <w:p w:rsidR="004661FA" w:rsidRPr="003F11A8" w:rsidP="004661FA" w14:paraId="6D04EE03" w14:textId="77777777">
      <w:pPr>
        <w:pStyle w:val="FootnoteText"/>
      </w:pPr>
      <w:r w:rsidRPr="003F11A8">
        <w:rPr>
          <w:rStyle w:val="FootnoteReference"/>
          <w:vertAlign w:val="superscript"/>
        </w:rPr>
        <w:footnoteRef/>
      </w:r>
      <w:r w:rsidRPr="00A25556">
        <w:rPr>
          <w:sz w:val="26"/>
          <w:szCs w:val="26"/>
        </w:rPr>
        <w:t xml:space="preserve"> </w:t>
      </w:r>
      <w:r w:rsidRPr="003F11A8">
        <w:t>The estimate for the number of respondents is based on the North American Electric Reliability Corporation (NERC) Compliance Registry as of October 12, 2022, minus the Transmission Operators within ERCOT.</w:t>
      </w:r>
    </w:p>
  </w:footnote>
  <w:footnote w:id="4">
    <w:p w:rsidR="004661FA" w:rsidP="004661FA" w14:paraId="712BE95D" w14:textId="1DA2F847">
      <w:pPr>
        <w:pStyle w:val="FootnoteText"/>
        <w:rPr>
          <w:sz w:val="26"/>
          <w:szCs w:val="26"/>
        </w:rPr>
      </w:pPr>
      <w:r w:rsidRPr="003F11A8">
        <w:rPr>
          <w:rStyle w:val="FootnoteReference"/>
          <w:vertAlign w:val="superscript"/>
        </w:rPr>
        <w:footnoteRef/>
      </w:r>
      <w:r w:rsidRPr="003F11A8">
        <w:rPr>
          <w:rStyle w:val="FootnoteReference"/>
          <w:vertAlign w:val="superscript"/>
        </w:rPr>
        <w:t xml:space="preserve"> </w:t>
      </w:r>
      <w:r w:rsidRPr="003F11A8">
        <w:t>The estimate is based on the number of respondents to the 2021 FERC Forms 2 and 2A (Major and Non-major Natural Gas Pipeline Annual Reports).</w:t>
      </w:r>
    </w:p>
  </w:footnote>
  <w:footnote w:id="5">
    <w:p w:rsidR="0065404D" w:rsidRPr="001666E4" w14:paraId="71E5BA4D" w14:textId="511D12AB">
      <w:pPr>
        <w:pStyle w:val="FootnoteText"/>
      </w:pPr>
      <w:r w:rsidRPr="001666E4">
        <w:rPr>
          <w:rStyle w:val="FootnoteReference"/>
          <w:vertAlign w:val="superscript"/>
        </w:rPr>
        <w:footnoteRef/>
      </w:r>
      <w:r w:rsidRPr="001666E4">
        <w:t xml:space="preserve"> This estimate was updated </w:t>
      </w:r>
      <w:r w:rsidR="00E66054">
        <w:t xml:space="preserve">August </w:t>
      </w:r>
      <w:r w:rsidR="00E66054">
        <w:t>2022.</w:t>
      </w:r>
      <w:r w:rsidRPr="001666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04D" w14:paraId="206E4AE9" w14:textId="77777777">
    <w:pPr>
      <w:pStyle w:val="Header"/>
    </w:pPr>
    <w:r>
      <w:t>FERC-923 (OMB Control No. 1902-0265)</w:t>
    </w:r>
  </w:p>
  <w:p w:rsidR="00B529DA" w14:paraId="7A8E39CA" w14:textId="6A500172">
    <w:pPr>
      <w:pStyle w:val="Header"/>
    </w:pPr>
    <w:r>
      <w:t xml:space="preserve">Renewal: </w:t>
    </w:r>
    <w:r>
      <w:t>IC</w:t>
    </w:r>
    <w:r>
      <w:t>23-2-000</w:t>
    </w:r>
  </w:p>
  <w:p w:rsidR="0065404D" w14:paraId="423C98C6" w14:textId="5B616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04D" w14:paraId="7561CCDA"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E785FB6"/>
    <w:multiLevelType w:val="hybridMultilevel"/>
    <w:tmpl w:val="31EEF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5814787"/>
    <w:multiLevelType w:val="hybridMultilevel"/>
    <w:tmpl w:val="92EABE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6"/>
  </w:num>
  <w:num w:numId="6">
    <w:abstractNumId w:val="8"/>
  </w:num>
  <w:num w:numId="7">
    <w:abstractNumId w:val="5"/>
  </w:num>
  <w:num w:numId="8">
    <w:abstractNumId w:val="1"/>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4D"/>
    <w:rsid w:val="000A3A7C"/>
    <w:rsid w:val="000E7C17"/>
    <w:rsid w:val="00153630"/>
    <w:rsid w:val="00164195"/>
    <w:rsid w:val="001666E4"/>
    <w:rsid w:val="001B3CB4"/>
    <w:rsid w:val="001F4075"/>
    <w:rsid w:val="00266F27"/>
    <w:rsid w:val="002F0008"/>
    <w:rsid w:val="002F38B9"/>
    <w:rsid w:val="003A7E1D"/>
    <w:rsid w:val="003B2665"/>
    <w:rsid w:val="003F11A8"/>
    <w:rsid w:val="003F1DF9"/>
    <w:rsid w:val="004239F4"/>
    <w:rsid w:val="004661FA"/>
    <w:rsid w:val="004C6551"/>
    <w:rsid w:val="005546A9"/>
    <w:rsid w:val="00576E11"/>
    <w:rsid w:val="00631390"/>
    <w:rsid w:val="0065404D"/>
    <w:rsid w:val="00676CEF"/>
    <w:rsid w:val="00686D4E"/>
    <w:rsid w:val="006A4B92"/>
    <w:rsid w:val="0074197E"/>
    <w:rsid w:val="00757CA7"/>
    <w:rsid w:val="008012AC"/>
    <w:rsid w:val="008526F5"/>
    <w:rsid w:val="0087486E"/>
    <w:rsid w:val="008B6DAB"/>
    <w:rsid w:val="00906FDE"/>
    <w:rsid w:val="00924D77"/>
    <w:rsid w:val="00983FAD"/>
    <w:rsid w:val="009C62FF"/>
    <w:rsid w:val="00A25556"/>
    <w:rsid w:val="00A45BD8"/>
    <w:rsid w:val="00A47C8A"/>
    <w:rsid w:val="00AB5EAF"/>
    <w:rsid w:val="00AD03C6"/>
    <w:rsid w:val="00AD3E23"/>
    <w:rsid w:val="00AD7A84"/>
    <w:rsid w:val="00AF2D9B"/>
    <w:rsid w:val="00B214A6"/>
    <w:rsid w:val="00B222E0"/>
    <w:rsid w:val="00B40080"/>
    <w:rsid w:val="00B529DA"/>
    <w:rsid w:val="00B70170"/>
    <w:rsid w:val="00BA23BE"/>
    <w:rsid w:val="00BC5A87"/>
    <w:rsid w:val="00BE3439"/>
    <w:rsid w:val="00BE3736"/>
    <w:rsid w:val="00BF6078"/>
    <w:rsid w:val="00C13B83"/>
    <w:rsid w:val="00C446F6"/>
    <w:rsid w:val="00C71926"/>
    <w:rsid w:val="00C7698D"/>
    <w:rsid w:val="00CE22DA"/>
    <w:rsid w:val="00D36766"/>
    <w:rsid w:val="00D72254"/>
    <w:rsid w:val="00D76615"/>
    <w:rsid w:val="00D84887"/>
    <w:rsid w:val="00D87E13"/>
    <w:rsid w:val="00DE01D7"/>
    <w:rsid w:val="00DE0735"/>
    <w:rsid w:val="00E12279"/>
    <w:rsid w:val="00E66054"/>
    <w:rsid w:val="00E7214A"/>
    <w:rsid w:val="00EA0FF1"/>
    <w:rsid w:val="00EA2C8B"/>
    <w:rsid w:val="00EA4C9D"/>
    <w:rsid w:val="00FA31B2"/>
    <w:rsid w:val="00FB752B"/>
    <w:rsid w:val="00FC780C"/>
    <w:rsid w:val="0D5AD763"/>
    <w:rsid w:val="10AF615C"/>
    <w:rsid w:val="1CA302AA"/>
    <w:rsid w:val="31E176EB"/>
    <w:rsid w:val="5CD5DEAA"/>
    <w:rsid w:val="6F119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2A1197"/>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uiPriority w:val="99"/>
    <w:qFormat/>
    <w:rPr>
      <w:sz w:val="20"/>
      <w:szCs w:val="20"/>
    </w:rPr>
  </w:style>
  <w:style w:type="character" w:customStyle="1" w:styleId="FootnoteTextChar">
    <w:name w:val="Footnote Text Char"/>
    <w:aliases w:val="Char Char1 Char,Footnote Text Char Char1 Char Char,Footnote Text Char1 Char Char Char,Footnote Text Char1 Char Char Char Char,Footnote Text Char1 Char Char1,Footnote Text Char2 Char Char,Footnote Text Char3 Char,Footnote Text MRP Char"/>
    <w:basedOn w:val="DefaultParagraphFont"/>
    <w:uiPriority w:val="99"/>
    <w:rPr>
      <w:rFonts w:eastAsia="Times New Roman"/>
      <w:sz w:val="20"/>
      <w:szCs w:val="20"/>
    </w:rPr>
  </w:style>
  <w:style w:type="paragraph" w:customStyle="1" w:styleId="FERCparanumber">
    <w:name w:val="FERC paranumber"/>
    <w:basedOn w:val="Normal"/>
    <w:link w:val="FERCparanumberChar"/>
    <w:uiPriority w:val="99"/>
    <w:pPr>
      <w:widowControl/>
      <w:numPr>
        <w:numId w:val="1"/>
      </w:numPr>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uiPriority w:val="99"/>
    <w:locked/>
    <w:rPr>
      <w:rFonts w:eastAsia="Times New Roman"/>
      <w:sz w:val="20"/>
      <w:szCs w:val="20"/>
    </w:rPr>
  </w:style>
  <w:style w:type="character" w:customStyle="1" w:styleId="FERCparanumberChar">
    <w:name w:val="FERC paranumber Char"/>
    <w:link w:val="FERCparanumber"/>
    <w:uiPriority w:val="99"/>
    <w:rPr>
      <w:rFonts w:eastAsia="Times New Roman"/>
      <w:szCs w:val="24"/>
    </w:rPr>
  </w:style>
  <w:style w:type="character" w:styleId="Hyperlink">
    <w:name w:val="Hyperlink"/>
    <w:rPr>
      <w:color w:val="0000FF"/>
      <w:u w:val="single"/>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4Char">
    <w:name w:val="Heading 4 Char"/>
    <w:basedOn w:val="DefaultParagraphFont"/>
    <w:link w:val="Heading4"/>
    <w:uiPriority w:val="99"/>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Pr>
      <w:rFonts w:ascii="Times New Roman" w:hAnsi="Times New Roman"/>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Revision">
    <w:name w:val="Revision"/>
    <w:hidden/>
    <w:uiPriority w:val="99"/>
    <w:semiHidden/>
    <w:pPr>
      <w:spacing w:after="0" w:line="240" w:lineRule="auto"/>
    </w:pPr>
    <w:rPr>
      <w:rFonts w:eastAsia="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923</_x0031__x002e__x0020_Collection_x0020_Number>
    <Date xmlns="d6eefc7d-9817-4fa6-84d5-3bc009be21b8">2020-04-15T04:00:00+00:00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IC20-5</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53A731FB-81D0-49E0-A88D-CA4ACE30BFC8}">
  <ds:schemaRefs>
    <ds:schemaRef ds:uri="http://schemas.openxmlformats.org/officeDocument/2006/bibliography"/>
  </ds:schemaRefs>
</ds:datastoreItem>
</file>

<file path=customXml/itemProps4.xml><?xml version="1.0" encoding="utf-8"?>
<ds:datastoreItem xmlns:ds="http://schemas.openxmlformats.org/officeDocument/2006/customXml" ds:itemID="{FC4ADB16-6639-4304-8541-4F4CD0CA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1535</Words>
  <Characters>8754</Characters>
  <Application>Microsoft Office Word</Application>
  <DocSecurity>0</DocSecurity>
  <Lines>72</Lines>
  <Paragraphs>20</Paragraphs>
  <ScaleCrop>false</ScaleCrop>
  <Company>Federal Energy Regulatory Commission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FERC-923 supporting statement</dc:title>
  <dc:creator>Nishi Parekh</dc:creator>
  <cp:lastModifiedBy>Christopher Kozler</cp:lastModifiedBy>
  <cp:revision>3</cp:revision>
  <cp:lastPrinted>2015-11-12T19:39:00Z</cp:lastPrinted>
  <dcterms:created xsi:type="dcterms:W3CDTF">2023-01-10T17:29:00Z</dcterms:created>
  <dcterms:modified xsi:type="dcterms:W3CDTF">2023-01-10T17:56:00Z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b65b98cc-5c3d-479a-884b-06098fcd13b1</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2022-08-29T18:42:08Z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