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17848F18">
      <w:pPr>
        <w:tabs>
          <w:tab w:val="center" w:pos="4680"/>
        </w:tabs>
        <w:jc w:val="center"/>
        <w:rPr>
          <w:b/>
          <w:bCs/>
        </w:rPr>
      </w:pPr>
      <w:r>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14:paraId="3C8864FA" w14:textId="47E7A1DA">
      <w:pPr>
        <w:rPr>
          <w:color w:val="000000"/>
        </w:rPr>
      </w:pPr>
      <w:r>
        <w:rPr>
          <w:b/>
          <w:bCs/>
        </w:rPr>
        <w:t>NESHAP for Plywood and Composite Products (40 CFR Part 63, Subpart DDDD) (</w:t>
      </w:r>
      <w:r w:rsidR="00F71A51">
        <w:rPr>
          <w:b/>
          <w:bCs/>
        </w:rPr>
        <w:t>Final</w:t>
      </w:r>
      <w:r w:rsidR="00F256DD">
        <w:rPr>
          <w:b/>
          <w:bCs/>
        </w:rPr>
        <w:t xml:space="preserve"> </w:t>
      </w:r>
      <w:r w:rsidR="00445719">
        <w:rPr>
          <w:b/>
          <w:bCs/>
        </w:rPr>
        <w:t>Rule</w:t>
      </w:r>
      <w:r>
        <w:rPr>
          <w:b/>
          <w:bCs/>
        </w:rPr>
        <w:t>)</w:t>
      </w:r>
      <w:r>
        <w:rPr>
          <w:color w:val="FF0000"/>
        </w:rPr>
        <w:t xml:space="preserve"> </w:t>
      </w:r>
    </w:p>
    <w:p w:rsidR="00CA4CD6" w14:paraId="49855593" w14:textId="7CCEB4A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41E3F" w:rsidRPr="002B29A5" w:rsidP="00C41E3F" w14:paraId="426300C2" w14:textId="08DBC315">
      <w:pPr>
        <w:rPr>
          <w:bCs/>
          <w:color w:val="000000"/>
        </w:rPr>
      </w:pPr>
      <w:r>
        <w:t>NESHAP for Plywood and Composite Products (40 CFR Part 63, Subpart DDDD)</w:t>
      </w:r>
      <w:r w:rsidRPr="004C5E95">
        <w:rPr>
          <w:bCs/>
        </w:rPr>
        <w:t>,</w:t>
      </w:r>
      <w:r>
        <w:rPr>
          <w:bCs/>
        </w:rPr>
        <w:t xml:space="preserve"> </w:t>
      </w:r>
      <w:r w:rsidRPr="004C5E95">
        <w:rPr>
          <w:bCs/>
        </w:rPr>
        <w:t xml:space="preserve">EPA ICR Number </w:t>
      </w:r>
      <w:r w:rsidR="00502779">
        <w:rPr>
          <w:bCs/>
        </w:rPr>
        <w:t>1984.0</w:t>
      </w:r>
      <w:r w:rsidR="00F71A51">
        <w:rPr>
          <w:bCs/>
        </w:rPr>
        <w:t>9</w:t>
      </w:r>
      <w:r w:rsidRPr="0051439C">
        <w:rPr>
          <w:bCs/>
        </w:rPr>
        <w:t>,</w:t>
      </w:r>
      <w:r>
        <w:rPr>
          <w:bCs/>
          <w:color w:val="FF0000"/>
        </w:rPr>
        <w:t xml:space="preserve"> </w:t>
      </w:r>
      <w:r>
        <w:rPr>
          <w:bCs/>
        </w:rPr>
        <w:t>OMB Control Number 2060-0552</w:t>
      </w:r>
      <w:r>
        <w:rPr>
          <w:bCs/>
          <w:color w:val="FF0000"/>
        </w:rPr>
        <w:t xml:space="preserve"> </w:t>
      </w:r>
    </w:p>
    <w:p w:rsidR="00CA4CD6" w14:paraId="56431331" w14:textId="77777777">
      <w:pPr>
        <w:rPr>
          <w:b/>
          <w:bCs/>
          <w:color w:val="000000"/>
        </w:rPr>
      </w:pPr>
    </w:p>
    <w:p w:rsidR="00CA4CD6" w:rsidP="00C41E3F" w14:paraId="36120418" w14:textId="087589BB">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14:paraId="6C33EB0D" w14:textId="77777777">
      <w:pPr>
        <w:rPr>
          <w:color w:val="000000"/>
        </w:rPr>
      </w:pPr>
    </w:p>
    <w:p w:rsidR="00CA4CD6" w14:paraId="1ECD45DD" w14:textId="0BDFAB55">
      <w:pPr>
        <w:ind w:firstLine="720"/>
      </w:pPr>
      <w:r w:rsidRPr="00C41E3F">
        <w:t>The National Emission Standards for Hazardous Air Pollutants (NESHAP</w:t>
      </w:r>
      <w:r w:rsidRPr="00C41E3F" w:rsidR="00C41E3F">
        <w:t>)</w:t>
      </w:r>
      <w:r w:rsidRPr="00C41E3F">
        <w:t xml:space="preserve"> for </w:t>
      </w:r>
      <w:r w:rsidRPr="00E47060" w:rsidR="00E47060">
        <w:t xml:space="preserve">Plywood and Composite Products </w:t>
      </w:r>
      <w:r w:rsidR="00E47060">
        <w:t>(</w:t>
      </w:r>
      <w:r w:rsidRPr="00C41E3F" w:rsidR="00C41E3F">
        <w:t>40 CFR Part 63 Subpart DDDD</w:t>
      </w:r>
      <w:r w:rsidR="00E47060">
        <w:t>)</w:t>
      </w:r>
      <w:r w:rsidRPr="00C41E3F" w:rsidR="00C41E3F">
        <w:t xml:space="preserve"> were proposed on January 9, 2003</w:t>
      </w:r>
      <w:r w:rsidRPr="00C41E3F">
        <w:t>,</w:t>
      </w:r>
      <w:r w:rsidRPr="00C41E3F" w:rsidR="00C41E3F">
        <w:t xml:space="preserve"> </w:t>
      </w:r>
      <w:r w:rsidRPr="00C41E3F">
        <w:t xml:space="preserve">promulgated on </w:t>
      </w:r>
      <w:r w:rsidRPr="00C41E3F" w:rsidR="00C41E3F">
        <w:t>July 30, 2004, and most</w:t>
      </w:r>
      <w:r w:rsidR="00E47060">
        <w:t>-</w:t>
      </w:r>
      <w:r w:rsidRPr="00C41E3F" w:rsidR="00C41E3F">
        <w:t>recently amended on October 29, 2007</w:t>
      </w:r>
      <w:r w:rsidRPr="00C41E3F">
        <w:t>.</w:t>
      </w:r>
      <w:r w:rsidRPr="00C41E3F" w:rsidR="009C7E97">
        <w:t xml:space="preserve"> </w:t>
      </w:r>
      <w:r w:rsidRPr="00C41E3F">
        <w:t xml:space="preserve">These regulations apply </w:t>
      </w:r>
      <w:r w:rsidRPr="00C41E3F" w:rsidR="00724BC7">
        <w:t xml:space="preserve">to </w:t>
      </w:r>
      <w:r w:rsidRPr="00C41E3F" w:rsidR="00C41E3F">
        <w:t>both new and existing plywood and composite wood products (PCWP)</w:t>
      </w:r>
      <w:r w:rsidRPr="00C41E3F">
        <w:t xml:space="preserve"> </w:t>
      </w:r>
      <w:r w:rsidRPr="00C41E3F" w:rsidR="00C41E3F">
        <w:t>facilities</w:t>
      </w:r>
      <w:r w:rsidR="007C5604">
        <w:t xml:space="preserve"> that are a major source of hazardous air pollutants (HAP). A PCWP manufacturing facility is a major source of </w:t>
      </w:r>
      <w:r w:rsidR="009B428A">
        <w:t>HAP</w:t>
      </w:r>
      <w:r w:rsidR="007C5604">
        <w:t xml:space="preserve"> emissions either in and of itself, or because it is located with other major sources of HAP.</w:t>
      </w:r>
      <w:r w:rsidRPr="00C41E3F" w:rsidR="009C7E97">
        <w:t xml:space="preserve"> </w:t>
      </w:r>
      <w:r w:rsidRPr="00C41E3F" w:rsidR="00C41E3F">
        <w:t xml:space="preserve">Plywood and composite products </w:t>
      </w:r>
      <w:r w:rsidRPr="00C41E3F" w:rsidR="00DA7021">
        <w:t>include</w:t>
      </w:r>
      <w:r w:rsidRPr="00C41E3F" w:rsidR="00C41E3F">
        <w:t xml:space="preserve"> plywood; veneer; particleboard; oriented strand board; hardboard; fiberboard; medium density fiberboard; laminated strand lumber; laminated veneer lumber; wood I-joists; kiln-dried lumber; and glue-laminated beams. </w:t>
      </w:r>
      <w:r w:rsidRPr="00C41E3F">
        <w:t xml:space="preserve">New facilities include those that commenced construction, or reconstruction after </w:t>
      </w:r>
      <w:r w:rsidRPr="00C41E3F" w:rsidR="00DA7021">
        <w:t>January 9, 2003</w:t>
      </w:r>
      <w:r w:rsidRPr="00C41E3F">
        <w:t>.</w:t>
      </w:r>
      <w:r w:rsidRPr="00C41E3F" w:rsidR="009C7E97">
        <w:t xml:space="preserve"> </w:t>
      </w:r>
      <w:r w:rsidRPr="00C41E3F">
        <w:t xml:space="preserve">This information is being collected to assure compliance with 40 CFR </w:t>
      </w:r>
      <w:r w:rsidRPr="00C41E3F" w:rsidR="006810C3">
        <w:t xml:space="preserve">Part </w:t>
      </w:r>
      <w:r w:rsidRPr="00C41E3F">
        <w:t xml:space="preserve">63, </w:t>
      </w:r>
      <w:r w:rsidRPr="00C41E3F" w:rsidR="006810C3">
        <w:t xml:space="preserve">Subpart </w:t>
      </w:r>
      <w:r w:rsidRPr="00C41E3F" w:rsidR="00C41E3F">
        <w:t>DDDD</w:t>
      </w:r>
      <w:r w:rsidRPr="00C41E3F">
        <w:t>.</w:t>
      </w:r>
    </w:p>
    <w:p w:rsidR="00CA4CD6" w14:paraId="43FDF7BE" w14:textId="77777777">
      <w:pPr>
        <w:rPr>
          <w:color w:val="000000"/>
        </w:rPr>
      </w:pPr>
    </w:p>
    <w:p w:rsidR="00CA4CD6" w14:paraId="0116004E" w14:textId="1E9BC819">
      <w:pPr>
        <w:ind w:firstLine="720"/>
        <w:rPr>
          <w:color w:val="000000"/>
        </w:rPr>
      </w:pPr>
      <w:r>
        <w:rPr>
          <w:color w:val="000000"/>
        </w:rPr>
        <w:t xml:space="preserve">In general, </w:t>
      </w:r>
      <w:r w:rsidRPr="00C41E3F">
        <w:t xml:space="preserve">all </w:t>
      </w:r>
      <w:r w:rsidRPr="00C41E3F" w:rsidR="00C41E3F">
        <w:t>NESHAP</w:t>
      </w:r>
      <w:r w:rsidRPr="00C41E3F">
        <w:t xml:space="preserve"> require initial notification</w:t>
      </w:r>
      <w:r w:rsidR="00E47060">
        <w:t xml:space="preserve"> report</w:t>
      </w:r>
      <w:r w:rsidRPr="00C41E3F">
        <w:t>s, performance tests, and periodic reports by the owners/operators of the affected facilities.</w:t>
      </w:r>
      <w:r w:rsidRPr="00C41E3F" w:rsidR="009C7E97">
        <w:t xml:space="preserve"> </w:t>
      </w:r>
      <w:r w:rsidR="00DA7021">
        <w:t xml:space="preserve">Affected facilities </w:t>
      </w:r>
      <w:r w:rsidRPr="00C41E3F">
        <w:t xml:space="preserve">are also required to maintain records </w:t>
      </w:r>
      <w:r w:rsidR="00DA7021">
        <w:t>of</w:t>
      </w:r>
      <w:r w:rsidRPr="00C41E3F">
        <w:t xml:space="preserve"> the operation of an affected facility or any period during which the monitoring system is inoperative.</w:t>
      </w:r>
      <w:r w:rsidRPr="00C41E3F" w:rsidR="009C7E97">
        <w:t xml:space="preserve"> </w:t>
      </w:r>
      <w:r w:rsidRPr="00C41E3F">
        <w:t xml:space="preserve">The notifications, reports, and records are essential in determining compliance, and are required of all affected facilities subject to </w:t>
      </w:r>
      <w:r w:rsidRPr="00C41E3F" w:rsidR="00C41E3F">
        <w:t>NESHAP</w:t>
      </w:r>
      <w:r w:rsidRPr="00C41E3F">
        <w:t>.</w:t>
      </w:r>
      <w:r w:rsidRPr="00C41E3F" w:rsidR="009C7E97">
        <w:t xml:space="preserve"> </w:t>
      </w:r>
    </w:p>
    <w:p w:rsidR="00CA4CD6" w14:paraId="4416605D" w14:textId="77777777">
      <w:pPr>
        <w:rPr>
          <w:color w:val="000000"/>
        </w:rPr>
      </w:pPr>
    </w:p>
    <w:p w:rsidR="00461EA6" w14:paraId="4ACC76B4"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w:t>
      </w:r>
      <w:r w:rsidR="00DA7021">
        <w:rPr>
          <w:color w:val="000000"/>
        </w:rPr>
        <w:t xml:space="preserve">40 CFR part 63 must </w:t>
      </w:r>
      <w:r>
        <w:rPr>
          <w:color w:val="000000"/>
        </w:rPr>
        <w:t xml:space="preserve">maintain a file </w:t>
      </w:r>
      <w:r w:rsidR="00E110E3">
        <w:rPr>
          <w:color w:val="000000"/>
        </w:rPr>
        <w:t xml:space="preserve">containing </w:t>
      </w:r>
      <w:r>
        <w:rPr>
          <w:color w:val="000000"/>
        </w:rPr>
        <w:t>the</w:t>
      </w:r>
      <w:r w:rsidR="00DA7021">
        <w:rPr>
          <w:color w:val="000000"/>
        </w:rPr>
        <w:t xml:space="preserve"> required</w:t>
      </w:r>
      <w:r>
        <w:rPr>
          <w:color w:val="000000"/>
        </w:rPr>
        <w:t xml:space="preserve"> </w:t>
      </w:r>
      <w:r w:rsidR="00DA7021">
        <w:rPr>
          <w:color w:val="000000"/>
        </w:rPr>
        <w:t>reports and records</w:t>
      </w:r>
      <w:r>
        <w:rPr>
          <w:color w:val="000000"/>
        </w:rPr>
        <w:t xml:space="preserve"> and retain the file for at least </w:t>
      </w:r>
      <w:r w:rsidRPr="00C41E3F">
        <w:t xml:space="preserve">five years </w:t>
      </w:r>
      <w:r>
        <w:rPr>
          <w:color w:val="000000"/>
        </w:rPr>
        <w:t xml:space="preserve">following the </w:t>
      </w:r>
      <w:r w:rsidR="00E110E3">
        <w:rPr>
          <w:color w:val="000000"/>
        </w:rPr>
        <w:t xml:space="preserve">generation date of </w:t>
      </w:r>
      <w:r w:rsidR="00DA7021">
        <w:rPr>
          <w:color w:val="000000"/>
        </w:rPr>
        <w:t xml:space="preserve">the reports and </w:t>
      </w:r>
      <w:r>
        <w:rPr>
          <w:color w:val="000000"/>
        </w:rPr>
        <w:t>records.</w:t>
      </w:r>
      <w:r w:rsidR="009C7E97">
        <w:rPr>
          <w:color w:val="000000"/>
        </w:rPr>
        <w:t xml:space="preserve"> </w:t>
      </w:r>
      <w:r>
        <w:rPr>
          <w:color w:val="000000"/>
        </w:rPr>
        <w:t>All reports are sent to the delegated state or local authority.</w:t>
      </w:r>
      <w:r w:rsidR="00DA7021">
        <w:rPr>
          <w:color w:val="000000"/>
        </w:rPr>
        <w:t xml:space="preserve"> </w:t>
      </w:r>
      <w:r>
        <w:rPr>
          <w:color w:val="000000"/>
        </w:rPr>
        <w:t>In the event that</w:t>
      </w:r>
      <w:r>
        <w:rPr>
          <w:color w:val="000000"/>
        </w:rPr>
        <w:t xml:space="preserve"> there is no such delegated authority, the reports are sent directly to the U</w:t>
      </w:r>
      <w:r w:rsidR="00E47060">
        <w:rPr>
          <w:color w:val="000000"/>
        </w:rPr>
        <w:t>.</w:t>
      </w:r>
      <w:r>
        <w:rPr>
          <w:color w:val="000000"/>
        </w:rPr>
        <w:t>S</w:t>
      </w:r>
      <w:r w:rsidR="00E47060">
        <w:rPr>
          <w:color w:val="000000"/>
        </w:rPr>
        <w:t>.</w:t>
      </w:r>
      <w:r>
        <w:rPr>
          <w:color w:val="000000"/>
        </w:rPr>
        <w:t xml:space="preserve"> Environmental Protection Agency (EPA) regional office.</w:t>
      </w:r>
    </w:p>
    <w:p w:rsidR="00461EA6" w14:paraId="1B016509" w14:textId="77777777">
      <w:pPr>
        <w:pBdr>
          <w:top w:val="single" w:sz="6" w:space="0" w:color="FFFFFF"/>
          <w:left w:val="single" w:sz="6" w:space="0" w:color="FFFFFF"/>
          <w:bottom w:val="single" w:sz="6" w:space="0" w:color="FFFFFF"/>
          <w:right w:val="single" w:sz="6" w:space="0" w:color="FFFFFF"/>
        </w:pBdr>
        <w:ind w:firstLine="720"/>
      </w:pPr>
    </w:p>
    <w:p w:rsidR="005E4F68" w:rsidRPr="00C41E3F" w:rsidP="005E4F68" w14:paraId="1A889621" w14:textId="12568A19">
      <w:pPr>
        <w:ind w:firstLine="720"/>
      </w:pPr>
      <w:r>
        <w:t xml:space="preserve">The </w:t>
      </w:r>
      <w:r w:rsidRPr="00E47060">
        <w:t>Plywood and Composite Products</w:t>
      </w:r>
      <w:r>
        <w:t xml:space="preserve"> (PCWP) NESHAP currently contains emissions limits (compliance options), operating requirements, and work practices for PCWP facilities. Lumber facilities that produce kiln-dried lumber and are major sources of HAP are also subject to the NESHAP but have no requirements other than submittal of an initial notification. The EPA is amending the PCWP NESHAP as part of the residual risk and technology review (RTR) required under Clean Air Act sections 112(f)(2) and 112(d)(6). </w:t>
      </w:r>
      <w:r w:rsidRPr="005E4F68">
        <w:t xml:space="preserve">The </w:t>
      </w:r>
      <w:r w:rsidR="00F71A51">
        <w:t xml:space="preserve">final </w:t>
      </w:r>
      <w:r w:rsidRPr="005E4F68">
        <w:t xml:space="preserve">amendments to the rule eliminate the startup, shutdown, and malfunction (SSM) exemption; remove the SSM plan </w:t>
      </w:r>
      <w:r w:rsidRPr="005E4F68">
        <w:t xml:space="preserve">requirement; add periodic emissions testing; add electronic submittal of notifications, semiannual reports, and performance test reports; and make technical and editorial changes. The remaining portions of the NESHAP remain unchanged. </w:t>
      </w:r>
      <w:r>
        <w:t xml:space="preserve">This supporting statement reflects the burden associated with the rule once it is amended. The amended rule resulting from the RTR will not alter the requirements for lumber facilities subject to the PCWP NESHAP.  </w:t>
      </w:r>
    </w:p>
    <w:p w:rsidR="00CA4CD6" w14:paraId="51F311CF" w14:textId="2DDCD916">
      <w:pPr>
        <w:pBdr>
          <w:top w:val="single" w:sz="6" w:space="0" w:color="FFFFFF"/>
          <w:left w:val="single" w:sz="6" w:space="0" w:color="FFFFFF"/>
          <w:bottom w:val="single" w:sz="6" w:space="0" w:color="FFFFFF"/>
          <w:right w:val="single" w:sz="6" w:space="0" w:color="FFFFFF"/>
        </w:pBdr>
        <w:rPr>
          <w:color w:val="000000"/>
        </w:rPr>
      </w:pPr>
    </w:p>
    <w:p w:rsidR="005E4F68" w:rsidP="005E4F68" w14:paraId="13916074" w14:textId="09561E66">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Pr="007C5604" w:rsidR="00D91C34">
        <w:t xml:space="preserve">approximately </w:t>
      </w:r>
      <w:r w:rsidR="00C635AE">
        <w:t>2</w:t>
      </w:r>
      <w:r w:rsidR="002F0952">
        <w:t>44</w:t>
      </w:r>
      <w:r w:rsidRPr="007C5604" w:rsidR="00CA4CD6">
        <w:t xml:space="preserve"> respondents </w:t>
      </w:r>
      <w:r>
        <w:rPr>
          <w:color w:val="000000"/>
        </w:rPr>
        <w:t>per year will be subject to the</w:t>
      </w:r>
      <w:r w:rsidR="0013761F">
        <w:rPr>
          <w:color w:val="000000"/>
        </w:rPr>
        <w:t>se</w:t>
      </w:r>
      <w:r>
        <w:rPr>
          <w:color w:val="000000"/>
        </w:rPr>
        <w:t xml:space="preserve"> standard</w:t>
      </w:r>
      <w:r w:rsidR="0013761F">
        <w:rPr>
          <w:color w:val="000000"/>
        </w:rPr>
        <w:t>s</w:t>
      </w:r>
      <w:r w:rsidR="00CA4CD6">
        <w:rPr>
          <w:color w:val="000000"/>
        </w:rPr>
        <w:t xml:space="preserve">, </w:t>
      </w:r>
      <w:r w:rsidR="002F0952">
        <w:rPr>
          <w:color w:val="000000"/>
        </w:rPr>
        <w:t>including 243 existing respondents per year and an average of 1</w:t>
      </w:r>
      <w:r w:rsidR="00CA4CD6">
        <w:rPr>
          <w:color w:val="000000"/>
        </w:rPr>
        <w:t xml:space="preserve"> </w:t>
      </w:r>
      <w:r>
        <w:rPr>
          <w:color w:val="000000"/>
        </w:rPr>
        <w:t xml:space="preserve">additional </w:t>
      </w:r>
      <w:r w:rsidR="00CA4CD6">
        <w:rPr>
          <w:color w:val="000000"/>
        </w:rPr>
        <w:t xml:space="preserve">respondent </w:t>
      </w:r>
      <w:r>
        <w:rPr>
          <w:color w:val="000000"/>
        </w:rPr>
        <w:t xml:space="preserve">per year </w:t>
      </w:r>
      <w:r w:rsidR="002F0952">
        <w:rPr>
          <w:color w:val="000000"/>
        </w:rPr>
        <w:t>that b</w:t>
      </w:r>
      <w:r w:rsidR="00CA4CD6">
        <w:rPr>
          <w:color w:val="000000"/>
        </w:rPr>
        <w:t>ecome</w:t>
      </w:r>
      <w:r w:rsidR="002F0952">
        <w:rPr>
          <w:color w:val="000000"/>
        </w:rPr>
        <w:t xml:space="preserve">s </w:t>
      </w:r>
      <w:r w:rsidR="00CA4CD6">
        <w:rPr>
          <w:color w:val="000000"/>
        </w:rPr>
        <w:t>subject to the</w:t>
      </w:r>
      <w:r w:rsidR="0013761F">
        <w:rPr>
          <w:color w:val="000000"/>
        </w:rPr>
        <w:t>se same</w:t>
      </w:r>
      <w:r w:rsidR="00CA4CD6">
        <w:rPr>
          <w:color w:val="000000"/>
        </w:rPr>
        <w:t xml:space="preserve"> </w:t>
      </w:r>
      <w:r>
        <w:rPr>
          <w:color w:val="000000"/>
        </w:rPr>
        <w:t>standard</w:t>
      </w:r>
      <w:r w:rsidR="0013761F">
        <w:rPr>
          <w:color w:val="000000"/>
        </w:rPr>
        <w:t>s</w:t>
      </w:r>
      <w:r>
        <w:rPr>
          <w:color w:val="000000"/>
        </w:rPr>
        <w:t>.</w:t>
      </w:r>
      <w:r w:rsidRPr="005E4F68">
        <w:t xml:space="preserve"> </w:t>
      </w:r>
      <w:r w:rsidR="002E124C">
        <w:t>See section 6(d) for details.</w:t>
      </w:r>
    </w:p>
    <w:p w:rsidR="005E4F68" w:rsidP="005E4F68" w14:paraId="40DAB60A" w14:textId="77777777">
      <w:pPr>
        <w:pBdr>
          <w:top w:val="single" w:sz="6" w:space="0" w:color="FFFFFF"/>
          <w:left w:val="single" w:sz="6" w:space="0" w:color="FFFFFF"/>
          <w:bottom w:val="single" w:sz="6" w:space="0" w:color="FFFFFF"/>
          <w:right w:val="single" w:sz="6" w:space="0" w:color="FFFFFF"/>
        </w:pBdr>
        <w:ind w:firstLine="720"/>
      </w:pPr>
    </w:p>
    <w:p w:rsidR="005E4F68" w:rsidP="005E4F68" w14:paraId="06B08B75" w14:textId="784DBD18">
      <w:pPr>
        <w:pBdr>
          <w:top w:val="single" w:sz="6" w:space="0" w:color="FFFFFF"/>
          <w:left w:val="single" w:sz="6" w:space="0" w:color="FFFFFF"/>
          <w:bottom w:val="single" w:sz="6" w:space="0" w:color="FFFFFF"/>
          <w:right w:val="single" w:sz="6" w:space="0" w:color="FFFFFF"/>
        </w:pBdr>
        <w:ind w:firstLine="720"/>
        <w:rPr>
          <w:color w:val="000000"/>
        </w:rPr>
      </w:pPr>
      <w:r>
        <w:t xml:space="preserve">Nearly </w:t>
      </w:r>
      <w:r>
        <w:t>all of</w:t>
      </w:r>
      <w:r>
        <w:t xml:space="preserve"> the PCWP facilities in the United States are owned and operated by the plywood and composite industry (aka: the “Affected Public”). With one exception, </w:t>
      </w:r>
      <w:r>
        <w:rPr>
          <w:color w:val="000000"/>
        </w:rPr>
        <w:t xml:space="preserve">none of the facilities in the United States are owned by either state, local, tribal or the Federal government. They are all owned and operated by privately-owned, for-profit businesses. One lumber facility is owned by a tribal government. We assume that they will all respond to EPA inquiries. </w:t>
      </w:r>
      <w:r w:rsidRPr="00810D4A">
        <w:t xml:space="preserve">The </w:t>
      </w:r>
      <w:r>
        <w:t>“</w:t>
      </w:r>
      <w:r w:rsidRPr="00810D4A">
        <w:t>burden</w:t>
      </w:r>
      <w:r>
        <w:t>”</w:t>
      </w:r>
      <w:r w:rsidRPr="00810D4A">
        <w:t xml:space="preserve"> to the Affected Public may be found </w:t>
      </w:r>
      <w:r>
        <w:t xml:space="preserve">below </w:t>
      </w:r>
      <w:r w:rsidRPr="00810D4A">
        <w:t>in Table 1: Annual Respondent Burden and Cost –</w:t>
      </w:r>
      <w:r>
        <w:rPr>
          <w:color w:val="FF0000"/>
        </w:rPr>
        <w:t xml:space="preserve"> </w:t>
      </w:r>
      <w:r>
        <w:t xml:space="preserve">NESHAP for Plywood and Composite Products </w:t>
      </w:r>
      <w:r>
        <w:rPr>
          <w:bCs/>
        </w:rPr>
        <w:t>(40 CFR Part 63, Subpart DDDD</w:t>
      </w:r>
      <w:r>
        <w:t>) (</w:t>
      </w:r>
      <w:r w:rsidR="00F71A51">
        <w:t xml:space="preserve">Final </w:t>
      </w:r>
      <w:r>
        <w:t>Amendments).</w:t>
      </w:r>
      <w:r w:rsidRPr="00810D4A">
        <w:t xml:space="preserve"> The </w:t>
      </w:r>
      <w:r>
        <w:t>“</w:t>
      </w:r>
      <w:r w:rsidRPr="00810D4A">
        <w:t>burden</w:t>
      </w:r>
      <w:r>
        <w:t>”</w:t>
      </w:r>
      <w:r w:rsidRPr="00810D4A">
        <w:t xml:space="preserve"> to the Federal Government is attributed entirely to work performed by </w:t>
      </w:r>
      <w:r>
        <w:t>either F</w:t>
      </w:r>
      <w:r w:rsidRPr="00810D4A">
        <w:t>ederal employees or government contractors and may be found</w:t>
      </w:r>
      <w:r>
        <w:t xml:space="preserve"> below </w:t>
      </w:r>
      <w:r w:rsidRPr="00810D4A">
        <w:t>in Table 2: Average Annual EPA Burden and Cost –</w:t>
      </w:r>
      <w:r>
        <w:rPr>
          <w:color w:val="FF0000"/>
        </w:rPr>
        <w:t xml:space="preserve"> </w:t>
      </w:r>
      <w:r>
        <w:t xml:space="preserve">NESHAP for Plywood and Composite Products </w:t>
      </w:r>
      <w:r>
        <w:rPr>
          <w:bCs/>
        </w:rPr>
        <w:t>(40 CFR Part 63, Subpart DDDD</w:t>
      </w:r>
      <w:r>
        <w:t>) (</w:t>
      </w:r>
      <w:r w:rsidR="00F71A51">
        <w:t>Final</w:t>
      </w:r>
      <w:r w:rsidR="00F256DD">
        <w:t xml:space="preserve"> </w:t>
      </w:r>
      <w:r>
        <w:t>Amendments).</w:t>
      </w:r>
      <w:r>
        <w:rPr>
          <w:color w:val="FF0000"/>
        </w:rPr>
        <w:t xml:space="preserve"> </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7C5604" w:rsidRPr="007C5604" w14:paraId="4A0A9CD7" w14:textId="66FDF2F0">
      <w:pPr>
        <w:pBdr>
          <w:top w:val="single" w:sz="6" w:space="0" w:color="FFFFFF"/>
          <w:left w:val="single" w:sz="6" w:space="0" w:color="FFFFFF"/>
          <w:bottom w:val="single" w:sz="6" w:space="0" w:color="FFFFFF"/>
          <w:right w:val="single" w:sz="6" w:space="0" w:color="FFFFFF"/>
        </w:pBdr>
        <w:ind w:firstLine="720"/>
      </w:pPr>
      <w:r w:rsidRPr="007C5604">
        <w:t>The</w:t>
      </w:r>
      <w:r w:rsidR="004C4DFA">
        <w:t xml:space="preserve"> O</w:t>
      </w:r>
      <w:r w:rsidR="00227D04">
        <w:t>ffice of Management and Budget (OMB)</w:t>
      </w:r>
      <w:r w:rsidRPr="007C5604">
        <w:t xml:space="preserve"> </w:t>
      </w:r>
      <w:r w:rsidR="00227D04">
        <w:t xml:space="preserve">approved the currently </w:t>
      </w:r>
      <w:r w:rsidRPr="007C5604" w:rsidR="00CA4CD6">
        <w:t xml:space="preserve">active ICR </w:t>
      </w:r>
      <w:r w:rsidR="00227D04">
        <w:t>without any “</w:t>
      </w:r>
      <w:r w:rsidRPr="007C5604" w:rsidR="00CA4CD6">
        <w:t>Terms of Clearance</w:t>
      </w:r>
      <w:r w:rsidR="00227D04">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9D307E" w:rsidP="009D307E" w14:paraId="4DF6204C" w14:textId="77777777">
      <w:pPr>
        <w:pBdr>
          <w:top w:val="single" w:sz="6" w:space="0" w:color="FFFFFF"/>
          <w:left w:val="single" w:sz="6" w:space="0" w:color="FFFFFF"/>
          <w:bottom w:val="single" w:sz="6" w:space="0" w:color="FFFFFF"/>
          <w:right w:val="single" w:sz="6" w:space="0" w:color="FFFFFF"/>
        </w:pBdr>
        <w:ind w:firstLine="720"/>
        <w:rPr>
          <w:color w:val="000000"/>
        </w:rPr>
      </w:pPr>
      <w:r>
        <w:t xml:space="preserve">Section 112 of the CAA requires the EPA to establish NESHAP for major sources of HAP that are listed for regulation under CAA section 112(c). A major source is a stationary source that emits or has the potential to emit more than 10 </w:t>
      </w:r>
      <w:r>
        <w:t>tpy</w:t>
      </w:r>
      <w:r>
        <w:t xml:space="preserve"> of any single HAP or more than 25 </w:t>
      </w:r>
      <w:r>
        <w:t>tpy</w:t>
      </w:r>
      <w:r>
        <w:t xml:space="preserve"> of any combination of HAP. For major sources, the NESHAP includes technology-based standards that must reflect the maximum degree of emission reductions of HAP achievable (after considering cost, energy requirements, and non-air quality health and environmental impacts). The NESHAP are commonly referred to as maximum achievable control technology (MACT) standards. </w:t>
      </w:r>
      <w:r>
        <w:rPr>
          <w:color w:val="000000"/>
        </w:rPr>
        <w:t xml:space="preserve">In the </w:t>
      </w:r>
      <w:r w:rsidRPr="007C5604">
        <w:t>Administrator's judgment, HAP emissions from PCWP facilities</w:t>
      </w:r>
      <w:r>
        <w:t xml:space="preserve"> which include acetaldehyde, acrolein, formaldehyde, methanol, phenol, and propionaldehyde either </w:t>
      </w:r>
      <w:r w:rsidRPr="007C5604">
        <w:t xml:space="preserve">cause or contribute to air pollution that may reasonably be anticipated to endanger public health </w:t>
      </w:r>
      <w:r>
        <w:t>and/</w:t>
      </w:r>
      <w:r w:rsidRPr="007C5604">
        <w:t>or welfare. Therefore, the NESHAP were promulgated for this source category at 40 CFR Part 63,</w:t>
      </w:r>
      <w:r w:rsidRPr="007C5604">
        <w:rPr>
          <w:b/>
          <w:bCs/>
          <w:i/>
          <w:iCs/>
        </w:rPr>
        <w:t xml:space="preserve"> </w:t>
      </w:r>
      <w:r w:rsidRPr="007C5604">
        <w:t>Subpart DDDD</w:t>
      </w:r>
      <w:r>
        <w:t xml:space="preserve"> in 2004.</w:t>
      </w:r>
    </w:p>
    <w:p w:rsidR="009D307E" w14:paraId="453F1A0F" w14:textId="77777777">
      <w:pPr>
        <w:pBdr>
          <w:top w:val="single" w:sz="6" w:space="0" w:color="FFFFFF"/>
          <w:left w:val="single" w:sz="6" w:space="0" w:color="FFFFFF"/>
          <w:bottom w:val="single" w:sz="6" w:space="0" w:color="FFFFFF"/>
          <w:right w:val="single" w:sz="6" w:space="0" w:color="FFFFFF"/>
        </w:pBdr>
        <w:ind w:firstLine="720"/>
      </w:pPr>
    </w:p>
    <w:p w:rsidR="009D307E" w:rsidP="009D307E" w14:paraId="1710D6ED" w14:textId="77777777">
      <w:pPr>
        <w:ind w:firstLine="720"/>
      </w:pPr>
      <w:r>
        <w:t xml:space="preserve">Section 112(d)(6) of the CAA requires the EPA to review the technology-based MACT standards and revise them “as necessary (taking into account developments in practices, processes, and control technologies)” no less frequently than every 8 years. In addition, section </w:t>
      </w:r>
      <w:r>
        <w:t>112(f) of the CAA requires the EPA to determine whether the MACT emissions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rsidR="009D307E" w14:paraId="0A99A9F1" w14:textId="77777777">
      <w:pPr>
        <w:pBdr>
          <w:top w:val="single" w:sz="6" w:space="0" w:color="FFFFFF"/>
          <w:left w:val="single" w:sz="6" w:space="0" w:color="FFFFFF"/>
          <w:bottom w:val="single" w:sz="6" w:space="0" w:color="FFFFFF"/>
          <w:right w:val="single" w:sz="6" w:space="0" w:color="FFFFFF"/>
        </w:pBdr>
        <w:ind w:firstLine="720"/>
      </w:pPr>
    </w:p>
    <w:p w:rsidR="00CA4CD6" w:rsidRPr="007C5604" w14:paraId="1B2AF144" w14:textId="20D79C73">
      <w:pPr>
        <w:pBdr>
          <w:top w:val="single" w:sz="6" w:space="0" w:color="FFFFFF"/>
          <w:left w:val="single" w:sz="6" w:space="0" w:color="FFFFFF"/>
          <w:bottom w:val="single" w:sz="6" w:space="0" w:color="FFFFFF"/>
          <w:right w:val="single" w:sz="6" w:space="0" w:color="FFFFFF"/>
        </w:pBdr>
        <w:ind w:firstLine="720"/>
      </w:pPr>
      <w:r w:rsidRPr="007C5604">
        <w:t>The EPA is charged under Section 112 of the Clean Air Act, as amended, to establish standards of performance for each category or subcategory of major sources of hazardous air pollutants.</w:t>
      </w:r>
      <w:r w:rsidRPr="007C5604" w:rsidR="009C7E97">
        <w:t xml:space="preserve"> </w:t>
      </w:r>
      <w:r w:rsidRPr="007C5604">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7C5604" w14:paraId="59768A81" w14:textId="77777777">
      <w:pPr>
        <w:pBdr>
          <w:top w:val="single" w:sz="6" w:space="0" w:color="FFFFFF"/>
          <w:left w:val="single" w:sz="6" w:space="0" w:color="FFFFFF"/>
          <w:bottom w:val="single" w:sz="6" w:space="0" w:color="FFFFFF"/>
          <w:right w:val="single" w:sz="6" w:space="0" w:color="FFFFFF"/>
        </w:pBdr>
      </w:pPr>
    </w:p>
    <w:p w:rsidR="00CA4CD6" w:rsidRPr="007C5604" w14:paraId="33AC57AC" w14:textId="37F6D890">
      <w:pPr>
        <w:pBdr>
          <w:top w:val="single" w:sz="6" w:space="0" w:color="FFFFFF"/>
          <w:left w:val="single" w:sz="6" w:space="0" w:color="FFFFFF"/>
          <w:bottom w:val="single" w:sz="6" w:space="0" w:color="FFFFFF"/>
          <w:right w:val="single" w:sz="6" w:space="0" w:color="FFFFFF"/>
        </w:pBdr>
        <w:ind w:left="1440" w:right="1440"/>
      </w:pPr>
      <w:r w:rsidRPr="007C560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Pr="007C5604" w:rsidR="007C5604">
        <w:t>strator may reasonably require.</w:t>
      </w:r>
    </w:p>
    <w:p w:rsidR="00CA4CD6" w:rsidP="007C5604" w14:paraId="7731FDB9" w14:textId="0441E97B">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03ABFBFE">
      <w:pPr>
        <w:pBdr>
          <w:top w:val="single" w:sz="6" w:space="0" w:color="FFFFFF"/>
          <w:left w:val="single" w:sz="6" w:space="0" w:color="FFFFFF"/>
          <w:bottom w:val="single" w:sz="6" w:space="0" w:color="FFFFFF"/>
          <w:right w:val="single" w:sz="6" w:space="0" w:color="FFFFFF"/>
        </w:pBdr>
        <w:rPr>
          <w:color w:val="000000"/>
        </w:rPr>
      </w:pPr>
    </w:p>
    <w:p w:rsidR="00CA4CD6" w14:paraId="0991F016" w14:textId="5B3E8CD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7C5604">
        <w:rPr>
          <w:color w:val="000000"/>
        </w:rPr>
        <w:t>g requirements in the</w:t>
      </w:r>
      <w:r w:rsidR="0013761F">
        <w:rPr>
          <w:color w:val="000000"/>
        </w:rPr>
        <w:t>se</w:t>
      </w:r>
      <w:r w:rsidR="007C5604">
        <w:rPr>
          <w:color w:val="000000"/>
        </w:rPr>
        <w:t xml:space="preserve"> standard</w:t>
      </w:r>
      <w:r w:rsidR="0013761F">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7C5604" w14:paraId="218DE045" w14:textId="33FF8BDA">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tests are required </w:t>
      </w:r>
      <w:r>
        <w:rPr>
          <w:color w:val="000000"/>
        </w:rPr>
        <w:t>in order to</w:t>
      </w:r>
      <w:r>
        <w:rPr>
          <w:color w:val="000000"/>
        </w:rPr>
        <w:t xml:space="preserve"> determine an affected capability to co</w:t>
      </w:r>
      <w:r w:rsidR="007C5604">
        <w:rPr>
          <w:color w:val="000000"/>
        </w:rPr>
        <w:t>mply with the emission standard</w:t>
      </w:r>
      <w:r w:rsidR="0013761F">
        <w:rPr>
          <w:color w:val="000000"/>
        </w:rPr>
        <w:t>s</w:t>
      </w:r>
      <w:r>
        <w:rPr>
          <w:color w:val="000000"/>
        </w:rPr>
        <w:t xml:space="preserve">. Continuous emission </w:t>
      </w:r>
      <w:r w:rsidR="00522DF3">
        <w:rPr>
          <w:color w:val="000000"/>
        </w:rPr>
        <w:t xml:space="preserve">or continuous parameter </w:t>
      </w:r>
      <w:r>
        <w:rPr>
          <w:color w:val="000000"/>
        </w:rPr>
        <w:t xml:space="preserve">monitors are used to </w:t>
      </w:r>
      <w:r>
        <w:rPr>
          <w:color w:val="000000"/>
        </w:rPr>
        <w:t>ensure compliance with</w:t>
      </w:r>
      <w:r w:rsidR="007C5604">
        <w:rPr>
          <w:color w:val="000000"/>
        </w:rPr>
        <w:t xml:space="preserve"> the standard</w:t>
      </w:r>
      <w:r w:rsidR="0013761F">
        <w:rPr>
          <w:color w:val="000000"/>
        </w:rPr>
        <w:t>s</w:t>
      </w:r>
      <w:r>
        <w:rPr>
          <w:color w:val="000000"/>
        </w:rPr>
        <w:t xml:space="preserve"> at all times</w:t>
      </w:r>
      <w:r w:rsidRPr="007C5604">
        <w:t>. During the performance test a record of the operating parameters under which compliance was achieved may be recorded and used to determine compliance in place of</w:t>
      </w:r>
      <w:r w:rsidRPr="007C5604" w:rsidR="007C5604">
        <w:t xml:space="preserve"> a continuous emission monitor.</w:t>
      </w:r>
      <w:r w:rsidRPr="007C5604" w:rsidR="009C7E97">
        <w:t xml:space="preserve"> </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rsidRPr="007C5604" w14:paraId="14AFE8F2" w14:textId="4F85E10F">
      <w:pPr>
        <w:pBdr>
          <w:top w:val="single" w:sz="6" w:space="0" w:color="FFFFFF"/>
          <w:left w:val="single" w:sz="6" w:space="0" w:color="FFFFFF"/>
          <w:bottom w:val="single" w:sz="6" w:space="0" w:color="FFFFFF"/>
          <w:right w:val="single" w:sz="6" w:space="0" w:color="FFFFFF"/>
        </w:pBdr>
        <w:ind w:firstLine="720"/>
      </w:pPr>
      <w:r w:rsidRPr="007C5604">
        <w:t>The notifications required in the</w:t>
      </w:r>
      <w:r w:rsidR="0013761F">
        <w:t>se</w:t>
      </w:r>
      <w:r w:rsidRPr="007C5604">
        <w:t xml:space="preserve"> standard</w:t>
      </w:r>
      <w:r w:rsidR="0013761F">
        <w:t>s</w:t>
      </w:r>
      <w:r w:rsidRPr="007C5604">
        <w:t xml:space="preserve"> are used to inform the Agency or delegated authority when a source becomes subject to the requirements of the regulations.</w:t>
      </w:r>
      <w:r w:rsidRPr="007C5604" w:rsidR="009C7E97">
        <w:t xml:space="preserve"> </w:t>
      </w:r>
      <w:r w:rsidRPr="007C5604">
        <w:t>The reviewing authority may then inspect the source to check if the pollution control devices are properly installed and operated</w:t>
      </w:r>
      <w:r w:rsidR="00522DF3">
        <w:t xml:space="preserve"> </w:t>
      </w:r>
      <w:r w:rsidRPr="007C5604" w:rsidR="007C5604">
        <w:t>and the standard is</w:t>
      </w:r>
      <w:r w:rsidRPr="007C5604">
        <w:t xml:space="preserve"> being met.</w:t>
      </w:r>
      <w:r w:rsidRPr="007C5604" w:rsidR="009C7E97">
        <w:t xml:space="preserve"> </w:t>
      </w:r>
      <w:r w:rsidRPr="007C5604">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37D46A8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7C5604">
        <w:t xml:space="preserve">semiannual </w:t>
      </w:r>
      <w:r>
        <w:rPr>
          <w:color w:val="000000"/>
        </w:rPr>
        <w:t>reports are used to determine periods of excess emissions, identify problems at the facility, verify operation/maintenance procedures and for compliance determinations.</w:t>
      </w:r>
      <w:r w:rsidRPr="008063CE" w:rsidR="008063CE">
        <w:t xml:space="preserve"> </w:t>
      </w:r>
      <w:bookmarkStart w:id="0" w:name="_Hlk13222749"/>
      <w:r w:rsidR="008063CE">
        <w:t>This supporting statement reflects the informational needs under CAA authority identified above and accounts for both public and government burdens for the required actions.</w:t>
      </w:r>
      <w:bookmarkEnd w:id="0"/>
    </w:p>
    <w:p w:rsidR="00606DEF" w14:paraId="6E24BED6" w14:textId="0BED65A7">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5AF88DF9">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13761F">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30B8E71A">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7C5604" w:rsidR="007C5604">
        <w:t>63</w:t>
      </w:r>
      <w:r>
        <w:rPr>
          <w:color w:val="000000"/>
        </w:rPr>
        <w:t xml:space="preserve">, </w:t>
      </w:r>
      <w:r w:rsidR="006810C3">
        <w:rPr>
          <w:color w:val="000000"/>
        </w:rPr>
        <w:t>Subpart</w:t>
      </w:r>
      <w:r w:rsidR="003F1AFC">
        <w:rPr>
          <w:color w:val="000000"/>
        </w:rPr>
        <w:t xml:space="preserve"> </w:t>
      </w:r>
      <w:r w:rsidR="007C5604">
        <w:rPr>
          <w:color w:val="000000"/>
        </w:rPr>
        <w:t>DDDD</w:t>
      </w:r>
      <w:r>
        <w:rPr>
          <w:color w:val="000000"/>
        </w:rPr>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0C6B679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13761F">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CA4CD6" w14:paraId="0A4AA653" w14:textId="18A5B9D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Pr="008F1761">
        <w:rPr>
          <w:color w:val="000000"/>
        </w:rPr>
        <w:t>If the subject standards have not been delegated, the information is sent directly to the appropriate EPA regional office.</w:t>
      </w:r>
      <w:r w:rsidRPr="008F1761" w:rsidR="009C7E97">
        <w:rPr>
          <w:color w:val="000000"/>
        </w:rPr>
        <w:t xml:space="preserve"> </w:t>
      </w:r>
      <w:r w:rsidRPr="008F1761">
        <w:rPr>
          <w:color w:val="000000"/>
        </w:rPr>
        <w:t>Otherwise, the information is sent directly to the delegated state or local agency.</w:t>
      </w:r>
      <w:r w:rsidRPr="008F1761" w:rsidR="009C7E97">
        <w:rPr>
          <w:color w:val="000000"/>
        </w:rPr>
        <w:t xml:space="preserve"> </w:t>
      </w:r>
      <w:r w:rsidRPr="008F1761">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Pr="008F1761" w:rsidR="009C7E97">
        <w:rPr>
          <w:color w:val="000000"/>
        </w:rPr>
        <w:t xml:space="preserve"> </w:t>
      </w:r>
      <w:r w:rsidRPr="008F1761">
        <w:rPr>
          <w:color w:val="000000"/>
        </w:rPr>
        <w:t xml:space="preserve">Therefore, duplication </w:t>
      </w:r>
      <w:r w:rsidRPr="008F1761" w:rsidR="0013761F">
        <w:rPr>
          <w:color w:val="000000"/>
        </w:rPr>
        <w:t xml:space="preserve">does not </w:t>
      </w:r>
      <w:r w:rsidRPr="008F1761">
        <w:rPr>
          <w:color w:val="000000"/>
        </w:rPr>
        <w:t>exist.</w:t>
      </w:r>
    </w:p>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EE5394" w:rsidP="00EE5394" w14:paraId="5027432A" w14:textId="2A07CA5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0E0CD6">
        <w:rPr>
          <w:color w:val="000000"/>
        </w:rPr>
        <w:t xml:space="preserve">he ICR </w:t>
      </w:r>
      <w:r w:rsidR="00F71A51">
        <w:rPr>
          <w:color w:val="000000"/>
        </w:rPr>
        <w:t xml:space="preserve">(Agency Tracking No. 1984.07) </w:t>
      </w:r>
      <w:r w:rsidR="000E0CD6">
        <w:rPr>
          <w:color w:val="000000"/>
        </w:rPr>
        <w:t>w</w:t>
      </w:r>
      <w:r w:rsidR="00F71A51">
        <w:rPr>
          <w:color w:val="000000"/>
        </w:rPr>
        <w:t xml:space="preserve">as </w:t>
      </w:r>
      <w:r w:rsidR="000E0CD6">
        <w:rPr>
          <w:color w:val="000000"/>
        </w:rPr>
        <w:t>available for public review during the public comment period following publication of the Subpart DDDD RT</w:t>
      </w:r>
      <w:r>
        <w:rPr>
          <w:color w:val="000000"/>
        </w:rPr>
        <w:t>R rulemaking</w:t>
      </w:r>
      <w:r w:rsidR="00F71A51">
        <w:rPr>
          <w:color w:val="000000"/>
        </w:rPr>
        <w:t xml:space="preserve"> proposal</w:t>
      </w:r>
      <w:r w:rsidR="000E0CD6">
        <w:rPr>
          <w:color w:val="000000"/>
        </w:rPr>
        <w:t xml:space="preserve"> in the </w:t>
      </w:r>
      <w:r w:rsidRPr="00EE5394" w:rsidR="000E0CD6">
        <w:rPr>
          <w:i/>
          <w:iCs/>
          <w:color w:val="000000"/>
        </w:rPr>
        <w:t>Federal Register</w:t>
      </w:r>
      <w:r w:rsidRPr="00F71A51" w:rsidR="00F71A51">
        <w:rPr>
          <w:color w:val="000000"/>
        </w:rPr>
        <w:t xml:space="preserve"> on September 6, 2019</w:t>
      </w:r>
      <w:r w:rsidR="000E0CD6">
        <w:rPr>
          <w:color w:val="000000"/>
        </w:rPr>
        <w:t>.</w:t>
      </w:r>
      <w:r w:rsidR="00F71A51">
        <w:rPr>
          <w:color w:val="000000"/>
        </w:rPr>
        <w:t xml:space="preserve"> </w:t>
      </w:r>
      <w:r>
        <w:rPr>
          <w:color w:val="000000"/>
        </w:rPr>
        <w:t>No public comments on the subpart DDDD rulemaking ICR</w:t>
      </w:r>
      <w:r w:rsidRPr="00F71A51">
        <w:rPr>
          <w:color w:val="000000"/>
        </w:rPr>
        <w:t xml:space="preserve"> </w:t>
      </w:r>
      <w:r>
        <w:rPr>
          <w:color w:val="000000"/>
        </w:rPr>
        <w:t>were received.</w:t>
      </w:r>
    </w:p>
    <w:p w:rsidR="00EE5394" w:rsidP="000E0CD6" w14:paraId="76A99ECC" w14:textId="77777777">
      <w:pPr>
        <w:pBdr>
          <w:top w:val="single" w:sz="6" w:space="0" w:color="FFFFFF"/>
          <w:left w:val="single" w:sz="6" w:space="0" w:color="FFFFFF"/>
          <w:bottom w:val="single" w:sz="6" w:space="0" w:color="FFFFFF"/>
          <w:right w:val="single" w:sz="6" w:space="0" w:color="FFFFFF"/>
        </w:pBdr>
        <w:ind w:firstLine="720"/>
        <w:rPr>
          <w:color w:val="000000"/>
        </w:rPr>
      </w:pPr>
    </w:p>
    <w:p w:rsidR="00B65E8C" w:rsidP="000E0CD6" w14:paraId="7DB756EF" w14:textId="4A96C5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addition, the routine ICR renewal (Agency tracking No. 1984.08) was available for public comment after the September 6, </w:t>
      </w:r>
      <w:r>
        <w:rPr>
          <w:color w:val="000000"/>
        </w:rPr>
        <w:t>2019</w:t>
      </w:r>
      <w:r>
        <w:rPr>
          <w:color w:val="000000"/>
        </w:rPr>
        <w:t xml:space="preserve"> proposal. That ICR included the same updates to the population of affected facilities based on research conducted for the RTR as are reflected in the present ICR. </w:t>
      </w:r>
      <w:r w:rsidR="00F71A51">
        <w:rPr>
          <w:color w:val="000000"/>
        </w:rPr>
        <w:t>No public comments on the ICR</w:t>
      </w:r>
      <w:r w:rsidRPr="00F71A51" w:rsidR="00F71A51">
        <w:rPr>
          <w:color w:val="000000"/>
        </w:rPr>
        <w:t xml:space="preserve"> </w:t>
      </w:r>
      <w:r>
        <w:rPr>
          <w:color w:val="000000"/>
        </w:rPr>
        <w:t xml:space="preserve">renewal </w:t>
      </w:r>
      <w:r w:rsidR="00F71A51">
        <w:rPr>
          <w:color w:val="000000"/>
        </w:rPr>
        <w:t>were received</w:t>
      </w:r>
      <w:r>
        <w:rPr>
          <w:color w:val="000000"/>
        </w:rPr>
        <w:t xml:space="preserve"> and it was approved by OMB</w:t>
      </w:r>
      <w:r w:rsidR="00F71A51">
        <w:rPr>
          <w:color w:val="000000"/>
        </w:rPr>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0E0CD6" w:rsidP="000E0CD6" w14:paraId="2BDCD790" w14:textId="3A73DD84">
      <w:pPr>
        <w:keepNext/>
        <w:widowControl/>
        <w:ind w:firstLine="720"/>
      </w:pPr>
      <w:r>
        <w:t xml:space="preserve">Stakeholder outreach occurred with industry groups including American Wood Council (AWC), National Council for Air and Stream Improvement (NCASI), </w:t>
      </w:r>
      <w:r w:rsidRPr="0077035E">
        <w:t>Composite Panel Association (CPA)</w:t>
      </w:r>
      <w:r>
        <w:t xml:space="preserve">, Southeastern Lumber manufacturer’s Association (SLMA) and the </w:t>
      </w:r>
      <w:r w:rsidRPr="0077035E">
        <w:t>Harwood Plywood and Veneer Association (HPVA</w:t>
      </w:r>
      <w:r>
        <w:t xml:space="preserve">) and member companies of these organizations. Further stakeholder and public input </w:t>
      </w:r>
      <w:r w:rsidR="00F71A51">
        <w:t xml:space="preserve">on the rule </w:t>
      </w:r>
      <w:r w:rsidR="00F71A51">
        <w:t>was</w:t>
      </w:r>
      <w:r w:rsidR="00F71A51">
        <w:t xml:space="preserve"> received during the </w:t>
      </w:r>
      <w:r>
        <w:t xml:space="preserve">public comment </w:t>
      </w:r>
      <w:r w:rsidR="00F71A51">
        <w:t xml:space="preserve">period </w:t>
      </w:r>
      <w:r>
        <w:t>and follow-up meetings with interested stakeholders.</w:t>
      </w:r>
      <w:r w:rsidR="00750522">
        <w:t xml:space="preserve"> However, no changes to the burden estimates developed prior to proposal of the </w:t>
      </w:r>
      <w:r w:rsidR="00750522">
        <w:rPr>
          <w:color w:val="000000"/>
        </w:rPr>
        <w:t xml:space="preserve">Subpart DDDD </w:t>
      </w:r>
      <w:r w:rsidR="00750522">
        <w:t>RTR were required.</w:t>
      </w:r>
    </w:p>
    <w:p w:rsidR="000E0CD6" w:rsidP="000E0CD6" w14:paraId="524677FE" w14:textId="77777777">
      <w:pPr>
        <w:widowControl/>
        <w:ind w:firstLine="720"/>
      </w:pPr>
    </w:p>
    <w:p w:rsidR="000E0CD6" w:rsidP="000E0CD6" w14:paraId="74762C74" w14:textId="4A5D8786">
      <w:pPr>
        <w:widowControl/>
        <w:ind w:firstLine="720"/>
      </w:pPr>
      <w:r>
        <w:t xml:space="preserve">In addition, </w:t>
      </w:r>
      <w:r w:rsidR="00764E51">
        <w:t xml:space="preserve">in 2017 </w:t>
      </w:r>
      <w:r>
        <w:t>the EPA/OAQPS conduc</w:t>
      </w:r>
      <w:r w:rsidR="00764E51">
        <w:t>ted</w:t>
      </w:r>
      <w:r>
        <w:t xml:space="preserve"> an ICR</w:t>
      </w:r>
      <w:r w:rsidR="000D4FA6">
        <w:t>,</w:t>
      </w:r>
      <w:r>
        <w:t xml:space="preserve"> </w:t>
      </w:r>
      <w:r w:rsidR="000D4FA6">
        <w:t>concluding</w:t>
      </w:r>
      <w:r>
        <w:t xml:space="preserve"> </w:t>
      </w:r>
      <w:r w:rsidR="000D4FA6">
        <w:t xml:space="preserve">in </w:t>
      </w:r>
      <w:r>
        <w:t>2018</w:t>
      </w:r>
      <w:r w:rsidR="000D4FA6">
        <w:t>,</w:t>
      </w:r>
      <w:r>
        <w:t xml:space="preserve"> to gather </w:t>
      </w:r>
      <w:r w:rsidR="00764E51">
        <w:t xml:space="preserve">process and emissions </w:t>
      </w:r>
      <w:r>
        <w:t>data from the PCWP industry for rulemaking purposes</w:t>
      </w:r>
      <w:r w:rsidR="00764E51">
        <w:t xml:space="preserve"> (referred to as the </w:t>
      </w:r>
      <w:r w:rsidR="00764E51">
        <w:t>“2017/2018 ICR”)</w:t>
      </w:r>
      <w:r>
        <w:t>. The results from this ICR were used in updating the burden estimates contained in this supporting statement.</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7F2157C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2CBDBB8D">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4D778E">
        <w:rPr>
          <w:color w:val="000000"/>
        </w:rPr>
        <w:t>-</w:t>
      </w:r>
      <w:r>
        <w:rPr>
          <w:color w:val="000000"/>
        </w:rPr>
        <w:t>frequent information collection would decrease the margin of assurance that facilities are continuing to meet the</w:t>
      </w:r>
      <w:r w:rsidR="004D778E">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4D778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77035E" w:rsidP="0077035E" w14:paraId="2547F7A0" w14:textId="369FA84D">
      <w:pPr>
        <w:pBdr>
          <w:top w:val="single" w:sz="6" w:space="0" w:color="FFFFFF"/>
          <w:left w:val="single" w:sz="6" w:space="0" w:color="FFFFFF"/>
          <w:bottom w:val="single" w:sz="6" w:space="0" w:color="FFFFFF"/>
          <w:right w:val="single" w:sz="6" w:space="0" w:color="FFFFFF"/>
        </w:pBdr>
        <w:ind w:firstLine="720"/>
      </w:pPr>
      <w:r w:rsidRPr="0077035E">
        <w:t>These standards require the respondents to maintain all records, including reports and notifications for at least five years.</w:t>
      </w:r>
      <w:r w:rsidRPr="0077035E" w:rsidR="009C7E97">
        <w:t xml:space="preserve"> </w:t>
      </w:r>
      <w:r w:rsidRPr="0077035E">
        <w:t>This is consistent with the General Provisions as applied to the standards.</w:t>
      </w:r>
      <w:r w:rsidRPr="0077035E" w:rsidR="009C7E97">
        <w:t xml:space="preserve"> </w:t>
      </w:r>
      <w:r w:rsidRPr="0077035E">
        <w:t>EPA believes that the five</w:t>
      </w:r>
      <w:r w:rsidR="004D778E">
        <w:t>-</w:t>
      </w:r>
      <w:r w:rsidRPr="0077035E">
        <w:t xml:space="preserve">year records retention requirement is consistent </w:t>
      </w:r>
      <w:r w:rsidRPr="0077035E" w:rsidR="004A084D">
        <w:t xml:space="preserve">with </w:t>
      </w:r>
      <w:r w:rsidRPr="0077035E">
        <w:t>the Part 70 permit program and the five</w:t>
      </w:r>
      <w:r w:rsidR="004D778E">
        <w:t>-</w:t>
      </w:r>
      <w:r w:rsidRPr="0077035E">
        <w:t>year statute of limitations on which the permit program is based.</w:t>
      </w:r>
      <w:r w:rsidRPr="0077035E" w:rsidR="009C7E97">
        <w:t xml:space="preserve"> </w:t>
      </w:r>
      <w:r w:rsidRPr="0077035E" w:rsidR="005F42F8">
        <w:t>T</w:t>
      </w:r>
      <w:r w:rsidRPr="0077035E">
        <w:t>he retention of records for five years allow</w:t>
      </w:r>
      <w:r w:rsidRPr="0077035E" w:rsidR="005F42F8">
        <w:t>s</w:t>
      </w:r>
      <w:r w:rsidRPr="0077035E">
        <w:t xml:space="preserve"> EPA to establish the compliance history of a source</w:t>
      </w:r>
      <w:r w:rsidRPr="0077035E" w:rsidR="005F42F8">
        <w:t xml:space="preserve">, </w:t>
      </w:r>
      <w:r w:rsidRPr="0077035E">
        <w:t xml:space="preserve">any pattern of </w:t>
      </w:r>
      <w:r w:rsidRPr="0077035E" w:rsidR="005F42F8">
        <w:t>non-</w:t>
      </w:r>
      <w:r w:rsidRPr="0077035E">
        <w:t>compliance</w:t>
      </w:r>
      <w:r w:rsidRPr="0077035E" w:rsidR="005F42F8">
        <w:t xml:space="preserve"> and to determine the appropriate level of enforcement action.</w:t>
      </w:r>
      <w:r w:rsidRPr="0077035E" w:rsidR="009C7E97">
        <w:t xml:space="preserve"> </w:t>
      </w:r>
      <w:r w:rsidRPr="0077035E">
        <w:t>EPA has found that the most flagrant violators have violations extending beyond five years.</w:t>
      </w:r>
      <w:r w:rsidRPr="0077035E" w:rsidR="009C7E97">
        <w:t xml:space="preserve"> </w:t>
      </w:r>
      <w:r w:rsidRPr="0077035E" w:rsidR="005F42F8">
        <w:t xml:space="preserve">In addition, </w:t>
      </w:r>
      <w:r w:rsidRPr="0077035E">
        <w:t xml:space="preserve">EPA would be prevented from pursuing the violators due to the destruction or nonexistence of </w:t>
      </w:r>
      <w:r w:rsidRPr="0077035E" w:rsidR="005F42F8">
        <w:t xml:space="preserve">essential </w:t>
      </w:r>
      <w:r w:rsidRPr="0077035E">
        <w:t>records</w:t>
      </w:r>
      <w:r w:rsidRPr="0077035E" w:rsidR="0077035E">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038A128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4D778E">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0649F9D8">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4D778E">
        <w:rPr>
          <w:color w:val="000000"/>
        </w:rPr>
        <w:t>se</w:t>
      </w:r>
      <w:r>
        <w:rPr>
          <w:color w:val="000000"/>
        </w:rPr>
        <w:t xml:space="preserve"> standard</w:t>
      </w:r>
      <w:r w:rsidR="004D778E">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7A77133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w:t>
      </w:r>
      <w:r w:rsidR="004425F7">
        <w:rPr>
          <w:b/>
          <w:bCs/>
          <w:color w:val="000000"/>
        </w:rPr>
        <w:t>NAICS</w:t>
      </w:r>
      <w:r>
        <w:rPr>
          <w:b/>
          <w:bCs/>
          <w:color w:val="000000"/>
        </w:rPr>
        <w:t xml:space="preserve">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59F775B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w:t>
      </w:r>
      <w:r w:rsidRPr="0077035E">
        <w:t xml:space="preserve">requirements are </w:t>
      </w:r>
      <w:r w:rsidRPr="0077035E" w:rsidR="0077035E">
        <w:t>PCWP facilities</w:t>
      </w:r>
      <w:r w:rsidRPr="0077035E">
        <w:t>.</w:t>
      </w:r>
      <w:r w:rsidRPr="0077035E" w:rsidR="009C7E97">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77035E">
        <w:rPr>
          <w:color w:val="000000"/>
        </w:rPr>
        <w:t>s</w:t>
      </w:r>
      <w:r>
        <w:rPr>
          <w:color w:val="000000"/>
        </w:rPr>
        <w:t xml:space="preserve"> for the respondents affected by the standards </w:t>
      </w:r>
      <w:r w:rsidR="0077035E">
        <w:rPr>
          <w:color w:val="000000"/>
        </w:rPr>
        <w:t>and the corresponding</w:t>
      </w:r>
      <w:r>
        <w:rPr>
          <w:color w:val="000000"/>
        </w:rPr>
        <w:t xml:space="preserve"> to the North American Industry Classification System</w:t>
      </w:r>
      <w:r w:rsidR="00CF2B37">
        <w:rPr>
          <w:color w:val="000000"/>
        </w:rPr>
        <w:t xml:space="preserve"> (NAICS</w:t>
      </w:r>
      <w:r>
        <w:rPr>
          <w:color w:val="000000"/>
        </w:rPr>
        <w:t xml:space="preserve">) </w:t>
      </w:r>
      <w:r w:rsidR="0077035E">
        <w:rPr>
          <w:color w:val="000000"/>
        </w:rPr>
        <w:t>codes are listed in the table below</w:t>
      </w:r>
      <w:r>
        <w:rPr>
          <w:color w:val="000000"/>
        </w:rPr>
        <w:t>.</w:t>
      </w:r>
      <w:r w:rsidR="009C7E97">
        <w:rPr>
          <w:color w:val="000000"/>
        </w:rPr>
        <w:t xml:space="preserve"> </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739"/>
        <w:gridCol w:w="2430"/>
        <w:gridCol w:w="2191"/>
      </w:tblGrid>
      <w:tr w14:paraId="4654FAA0" w14:textId="77777777" w:rsidTr="009B1588">
        <w:tblPrEx>
          <w:tblW w:w="9360" w:type="dxa"/>
          <w:tblInd w:w="112" w:type="dxa"/>
          <w:tblLayout w:type="fixed"/>
          <w:tblCellMar>
            <w:left w:w="112" w:type="dxa"/>
            <w:right w:w="112" w:type="dxa"/>
          </w:tblCellMar>
          <w:tblLook w:val="0000"/>
        </w:tblPrEx>
        <w:trPr>
          <w:trHeight w:val="460"/>
        </w:trPr>
        <w:tc>
          <w:tcPr>
            <w:tcW w:w="4739" w:type="dxa"/>
            <w:tcBorders>
              <w:top w:val="single" w:sz="7" w:space="0" w:color="000000"/>
              <w:left w:val="single" w:sz="7" w:space="0" w:color="000000"/>
              <w:bottom w:val="single" w:sz="6" w:space="0" w:color="FFFFFF"/>
              <w:right w:val="single" w:sz="6" w:space="0" w:color="FFFFFF"/>
            </w:tcBorders>
            <w:vAlign w:val="center"/>
          </w:tcPr>
          <w:p w:rsidR="00CA4CD6" w:rsidRPr="0077035E" w:rsidP="000F0773" w14:paraId="4DA07103" w14:textId="4F20117B">
            <w:pPr>
              <w:pBdr>
                <w:top w:val="single" w:sz="6" w:space="0" w:color="FFFFFF"/>
                <w:left w:val="single" w:sz="6" w:space="0" w:color="FFFFFF"/>
                <w:bottom w:val="single" w:sz="6" w:space="0" w:color="FFFFFF"/>
                <w:right w:val="single" w:sz="6" w:space="0" w:color="FFFFFF"/>
              </w:pBdr>
              <w:jc w:val="center"/>
              <w:rPr>
                <w:b/>
                <w:bCs/>
                <w:color w:val="000000"/>
              </w:rPr>
            </w:pPr>
            <w:r w:rsidRPr="0077035E">
              <w:rPr>
                <w:b/>
                <w:bCs/>
              </w:rPr>
              <w:t>Standard</w:t>
            </w:r>
            <w:r w:rsidRPr="0077035E" w:rsidR="004C701D">
              <w:rPr>
                <w:b/>
                <w:bCs/>
              </w:rPr>
              <w:t xml:space="preserve"> </w:t>
            </w:r>
            <w:r w:rsidRPr="0077035E" w:rsidR="004C701D">
              <w:rPr>
                <w:b/>
              </w:rPr>
              <w:t>(</w:t>
            </w:r>
            <w:r w:rsidRPr="0077035E" w:rsidR="0077035E">
              <w:rPr>
                <w:b/>
                <w:bCs/>
              </w:rPr>
              <w:t>40 CFR Part 63, Subpart DDDD</w:t>
            </w:r>
            <w:r w:rsidRPr="0077035E" w:rsidR="004C701D">
              <w:rPr>
                <w:b/>
              </w:rPr>
              <w:t>)</w:t>
            </w:r>
          </w:p>
        </w:tc>
        <w:tc>
          <w:tcPr>
            <w:tcW w:w="2430" w:type="dxa"/>
            <w:tcBorders>
              <w:top w:val="single" w:sz="7" w:space="0" w:color="000000"/>
              <w:left w:val="single" w:sz="7" w:space="0" w:color="000000"/>
              <w:bottom w:val="single" w:sz="6" w:space="0" w:color="FFFFFF"/>
              <w:right w:val="single" w:sz="6" w:space="0" w:color="FFFFFF"/>
            </w:tcBorders>
            <w:vAlign w:val="center"/>
          </w:tcPr>
          <w:p w:rsidR="00CA4CD6" w:rsidP="00F832C5"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191" w:type="dxa"/>
            <w:tcBorders>
              <w:top w:val="single" w:sz="7" w:space="0" w:color="000000"/>
              <w:left w:val="single" w:sz="7" w:space="0" w:color="000000"/>
              <w:bottom w:val="single" w:sz="6" w:space="0" w:color="FFFFFF"/>
              <w:right w:val="single" w:sz="7" w:space="0" w:color="000000"/>
            </w:tcBorders>
            <w:vAlign w:val="center"/>
          </w:tcPr>
          <w:p w:rsidR="00CA4CD6" w:rsidP="00F832C5"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9B1588">
        <w:tblPrEx>
          <w:tblW w:w="9360" w:type="dxa"/>
          <w:tblInd w:w="112" w:type="dxa"/>
          <w:tblLayout w:type="fixed"/>
          <w:tblCellMar>
            <w:left w:w="112" w:type="dxa"/>
            <w:right w:w="112" w:type="dxa"/>
          </w:tblCellMar>
          <w:tblLook w:val="0000"/>
        </w:tblPrEx>
        <w:tc>
          <w:tcPr>
            <w:tcW w:w="4739" w:type="dxa"/>
            <w:tcBorders>
              <w:top w:val="single" w:sz="7" w:space="0" w:color="000000"/>
              <w:left w:val="single" w:sz="7" w:space="0" w:color="000000"/>
              <w:bottom w:val="single" w:sz="6" w:space="0" w:color="FFFFFF"/>
              <w:right w:val="single" w:sz="6" w:space="0" w:color="FFFFFF"/>
            </w:tcBorders>
          </w:tcPr>
          <w:p w:rsidR="00CA4CD6" w:rsidP="009C7E97" w14:paraId="69D88A48" w14:textId="1EB7C530">
            <w:pPr>
              <w:pBdr>
                <w:top w:val="single" w:sz="6" w:space="0" w:color="FFFFFF"/>
                <w:left w:val="single" w:sz="6" w:space="0" w:color="FFFFFF"/>
                <w:bottom w:val="single" w:sz="6" w:space="0" w:color="FFFFFF"/>
                <w:right w:val="single" w:sz="6" w:space="0" w:color="FFFFFF"/>
              </w:pBdr>
              <w:rPr>
                <w:color w:val="000000"/>
              </w:rPr>
            </w:pPr>
            <w:r>
              <w:rPr>
                <w:color w:val="000000"/>
              </w:rPr>
              <w:t>All Other Miscellaneous Wood Product Manufacturing</w:t>
            </w:r>
            <w:r w:rsidR="004425F7">
              <w:rPr>
                <w:color w:val="000000"/>
              </w:rPr>
              <w:t xml:space="preserve"> (including</w:t>
            </w:r>
            <w:r w:rsidR="00E55C80">
              <w:rPr>
                <w:color w:val="000000"/>
              </w:rPr>
              <w:t xml:space="preserve"> </w:t>
            </w:r>
            <w:r w:rsidR="004425F7">
              <w:rPr>
                <w:color w:val="000000"/>
              </w:rPr>
              <w:t>sawmills with lumber kilns)</w:t>
            </w:r>
          </w:p>
        </w:tc>
        <w:tc>
          <w:tcPr>
            <w:tcW w:w="2430" w:type="dxa"/>
            <w:tcBorders>
              <w:top w:val="single" w:sz="7" w:space="0" w:color="000000"/>
              <w:left w:val="single" w:sz="7" w:space="0" w:color="000000"/>
              <w:bottom w:val="single" w:sz="6" w:space="0" w:color="FFFFFF"/>
              <w:right w:val="single" w:sz="6" w:space="0" w:color="FFFFFF"/>
            </w:tcBorders>
          </w:tcPr>
          <w:p w:rsidR="00CA4CD6" w:rsidP="003A5B47" w14:paraId="65180B57" w14:textId="7AC6CB3C">
            <w:pPr>
              <w:pBdr>
                <w:top w:val="single" w:sz="6" w:space="0" w:color="FFFFFF"/>
                <w:left w:val="single" w:sz="6" w:space="0" w:color="FFFFFF"/>
                <w:bottom w:val="single" w:sz="6" w:space="0" w:color="FFFFFF"/>
                <w:right w:val="single" w:sz="6" w:space="0" w:color="FFFFFF"/>
              </w:pBdr>
              <w:jc w:val="center"/>
              <w:rPr>
                <w:color w:val="000000"/>
              </w:rPr>
            </w:pPr>
            <w:r>
              <w:rPr>
                <w:color w:val="000000"/>
              </w:rPr>
              <w:t>2421, 2429, 2499, 2517, 3131, 3999</w:t>
            </w:r>
          </w:p>
        </w:tc>
        <w:tc>
          <w:tcPr>
            <w:tcW w:w="2191" w:type="dxa"/>
            <w:tcBorders>
              <w:top w:val="single" w:sz="7" w:space="0" w:color="000000"/>
              <w:left w:val="single" w:sz="7" w:space="0" w:color="000000"/>
              <w:bottom w:val="single" w:sz="6" w:space="0" w:color="FFFFFF"/>
              <w:right w:val="single" w:sz="7" w:space="0" w:color="000000"/>
            </w:tcBorders>
          </w:tcPr>
          <w:p w:rsidR="00CA4CD6" w:rsidP="003A5B47" w14:paraId="2270277B" w14:textId="60382EDB">
            <w:pPr>
              <w:pBdr>
                <w:top w:val="single" w:sz="6" w:space="0" w:color="FFFFFF"/>
                <w:left w:val="single" w:sz="6" w:space="0" w:color="FFFFFF"/>
                <w:bottom w:val="single" w:sz="6" w:space="0" w:color="FFFFFF"/>
                <w:right w:val="single" w:sz="6" w:space="0" w:color="FFFFFF"/>
              </w:pBdr>
              <w:jc w:val="center"/>
              <w:rPr>
                <w:color w:val="000000"/>
              </w:rPr>
            </w:pPr>
            <w:r>
              <w:rPr>
                <w:color w:val="000000"/>
              </w:rPr>
              <w:t>321999</w:t>
            </w:r>
          </w:p>
        </w:tc>
      </w:tr>
      <w:tr w14:paraId="1381BC79" w14:textId="77777777" w:rsidTr="009B1588">
        <w:tblPrEx>
          <w:tblW w:w="9360" w:type="dxa"/>
          <w:tblInd w:w="112" w:type="dxa"/>
          <w:tblLayout w:type="fixed"/>
          <w:tblCellMar>
            <w:left w:w="112" w:type="dxa"/>
            <w:right w:w="112" w:type="dxa"/>
          </w:tblCellMar>
          <w:tblLook w:val="0000"/>
        </w:tblPrEx>
        <w:tc>
          <w:tcPr>
            <w:tcW w:w="4739" w:type="dxa"/>
            <w:tcBorders>
              <w:top w:val="single" w:sz="7" w:space="0" w:color="000000"/>
              <w:left w:val="single" w:sz="7" w:space="0" w:color="000000"/>
              <w:bottom w:val="single" w:sz="6" w:space="0" w:color="FFFFFF"/>
              <w:right w:val="single" w:sz="6" w:space="0" w:color="FFFFFF"/>
            </w:tcBorders>
          </w:tcPr>
          <w:p w:rsidR="0077035E" w:rsidP="0077035E" w14:paraId="5BF69ED4" w14:textId="27796F4D">
            <w:pPr>
              <w:tabs>
                <w:tab w:val="left" w:pos="3045"/>
              </w:tabs>
              <w:rPr>
                <w:color w:val="000000"/>
              </w:rPr>
            </w:pPr>
            <w:r>
              <w:rPr>
                <w:color w:val="000000"/>
              </w:rPr>
              <w:t>Hardwood Veneer and Plywood Manufacturing</w:t>
            </w:r>
          </w:p>
        </w:tc>
        <w:tc>
          <w:tcPr>
            <w:tcW w:w="2430" w:type="dxa"/>
            <w:tcBorders>
              <w:top w:val="single" w:sz="7" w:space="0" w:color="000000"/>
              <w:left w:val="single" w:sz="7" w:space="0" w:color="000000"/>
              <w:bottom w:val="single" w:sz="6" w:space="0" w:color="FFFFFF"/>
              <w:right w:val="single" w:sz="6" w:space="0" w:color="FFFFFF"/>
            </w:tcBorders>
            <w:vAlign w:val="center"/>
          </w:tcPr>
          <w:p w:rsidR="0077035E" w:rsidP="003A5B47" w14:paraId="44CB63F6" w14:textId="78AFB336">
            <w:pPr>
              <w:pBdr>
                <w:top w:val="single" w:sz="6" w:space="0" w:color="FFFFFF"/>
                <w:left w:val="single" w:sz="6" w:space="0" w:color="FFFFFF"/>
                <w:bottom w:val="single" w:sz="6" w:space="0" w:color="FFFFFF"/>
                <w:right w:val="single" w:sz="6" w:space="0" w:color="FFFFFF"/>
              </w:pBdr>
              <w:jc w:val="center"/>
              <w:rPr>
                <w:color w:val="000000"/>
              </w:rPr>
            </w:pPr>
            <w:r>
              <w:rPr>
                <w:color w:val="000000"/>
              </w:rPr>
              <w:t>2435</w:t>
            </w:r>
          </w:p>
        </w:tc>
        <w:tc>
          <w:tcPr>
            <w:tcW w:w="2191" w:type="dxa"/>
            <w:tcBorders>
              <w:top w:val="single" w:sz="7" w:space="0" w:color="000000"/>
              <w:left w:val="single" w:sz="7" w:space="0" w:color="000000"/>
              <w:bottom w:val="single" w:sz="6" w:space="0" w:color="FFFFFF"/>
              <w:right w:val="single" w:sz="7" w:space="0" w:color="000000"/>
            </w:tcBorders>
            <w:vAlign w:val="center"/>
          </w:tcPr>
          <w:p w:rsidR="0077035E" w:rsidP="003A5B47" w14:paraId="65FC1A16" w14:textId="077B2172">
            <w:pPr>
              <w:pBdr>
                <w:top w:val="single" w:sz="6" w:space="0" w:color="FFFFFF"/>
                <w:left w:val="single" w:sz="6" w:space="0" w:color="FFFFFF"/>
                <w:bottom w:val="single" w:sz="6" w:space="0" w:color="FFFFFF"/>
                <w:right w:val="single" w:sz="6" w:space="0" w:color="FFFFFF"/>
              </w:pBdr>
              <w:jc w:val="center"/>
              <w:rPr>
                <w:color w:val="000000"/>
              </w:rPr>
            </w:pPr>
            <w:r>
              <w:t>321211</w:t>
            </w:r>
          </w:p>
        </w:tc>
      </w:tr>
      <w:tr w14:paraId="671F5B03" w14:textId="77777777" w:rsidTr="009B1588">
        <w:tblPrEx>
          <w:tblW w:w="9360" w:type="dxa"/>
          <w:tblInd w:w="112" w:type="dxa"/>
          <w:tblLayout w:type="fixed"/>
          <w:tblCellMar>
            <w:left w:w="112" w:type="dxa"/>
            <w:right w:w="112" w:type="dxa"/>
          </w:tblCellMar>
          <w:tblLook w:val="0000"/>
        </w:tblPrEx>
        <w:tc>
          <w:tcPr>
            <w:tcW w:w="4739" w:type="dxa"/>
            <w:tcBorders>
              <w:top w:val="single" w:sz="7" w:space="0" w:color="000000"/>
              <w:left w:val="single" w:sz="7" w:space="0" w:color="000000"/>
              <w:bottom w:val="single" w:sz="6" w:space="0" w:color="FFFFFF"/>
              <w:right w:val="single" w:sz="6" w:space="0" w:color="FFFFFF"/>
            </w:tcBorders>
          </w:tcPr>
          <w:p w:rsidR="0077035E" w:rsidP="0077035E" w14:paraId="691848A5" w14:textId="7AC1649F">
            <w:pPr>
              <w:pBdr>
                <w:top w:val="single" w:sz="6" w:space="0" w:color="FFFFFF"/>
                <w:left w:val="single" w:sz="6" w:space="0" w:color="FFFFFF"/>
                <w:bottom w:val="single" w:sz="6" w:space="0" w:color="FFFFFF"/>
                <w:right w:val="single" w:sz="6" w:space="0" w:color="FFFFFF"/>
              </w:pBdr>
              <w:rPr>
                <w:color w:val="000000"/>
              </w:rPr>
            </w:pPr>
            <w:r>
              <w:rPr>
                <w:color w:val="000000"/>
              </w:rPr>
              <w:t>Softwood Veneer and Plywood Manufacturing</w:t>
            </w:r>
          </w:p>
        </w:tc>
        <w:tc>
          <w:tcPr>
            <w:tcW w:w="2430" w:type="dxa"/>
            <w:tcBorders>
              <w:top w:val="single" w:sz="7" w:space="0" w:color="000000"/>
              <w:left w:val="single" w:sz="7" w:space="0" w:color="000000"/>
              <w:bottom w:val="single" w:sz="6" w:space="0" w:color="FFFFFF"/>
              <w:right w:val="single" w:sz="6" w:space="0" w:color="FFFFFF"/>
            </w:tcBorders>
            <w:vAlign w:val="center"/>
          </w:tcPr>
          <w:p w:rsidR="0077035E" w:rsidP="003A5B47" w14:paraId="379919C6" w14:textId="683E347A">
            <w:pPr>
              <w:pBdr>
                <w:top w:val="single" w:sz="6" w:space="0" w:color="FFFFFF"/>
                <w:left w:val="single" w:sz="6" w:space="0" w:color="FFFFFF"/>
                <w:bottom w:val="single" w:sz="6" w:space="0" w:color="FFFFFF"/>
                <w:right w:val="single" w:sz="6" w:space="0" w:color="FFFFFF"/>
              </w:pBdr>
              <w:jc w:val="center"/>
              <w:rPr>
                <w:color w:val="000000"/>
              </w:rPr>
            </w:pPr>
            <w:r>
              <w:rPr>
                <w:color w:val="000000"/>
              </w:rPr>
              <w:t>2436</w:t>
            </w:r>
          </w:p>
        </w:tc>
        <w:tc>
          <w:tcPr>
            <w:tcW w:w="2191" w:type="dxa"/>
            <w:tcBorders>
              <w:top w:val="single" w:sz="7" w:space="0" w:color="000000"/>
              <w:left w:val="single" w:sz="7" w:space="0" w:color="000000"/>
              <w:bottom w:val="single" w:sz="6" w:space="0" w:color="FFFFFF"/>
              <w:right w:val="single" w:sz="7" w:space="0" w:color="000000"/>
            </w:tcBorders>
            <w:vAlign w:val="center"/>
          </w:tcPr>
          <w:p w:rsidR="0077035E" w:rsidP="003A5B47" w14:paraId="1DBC97FC" w14:textId="357021E2">
            <w:pPr>
              <w:pBdr>
                <w:top w:val="single" w:sz="6" w:space="0" w:color="FFFFFF"/>
                <w:left w:val="single" w:sz="6" w:space="0" w:color="FFFFFF"/>
                <w:bottom w:val="single" w:sz="6" w:space="0" w:color="FFFFFF"/>
                <w:right w:val="single" w:sz="6" w:space="0" w:color="FFFFFF"/>
              </w:pBdr>
              <w:jc w:val="center"/>
              <w:rPr>
                <w:color w:val="000000"/>
              </w:rPr>
            </w:pPr>
            <w:r>
              <w:t>321212</w:t>
            </w:r>
          </w:p>
        </w:tc>
      </w:tr>
      <w:tr w14:paraId="222AD0AC" w14:textId="77777777" w:rsidTr="009B1588">
        <w:tblPrEx>
          <w:tblW w:w="9360" w:type="dxa"/>
          <w:tblInd w:w="112" w:type="dxa"/>
          <w:tblLayout w:type="fixed"/>
          <w:tblCellMar>
            <w:left w:w="112" w:type="dxa"/>
            <w:right w:w="112" w:type="dxa"/>
          </w:tblCellMar>
          <w:tblLook w:val="0000"/>
        </w:tblPrEx>
        <w:tc>
          <w:tcPr>
            <w:tcW w:w="4739" w:type="dxa"/>
            <w:tcBorders>
              <w:top w:val="single" w:sz="7" w:space="0" w:color="000000"/>
              <w:left w:val="single" w:sz="7" w:space="0" w:color="000000"/>
              <w:bottom w:val="single" w:sz="6" w:space="0" w:color="FFFFFF"/>
              <w:right w:val="single" w:sz="6" w:space="0" w:color="FFFFFF"/>
            </w:tcBorders>
          </w:tcPr>
          <w:p w:rsidR="0077035E" w:rsidP="0077035E" w14:paraId="6E760476" w14:textId="052FCA3F">
            <w:pPr>
              <w:pBdr>
                <w:top w:val="single" w:sz="6" w:space="0" w:color="FFFFFF"/>
                <w:left w:val="single" w:sz="6" w:space="0" w:color="FFFFFF"/>
                <w:bottom w:val="single" w:sz="6" w:space="0" w:color="FFFFFF"/>
                <w:right w:val="single" w:sz="6" w:space="0" w:color="FFFFFF"/>
              </w:pBdr>
              <w:rPr>
                <w:color w:val="000000"/>
              </w:rPr>
            </w:pPr>
            <w:r>
              <w:rPr>
                <w:color w:val="000000"/>
              </w:rPr>
              <w:t>Reconstituted Wood Product Manufacturing</w:t>
            </w:r>
          </w:p>
        </w:tc>
        <w:tc>
          <w:tcPr>
            <w:tcW w:w="2430" w:type="dxa"/>
            <w:tcBorders>
              <w:top w:val="single" w:sz="7" w:space="0" w:color="000000"/>
              <w:left w:val="single" w:sz="7" w:space="0" w:color="000000"/>
              <w:bottom w:val="single" w:sz="6" w:space="0" w:color="FFFFFF"/>
              <w:right w:val="single" w:sz="6" w:space="0" w:color="FFFFFF"/>
            </w:tcBorders>
            <w:vAlign w:val="center"/>
          </w:tcPr>
          <w:p w:rsidR="0077035E" w:rsidP="003A5B47" w14:paraId="5A0BA3E0" w14:textId="156E73B5">
            <w:pPr>
              <w:pBdr>
                <w:top w:val="single" w:sz="6" w:space="0" w:color="FFFFFF"/>
                <w:left w:val="single" w:sz="6" w:space="0" w:color="FFFFFF"/>
                <w:bottom w:val="single" w:sz="6" w:space="0" w:color="FFFFFF"/>
                <w:right w:val="single" w:sz="6" w:space="0" w:color="FFFFFF"/>
              </w:pBdr>
              <w:jc w:val="center"/>
              <w:rPr>
                <w:color w:val="000000"/>
              </w:rPr>
            </w:pPr>
            <w:r>
              <w:rPr>
                <w:color w:val="000000"/>
              </w:rPr>
              <w:t>2493</w:t>
            </w:r>
          </w:p>
        </w:tc>
        <w:tc>
          <w:tcPr>
            <w:tcW w:w="2191" w:type="dxa"/>
            <w:tcBorders>
              <w:top w:val="single" w:sz="7" w:space="0" w:color="000000"/>
              <w:left w:val="single" w:sz="7" w:space="0" w:color="000000"/>
              <w:bottom w:val="single" w:sz="6" w:space="0" w:color="FFFFFF"/>
              <w:right w:val="single" w:sz="7" w:space="0" w:color="000000"/>
            </w:tcBorders>
            <w:vAlign w:val="center"/>
          </w:tcPr>
          <w:p w:rsidR="0077035E" w:rsidP="003A5B47" w14:paraId="475EFD5E" w14:textId="4959AFA9">
            <w:pPr>
              <w:pBdr>
                <w:top w:val="single" w:sz="6" w:space="0" w:color="FFFFFF"/>
                <w:left w:val="single" w:sz="6" w:space="0" w:color="FFFFFF"/>
                <w:bottom w:val="single" w:sz="6" w:space="0" w:color="FFFFFF"/>
                <w:right w:val="single" w:sz="6" w:space="0" w:color="FFFFFF"/>
              </w:pBdr>
              <w:jc w:val="center"/>
              <w:rPr>
                <w:color w:val="000000"/>
              </w:rPr>
            </w:pPr>
            <w:r>
              <w:t>321219</w:t>
            </w:r>
          </w:p>
        </w:tc>
      </w:tr>
      <w:tr w14:paraId="581E12B2" w14:textId="77777777" w:rsidTr="009B1588">
        <w:tblPrEx>
          <w:tblW w:w="9360" w:type="dxa"/>
          <w:tblInd w:w="112" w:type="dxa"/>
          <w:tblLayout w:type="fixed"/>
          <w:tblCellMar>
            <w:left w:w="112" w:type="dxa"/>
            <w:right w:w="112" w:type="dxa"/>
          </w:tblCellMar>
          <w:tblLook w:val="0000"/>
        </w:tblPrEx>
        <w:tc>
          <w:tcPr>
            <w:tcW w:w="4739" w:type="dxa"/>
            <w:tcBorders>
              <w:top w:val="single" w:sz="7" w:space="0" w:color="000000"/>
              <w:left w:val="single" w:sz="7" w:space="0" w:color="000000"/>
              <w:bottom w:val="single" w:sz="7" w:space="0" w:color="000000"/>
              <w:right w:val="single" w:sz="6" w:space="0" w:color="FFFFFF"/>
            </w:tcBorders>
          </w:tcPr>
          <w:p w:rsidR="003A5B47" w:rsidP="003A5B47" w14:paraId="50E6CAA7" w14:textId="34AAB265">
            <w:pPr>
              <w:pBdr>
                <w:top w:val="single" w:sz="6" w:space="0" w:color="FFFFFF"/>
                <w:left w:val="single" w:sz="6" w:space="0" w:color="FFFFFF"/>
                <w:bottom w:val="single" w:sz="6" w:space="0" w:color="FFFFFF"/>
                <w:right w:val="single" w:sz="6" w:space="0" w:color="FFFFFF"/>
              </w:pBdr>
              <w:tabs>
                <w:tab w:val="left" w:pos="3217"/>
              </w:tabs>
              <w:rPr>
                <w:color w:val="000000"/>
              </w:rPr>
            </w:pPr>
            <w:r>
              <w:rPr>
                <w:color w:val="000000"/>
              </w:rPr>
              <w:t>Engineered Wood Member (except truss) Manufacturing</w:t>
            </w:r>
          </w:p>
        </w:tc>
        <w:tc>
          <w:tcPr>
            <w:tcW w:w="2430" w:type="dxa"/>
            <w:tcBorders>
              <w:top w:val="single" w:sz="7" w:space="0" w:color="000000"/>
              <w:left w:val="single" w:sz="7" w:space="0" w:color="000000"/>
              <w:bottom w:val="single" w:sz="7" w:space="0" w:color="000000"/>
              <w:right w:val="single" w:sz="6" w:space="0" w:color="FFFFFF"/>
            </w:tcBorders>
            <w:vAlign w:val="center"/>
          </w:tcPr>
          <w:p w:rsidR="003A5B47" w:rsidP="003A5B47" w14:paraId="38FFDE4A" w14:textId="138A991F">
            <w:pPr>
              <w:pBdr>
                <w:top w:val="single" w:sz="6" w:space="0" w:color="FFFFFF"/>
                <w:left w:val="single" w:sz="6" w:space="0" w:color="FFFFFF"/>
                <w:bottom w:val="single" w:sz="6" w:space="0" w:color="FFFFFF"/>
                <w:right w:val="single" w:sz="6" w:space="0" w:color="FFFFFF"/>
              </w:pBdr>
              <w:jc w:val="center"/>
              <w:rPr>
                <w:color w:val="000000"/>
              </w:rPr>
            </w:pPr>
            <w:r>
              <w:rPr>
                <w:color w:val="000000"/>
              </w:rPr>
              <w:t>2439</w:t>
            </w:r>
          </w:p>
        </w:tc>
        <w:tc>
          <w:tcPr>
            <w:tcW w:w="2191" w:type="dxa"/>
            <w:tcBorders>
              <w:top w:val="single" w:sz="7" w:space="0" w:color="000000"/>
              <w:left w:val="single" w:sz="7" w:space="0" w:color="000000"/>
              <w:bottom w:val="single" w:sz="7" w:space="0" w:color="000000"/>
              <w:right w:val="single" w:sz="7" w:space="0" w:color="000000"/>
            </w:tcBorders>
            <w:vAlign w:val="center"/>
          </w:tcPr>
          <w:p w:rsidR="003A5B47" w:rsidP="003A5B47" w14:paraId="4BC177CF" w14:textId="4720F83A">
            <w:pPr>
              <w:pBdr>
                <w:top w:val="single" w:sz="6" w:space="0" w:color="FFFFFF"/>
                <w:left w:val="single" w:sz="6" w:space="0" w:color="FFFFFF"/>
                <w:bottom w:val="single" w:sz="6" w:space="0" w:color="FFFFFF"/>
                <w:right w:val="single" w:sz="6" w:space="0" w:color="FFFFFF"/>
              </w:pBdr>
              <w:jc w:val="center"/>
              <w:rPr>
                <w:color w:val="000000"/>
              </w:rPr>
            </w:pPr>
            <w:r>
              <w:t>321213</w:t>
            </w:r>
          </w:p>
        </w:tc>
      </w:tr>
    </w:tbl>
    <w:p w:rsidR="00CA4CD6" w14:paraId="14C00FFB" w14:textId="156275C2">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Pr="003A5B47" w:rsidP="003A5B47" w14:paraId="1D2C2416" w14:textId="43A57D2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P="003A5B47" w14:paraId="1511BFC7" w14:textId="0F9DD3C9">
      <w:pPr>
        <w:pBdr>
          <w:top w:val="single" w:sz="6" w:space="0" w:color="FFFFFF"/>
          <w:left w:val="single" w:sz="6" w:space="0" w:color="FFFFFF"/>
          <w:bottom w:val="single" w:sz="6" w:space="0" w:color="FFFFFF"/>
          <w:right w:val="single" w:sz="6" w:space="0" w:color="FFFFFF"/>
        </w:pBdr>
        <w:ind w:firstLine="720"/>
      </w:pPr>
      <w:r>
        <w:rPr>
          <w:color w:val="000000"/>
        </w:rPr>
        <w:t>I</w:t>
      </w:r>
      <w:r>
        <w:rPr>
          <w:color w:val="000000"/>
        </w:rPr>
        <w:t>n this ICR</w:t>
      </w:r>
      <w:r>
        <w:rPr>
          <w:color w:val="000000"/>
        </w:rPr>
        <w:t>, all the data</w:t>
      </w:r>
      <w:r>
        <w:rPr>
          <w:color w:val="000000"/>
        </w:rPr>
        <w:t xml:space="preserve"> </w:t>
      </w:r>
      <w:r>
        <w:rPr>
          <w:color w:val="000000"/>
        </w:rPr>
        <w:t xml:space="preserve">that is </w:t>
      </w:r>
      <w:r>
        <w:rPr>
          <w:color w:val="000000"/>
        </w:rPr>
        <w:t xml:space="preserve">recorded or reported </w:t>
      </w:r>
      <w:r>
        <w:rPr>
          <w:color w:val="000000"/>
        </w:rPr>
        <w:t>is</w:t>
      </w:r>
      <w:r>
        <w:rPr>
          <w:color w:val="000000"/>
        </w:rPr>
        <w:t xml:space="preserve"> required by</w:t>
      </w:r>
      <w:r w:rsidR="00233F0F">
        <w:rPr>
          <w:color w:val="000000"/>
        </w:rPr>
        <w:t xml:space="preserve"> the</w:t>
      </w:r>
      <w:r>
        <w:rPr>
          <w:color w:val="FF0000"/>
        </w:rPr>
        <w:t xml:space="preserve"> </w:t>
      </w:r>
      <w:r w:rsidRPr="006C76C6" w:rsidR="003A5B47">
        <w:t>NESHAP for Plywood and Composite Products (40 CFR Part 63, Subpart DDDD)</w:t>
      </w:r>
      <w:r w:rsidR="003A5B47">
        <w:t>.</w:t>
      </w:r>
      <w:r w:rsidRPr="00E55C80" w:rsidR="00E55C80">
        <w:t xml:space="preserve"> </w:t>
      </w:r>
      <w:r w:rsidR="00E55C80">
        <w:t>Subpart DDDD references 40 CFR Part 63, Subpart A for several general reporting and recordkeeping requirements that apply for all NESHAP</w:t>
      </w:r>
      <w:r w:rsidR="00E55C80">
        <w:rPr>
          <w:bCs/>
        </w:rPr>
        <w:t>.</w:t>
      </w:r>
    </w:p>
    <w:p w:rsidR="00E55C80" w:rsidRPr="003A5B47" w:rsidP="003A5B47" w14:paraId="2E1E5F9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020"/>
        <w:gridCol w:w="2340"/>
      </w:tblGrid>
      <w:tr w14:paraId="57118738" w14:textId="77777777" w:rsidTr="003A5B47">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14:paraId="4D195752" w14:textId="77777777">
            <w:pPr>
              <w:spacing w:line="120" w:lineRule="exact"/>
            </w:pPr>
          </w:p>
          <w:p w:rsidR="00CA4CD6" w:rsidRPr="00CF2B37" w:rsidP="006E4A6E" w14:paraId="6037C871" w14:textId="5C20D7E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r w:rsidR="00DD3895">
              <w:rPr>
                <w:b/>
              </w:rPr>
              <w:t xml:space="preserve"> </w:t>
            </w:r>
            <w:r w:rsidR="00557BE9">
              <w:rPr>
                <w:b/>
              </w:rPr>
              <w:t>and Reports</w:t>
            </w:r>
          </w:p>
        </w:tc>
      </w:tr>
      <w:tr w14:paraId="3C77EC7A" w14:textId="77777777" w:rsidTr="003A5B47">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3A5B47" w:rsidRPr="00CF2B37" w:rsidP="003A5B47" w14:paraId="567D45F6" w14:textId="490009E6">
            <w:pPr>
              <w:pBdr>
                <w:top w:val="single" w:sz="6" w:space="0" w:color="FFFFFF"/>
                <w:left w:val="single" w:sz="6" w:space="0" w:color="FFFFFF"/>
                <w:bottom w:val="single" w:sz="6" w:space="0" w:color="FFFFFF"/>
                <w:right w:val="single" w:sz="6" w:space="0" w:color="FFFFFF"/>
              </w:pBdr>
              <w:spacing w:after="58"/>
            </w:pPr>
            <w:r>
              <w:t>Initial notification for existing sources</w:t>
            </w:r>
          </w:p>
        </w:tc>
        <w:tc>
          <w:tcPr>
            <w:tcW w:w="2340" w:type="dxa"/>
            <w:tcBorders>
              <w:top w:val="single" w:sz="7" w:space="0" w:color="000000"/>
              <w:left w:val="single" w:sz="7" w:space="0" w:color="000000"/>
              <w:bottom w:val="single" w:sz="7" w:space="0" w:color="000000"/>
              <w:right w:val="single" w:sz="7" w:space="0" w:color="000000"/>
            </w:tcBorders>
            <w:vAlign w:val="center"/>
          </w:tcPr>
          <w:p w:rsidR="003A5B47" w:rsidRPr="00CF2B37" w:rsidP="003A5B47" w14:paraId="1EF1C74F" w14:textId="0BAB46BB">
            <w:pPr>
              <w:pBdr>
                <w:top w:val="single" w:sz="6" w:space="0" w:color="FFFFFF"/>
                <w:left w:val="single" w:sz="6" w:space="0" w:color="FFFFFF"/>
                <w:bottom w:val="single" w:sz="6" w:space="0" w:color="FFFFFF"/>
                <w:right w:val="single" w:sz="6" w:space="0" w:color="FFFFFF"/>
              </w:pBdr>
              <w:spacing w:after="58"/>
            </w:pPr>
            <w:r>
              <w:t>63.9(b)(2), 63.2280</w:t>
            </w:r>
            <w:r w:rsidR="00B45B7B">
              <w:t>(a)-</w:t>
            </w:r>
            <w:r>
              <w:t>(b)</w:t>
            </w:r>
          </w:p>
        </w:tc>
      </w:tr>
      <w:tr w14:paraId="2198B4D7" w14:textId="77777777" w:rsidTr="003A5B47">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B45B7B" w:rsidP="003A5B47" w14:paraId="4BB34F9D" w14:textId="1D7BB29D">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B45B7B" w:rsidP="003A5B47" w14:paraId="3902202A" w14:textId="340DEBB7">
            <w:pPr>
              <w:pBdr>
                <w:top w:val="single" w:sz="6" w:space="0" w:color="FFFFFF"/>
                <w:left w:val="single" w:sz="6" w:space="0" w:color="FFFFFF"/>
                <w:bottom w:val="single" w:sz="6" w:space="0" w:color="FFFFFF"/>
                <w:right w:val="single" w:sz="6" w:space="0" w:color="FFFFFF"/>
              </w:pBdr>
              <w:spacing w:after="58"/>
            </w:pPr>
            <w:r>
              <w:t>63.9(b)(4)</w:t>
            </w:r>
            <w:r w:rsidR="00BD0CD3">
              <w:t>-(5)</w:t>
            </w:r>
            <w:r>
              <w:t>, 63.2280(a)</w:t>
            </w:r>
          </w:p>
        </w:tc>
      </w:tr>
      <w:tr w14:paraId="489A2096" w14:textId="77777777" w:rsidTr="003A5B47">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BD0CD3" w:rsidP="003A5B47" w14:paraId="0FFBEED8" w14:textId="7903AC27">
            <w:pPr>
              <w:pBdr>
                <w:top w:val="single" w:sz="6" w:space="0" w:color="FFFFFF"/>
                <w:left w:val="single" w:sz="6" w:space="0" w:color="FFFFFF"/>
                <w:bottom w:val="single" w:sz="6" w:space="0" w:color="FFFFFF"/>
                <w:right w:val="single" w:sz="6" w:space="0" w:color="FFFFFF"/>
              </w:pBdr>
              <w:spacing w:after="58"/>
            </w:pPr>
            <w:r>
              <w:t xml:space="preserve">Notification that </w:t>
            </w:r>
            <w:r>
              <w:t>source</w:t>
            </w:r>
            <w:r>
              <w:t xml:space="preserv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rsidR="00BD0CD3" w:rsidP="003A5B47" w14:paraId="4F0687F2" w14:textId="508606C5">
            <w:pPr>
              <w:pBdr>
                <w:top w:val="single" w:sz="6" w:space="0" w:color="FFFFFF"/>
                <w:left w:val="single" w:sz="6" w:space="0" w:color="FFFFFF"/>
                <w:bottom w:val="single" w:sz="6" w:space="0" w:color="FFFFFF"/>
                <w:right w:val="single" w:sz="6" w:space="0" w:color="FFFFFF"/>
              </w:pBdr>
              <w:spacing w:after="58"/>
            </w:pPr>
            <w:r>
              <w:t>63.9(d), 63.2280(a)</w:t>
            </w:r>
          </w:p>
        </w:tc>
      </w:tr>
      <w:tr w14:paraId="74DBFC89" w14:textId="77777777" w:rsidTr="003A5B47">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3A5B47" w:rsidRPr="00CF2B37" w:rsidP="003A5B47" w14:paraId="5FB7E8CC" w14:textId="12A4D3D8">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rsidR="003A5B47" w:rsidRPr="00CF2B37" w:rsidP="003A5B47" w14:paraId="2D6ACA34" w14:textId="77CCBAB9">
            <w:pPr>
              <w:pBdr>
                <w:top w:val="single" w:sz="6" w:space="0" w:color="FFFFFF"/>
                <w:left w:val="single" w:sz="6" w:space="0" w:color="FFFFFF"/>
                <w:bottom w:val="single" w:sz="6" w:space="0" w:color="FFFFFF"/>
                <w:right w:val="single" w:sz="6" w:space="0" w:color="FFFFFF"/>
              </w:pBdr>
              <w:spacing w:after="58"/>
            </w:pPr>
            <w:r>
              <w:t>63.7(b)(1)</w:t>
            </w:r>
            <w:r>
              <w:t xml:space="preserve">, </w:t>
            </w:r>
            <w:r w:rsidR="00BD0CD3">
              <w:t xml:space="preserve">63.9(e), </w:t>
            </w:r>
            <w:r>
              <w:t>63.2280</w:t>
            </w:r>
            <w:r w:rsidR="00BD0CD3">
              <w:t xml:space="preserve">(a), </w:t>
            </w:r>
            <w:r>
              <w:t>(c)</w:t>
            </w:r>
          </w:p>
        </w:tc>
      </w:tr>
      <w:tr w14:paraId="1357996C" w14:textId="77777777" w:rsidTr="003A5B47">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3A5B47" w:rsidRPr="00CF2B37" w:rsidP="003A5B47" w14:paraId="36741732" w14:textId="7A080B66">
            <w:pPr>
              <w:pBdr>
                <w:top w:val="single" w:sz="6" w:space="0" w:color="FFFFFF"/>
                <w:left w:val="single" w:sz="6" w:space="0" w:color="FFFFFF"/>
                <w:bottom w:val="single" w:sz="6" w:space="0" w:color="FFFFFF"/>
                <w:right w:val="single" w:sz="6" w:space="0" w:color="FFFFFF"/>
              </w:pBdr>
              <w:spacing w:after="58"/>
            </w:pPr>
            <w:r>
              <w:t>Notification of compliance status</w:t>
            </w:r>
            <w:r w:rsidR="00D1656D">
              <w:t xml:space="preserve"> (including performance test reports)</w:t>
            </w:r>
          </w:p>
        </w:tc>
        <w:tc>
          <w:tcPr>
            <w:tcW w:w="2340" w:type="dxa"/>
            <w:tcBorders>
              <w:top w:val="single" w:sz="7" w:space="0" w:color="000000"/>
              <w:left w:val="single" w:sz="7" w:space="0" w:color="000000"/>
              <w:bottom w:val="single" w:sz="7" w:space="0" w:color="000000"/>
              <w:right w:val="single" w:sz="7" w:space="0" w:color="000000"/>
            </w:tcBorders>
            <w:vAlign w:val="center"/>
          </w:tcPr>
          <w:p w:rsidR="00D1656D" w:rsidP="003A5B47" w14:paraId="1B07D025" w14:textId="332C0D4B">
            <w:pPr>
              <w:pBdr>
                <w:top w:val="single" w:sz="6" w:space="0" w:color="FFFFFF"/>
                <w:left w:val="single" w:sz="6" w:space="0" w:color="FFFFFF"/>
                <w:bottom w:val="single" w:sz="6" w:space="0" w:color="FFFFFF"/>
                <w:right w:val="single" w:sz="6" w:space="0" w:color="FFFFFF"/>
              </w:pBdr>
              <w:spacing w:after="58"/>
            </w:pPr>
            <w:r>
              <w:t>63.9(h)(2)(ii), 63.2280</w:t>
            </w:r>
            <w:r w:rsidR="00B45B7B">
              <w:t xml:space="preserve">(a) &amp; </w:t>
            </w:r>
            <w:r>
              <w:t>(d)</w:t>
            </w:r>
            <w:r>
              <w:t>,</w:t>
            </w:r>
          </w:p>
          <w:p w:rsidR="00D1656D" w:rsidRPr="00CF2B37" w:rsidP="003A5B47" w14:paraId="1EAAA3B8" w14:textId="48279FD8">
            <w:pPr>
              <w:pBdr>
                <w:top w:val="single" w:sz="6" w:space="0" w:color="FFFFFF"/>
                <w:left w:val="single" w:sz="6" w:space="0" w:color="FFFFFF"/>
                <w:bottom w:val="single" w:sz="6" w:space="0" w:color="FFFFFF"/>
                <w:right w:val="single" w:sz="6" w:space="0" w:color="FFFFFF"/>
              </w:pBdr>
              <w:spacing w:after="58"/>
            </w:pPr>
            <w:r>
              <w:t>63.2281</w:t>
            </w:r>
          </w:p>
        </w:tc>
      </w:tr>
      <w:tr w14:paraId="082A3A3E" w14:textId="77777777" w:rsidTr="003A5B47">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3A5B47" w:rsidRPr="00CF2B37" w:rsidP="003A5B47" w14:paraId="22A573F7" w14:textId="532D0A81">
            <w:pPr>
              <w:pBdr>
                <w:top w:val="single" w:sz="6" w:space="0" w:color="FFFFFF"/>
                <w:left w:val="single" w:sz="6" w:space="0" w:color="FFFFFF"/>
                <w:bottom w:val="single" w:sz="6" w:space="0" w:color="FFFFFF"/>
                <w:right w:val="single" w:sz="6" w:space="0" w:color="FFFFFF"/>
              </w:pBdr>
              <w:spacing w:after="58"/>
            </w:pPr>
            <w:r>
              <w:t>Request for routine control device maintenance exemption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3A5B47" w:rsidRPr="00CF2B37" w:rsidP="003A5B47" w14:paraId="405E9941" w14:textId="01F8CC6F">
            <w:pPr>
              <w:pBdr>
                <w:top w:val="single" w:sz="6" w:space="0" w:color="FFFFFF"/>
                <w:left w:val="single" w:sz="6" w:space="0" w:color="FFFFFF"/>
                <w:bottom w:val="single" w:sz="6" w:space="0" w:color="FFFFFF"/>
                <w:right w:val="single" w:sz="6" w:space="0" w:color="FFFFFF"/>
              </w:pBdr>
              <w:spacing w:after="58"/>
            </w:pPr>
            <w:r>
              <w:t>63.2280(e)</w:t>
            </w:r>
          </w:p>
        </w:tc>
      </w:tr>
      <w:tr w14:paraId="64305F2C" w14:textId="77777777" w:rsidTr="003A5B47">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3A5B47" w:rsidRPr="00CF2B37" w:rsidP="003A5B47" w14:paraId="57091804" w14:textId="40C7826F">
            <w:pPr>
              <w:pBdr>
                <w:top w:val="single" w:sz="6" w:space="0" w:color="FFFFFF"/>
                <w:left w:val="single" w:sz="6" w:space="0" w:color="FFFFFF"/>
                <w:bottom w:val="single" w:sz="6" w:space="0" w:color="FFFFFF"/>
                <w:right w:val="single" w:sz="6" w:space="0" w:color="FFFFFF"/>
              </w:pBdr>
              <w:spacing w:after="58"/>
            </w:pPr>
            <w:r>
              <w:t>Emissions averaging plan</w:t>
            </w:r>
          </w:p>
        </w:tc>
        <w:tc>
          <w:tcPr>
            <w:tcW w:w="2340" w:type="dxa"/>
            <w:tcBorders>
              <w:top w:val="single" w:sz="7" w:space="0" w:color="000000"/>
              <w:left w:val="single" w:sz="7" w:space="0" w:color="000000"/>
              <w:bottom w:val="single" w:sz="7" w:space="0" w:color="000000"/>
              <w:right w:val="single" w:sz="7" w:space="0" w:color="000000"/>
            </w:tcBorders>
            <w:vAlign w:val="center"/>
          </w:tcPr>
          <w:p w:rsidR="003A5B47" w:rsidRPr="00CF2B37" w:rsidP="003A5B47" w14:paraId="12EB33D6" w14:textId="40E3BA70">
            <w:pPr>
              <w:pBdr>
                <w:top w:val="single" w:sz="6" w:space="0" w:color="FFFFFF"/>
                <w:left w:val="single" w:sz="6" w:space="0" w:color="FFFFFF"/>
                <w:bottom w:val="single" w:sz="6" w:space="0" w:color="FFFFFF"/>
                <w:right w:val="single" w:sz="6" w:space="0" w:color="FFFFFF"/>
              </w:pBdr>
              <w:spacing w:after="58"/>
            </w:pPr>
            <w:r>
              <w:t>63.2280(f)</w:t>
            </w:r>
          </w:p>
        </w:tc>
      </w:tr>
      <w:tr w14:paraId="3B3DBBFF" w14:textId="77777777" w:rsidTr="003A5B47">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3A5B47" w:rsidRPr="00CF2B37" w:rsidP="003A5B47" w14:paraId="2EC0114C" w14:textId="7B742A8F">
            <w:pPr>
              <w:pBdr>
                <w:top w:val="single" w:sz="6" w:space="0" w:color="FFFFFF"/>
                <w:left w:val="single" w:sz="6" w:space="0" w:color="FFFFFF"/>
                <w:bottom w:val="single" w:sz="6" w:space="0" w:color="FFFFFF"/>
                <w:right w:val="single" w:sz="6" w:space="0" w:color="FFFFFF"/>
              </w:pBdr>
              <w:spacing w:after="58"/>
            </w:pPr>
            <w:r>
              <w:t>Notification of change of control system, processing unit in your emissions averaging plan, monitoring parameter, or value of a monitoring parameter</w:t>
            </w:r>
          </w:p>
        </w:tc>
        <w:tc>
          <w:tcPr>
            <w:tcW w:w="2340" w:type="dxa"/>
            <w:tcBorders>
              <w:top w:val="single" w:sz="7" w:space="0" w:color="000000"/>
              <w:left w:val="single" w:sz="7" w:space="0" w:color="000000"/>
              <w:bottom w:val="single" w:sz="7" w:space="0" w:color="000000"/>
              <w:right w:val="single" w:sz="7" w:space="0" w:color="000000"/>
            </w:tcBorders>
            <w:vAlign w:val="center"/>
          </w:tcPr>
          <w:p w:rsidR="003A5B47" w:rsidRPr="00CF2B37" w:rsidP="003A5B47" w14:paraId="1964632F" w14:textId="3291A1EB">
            <w:pPr>
              <w:pBdr>
                <w:top w:val="single" w:sz="6" w:space="0" w:color="FFFFFF"/>
                <w:left w:val="single" w:sz="6" w:space="0" w:color="FFFFFF"/>
                <w:bottom w:val="single" w:sz="6" w:space="0" w:color="FFFFFF"/>
                <w:right w:val="single" w:sz="6" w:space="0" w:color="FFFFFF"/>
              </w:pBdr>
              <w:spacing w:after="58"/>
            </w:pPr>
            <w:r>
              <w:t>63.2280(g)</w:t>
            </w:r>
          </w:p>
        </w:tc>
      </w:tr>
      <w:tr w14:paraId="06369CE5" w14:textId="77777777" w:rsidTr="003A5B47">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557BE9" w:rsidP="00557BE9" w14:paraId="00306C4D" w14:textId="19822AD2">
            <w:pPr>
              <w:pBdr>
                <w:top w:val="single" w:sz="6" w:space="0" w:color="FFFFFF"/>
                <w:left w:val="single" w:sz="6" w:space="0" w:color="FFFFFF"/>
                <w:bottom w:val="single" w:sz="6" w:space="0" w:color="FFFFFF"/>
                <w:right w:val="single" w:sz="6" w:space="0" w:color="FFFFFF"/>
              </w:pBdr>
              <w:spacing w:after="58"/>
            </w:pPr>
            <w:r>
              <w:t>Semiannual compliance report</w:t>
            </w:r>
          </w:p>
        </w:tc>
        <w:tc>
          <w:tcPr>
            <w:tcW w:w="2340" w:type="dxa"/>
            <w:tcBorders>
              <w:top w:val="single" w:sz="7" w:space="0" w:color="000000"/>
              <w:left w:val="single" w:sz="7" w:space="0" w:color="000000"/>
              <w:bottom w:val="single" w:sz="7" w:space="0" w:color="000000"/>
              <w:right w:val="single" w:sz="7" w:space="0" w:color="000000"/>
            </w:tcBorders>
            <w:vAlign w:val="center"/>
          </w:tcPr>
          <w:p w:rsidR="00557BE9" w:rsidP="00557BE9" w14:paraId="5CB77CAB" w14:textId="31B16BF8">
            <w:pPr>
              <w:pBdr>
                <w:top w:val="single" w:sz="6" w:space="0" w:color="FFFFFF"/>
                <w:left w:val="single" w:sz="6" w:space="0" w:color="FFFFFF"/>
                <w:bottom w:val="single" w:sz="6" w:space="0" w:color="FFFFFF"/>
                <w:right w:val="single" w:sz="6" w:space="0" w:color="FFFFFF"/>
              </w:pBdr>
              <w:spacing w:after="58"/>
            </w:pPr>
            <w:r>
              <w:t>63.2281</w:t>
            </w:r>
          </w:p>
        </w:tc>
      </w:tr>
    </w:tbl>
    <w:p w:rsidR="00D1656D" w14:paraId="68DA76A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3C06B855">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3A5B47">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14:paraId="4EB321CE" w14:textId="77777777">
            <w:pPr>
              <w:spacing w:line="120" w:lineRule="exact"/>
            </w:pPr>
          </w:p>
          <w:p w:rsidR="00CA4CD6" w:rsidRPr="00CF2B37" w:rsidP="006E4A6E" w14:paraId="4924ACFC" w14:textId="724A2443">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3A5B4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A5B47" w:rsidRPr="00CF2B37" w:rsidP="003A5B47" w14:paraId="52F2EF63" w14:textId="2136DDF1">
            <w:pPr>
              <w:pBdr>
                <w:top w:val="single" w:sz="6" w:space="0" w:color="FFFFFF"/>
                <w:left w:val="single" w:sz="6" w:space="0" w:color="FFFFFF"/>
                <w:bottom w:val="single" w:sz="6" w:space="0" w:color="FFFFFF"/>
                <w:right w:val="single" w:sz="6" w:space="0" w:color="FFFFFF"/>
              </w:pBdr>
              <w:spacing w:after="58"/>
            </w:pPr>
            <w:r>
              <w:t>Documentation supporting any initial notification or notification of compliance status</w:t>
            </w:r>
          </w:p>
        </w:tc>
        <w:tc>
          <w:tcPr>
            <w:tcW w:w="2250" w:type="dxa"/>
            <w:tcBorders>
              <w:top w:val="single" w:sz="7" w:space="0" w:color="000000"/>
              <w:left w:val="single" w:sz="7" w:space="0" w:color="000000"/>
              <w:bottom w:val="single" w:sz="7" w:space="0" w:color="000000"/>
              <w:right w:val="single" w:sz="7" w:space="0" w:color="000000"/>
            </w:tcBorders>
            <w:vAlign w:val="center"/>
          </w:tcPr>
          <w:p w:rsidR="003A5B47" w:rsidRPr="00CF2B37" w:rsidP="003A5B47" w14:paraId="4CD69875" w14:textId="50ED1DD9">
            <w:pPr>
              <w:pBdr>
                <w:top w:val="single" w:sz="6" w:space="0" w:color="FFFFFF"/>
                <w:left w:val="single" w:sz="6" w:space="0" w:color="FFFFFF"/>
                <w:bottom w:val="single" w:sz="6" w:space="0" w:color="FFFFFF"/>
                <w:right w:val="single" w:sz="6" w:space="0" w:color="FFFFFF"/>
              </w:pBdr>
              <w:spacing w:after="58"/>
            </w:pPr>
            <w:r>
              <w:t>63.10(b)(2)(xiv), 63.2282(a)(1)</w:t>
            </w:r>
          </w:p>
        </w:tc>
      </w:tr>
      <w:tr w14:paraId="36691C85" w14:textId="77777777" w:rsidTr="003A5B4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A5B47" w:rsidRPr="00CF2B37" w:rsidP="003A5B47" w14:paraId="2402E105" w14:textId="2E190C20">
            <w:pPr>
              <w:pBdr>
                <w:top w:val="single" w:sz="6" w:space="0" w:color="FFFFFF"/>
                <w:left w:val="single" w:sz="6" w:space="0" w:color="FFFFFF"/>
                <w:bottom w:val="single" w:sz="6" w:space="0" w:color="FFFFFF"/>
                <w:right w:val="single" w:sz="6" w:space="0" w:color="FFFFFF"/>
              </w:pBdr>
              <w:spacing w:after="58"/>
            </w:pPr>
            <w:r>
              <w:t xml:space="preserve">Records </w:t>
            </w:r>
            <w:r w:rsidRPr="00D1656D">
              <w:t>related to startup and shutdown, failures to meet the standard, and actions taken to minimize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3A5B47" w:rsidRPr="00CF2B37" w:rsidP="003A5B47" w14:paraId="1D7F443A" w14:textId="733F007C">
            <w:pPr>
              <w:pBdr>
                <w:top w:val="single" w:sz="6" w:space="0" w:color="FFFFFF"/>
                <w:left w:val="single" w:sz="6" w:space="0" w:color="FFFFFF"/>
                <w:bottom w:val="single" w:sz="6" w:space="0" w:color="FFFFFF"/>
                <w:right w:val="single" w:sz="6" w:space="0" w:color="FFFFFF"/>
              </w:pBdr>
              <w:spacing w:after="58"/>
            </w:pPr>
            <w:r>
              <w:t xml:space="preserve">63.2282(a)(2)  </w:t>
            </w:r>
          </w:p>
        </w:tc>
      </w:tr>
      <w:tr w14:paraId="7B98B13A" w14:textId="77777777" w:rsidTr="003A5B4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A5B47" w:rsidRPr="00CF2B37" w:rsidP="003A5B47" w14:paraId="7977DDAC" w14:textId="17D9866D">
            <w:pPr>
              <w:pBdr>
                <w:top w:val="single" w:sz="6" w:space="0" w:color="FFFFFF"/>
                <w:left w:val="single" w:sz="6" w:space="0" w:color="FFFFFF"/>
                <w:bottom w:val="single" w:sz="6" w:space="0" w:color="FFFFFF"/>
                <w:right w:val="single" w:sz="6" w:space="0" w:color="FFFFFF"/>
              </w:pBdr>
              <w:spacing w:after="58"/>
            </w:pPr>
            <w:r>
              <w:t>Records relating to control device maintenance and documentation of routine control device maintenance exemption</w:t>
            </w:r>
            <w:r w:rsidR="00D64031">
              <w:t xml:space="preserve"> actions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3A5B47" w:rsidRPr="00CF2B37" w:rsidP="003A5B47" w14:paraId="06801B01" w14:textId="55CA474E">
            <w:pPr>
              <w:pBdr>
                <w:top w:val="single" w:sz="6" w:space="0" w:color="FFFFFF"/>
                <w:left w:val="single" w:sz="6" w:space="0" w:color="FFFFFF"/>
                <w:bottom w:val="single" w:sz="6" w:space="0" w:color="FFFFFF"/>
                <w:right w:val="single" w:sz="6" w:space="0" w:color="FFFFFF"/>
              </w:pBdr>
              <w:spacing w:after="58"/>
            </w:pPr>
            <w:r>
              <w:t>63.2282(a)(3)</w:t>
            </w:r>
          </w:p>
        </w:tc>
      </w:tr>
      <w:tr w14:paraId="32AE5640" w14:textId="77777777" w:rsidTr="003A5B4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A5B47" w:rsidRPr="00CF2B37" w:rsidP="003A5B47" w14:paraId="2BD4034B" w14:textId="4C1E6595">
            <w:pPr>
              <w:pBdr>
                <w:top w:val="single" w:sz="6" w:space="0" w:color="FFFFFF"/>
                <w:left w:val="single" w:sz="6" w:space="0" w:color="FFFFFF"/>
                <w:bottom w:val="single" w:sz="6" w:space="0" w:color="FFFFFF"/>
                <w:right w:val="single" w:sz="6" w:space="0" w:color="FFFFFF"/>
              </w:pBdr>
              <w:spacing w:after="58"/>
            </w:pPr>
            <w:r>
              <w:t>Records of performance test and performance evaluations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3A5B47" w:rsidRPr="00CF2B37" w:rsidP="003A5B47" w14:paraId="7F8F2C95" w14:textId="452BF4B2">
            <w:pPr>
              <w:pBdr>
                <w:top w:val="single" w:sz="6" w:space="0" w:color="FFFFFF"/>
                <w:left w:val="single" w:sz="6" w:space="0" w:color="FFFFFF"/>
                <w:bottom w:val="single" w:sz="6" w:space="0" w:color="FFFFFF"/>
                <w:right w:val="single" w:sz="6" w:space="0" w:color="FFFFFF"/>
              </w:pBdr>
              <w:spacing w:after="58"/>
            </w:pPr>
            <w:r>
              <w:t>63.10(b)(2)(viii), 63.2282(a)(4)</w:t>
            </w:r>
          </w:p>
        </w:tc>
      </w:tr>
      <w:tr w14:paraId="157FC910" w14:textId="77777777" w:rsidTr="003A5B4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A5B47" w:rsidRPr="00CF2B37" w:rsidP="003A5B47" w14:paraId="652FB47B" w14:textId="42573C43">
            <w:pPr>
              <w:pBdr>
                <w:top w:val="single" w:sz="6" w:space="0" w:color="FFFFFF"/>
                <w:left w:val="single" w:sz="6" w:space="0" w:color="FFFFFF"/>
                <w:bottom w:val="single" w:sz="6" w:space="0" w:color="FFFFFF"/>
                <w:right w:val="single" w:sz="6" w:space="0" w:color="FFFFFF"/>
              </w:pBdr>
              <w:spacing w:after="58"/>
            </w:pPr>
            <w:r>
              <w:t>Records for each CEMS for emission limitations and records related to the work practice requirements</w:t>
            </w:r>
          </w:p>
        </w:tc>
        <w:tc>
          <w:tcPr>
            <w:tcW w:w="2250" w:type="dxa"/>
            <w:tcBorders>
              <w:top w:val="single" w:sz="7" w:space="0" w:color="000000"/>
              <w:left w:val="single" w:sz="7" w:space="0" w:color="000000"/>
              <w:bottom w:val="single" w:sz="7" w:space="0" w:color="000000"/>
              <w:right w:val="single" w:sz="7" w:space="0" w:color="000000"/>
            </w:tcBorders>
            <w:vAlign w:val="center"/>
          </w:tcPr>
          <w:p w:rsidR="003A5B47" w:rsidP="003A5B47" w14:paraId="27AFA9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63.10(b)(2)(vi)-(xi),</w:t>
            </w:r>
          </w:p>
          <w:p w:rsidR="003A5B47" w:rsidP="003A5B47" w14:paraId="19153140" w14:textId="54F8F3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63.8(f)(6)(</w:t>
            </w:r>
            <w:r>
              <w:t>i</w:t>
            </w:r>
            <w:r>
              <w:t>),</w:t>
            </w:r>
          </w:p>
          <w:p w:rsidR="003A5B47" w:rsidRPr="00CF2B37" w:rsidP="003A5B47" w14:paraId="722BCDB7" w14:textId="5D0F182D">
            <w:pPr>
              <w:pBdr>
                <w:top w:val="single" w:sz="6" w:space="0" w:color="FFFFFF"/>
                <w:left w:val="single" w:sz="6" w:space="0" w:color="FFFFFF"/>
                <w:bottom w:val="single" w:sz="6" w:space="0" w:color="FFFFFF"/>
                <w:right w:val="single" w:sz="6" w:space="0" w:color="FFFFFF"/>
              </w:pBdr>
              <w:spacing w:after="58"/>
            </w:pPr>
            <w:r>
              <w:t>63.2282(b)-(c)</w:t>
            </w:r>
          </w:p>
        </w:tc>
      </w:tr>
      <w:tr w14:paraId="2698D562" w14:textId="77777777" w:rsidTr="003A5B4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A5B47" w:rsidP="003A5B47" w14:paraId="4C19E373" w14:textId="503ECE1E">
            <w:pPr>
              <w:pBdr>
                <w:top w:val="single" w:sz="6" w:space="0" w:color="FFFFFF"/>
                <w:left w:val="single" w:sz="6" w:space="0" w:color="FFFFFF"/>
                <w:bottom w:val="single" w:sz="6" w:space="0" w:color="FFFFFF"/>
                <w:right w:val="single" w:sz="6" w:space="0" w:color="FFFFFF"/>
              </w:pBdr>
              <w:spacing w:after="58"/>
            </w:pPr>
            <w:r>
              <w:t>Records of all information required to calculate emission debits and credits</w:t>
            </w:r>
          </w:p>
        </w:tc>
        <w:tc>
          <w:tcPr>
            <w:tcW w:w="2250" w:type="dxa"/>
            <w:tcBorders>
              <w:top w:val="single" w:sz="7" w:space="0" w:color="000000"/>
              <w:left w:val="single" w:sz="7" w:space="0" w:color="000000"/>
              <w:bottom w:val="single" w:sz="7" w:space="0" w:color="000000"/>
              <w:right w:val="single" w:sz="7" w:space="0" w:color="000000"/>
            </w:tcBorders>
            <w:vAlign w:val="center"/>
          </w:tcPr>
          <w:p w:rsidR="003A5B47" w:rsidP="003A5B47" w14:paraId="18378FEA" w14:textId="14763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63.2282(d)</w:t>
            </w:r>
          </w:p>
        </w:tc>
      </w:tr>
      <w:tr w14:paraId="5D430324" w14:textId="77777777" w:rsidTr="003A5B4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D1656D" w:rsidP="003A5B47" w14:paraId="56C09B2F" w14:textId="56E641F2">
            <w:pPr>
              <w:pBdr>
                <w:top w:val="single" w:sz="6" w:space="0" w:color="FFFFFF"/>
                <w:left w:val="single" w:sz="6" w:space="0" w:color="FFFFFF"/>
                <w:bottom w:val="single" w:sz="6" w:space="0" w:color="FFFFFF"/>
                <w:right w:val="single" w:sz="6" w:space="0" w:color="FFFFFF"/>
              </w:pBdr>
              <w:spacing w:after="58"/>
            </w:pPr>
            <w:r>
              <w:t>Records of catalytic oxidizer catalyst activity checks</w:t>
            </w:r>
          </w:p>
        </w:tc>
        <w:tc>
          <w:tcPr>
            <w:tcW w:w="2250" w:type="dxa"/>
            <w:tcBorders>
              <w:top w:val="single" w:sz="7" w:space="0" w:color="000000"/>
              <w:left w:val="single" w:sz="7" w:space="0" w:color="000000"/>
              <w:bottom w:val="single" w:sz="7" w:space="0" w:color="000000"/>
              <w:right w:val="single" w:sz="7" w:space="0" w:color="000000"/>
            </w:tcBorders>
            <w:vAlign w:val="center"/>
          </w:tcPr>
          <w:p w:rsidR="00D1656D" w:rsidP="003A5B47" w14:paraId="360E4A3E" w14:textId="01D8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63.2282(e)</w:t>
            </w:r>
          </w:p>
        </w:tc>
      </w:tr>
      <w:tr w14:paraId="7A9B8544" w14:textId="77777777" w:rsidTr="003A5B4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D1656D" w:rsidP="003A5B47" w14:paraId="2C6658E2" w14:textId="6E637D17">
            <w:pPr>
              <w:pBdr>
                <w:top w:val="single" w:sz="6" w:space="0" w:color="FFFFFF"/>
                <w:left w:val="single" w:sz="6" w:space="0" w:color="FFFFFF"/>
                <w:bottom w:val="single" w:sz="6" w:space="0" w:color="FFFFFF"/>
                <w:right w:val="single" w:sz="6" w:space="0" w:color="FFFFFF"/>
              </w:pBdr>
              <w:spacing w:after="58"/>
            </w:pPr>
            <w:r>
              <w:t>Records of CMS quality control procedures</w:t>
            </w:r>
          </w:p>
        </w:tc>
        <w:tc>
          <w:tcPr>
            <w:tcW w:w="2250" w:type="dxa"/>
            <w:tcBorders>
              <w:top w:val="single" w:sz="7" w:space="0" w:color="000000"/>
              <w:left w:val="single" w:sz="7" w:space="0" w:color="000000"/>
              <w:bottom w:val="single" w:sz="7" w:space="0" w:color="000000"/>
              <w:right w:val="single" w:sz="7" w:space="0" w:color="000000"/>
            </w:tcBorders>
            <w:vAlign w:val="center"/>
          </w:tcPr>
          <w:p w:rsidR="00D1656D" w:rsidP="003A5B47" w14:paraId="6D6C9BA2" w14:textId="648AA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63.2282(f)</w:t>
            </w:r>
          </w:p>
        </w:tc>
      </w:tr>
      <w:tr w14:paraId="3C8502E5" w14:textId="77777777" w:rsidTr="003A5B4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A5B47" w:rsidP="003A5B47" w14:paraId="49272A79" w14:textId="55CCF2D1">
            <w:pPr>
              <w:pBdr>
                <w:top w:val="single" w:sz="6" w:space="0" w:color="FFFFFF"/>
                <w:left w:val="single" w:sz="6" w:space="0" w:color="FFFFFF"/>
                <w:bottom w:val="single" w:sz="6" w:space="0" w:color="FFFFFF"/>
                <w:right w:val="single" w:sz="6" w:space="0" w:color="FFFFFF"/>
              </w:pBdr>
              <w:spacing w:after="58"/>
            </w:pPr>
            <w:r>
              <w:t>Maintain records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3A5B47" w:rsidP="003A5B47" w14:paraId="7E9530FB" w14:textId="55B9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63.10(b)(1), 63.2283(b</w:t>
            </w:r>
            <w:r>
              <w:t>)</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DD3895" w:rsidP="00DD3895" w14:paraId="0E38FF85" w14:textId="2C532BE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Currently, sources are using monitoring equipment that provides automated parameter data (e.g., continuous control device parameter monitoring). Although personnel at the facilities still need to evaluate the data, this type of monitoring equipment has significantly reduced the burden associated with monitoring and recordkeeping. Modern facilities employ distributive controls on their manufacturing process and have integrated many of the compliance recordkeeping and reporting requirements into their systems. In addition, some regulatory agencies are setting up electronic reporting systems to allow sources to report electronically, which is reducing the reporting burden. As part of the RTR amendments, respondents would be required to </w:t>
      </w:r>
      <w:r>
        <w:t xml:space="preserve">use the EPA’s Electronic Reporting Tool (ERT) to </w:t>
      </w:r>
      <w:r>
        <w:rPr>
          <w:color w:val="000000"/>
        </w:rPr>
        <w:t xml:space="preserve">submit performance test reports </w:t>
      </w:r>
      <w:r>
        <w:t>for test methods supported by the ERT.</w:t>
      </w:r>
      <w:r>
        <w:rPr>
          <w:vertAlign w:val="superscript"/>
        </w:rPr>
        <w:footnoteReference w:id="2"/>
      </w:r>
      <w:r>
        <w:t xml:space="preserve"> Respondents would also be required to submit notifications and semiannual reports through the EPA’s Compliance and Emissions Data Reporting Interface (CEDRI).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0244278">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14:paraId="4D182B77" w14:textId="77777777">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14:paraId="74E6A1CE" w14:textId="77777777">
        <w:tblPrEx>
          <w:tblW w:w="0" w:type="auto"/>
          <w:jc w:val="center"/>
          <w:tblLayout w:type="fixed"/>
          <w:tblCellMar>
            <w:left w:w="120" w:type="dxa"/>
            <w:right w:w="120" w:type="dxa"/>
          </w:tblCellMar>
          <w:tblLook w:val="0000"/>
        </w:tblPrEx>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3348587C" w14:textId="77777777">
            <w:pPr>
              <w:spacing w:line="120" w:lineRule="exact"/>
              <w:rPr>
                <w:color w:val="000000"/>
              </w:rPr>
            </w:pPr>
          </w:p>
          <w:p w:rsidR="00CA4CD6" w14:paraId="7977683B" w14:textId="77777777">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14:paraId="6266A788"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4EDA5E23" w14:textId="77777777">
            <w:pPr>
              <w:spacing w:line="120" w:lineRule="exact"/>
              <w:rPr>
                <w:b/>
                <w:bCs/>
                <w:color w:val="000000"/>
              </w:rPr>
            </w:pPr>
          </w:p>
          <w:p w:rsidR="00CA4CD6" w14:paraId="2A5A39C3" w14:textId="104F26E8">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14:paraId="43B6AB03"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1736075E" w14:textId="77777777">
            <w:pPr>
              <w:spacing w:line="120" w:lineRule="exact"/>
              <w:rPr>
                <w:color w:val="000000"/>
              </w:rPr>
            </w:pPr>
          </w:p>
          <w:p w:rsidR="00CA4CD6" w:rsidP="003A5B47" w14:paraId="0EC55766" w14:textId="34599818">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w:t>
            </w:r>
            <w:r>
              <w:t>.</w:t>
            </w:r>
          </w:p>
        </w:tc>
      </w:tr>
      <w:tr w14:paraId="6DB9E5F9"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51CB6C74" w14:textId="77777777">
            <w:pPr>
              <w:spacing w:line="120" w:lineRule="exact"/>
              <w:rPr>
                <w:color w:val="000000"/>
              </w:rPr>
            </w:pPr>
          </w:p>
          <w:p w:rsidR="00B03B5D" w14:paraId="040C7A3B" w14:textId="0F06B893">
            <w:pPr>
              <w:pBdr>
                <w:top w:val="single" w:sz="6" w:space="0" w:color="FFFFFF"/>
                <w:left w:val="single" w:sz="6" w:space="0" w:color="FFFFFF"/>
                <w:bottom w:val="single" w:sz="6" w:space="0" w:color="FFFFFF"/>
                <w:right w:val="single" w:sz="6" w:space="0" w:color="FFFFFF"/>
              </w:pBdr>
              <w:spacing w:after="55"/>
              <w:rPr>
                <w:color w:val="000000"/>
              </w:rPr>
            </w:pPr>
            <w:r>
              <w:rPr>
                <w:color w:val="000000"/>
              </w:rPr>
              <w:t>Conduct initial performance tests and repeat performance tests</w:t>
            </w:r>
            <w:r w:rsidR="00D64031">
              <w:rPr>
                <w:color w:val="000000"/>
              </w:rPr>
              <w:t>,</w:t>
            </w:r>
            <w:r>
              <w:rPr>
                <w:color w:val="000000"/>
              </w:rPr>
              <w:t xml:space="preserve"> if necessary.</w:t>
            </w:r>
          </w:p>
        </w:tc>
      </w:tr>
      <w:tr w14:paraId="3E845C8F"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0FB878AC" w14:textId="77777777">
            <w:pPr>
              <w:spacing w:line="120" w:lineRule="exact"/>
              <w:rPr>
                <w:color w:val="000000"/>
              </w:rPr>
            </w:pPr>
          </w:p>
          <w:p w:rsidR="00CA4CD6" w14:paraId="32FA11A9"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14:paraId="0AF39510"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76DF9D75" w14:textId="77777777">
            <w:pPr>
              <w:spacing w:line="120" w:lineRule="exact"/>
              <w:rPr>
                <w:color w:val="000000"/>
              </w:rPr>
            </w:pPr>
          </w:p>
          <w:p w:rsidR="00CA4CD6" w14:paraId="7BA88497"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14:paraId="570646C8"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3DAA3232" w14:textId="77777777">
            <w:pPr>
              <w:spacing w:line="120" w:lineRule="exact"/>
              <w:rPr>
                <w:color w:val="000000"/>
              </w:rPr>
            </w:pPr>
          </w:p>
          <w:p w:rsidR="00CA4CD6" w14:paraId="45548886"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14:paraId="53EA099E"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26D65926" w14:textId="77777777">
            <w:pPr>
              <w:spacing w:line="120" w:lineRule="exact"/>
              <w:rPr>
                <w:color w:val="000000"/>
              </w:rPr>
            </w:pPr>
          </w:p>
          <w:p w:rsidR="00CA4CD6" w14:paraId="0826CF44"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14:paraId="49D0EACC"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547FC8CA" w14:textId="77777777">
            <w:pPr>
              <w:spacing w:line="120" w:lineRule="exact"/>
              <w:rPr>
                <w:color w:val="000000"/>
              </w:rPr>
            </w:pPr>
          </w:p>
          <w:p w:rsidR="00CA4CD6" w14:paraId="4546D7C8"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14:paraId="3DBECFDB"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6ECC7776" w14:textId="77777777">
            <w:pPr>
              <w:spacing w:line="120" w:lineRule="exact"/>
              <w:rPr>
                <w:color w:val="000000"/>
              </w:rPr>
            </w:pPr>
          </w:p>
          <w:p w:rsidR="00CA4CD6" w14:paraId="350FE487"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14:paraId="6D8DB44A"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14:paraId="5C38E2F8" w14:textId="77777777">
            <w:pPr>
              <w:spacing w:line="120" w:lineRule="exact"/>
              <w:rPr>
                <w:color w:val="000000"/>
              </w:rPr>
            </w:pPr>
          </w:p>
          <w:p w:rsidR="00CA4CD6" w14:paraId="0D6818D7" w14:textId="77777777">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F2B37" w14:paraId="510992AC" w14:textId="6BE36BB0">
      <w:pPr>
        <w:pBdr>
          <w:top w:val="single" w:sz="6" w:space="0" w:color="FFFFFF"/>
          <w:left w:val="single" w:sz="6" w:space="0" w:color="FFFFFF"/>
          <w:bottom w:val="single" w:sz="6" w:space="0" w:color="FFFFFF"/>
          <w:right w:val="single" w:sz="6" w:space="0" w:color="FFFFFF"/>
        </w:pBdr>
        <w:rPr>
          <w:b/>
          <w:bCs/>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EA775D" w14:paraId="68849FF5" w14:textId="02BEF71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EA775D" w:rsidP="00EA775D" w14:paraId="731A9FD2"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42F9647A" w14:textId="26086705">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4D778E">
        <w:rPr>
          <w:color w:val="000000"/>
        </w:rPr>
        <w:t>:</w:t>
      </w:r>
    </w:p>
    <w:p w:rsidR="004448C0" w14:paraId="74907A6D" w14:textId="7A44F780">
      <w:pPr>
        <w:widowControl/>
        <w:autoSpaceDE/>
        <w:autoSpaceDN/>
        <w:adjustRightInd/>
        <w:rPr>
          <w:color w:val="000000"/>
        </w:rPr>
      </w:pPr>
      <w:r>
        <w:rPr>
          <w:color w:val="000000"/>
        </w:rPr>
        <w:br w:type="page"/>
      </w:r>
    </w:p>
    <w:tbl>
      <w:tblPr>
        <w:tblW w:w="9360" w:type="dxa"/>
        <w:tblInd w:w="120" w:type="dxa"/>
        <w:tblLayout w:type="fixed"/>
        <w:tblCellMar>
          <w:left w:w="120" w:type="dxa"/>
          <w:right w:w="120" w:type="dxa"/>
        </w:tblCellMar>
        <w:tblLook w:val="0000"/>
      </w:tblPr>
      <w:tblGrid>
        <w:gridCol w:w="9360"/>
      </w:tblGrid>
      <w:tr w14:paraId="051B4DD5" w14:textId="77777777" w:rsidTr="004448C0">
        <w:tblPrEx>
          <w:tblW w:w="9360" w:type="dxa"/>
          <w:tblInd w:w="120" w:type="dxa"/>
          <w:tblLayout w:type="fixed"/>
          <w:tblCellMar>
            <w:left w:w="120" w:type="dxa"/>
            <w:right w:w="120" w:type="dxa"/>
          </w:tblCellMar>
          <w:tblLook w:val="0000"/>
        </w:tblPrEx>
        <w:trPr>
          <w:tblHeader/>
        </w:trPr>
        <w:tc>
          <w:tcPr>
            <w:tcW w:w="9360" w:type="dxa"/>
            <w:tcBorders>
              <w:top w:val="single" w:sz="7" w:space="0" w:color="000000"/>
              <w:left w:val="single" w:sz="7" w:space="0" w:color="000000"/>
              <w:bottom w:val="single" w:sz="6" w:space="0" w:color="FFFFFF"/>
              <w:right w:val="single" w:sz="7" w:space="0" w:color="000000"/>
            </w:tcBorders>
          </w:tcPr>
          <w:p w:rsidR="00CA4CD6" w14:paraId="05C22BE9"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14:paraId="6E6328F7" w14:textId="77777777" w:rsidTr="004448C0">
        <w:tblPrEx>
          <w:tblW w:w="9360" w:type="dxa"/>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4448C0" w14:paraId="576F92E4" w14:textId="5013ADD2">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and repeat performance tests and, if necessary, retests.</w:t>
            </w:r>
          </w:p>
        </w:tc>
      </w:tr>
      <w:tr w14:paraId="4D629B21" w14:textId="77777777" w:rsidTr="004448C0">
        <w:tblPrEx>
          <w:tblW w:w="9360" w:type="dxa"/>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4448C0" w:rsidP="004448C0" w14:paraId="63C9BCF3" w14:textId="4756517B">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reports, including performance test reports and semiannual compliance reports, required to be submitted by industry.</w:t>
            </w:r>
          </w:p>
        </w:tc>
      </w:tr>
      <w:tr w14:paraId="6F3D89FD" w14:textId="77777777" w:rsidTr="001D6969">
        <w:tblPrEx>
          <w:tblW w:w="9360" w:type="dxa"/>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vAlign w:val="center"/>
          </w:tcPr>
          <w:p w:rsidR="004448C0" w:rsidP="004448C0" w14:paraId="4B6EA85B" w14:textId="290E1B5F">
            <w:pPr>
              <w:pBdr>
                <w:top w:val="single" w:sz="6" w:space="0" w:color="FFFFFF"/>
                <w:left w:val="single" w:sz="6" w:space="0" w:color="FFFFFF"/>
                <w:bottom w:val="single" w:sz="6" w:space="0" w:color="FFFFFF"/>
                <w:right w:val="single" w:sz="6" w:space="0" w:color="FFFFFF"/>
              </w:pBdr>
              <w:spacing w:after="52"/>
              <w:rPr>
                <w:color w:val="000000"/>
              </w:rPr>
            </w:pPr>
            <w:r>
              <w:t>Review notifications, including notifications of construction/reconstruction, actual startup, applicability of standard, performance test, performance evaluation, and compliance status.</w:t>
            </w:r>
          </w:p>
        </w:tc>
      </w:tr>
      <w:tr w14:paraId="79595274" w14:textId="77777777" w:rsidTr="004448C0">
        <w:tblPrEx>
          <w:tblW w:w="9360" w:type="dxa"/>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4448C0" w:rsidP="004448C0" w14:paraId="139C96FE" w14:textId="77777777">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14:paraId="01064184" w14:textId="77777777" w:rsidTr="004448C0">
        <w:tblPrEx>
          <w:tblW w:w="9360" w:type="dxa"/>
          <w:tblInd w:w="120" w:type="dxa"/>
          <w:tblLayout w:type="fixed"/>
          <w:tblCellMar>
            <w:left w:w="120" w:type="dxa"/>
            <w:right w:w="120" w:type="dxa"/>
          </w:tblCellMar>
          <w:tblLook w:val="0000"/>
        </w:tblPrEx>
        <w:trPr>
          <w:trHeight w:val="685"/>
        </w:trPr>
        <w:tc>
          <w:tcPr>
            <w:tcW w:w="9360" w:type="dxa"/>
            <w:tcBorders>
              <w:top w:val="single" w:sz="7" w:space="0" w:color="000000"/>
              <w:left w:val="single" w:sz="7" w:space="0" w:color="000000"/>
              <w:bottom w:val="single" w:sz="7" w:space="0" w:color="000000"/>
              <w:right w:val="single" w:sz="7" w:space="0" w:color="000000"/>
            </w:tcBorders>
          </w:tcPr>
          <w:p w:rsidR="004448C0" w:rsidRPr="00D91C34" w:rsidP="004448C0" w14:paraId="600A2A51" w14:textId="40014743">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 xml:space="preserve">Enforcement and Compliance History Online (ECHO). </w:t>
            </w:r>
          </w:p>
        </w:tc>
      </w:tr>
    </w:tbl>
    <w:p w:rsidR="00CA4CD6" w14:paraId="680C217E"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29FD201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EA775D" w14:paraId="2CF35A7F" w14:textId="63D62D8C">
      <w:pPr>
        <w:pBdr>
          <w:top w:val="single" w:sz="6" w:space="0" w:color="FFFFFF"/>
          <w:left w:val="single" w:sz="6" w:space="0" w:color="FFFFFF"/>
          <w:bottom w:val="single" w:sz="6" w:space="0" w:color="FFFFFF"/>
          <w:right w:val="single" w:sz="6" w:space="0" w:color="FFFFFF"/>
        </w:pBdr>
        <w:ind w:firstLine="720"/>
      </w:pPr>
      <w:r w:rsidRPr="00EA775D">
        <w:t xml:space="preserve">Following notification of startup, the reviewing authority </w:t>
      </w:r>
      <w:r w:rsidRPr="00EA775D" w:rsidR="002B29A7">
        <w:t xml:space="preserve">could </w:t>
      </w:r>
      <w:r w:rsidRPr="00EA775D">
        <w:t>inspect the source to determine whether the pollution control devices are properly installed and operated.</w:t>
      </w:r>
      <w:r w:rsidRPr="00EA775D" w:rsidR="00EA775D">
        <w:t xml:space="preserve"> </w:t>
      </w:r>
      <w:r w:rsidRPr="00EA775D">
        <w:t>Performance test reports are used by the Agency to discern a source</w:t>
      </w:r>
      <w:r w:rsidRPr="00EA775D" w:rsidR="004C701D">
        <w:t>’</w:t>
      </w:r>
      <w:r w:rsidRPr="00EA775D">
        <w:t>s initial capability to co</w:t>
      </w:r>
      <w:r w:rsidRPr="00EA775D" w:rsidR="00EA775D">
        <w:t>mply with the emission standard</w:t>
      </w:r>
      <w:r w:rsidR="004D778E">
        <w:t>s</w:t>
      </w:r>
      <w:r w:rsidRPr="00EA775D" w:rsidR="00EA775D">
        <w:t xml:space="preserve"> and </w:t>
      </w:r>
      <w:r w:rsidRPr="00EA775D">
        <w:t>note the operating conditions under</w:t>
      </w:r>
      <w:r w:rsidRPr="00EA775D" w:rsidR="00EA775D">
        <w:t xml:space="preserve"> which compliance was achieved.</w:t>
      </w:r>
      <w:r w:rsidRPr="00EA775D" w:rsidR="009C7E97">
        <w:t xml:space="preserve"> </w:t>
      </w:r>
      <w:r w:rsidRPr="00EA775D">
        <w:t>Data and records maintained by the respondents are tabulated and published for use in compliance and enforcement programs.</w:t>
      </w:r>
      <w:r w:rsidRPr="00EA775D" w:rsidR="009C7E97">
        <w:t xml:space="preserve"> </w:t>
      </w:r>
      <w:r w:rsidRPr="00EA775D">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38594F" w:rsidP="0038594F" w14:paraId="452EDA40"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the reports is entered into the EPA’s Enforcement and Compliance History </w:t>
      </w:r>
      <w:r>
        <w:t>Online (ECHO)</w:t>
      </w:r>
      <w:r>
        <w:rPr>
          <w:color w:val="000000"/>
        </w:rPr>
        <w:t xml:space="preserve">, which is operated and maintained by the EPA's Office of Enforcement and Compliance Assurance. ECHO is the EPA’s database to provide integrated compliance and enforcement information for about 800,000 regulated facilities nationwide. The EPA uses ECHO for tracking air pollution compliance and enforcement by local and state regulatory agencies, EPA regional offices and EPA headquarters. The EPA and its delegated Authorities can edit, store, retrieve and analyze the data. ECHO allows users (including the public) to search and obtain information on permits data, inspections, violations, enforcement actions, and penalties. </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152D557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EA775D">
        <w:t>five</w:t>
      </w:r>
      <w:r>
        <w:rPr>
          <w:color w:val="000000"/>
        </w:rPr>
        <w:t xml:space="preserve"> years.</w:t>
      </w: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EA775D" w:rsidP="00EA775D" w14:paraId="2E41645C"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EA775D" w:rsidP="00EA775D" w14:paraId="4F4B437F" w14:textId="5BC3837E">
      <w:pPr>
        <w:pBdr>
          <w:top w:val="single" w:sz="6" w:space="0" w:color="FFFFFF"/>
          <w:left w:val="single" w:sz="6" w:space="0" w:color="FFFFFF"/>
          <w:bottom w:val="single" w:sz="6" w:space="0" w:color="FFFFFF"/>
          <w:right w:val="single" w:sz="6" w:space="0" w:color="FFFFFF"/>
        </w:pBdr>
        <w:ind w:firstLine="720"/>
      </w:pPr>
      <w:r w:rsidRPr="00EA775D">
        <w:t>A majority of</w:t>
      </w:r>
      <w:r w:rsidRPr="00EA775D">
        <w:t xml:space="preserve"> the respondents are large entities (i.e., large businesses).</w:t>
      </w:r>
      <w:r w:rsidRPr="00EA775D" w:rsidR="009C7E97">
        <w:t xml:space="preserve"> </w:t>
      </w:r>
      <w:r w:rsidRPr="00EA775D">
        <w:t>However, the impact on small entities (i.e., small businesses) was taken into consideration during the d</w:t>
      </w:r>
      <w:r w:rsidRPr="00EA775D" w:rsidR="00EA775D">
        <w:t xml:space="preserve">evelopment of the regulation. </w:t>
      </w:r>
      <w:bookmarkStart w:id="1" w:name="_Hlk11936631"/>
      <w:r w:rsidRPr="00D37803" w:rsidR="00663E4A">
        <w:t>Approximately 1</w:t>
      </w:r>
      <w:r w:rsidR="00523156">
        <w:t>2</w:t>
      </w:r>
      <w:r w:rsidRPr="00D37803" w:rsidR="00663E4A">
        <w:t xml:space="preserve"> percent of the</w:t>
      </w:r>
      <w:r w:rsidR="00663E4A">
        <w:t xml:space="preserve"> </w:t>
      </w:r>
      <w:r w:rsidR="001540C3">
        <w:t>facilities subject to the PCWP NESHAP are owned by</w:t>
      </w:r>
      <w:r w:rsidR="00D37803">
        <w:t xml:space="preserve"> companies</w:t>
      </w:r>
      <w:r w:rsidR="001540C3">
        <w:t xml:space="preserve"> that are small businesses. </w:t>
      </w:r>
      <w:bookmarkEnd w:id="1"/>
      <w:r w:rsidR="001540C3">
        <w:t>Many of these small businesses are kiln-dried lumber producers that are currently only required to submit an initial notification under the PCWP NESHAP.</w:t>
      </w:r>
      <w:r w:rsidR="00663E4A">
        <w:t xml:space="preserve"> </w:t>
      </w:r>
      <w:r w:rsidRPr="00EA775D">
        <w:t xml:space="preserve">Due to technical considerations involving the process operations and the types of control equipment employed, the recordkeeping and reporting requirements are the </w:t>
      </w:r>
      <w:r w:rsidRPr="00EA775D">
        <w:t>same for both small and large entities.</w:t>
      </w:r>
      <w:r w:rsidRPr="00EA775D" w:rsidR="009C7E97">
        <w:t xml:space="preserve"> </w:t>
      </w:r>
      <w:r w:rsidRPr="00EA775D">
        <w:t xml:space="preserve">The Agency considers these </w:t>
      </w:r>
      <w:r w:rsidRPr="00EA775D" w:rsidR="002B29A7">
        <w:t xml:space="preserve">to be the minimum </w:t>
      </w:r>
      <w:r w:rsidRPr="00EA775D">
        <w:t>requirements needed to ensure compliance and, therefore, cannot reduce them further for small entities.</w:t>
      </w:r>
      <w:r w:rsidRPr="00EA775D" w:rsidR="009C7E97">
        <w:t xml:space="preserve"> </w:t>
      </w:r>
      <w:r w:rsidRPr="00EA775D">
        <w:t xml:space="preserve">To the extent that larger businesses can use economies of scale to reduce their burden, the </w:t>
      </w:r>
      <w:r w:rsidRPr="00EA775D" w:rsidR="00EA775D">
        <w:t>overall burden will be reduced.</w:t>
      </w:r>
    </w:p>
    <w:p w:rsidR="00CA4CD6" w14:paraId="2324259B" w14:textId="43F22D87">
      <w:pPr>
        <w:pBdr>
          <w:top w:val="single" w:sz="6" w:space="0" w:color="FFFFFF"/>
          <w:left w:val="single" w:sz="6" w:space="0" w:color="FFFFFF"/>
          <w:bottom w:val="single" w:sz="6" w:space="0" w:color="FFFFFF"/>
          <w:right w:val="single" w:sz="6" w:space="0" w:color="FFFFFF"/>
        </w:pBdr>
        <w:rPr>
          <w:b/>
          <w:bCs/>
          <w:color w:val="000000"/>
        </w:rPr>
      </w:pPr>
      <w:r>
        <w:rPr>
          <w:b/>
          <w:bCs/>
          <w:color w:val="000000"/>
        </w:rPr>
        <w:t xml:space="preserve"> </w:t>
      </w: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31A97AEE">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4D778E">
        <w:rPr>
          <w:color w:val="000000"/>
        </w:rPr>
        <w:t xml:space="preserve"> 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00EA775D">
        <w:t xml:space="preserve">NESHAP for </w:t>
      </w:r>
      <w:r w:rsidR="00EA775D">
        <w:rPr>
          <w:bCs/>
        </w:rPr>
        <w:t>Plywood and Composite Products (40 CFR Part 63, Subpart</w:t>
      </w:r>
      <w:r w:rsidR="00A46D81">
        <w:rPr>
          <w:bCs/>
        </w:rPr>
        <w:t xml:space="preserve"> </w:t>
      </w:r>
      <w:r w:rsidR="00CE7A5D">
        <w:rPr>
          <w:bCs/>
        </w:rPr>
        <w:t>DDDD</w:t>
      </w:r>
      <w:r w:rsidR="00EA775D">
        <w:rPr>
          <w:bCs/>
        </w:rPr>
        <w:t>)</w:t>
      </w:r>
      <w:r w:rsidR="00EA775D">
        <w:t xml:space="preserve"> (</w:t>
      </w:r>
      <w:r w:rsidR="00F71A51">
        <w:t>Final</w:t>
      </w:r>
      <w:r w:rsidR="00F256DD">
        <w:t xml:space="preserve"> </w:t>
      </w:r>
      <w:r w:rsidR="00777960">
        <w:t>Amendments</w:t>
      </w:r>
      <w:r w:rsidR="00EA775D">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068DC7EB">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589F4A2F">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4D778E">
        <w:rPr>
          <w:color w:val="000000"/>
        </w:rPr>
        <w:t>either</w:t>
      </w:r>
      <w:r>
        <w:rPr>
          <w:color w:val="000000"/>
        </w:rPr>
        <w:t xml:space="preserve"> conduct </w:t>
      </w:r>
      <w:r w:rsidR="004D778E">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092A6544">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Pr="004049A9" w:rsidR="004C701D">
        <w:rPr>
          <w:color w:val="000000"/>
        </w:rPr>
        <w:t xml:space="preserve">to be </w:t>
      </w:r>
      <w:r w:rsidR="001A019D">
        <w:t>39</w:t>
      </w:r>
      <w:r w:rsidRPr="004049A9" w:rsidR="00E216EC">
        <w:t>,</w:t>
      </w:r>
      <w:r w:rsidR="001A019D">
        <w:t>7</w:t>
      </w:r>
      <w:r w:rsidRPr="004049A9" w:rsidR="00E216EC">
        <w:t>00</w:t>
      </w:r>
      <w:r w:rsidRPr="004049A9" w:rsidR="004C701D">
        <w:rPr>
          <w:color w:val="000000"/>
        </w:rPr>
        <w:t xml:space="preserve"> </w:t>
      </w:r>
      <w:r w:rsidRPr="004049A9" w:rsidR="004D778E">
        <w:rPr>
          <w:color w:val="000000"/>
        </w:rPr>
        <w:t xml:space="preserve">hours </w:t>
      </w:r>
      <w:r w:rsidRPr="004049A9" w:rsidR="004C701D">
        <w:rPr>
          <w:color w:val="000000"/>
        </w:rPr>
        <w:t>(</w:t>
      </w:r>
      <w:r w:rsidRPr="004049A9">
        <w:rPr>
          <w:color w:val="000000"/>
        </w:rPr>
        <w:t>Total Labor Hours from Table 1</w:t>
      </w:r>
      <w:r w:rsidRPr="004049A9" w:rsidR="004D778E">
        <w:rPr>
          <w:color w:val="000000"/>
        </w:rPr>
        <w:t xml:space="preserve"> below</w:t>
      </w:r>
      <w:r w:rsidRPr="004049A9">
        <w:rPr>
          <w:color w:val="000000"/>
        </w:rPr>
        <w:t>).</w:t>
      </w:r>
      <w:r w:rsidRPr="004049A9" w:rsidR="009C7E97">
        <w:rPr>
          <w:color w:val="000000"/>
        </w:rPr>
        <w:t xml:space="preserve"> </w:t>
      </w:r>
      <w:r w:rsidRPr="004049A9" w:rsidR="001C5991">
        <w:rPr>
          <w:color w:val="000000"/>
        </w:rPr>
        <w:t>T</w:t>
      </w:r>
      <w:r w:rsidRPr="004049A9">
        <w:rPr>
          <w:color w:val="000000"/>
        </w:rPr>
        <w:t>hese hours are based on Agency studies and background doc</w:t>
      </w:r>
      <w:r>
        <w:rPr>
          <w:color w:val="000000"/>
        </w:rPr>
        <w:t>umen</w:t>
      </w:r>
      <w:r w:rsidR="004C701D">
        <w:rPr>
          <w:color w:val="000000"/>
        </w:rPr>
        <w:t xml:space="preserve">ts from the development of the </w:t>
      </w:r>
      <w:r>
        <w:rPr>
          <w:color w:val="000000"/>
        </w:rPr>
        <w:t xml:space="preserve">regulation, Agency knowledge and experience with the </w:t>
      </w:r>
      <w:r w:rsidRPr="00DF1FE2">
        <w:t xml:space="preserve">NESHAP </w:t>
      </w:r>
      <w:r>
        <w:rPr>
          <w:color w:val="000000"/>
        </w:rPr>
        <w:t xml:space="preserve">program, the </w:t>
      </w:r>
      <w:r>
        <w:rPr>
          <w:color w:val="000000"/>
        </w:rPr>
        <w:t>previously</w:t>
      </w:r>
      <w:r w:rsidR="004D778E">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777960" w:rsidP="00777960" w14:paraId="5A826095"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777960" w:rsidP="00777960" w14:paraId="56C01C5A" w14:textId="77777777">
      <w:pPr>
        <w:pBdr>
          <w:top w:val="single" w:sz="6" w:space="1" w:color="FFFFFF"/>
          <w:left w:val="single" w:sz="6" w:space="0" w:color="FFFFFF"/>
          <w:bottom w:val="single" w:sz="6" w:space="0" w:color="FFFFFF"/>
          <w:right w:val="single" w:sz="6" w:space="0" w:color="FFFFFF"/>
        </w:pBdr>
        <w:ind w:firstLine="720"/>
        <w:rPr>
          <w:color w:val="000000"/>
        </w:rPr>
      </w:pPr>
    </w:p>
    <w:tbl>
      <w:tblPr>
        <w:tblW w:w="5000" w:type="pct"/>
        <w:tblLook w:val="04A0"/>
      </w:tblPr>
      <w:tblGrid>
        <w:gridCol w:w="2954"/>
        <w:gridCol w:w="2399"/>
        <w:gridCol w:w="3997"/>
      </w:tblGrid>
      <w:tr w14:paraId="7AAD31A2" w14:textId="77777777" w:rsidTr="001D6969">
        <w:tblPrEx>
          <w:tblW w:w="5000" w:type="pct"/>
          <w:tblLook w:val="04A0"/>
        </w:tblPrEx>
        <w:trPr>
          <w:trHeight w:val="288"/>
        </w:trPr>
        <w:tc>
          <w:tcPr>
            <w:tcW w:w="1580" w:type="pct"/>
            <w:tcBorders>
              <w:top w:val="single" w:sz="4" w:space="0" w:color="auto"/>
              <w:left w:val="single" w:sz="4" w:space="0" w:color="auto"/>
              <w:bottom w:val="single" w:sz="4" w:space="0" w:color="auto"/>
              <w:right w:val="single" w:sz="4" w:space="0" w:color="auto"/>
            </w:tcBorders>
            <w:noWrap/>
            <w:vAlign w:val="bottom"/>
            <w:hideMark/>
          </w:tcPr>
          <w:p w:rsidR="00777960" w14:paraId="230C9BF0" w14:textId="77777777">
            <w:pPr>
              <w:widowControl/>
              <w:autoSpaceDE/>
              <w:adjustRightInd/>
              <w:rPr>
                <w:rFonts w:asciiTheme="majorBidi" w:hAnsiTheme="majorBidi" w:cstheme="majorBidi"/>
                <w:b/>
                <w:bCs/>
              </w:rPr>
            </w:pPr>
            <w:r>
              <w:rPr>
                <w:rFonts w:asciiTheme="majorBidi" w:hAnsiTheme="majorBidi" w:cstheme="majorBidi"/>
                <w:b/>
                <w:bCs/>
              </w:rPr>
              <w:t>Civilian Worker Rates</w:t>
            </w:r>
          </w:p>
        </w:tc>
        <w:tc>
          <w:tcPr>
            <w:tcW w:w="1283" w:type="pct"/>
            <w:tcBorders>
              <w:top w:val="single" w:sz="4" w:space="0" w:color="auto"/>
              <w:left w:val="nil"/>
              <w:bottom w:val="single" w:sz="4" w:space="0" w:color="auto"/>
              <w:right w:val="single" w:sz="4" w:space="0" w:color="auto"/>
            </w:tcBorders>
            <w:noWrap/>
            <w:vAlign w:val="bottom"/>
            <w:hideMark/>
          </w:tcPr>
          <w:p w:rsidR="00777960" w14:paraId="35C7079A" w14:textId="70B8018A">
            <w:pPr>
              <w:widowControl/>
              <w:autoSpaceDE/>
              <w:adjustRightInd/>
              <w:jc w:val="center"/>
              <w:rPr>
                <w:rFonts w:asciiTheme="majorBidi" w:hAnsiTheme="majorBidi" w:cstheme="majorBidi"/>
                <w:b/>
                <w:bCs/>
              </w:rPr>
            </w:pPr>
            <w:r>
              <w:rPr>
                <w:rFonts w:asciiTheme="majorBidi" w:hAnsiTheme="majorBidi" w:cstheme="majorBidi"/>
                <w:b/>
                <w:bCs/>
              </w:rPr>
              <w:t>Labor Rates, $/hr</w:t>
            </w:r>
          </w:p>
        </w:tc>
        <w:tc>
          <w:tcPr>
            <w:tcW w:w="2137" w:type="pct"/>
            <w:tcBorders>
              <w:top w:val="single" w:sz="4" w:space="0" w:color="auto"/>
              <w:left w:val="nil"/>
              <w:bottom w:val="single" w:sz="4" w:space="0" w:color="auto"/>
              <w:right w:val="single" w:sz="4" w:space="0" w:color="auto"/>
            </w:tcBorders>
            <w:noWrap/>
            <w:vAlign w:val="bottom"/>
            <w:hideMark/>
          </w:tcPr>
          <w:p w:rsidR="00777960" w14:paraId="2C600504" w14:textId="4E441A06">
            <w:pPr>
              <w:widowControl/>
              <w:autoSpaceDE/>
              <w:adjustRightInd/>
              <w:jc w:val="center"/>
              <w:rPr>
                <w:rFonts w:asciiTheme="majorBidi" w:hAnsiTheme="majorBidi" w:cstheme="majorBidi"/>
                <w:b/>
                <w:bCs/>
              </w:rPr>
            </w:pPr>
            <w:r>
              <w:rPr>
                <w:rFonts w:asciiTheme="majorBidi" w:hAnsiTheme="majorBidi" w:cstheme="majorBidi"/>
                <w:b/>
                <w:bCs/>
              </w:rPr>
              <w:t>Total including 110% overhead, $/hr</w:t>
            </w:r>
          </w:p>
        </w:tc>
      </w:tr>
      <w:tr w14:paraId="3BBA7EF0" w14:textId="77777777" w:rsidTr="001D6969">
        <w:tblPrEx>
          <w:tblW w:w="5000" w:type="pct"/>
          <w:tblLook w:val="04A0"/>
        </w:tblPrEx>
        <w:trPr>
          <w:trHeight w:val="288"/>
        </w:trPr>
        <w:tc>
          <w:tcPr>
            <w:tcW w:w="1580" w:type="pct"/>
            <w:tcBorders>
              <w:top w:val="nil"/>
              <w:left w:val="single" w:sz="4" w:space="0" w:color="auto"/>
              <w:bottom w:val="single" w:sz="4" w:space="0" w:color="auto"/>
              <w:right w:val="single" w:sz="4" w:space="0" w:color="auto"/>
            </w:tcBorders>
            <w:noWrap/>
            <w:vAlign w:val="bottom"/>
            <w:hideMark/>
          </w:tcPr>
          <w:p w:rsidR="00777960" w14:paraId="6156031E" w14:textId="77777777">
            <w:pPr>
              <w:widowControl/>
              <w:autoSpaceDE/>
              <w:adjustRightInd/>
              <w:rPr>
                <w:rFonts w:asciiTheme="majorBidi" w:hAnsiTheme="majorBidi" w:cstheme="majorBidi"/>
                <w:color w:val="000000"/>
              </w:rPr>
            </w:pPr>
            <w:r>
              <w:rPr>
                <w:rFonts w:asciiTheme="majorBidi" w:hAnsiTheme="majorBidi" w:cstheme="majorBidi"/>
                <w:color w:val="000000"/>
              </w:rPr>
              <w:t>Managerial</w:t>
            </w:r>
          </w:p>
        </w:tc>
        <w:tc>
          <w:tcPr>
            <w:tcW w:w="1283" w:type="pct"/>
            <w:tcBorders>
              <w:top w:val="nil"/>
              <w:left w:val="nil"/>
              <w:bottom w:val="single" w:sz="4" w:space="0" w:color="auto"/>
              <w:right w:val="single" w:sz="4" w:space="0" w:color="auto"/>
            </w:tcBorders>
            <w:noWrap/>
            <w:vAlign w:val="bottom"/>
            <w:hideMark/>
          </w:tcPr>
          <w:p w:rsidR="00777960" w14:paraId="3BC28C10" w14:textId="1E9EC71C">
            <w:pPr>
              <w:widowControl/>
              <w:autoSpaceDE/>
              <w:adjustRightInd/>
              <w:jc w:val="center"/>
              <w:rPr>
                <w:rFonts w:asciiTheme="majorBidi" w:hAnsiTheme="majorBidi" w:cstheme="majorBidi"/>
                <w:color w:val="000000"/>
              </w:rPr>
            </w:pPr>
            <w:r>
              <w:rPr>
                <w:rFonts w:asciiTheme="majorBidi" w:hAnsiTheme="majorBidi" w:cstheme="majorBidi"/>
                <w:color w:val="000000"/>
              </w:rPr>
              <w:t>$70.94</w:t>
            </w:r>
          </w:p>
        </w:tc>
        <w:tc>
          <w:tcPr>
            <w:tcW w:w="2137" w:type="pct"/>
            <w:tcBorders>
              <w:top w:val="nil"/>
              <w:left w:val="nil"/>
              <w:bottom w:val="single" w:sz="4" w:space="0" w:color="auto"/>
              <w:right w:val="single" w:sz="4" w:space="0" w:color="auto"/>
            </w:tcBorders>
            <w:noWrap/>
            <w:vAlign w:val="bottom"/>
            <w:hideMark/>
          </w:tcPr>
          <w:p w:rsidR="00777960" w14:paraId="30F82BF1" w14:textId="0EECBC23">
            <w:pPr>
              <w:widowControl/>
              <w:autoSpaceDE/>
              <w:adjustRightInd/>
              <w:jc w:val="center"/>
              <w:rPr>
                <w:rFonts w:asciiTheme="majorBidi" w:hAnsiTheme="majorBidi" w:cstheme="majorBidi"/>
                <w:color w:val="000000"/>
              </w:rPr>
            </w:pPr>
            <w:r>
              <w:rPr>
                <w:rFonts w:asciiTheme="majorBidi" w:hAnsiTheme="majorBidi" w:cstheme="majorBidi"/>
                <w:color w:val="000000"/>
              </w:rPr>
              <w:t>$148.97</w:t>
            </w:r>
          </w:p>
        </w:tc>
      </w:tr>
      <w:tr w14:paraId="467AD1DE" w14:textId="77777777" w:rsidTr="001D6969">
        <w:tblPrEx>
          <w:tblW w:w="5000" w:type="pct"/>
          <w:tblLook w:val="04A0"/>
        </w:tblPrEx>
        <w:trPr>
          <w:trHeight w:val="288"/>
        </w:trPr>
        <w:tc>
          <w:tcPr>
            <w:tcW w:w="1580" w:type="pct"/>
            <w:tcBorders>
              <w:top w:val="nil"/>
              <w:left w:val="single" w:sz="4" w:space="0" w:color="auto"/>
              <w:bottom w:val="single" w:sz="4" w:space="0" w:color="auto"/>
              <w:right w:val="single" w:sz="4" w:space="0" w:color="auto"/>
            </w:tcBorders>
            <w:noWrap/>
            <w:vAlign w:val="bottom"/>
            <w:hideMark/>
          </w:tcPr>
          <w:p w:rsidR="00777960" w14:paraId="7CA4947A" w14:textId="77777777">
            <w:pPr>
              <w:widowControl/>
              <w:autoSpaceDE/>
              <w:adjustRightInd/>
              <w:rPr>
                <w:rFonts w:asciiTheme="majorBidi" w:hAnsiTheme="majorBidi" w:cstheme="majorBidi"/>
                <w:color w:val="000000"/>
              </w:rPr>
            </w:pPr>
            <w:r>
              <w:rPr>
                <w:rFonts w:asciiTheme="majorBidi" w:hAnsiTheme="majorBidi" w:cstheme="majorBidi"/>
                <w:color w:val="000000"/>
              </w:rPr>
              <w:t>Technical</w:t>
            </w:r>
          </w:p>
        </w:tc>
        <w:tc>
          <w:tcPr>
            <w:tcW w:w="1283" w:type="pct"/>
            <w:tcBorders>
              <w:top w:val="nil"/>
              <w:left w:val="nil"/>
              <w:bottom w:val="single" w:sz="4" w:space="0" w:color="auto"/>
              <w:right w:val="single" w:sz="4" w:space="0" w:color="auto"/>
            </w:tcBorders>
            <w:noWrap/>
            <w:vAlign w:val="bottom"/>
            <w:hideMark/>
          </w:tcPr>
          <w:p w:rsidR="00777960" w14:paraId="50E0FD9C" w14:textId="72B44C48">
            <w:pPr>
              <w:widowControl/>
              <w:autoSpaceDE/>
              <w:adjustRightInd/>
              <w:jc w:val="center"/>
              <w:rPr>
                <w:rFonts w:asciiTheme="majorBidi" w:hAnsiTheme="majorBidi" w:cstheme="majorBidi"/>
                <w:color w:val="000000"/>
              </w:rPr>
            </w:pPr>
            <w:r>
              <w:rPr>
                <w:rFonts w:asciiTheme="majorBidi" w:hAnsiTheme="majorBidi" w:cstheme="majorBidi"/>
                <w:color w:val="000000"/>
              </w:rPr>
              <w:t>$56.68</w:t>
            </w:r>
          </w:p>
        </w:tc>
        <w:tc>
          <w:tcPr>
            <w:tcW w:w="2137" w:type="pct"/>
            <w:tcBorders>
              <w:top w:val="nil"/>
              <w:left w:val="nil"/>
              <w:bottom w:val="single" w:sz="4" w:space="0" w:color="auto"/>
              <w:right w:val="single" w:sz="4" w:space="0" w:color="auto"/>
            </w:tcBorders>
            <w:noWrap/>
            <w:vAlign w:val="bottom"/>
            <w:hideMark/>
          </w:tcPr>
          <w:p w:rsidR="00777960" w14:paraId="3A03FFD8" w14:textId="707DADF2">
            <w:pPr>
              <w:widowControl/>
              <w:autoSpaceDE/>
              <w:adjustRightInd/>
              <w:jc w:val="center"/>
              <w:rPr>
                <w:rFonts w:asciiTheme="majorBidi" w:hAnsiTheme="majorBidi" w:cstheme="majorBidi"/>
                <w:color w:val="000000"/>
              </w:rPr>
            </w:pPr>
            <w:r>
              <w:rPr>
                <w:rFonts w:asciiTheme="majorBidi" w:hAnsiTheme="majorBidi" w:cstheme="majorBidi"/>
                <w:color w:val="000000"/>
              </w:rPr>
              <w:t>$119.03</w:t>
            </w:r>
          </w:p>
        </w:tc>
      </w:tr>
      <w:tr w14:paraId="40CA7CD2" w14:textId="77777777" w:rsidTr="001D6969">
        <w:tblPrEx>
          <w:tblW w:w="5000" w:type="pct"/>
          <w:tblLook w:val="04A0"/>
        </w:tblPrEx>
        <w:trPr>
          <w:trHeight w:val="288"/>
        </w:trPr>
        <w:tc>
          <w:tcPr>
            <w:tcW w:w="1580" w:type="pct"/>
            <w:tcBorders>
              <w:top w:val="nil"/>
              <w:left w:val="single" w:sz="4" w:space="0" w:color="auto"/>
              <w:bottom w:val="single" w:sz="4" w:space="0" w:color="auto"/>
              <w:right w:val="single" w:sz="4" w:space="0" w:color="auto"/>
            </w:tcBorders>
            <w:noWrap/>
            <w:vAlign w:val="bottom"/>
            <w:hideMark/>
          </w:tcPr>
          <w:p w:rsidR="00777960" w14:paraId="70D207AA" w14:textId="77777777">
            <w:pPr>
              <w:widowControl/>
              <w:autoSpaceDE/>
              <w:adjustRightInd/>
              <w:rPr>
                <w:rFonts w:asciiTheme="majorBidi" w:hAnsiTheme="majorBidi" w:cstheme="majorBidi"/>
                <w:color w:val="000000"/>
              </w:rPr>
            </w:pPr>
            <w:r>
              <w:rPr>
                <w:rFonts w:asciiTheme="majorBidi" w:hAnsiTheme="majorBidi" w:cstheme="majorBidi"/>
                <w:color w:val="000000"/>
              </w:rPr>
              <w:t>Clerical</w:t>
            </w:r>
          </w:p>
        </w:tc>
        <w:tc>
          <w:tcPr>
            <w:tcW w:w="1283" w:type="pct"/>
            <w:tcBorders>
              <w:top w:val="nil"/>
              <w:left w:val="nil"/>
              <w:bottom w:val="single" w:sz="4" w:space="0" w:color="auto"/>
              <w:right w:val="single" w:sz="4" w:space="0" w:color="auto"/>
            </w:tcBorders>
            <w:noWrap/>
            <w:vAlign w:val="bottom"/>
            <w:hideMark/>
          </w:tcPr>
          <w:p w:rsidR="00777960" w14:paraId="447CF2AD" w14:textId="6626C352">
            <w:pPr>
              <w:widowControl/>
              <w:autoSpaceDE/>
              <w:adjustRightInd/>
              <w:jc w:val="center"/>
              <w:rPr>
                <w:rFonts w:asciiTheme="majorBidi" w:hAnsiTheme="majorBidi" w:cstheme="majorBidi"/>
                <w:color w:val="000000"/>
              </w:rPr>
            </w:pPr>
            <w:r>
              <w:rPr>
                <w:rFonts w:asciiTheme="majorBidi" w:hAnsiTheme="majorBidi" w:cstheme="majorBidi"/>
                <w:color w:val="000000"/>
              </w:rPr>
              <w:t>$27.44</w:t>
            </w:r>
          </w:p>
        </w:tc>
        <w:tc>
          <w:tcPr>
            <w:tcW w:w="2137" w:type="pct"/>
            <w:tcBorders>
              <w:top w:val="nil"/>
              <w:left w:val="nil"/>
              <w:bottom w:val="single" w:sz="4" w:space="0" w:color="auto"/>
              <w:right w:val="single" w:sz="4" w:space="0" w:color="auto"/>
            </w:tcBorders>
            <w:noWrap/>
            <w:vAlign w:val="bottom"/>
            <w:hideMark/>
          </w:tcPr>
          <w:p w:rsidR="00777960" w14:paraId="4F170292" w14:textId="0E42C195">
            <w:pPr>
              <w:widowControl/>
              <w:autoSpaceDE/>
              <w:adjustRightInd/>
              <w:jc w:val="center"/>
              <w:rPr>
                <w:rFonts w:asciiTheme="majorBidi" w:hAnsiTheme="majorBidi" w:cstheme="majorBidi"/>
                <w:color w:val="000000"/>
              </w:rPr>
            </w:pPr>
            <w:r>
              <w:rPr>
                <w:rFonts w:asciiTheme="majorBidi" w:hAnsiTheme="majorBidi" w:cstheme="majorBidi"/>
                <w:color w:val="000000"/>
              </w:rPr>
              <w:t>$57.62</w:t>
            </w:r>
          </w:p>
        </w:tc>
      </w:tr>
    </w:tbl>
    <w:p w:rsidR="00A34EA4" w:rsidP="002712EB" w14:paraId="61B826DE" w14:textId="77777777">
      <w:pPr>
        <w:pBdr>
          <w:top w:val="single" w:sz="6" w:space="0" w:color="FFFFFF"/>
          <w:left w:val="single" w:sz="6" w:space="0" w:color="FFFFFF"/>
          <w:bottom w:val="single" w:sz="6" w:space="0" w:color="FFFFFF"/>
          <w:right w:val="single" w:sz="6" w:space="0" w:color="FFFFFF"/>
        </w:pBdr>
        <w:rPr>
          <w:color w:val="000000"/>
        </w:rPr>
      </w:pPr>
    </w:p>
    <w:p w:rsidR="002712EB" w:rsidP="002712EB" w14:paraId="02AD384D" w14:textId="05DF42D2">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777960">
        <w:rPr>
          <w:color w:val="000000"/>
        </w:rPr>
        <w:t>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 xml:space="preserve">The rates have been increased by 110 percent to account </w:t>
      </w:r>
      <w:r>
        <w:rPr>
          <w:color w:val="000000"/>
        </w:rPr>
        <w:t>for the benefit packages available to those employed by private industry.</w:t>
      </w:r>
    </w:p>
    <w:p w:rsidR="00A528F0" w:rsidP="002712EB" w14:paraId="61133473" w14:textId="38D00887">
      <w:pPr>
        <w:pBdr>
          <w:top w:val="single" w:sz="6" w:space="0" w:color="FFFFFF"/>
          <w:left w:val="single" w:sz="6" w:space="0" w:color="FFFFFF"/>
          <w:bottom w:val="single" w:sz="6" w:space="0" w:color="FFFFFF"/>
          <w:right w:val="single" w:sz="6" w:space="0" w:color="FFFFFF"/>
        </w:pBdr>
        <w:rPr>
          <w:color w:val="000000"/>
        </w:rPr>
      </w:pPr>
    </w:p>
    <w:p w:rsidR="00A528F0" w:rsidRPr="00A528F0" w:rsidP="00A528F0" w14:paraId="0807802D" w14:textId="77777777">
      <w:pPr>
        <w:pBdr>
          <w:top w:val="single" w:sz="6" w:space="0" w:color="FFFFFF"/>
          <w:left w:val="single" w:sz="6" w:space="0" w:color="FFFFFF"/>
          <w:bottom w:val="single" w:sz="6" w:space="0" w:color="FFFFFF"/>
          <w:right w:val="single" w:sz="6" w:space="0" w:color="FFFFFF"/>
        </w:pBdr>
        <w:ind w:firstLine="720"/>
      </w:pPr>
      <w:r w:rsidRPr="008210AE">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A4CD6" w:rsidRPr="003F1AFC" w14:paraId="4D7765A8" w14:textId="2F343906">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DF1FE2" w14:paraId="272453E9"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DF1FE2" w14:paraId="728A7CA7" w14:textId="30DCF2B8">
      <w:pPr>
        <w:pBdr>
          <w:top w:val="single" w:sz="6" w:space="0" w:color="FFFFFF"/>
          <w:left w:val="single" w:sz="6" w:space="0" w:color="FFFFFF"/>
          <w:bottom w:val="single" w:sz="6" w:space="0" w:color="FFFFFF"/>
          <w:right w:val="single" w:sz="6" w:space="0" w:color="FFFFFF"/>
        </w:pBdr>
        <w:ind w:firstLine="720"/>
      </w:pPr>
      <w:r w:rsidRPr="00DF1FE2">
        <w:t>The type of industry costs associated with the information collection activ</w:t>
      </w:r>
      <w:r w:rsidRPr="00DF1FE2" w:rsidR="00DF1FE2">
        <w:t>ities in the subject standard</w:t>
      </w:r>
      <w:r w:rsidR="004D778E">
        <w:t>s</w:t>
      </w:r>
      <w:r w:rsidRPr="00DF1FE2">
        <w:t xml:space="preserve"> are both labor costs </w:t>
      </w:r>
      <w:r w:rsidR="00546194">
        <w:t>(</w:t>
      </w:r>
      <w:r w:rsidRPr="00DF1FE2">
        <w:t>which are addressed elsewhere in this ICR</w:t>
      </w:r>
      <w:r w:rsidR="00546194">
        <w:t>)</w:t>
      </w:r>
      <w:r w:rsidRPr="00DF1FE2">
        <w:t xml:space="preserve"> and the costs associated with continuous monitoring</w:t>
      </w:r>
      <w:r w:rsidR="00546194">
        <w:t>, performance testing, and other compliance activities</w:t>
      </w:r>
      <w:r w:rsidRPr="00DF1FE2">
        <w:t>.</w:t>
      </w:r>
      <w:r w:rsidRPr="00DF1FE2" w:rsidR="009C7E97">
        <w:t xml:space="preserve"> </w:t>
      </w:r>
      <w:r w:rsidRPr="00DF1FE2">
        <w:t xml:space="preserve">The capital/startup costs are </w:t>
      </w:r>
      <w:r w:rsidRPr="00DF1FE2" w:rsidR="00DF1FE2">
        <w:t>one-time</w:t>
      </w:r>
      <w:r w:rsidRPr="00DF1FE2">
        <w:t xml:space="preserve"> costs when a facility becomes subject to the</w:t>
      </w:r>
      <w:r w:rsidR="004D778E">
        <w:t>se</w:t>
      </w:r>
      <w:r w:rsidRPr="00DF1FE2">
        <w:t xml:space="preserve"> regulation</w:t>
      </w:r>
      <w:r w:rsidR="004D778E">
        <w:t>s</w:t>
      </w:r>
      <w:r w:rsidRPr="00DF1FE2">
        <w:t>.</w:t>
      </w:r>
      <w:r w:rsidRPr="00DF1FE2" w:rsidR="009C7E97">
        <w:t xml:space="preserve"> </w:t>
      </w:r>
      <w:r w:rsidRPr="00DF1FE2">
        <w:t>The annual operation and maintenance costs are the ongoing costs to maintain the monitor(s) and other costs su</w:t>
      </w:r>
      <w:r w:rsidRPr="00DF1FE2" w:rsidR="00DF1FE2">
        <w:t>ch as photocopying and postage.</w:t>
      </w:r>
    </w:p>
    <w:p w:rsidR="00CA4CD6" w14:paraId="2DD142A4" w14:textId="69CF0BFB">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6905422">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590"/>
        <w:gridCol w:w="1440"/>
        <w:gridCol w:w="1260"/>
        <w:gridCol w:w="1350"/>
        <w:gridCol w:w="1260"/>
        <w:gridCol w:w="1260"/>
        <w:gridCol w:w="1200"/>
      </w:tblGrid>
      <w:tr w14:paraId="36F2DCEA" w14:textId="77777777" w:rsidTr="00DF1FE2">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8" w:space="0" w:color="000000"/>
              <w:right w:val="single" w:sz="7" w:space="0" w:color="000000"/>
            </w:tcBorders>
          </w:tcPr>
          <w:p w:rsidR="00CA4CD6" w14:paraId="35D93909" w14:textId="77777777">
            <w:pPr>
              <w:spacing w:line="120" w:lineRule="exact"/>
              <w:rPr>
                <w:color w:val="000000"/>
              </w:rPr>
            </w:pPr>
          </w:p>
          <w:p w:rsidR="00CA4CD6" w14:paraId="696DDE37"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B72697">
        <w:tblPrEx>
          <w:tblW w:w="9360" w:type="dxa"/>
          <w:tblInd w:w="111" w:type="dxa"/>
          <w:tblLayout w:type="fixed"/>
          <w:tblCellMar>
            <w:left w:w="111" w:type="dxa"/>
            <w:right w:w="111" w:type="dxa"/>
          </w:tblCellMar>
          <w:tblLook w:val="0000"/>
        </w:tblPrEx>
        <w:tc>
          <w:tcPr>
            <w:tcW w:w="1590" w:type="dxa"/>
            <w:tcBorders>
              <w:top w:val="single" w:sz="8" w:space="0" w:color="000000"/>
              <w:left w:val="single" w:sz="8" w:space="0" w:color="000000"/>
              <w:bottom w:val="single" w:sz="8" w:space="0" w:color="000000"/>
              <w:right w:val="single" w:sz="8" w:space="0" w:color="000000"/>
            </w:tcBorders>
          </w:tcPr>
          <w:p w:rsidR="00CA4CD6" w:rsidP="00DF1FE2" w14:paraId="1E11DD4B" w14:textId="77777777">
            <w:pPr>
              <w:spacing w:line="120" w:lineRule="exact"/>
              <w:jc w:val="center"/>
              <w:rPr>
                <w:b/>
                <w:bCs/>
                <w:color w:val="000000"/>
              </w:rPr>
            </w:pPr>
          </w:p>
          <w:p w:rsidR="00CA4CD6" w:rsidP="00DF1FE2"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P="00DF1FE2" w14:paraId="320304DA" w14:textId="1B1B5F7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Cost Item</w:t>
            </w:r>
          </w:p>
        </w:tc>
        <w:tc>
          <w:tcPr>
            <w:tcW w:w="1440" w:type="dxa"/>
            <w:tcBorders>
              <w:top w:val="single" w:sz="8" w:space="0" w:color="000000"/>
              <w:left w:val="single" w:sz="8" w:space="0" w:color="000000"/>
              <w:bottom w:val="single" w:sz="8" w:space="0" w:color="000000"/>
              <w:right w:val="single" w:sz="8" w:space="0" w:color="000000"/>
            </w:tcBorders>
          </w:tcPr>
          <w:p w:rsidR="00CA4CD6" w:rsidP="00DF1FE2" w14:paraId="38DDE747" w14:textId="77777777">
            <w:pPr>
              <w:spacing w:line="120" w:lineRule="exact"/>
              <w:jc w:val="center"/>
              <w:rPr>
                <w:color w:val="000000"/>
                <w:sz w:val="20"/>
                <w:szCs w:val="20"/>
              </w:rPr>
            </w:pPr>
          </w:p>
          <w:p w:rsidR="00CA4CD6" w:rsidP="00DF1FE2"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P="00DF1FE2" w14:paraId="407FB1D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8" w:space="0" w:color="000000"/>
              <w:left w:val="single" w:sz="8" w:space="0" w:color="000000"/>
              <w:bottom w:val="single" w:sz="8" w:space="0" w:color="000000"/>
              <w:right w:val="single" w:sz="8" w:space="0" w:color="000000"/>
            </w:tcBorders>
          </w:tcPr>
          <w:p w:rsidR="00CA4CD6" w:rsidP="00DF1FE2" w14:paraId="7DD6E0B8" w14:textId="77777777">
            <w:pPr>
              <w:spacing w:line="120" w:lineRule="exact"/>
              <w:jc w:val="center"/>
              <w:rPr>
                <w:color w:val="000000"/>
                <w:sz w:val="20"/>
                <w:szCs w:val="20"/>
              </w:rPr>
            </w:pPr>
          </w:p>
          <w:p w:rsidR="00CA4CD6" w:rsidP="00DF1FE2"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P="00DF1FE2" w14:paraId="0C302DAA" w14:textId="45850E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350" w:type="dxa"/>
            <w:tcBorders>
              <w:top w:val="single" w:sz="8" w:space="0" w:color="000000"/>
              <w:left w:val="single" w:sz="8" w:space="0" w:color="000000"/>
              <w:bottom w:val="single" w:sz="8" w:space="0" w:color="000000"/>
              <w:right w:val="single" w:sz="8" w:space="0" w:color="000000"/>
            </w:tcBorders>
          </w:tcPr>
          <w:p w:rsidR="00CA4CD6" w:rsidP="00DF1FE2" w14:paraId="2F548543" w14:textId="77777777">
            <w:pPr>
              <w:spacing w:line="120" w:lineRule="exact"/>
              <w:jc w:val="center"/>
              <w:rPr>
                <w:color w:val="000000"/>
                <w:sz w:val="20"/>
                <w:szCs w:val="20"/>
              </w:rPr>
            </w:pPr>
          </w:p>
          <w:p w:rsidR="00CA4CD6" w:rsidP="00DF1FE2"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P="00DF1FE2" w14:paraId="1F7CDD68" w14:textId="488BAF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w:t>
            </w:r>
            <w:r w:rsidR="00DF1FE2">
              <w:rPr>
                <w:color w:val="000000"/>
                <w:sz w:val="20"/>
                <w:szCs w:val="20"/>
              </w:rPr>
              <w:t xml:space="preserve"> </w:t>
            </w:r>
            <w:r>
              <w:rPr>
                <w:color w:val="000000"/>
                <w:sz w:val="20"/>
                <w:szCs w:val="20"/>
              </w:rPr>
              <w:t>Startup Cost,</w:t>
            </w:r>
            <w:r w:rsidR="009C7E97">
              <w:rPr>
                <w:color w:val="000000"/>
                <w:sz w:val="20"/>
                <w:szCs w:val="20"/>
              </w:rPr>
              <w:t xml:space="preserve"> </w:t>
            </w:r>
            <w:r>
              <w:rPr>
                <w:color w:val="000000"/>
                <w:sz w:val="20"/>
                <w:szCs w:val="20"/>
              </w:rPr>
              <w:t>(B X C)</w:t>
            </w:r>
          </w:p>
        </w:tc>
        <w:tc>
          <w:tcPr>
            <w:tcW w:w="1260" w:type="dxa"/>
            <w:tcBorders>
              <w:top w:val="single" w:sz="8" w:space="0" w:color="000000"/>
              <w:left w:val="single" w:sz="8" w:space="0" w:color="000000"/>
              <w:bottom w:val="single" w:sz="8" w:space="0" w:color="000000"/>
              <w:right w:val="single" w:sz="8" w:space="0" w:color="000000"/>
            </w:tcBorders>
          </w:tcPr>
          <w:p w:rsidR="00CA4CD6" w:rsidP="00DF1FE2" w14:paraId="1446A824" w14:textId="77777777">
            <w:pPr>
              <w:spacing w:line="120" w:lineRule="exact"/>
              <w:jc w:val="center"/>
              <w:rPr>
                <w:color w:val="000000"/>
                <w:sz w:val="20"/>
                <w:szCs w:val="20"/>
              </w:rPr>
            </w:pPr>
          </w:p>
          <w:p w:rsidR="00CA4CD6" w:rsidP="00DF1FE2"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P="00DF1FE2" w14:paraId="0CC6E4C5"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8" w:space="0" w:color="000000"/>
              <w:left w:val="single" w:sz="8" w:space="0" w:color="000000"/>
              <w:bottom w:val="single" w:sz="8" w:space="0" w:color="000000"/>
              <w:right w:val="single" w:sz="8" w:space="0" w:color="000000"/>
            </w:tcBorders>
          </w:tcPr>
          <w:p w:rsidR="00CA4CD6" w:rsidP="00DF1FE2" w14:paraId="4543222C" w14:textId="77777777">
            <w:pPr>
              <w:spacing w:line="120" w:lineRule="exact"/>
              <w:jc w:val="center"/>
              <w:rPr>
                <w:color w:val="000000"/>
                <w:sz w:val="20"/>
                <w:szCs w:val="20"/>
              </w:rPr>
            </w:pPr>
          </w:p>
          <w:p w:rsidR="00CA4CD6" w:rsidP="00DF1FE2"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P="00DF1FE2" w14:paraId="23E08EAE" w14:textId="113D236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r w:rsidRPr="0004106E" w:rsidR="0004106E">
              <w:rPr>
                <w:color w:val="000000"/>
                <w:sz w:val="20"/>
                <w:szCs w:val="20"/>
                <w:vertAlign w:val="superscript"/>
              </w:rPr>
              <w:t>1</w:t>
            </w:r>
          </w:p>
        </w:tc>
        <w:tc>
          <w:tcPr>
            <w:tcW w:w="1200" w:type="dxa"/>
            <w:tcBorders>
              <w:top w:val="single" w:sz="8" w:space="0" w:color="000000"/>
              <w:left w:val="single" w:sz="8" w:space="0" w:color="000000"/>
              <w:bottom w:val="single" w:sz="8" w:space="0" w:color="000000"/>
              <w:right w:val="single" w:sz="8" w:space="0" w:color="000000"/>
            </w:tcBorders>
          </w:tcPr>
          <w:p w:rsidR="00CA4CD6" w:rsidP="00DF1FE2" w14:paraId="78CE6DFE" w14:textId="77777777">
            <w:pPr>
              <w:spacing w:line="120" w:lineRule="exact"/>
              <w:jc w:val="center"/>
              <w:rPr>
                <w:color w:val="000000"/>
                <w:sz w:val="20"/>
                <w:szCs w:val="20"/>
              </w:rPr>
            </w:pPr>
          </w:p>
          <w:p w:rsidR="00CA4CD6" w:rsidP="00DF1FE2"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P="00DF1FE2" w14:paraId="2322CF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P="00DF1FE2" w14:paraId="098DC9C0"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14:paraId="4AA20F59" w14:textId="77777777" w:rsidTr="00B72697">
        <w:tblPrEx>
          <w:tblW w:w="9360" w:type="dxa"/>
          <w:tblInd w:w="111" w:type="dxa"/>
          <w:tblLayout w:type="fixed"/>
          <w:tblCellMar>
            <w:left w:w="111" w:type="dxa"/>
            <w:right w:w="111" w:type="dxa"/>
          </w:tblCellMar>
          <w:tblLook w:val="0000"/>
        </w:tblPrEx>
        <w:tc>
          <w:tcPr>
            <w:tcW w:w="1590" w:type="dxa"/>
            <w:tcBorders>
              <w:top w:val="single" w:sz="8" w:space="0" w:color="000000"/>
              <w:left w:val="single" w:sz="8" w:space="0" w:color="000000"/>
              <w:bottom w:val="single" w:sz="8" w:space="0" w:color="000000"/>
              <w:right w:val="single" w:sz="8" w:space="0" w:color="000000"/>
            </w:tcBorders>
          </w:tcPr>
          <w:p w:rsidR="00DF1FE2" w:rsidP="00DF1FE2" w14:paraId="2113507C" w14:textId="5678C8C0">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Continuous monitoring system</w:t>
            </w:r>
          </w:p>
        </w:tc>
        <w:tc>
          <w:tcPr>
            <w:tcW w:w="1440" w:type="dxa"/>
            <w:tcBorders>
              <w:top w:val="single" w:sz="8" w:space="0" w:color="000000"/>
              <w:left w:val="single" w:sz="8" w:space="0" w:color="000000"/>
              <w:bottom w:val="single" w:sz="8" w:space="0" w:color="000000"/>
              <w:right w:val="single" w:sz="8" w:space="0" w:color="000000"/>
            </w:tcBorders>
            <w:vAlign w:val="center"/>
          </w:tcPr>
          <w:p w:rsidR="00DF1FE2" w:rsidP="00DF1FE2" w14:paraId="061FAA92" w14:textId="103199B6">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215263">
              <w:rPr>
                <w:sz w:val="20"/>
                <w:szCs w:val="20"/>
              </w:rPr>
              <w:t>2,240</w:t>
            </w:r>
          </w:p>
        </w:tc>
        <w:tc>
          <w:tcPr>
            <w:tcW w:w="1260" w:type="dxa"/>
            <w:tcBorders>
              <w:top w:val="single" w:sz="8" w:space="0" w:color="000000"/>
              <w:left w:val="single" w:sz="8" w:space="0" w:color="000000"/>
              <w:bottom w:val="single" w:sz="8" w:space="0" w:color="000000"/>
              <w:right w:val="single" w:sz="8" w:space="0" w:color="000000"/>
            </w:tcBorders>
            <w:vAlign w:val="center"/>
          </w:tcPr>
          <w:p w:rsidR="00DF1FE2" w:rsidP="00DF1FE2" w14:paraId="1B77751D" w14:textId="3E11EE6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7</w:t>
            </w:r>
          </w:p>
        </w:tc>
        <w:tc>
          <w:tcPr>
            <w:tcW w:w="1350" w:type="dxa"/>
            <w:tcBorders>
              <w:top w:val="single" w:sz="8" w:space="0" w:color="000000"/>
              <w:left w:val="single" w:sz="8" w:space="0" w:color="000000"/>
              <w:bottom w:val="single" w:sz="8" w:space="0" w:color="000000"/>
              <w:right w:val="single" w:sz="8" w:space="0" w:color="000000"/>
            </w:tcBorders>
            <w:vAlign w:val="center"/>
          </w:tcPr>
          <w:p w:rsidR="00DF1FE2" w:rsidP="00DF1FE2" w14:paraId="07F59DF4" w14:textId="3B511D44">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B72697">
              <w:rPr>
                <w:sz w:val="20"/>
                <w:szCs w:val="20"/>
              </w:rPr>
              <w:t>15</w:t>
            </w:r>
            <w:r w:rsidR="00215263">
              <w:rPr>
                <w:sz w:val="20"/>
                <w:szCs w:val="20"/>
              </w:rPr>
              <w:t>,</w:t>
            </w:r>
            <w:r w:rsidR="00B72697">
              <w:rPr>
                <w:sz w:val="20"/>
                <w:szCs w:val="20"/>
              </w:rPr>
              <w:t>6</w:t>
            </w:r>
            <w:r w:rsidR="00215263">
              <w:rPr>
                <w:sz w:val="20"/>
                <w:szCs w:val="20"/>
              </w:rPr>
              <w:t>80</w:t>
            </w:r>
          </w:p>
        </w:tc>
        <w:tc>
          <w:tcPr>
            <w:tcW w:w="1260" w:type="dxa"/>
            <w:tcBorders>
              <w:top w:val="single" w:sz="8" w:space="0" w:color="000000"/>
              <w:left w:val="single" w:sz="8" w:space="0" w:color="000000"/>
              <w:bottom w:val="single" w:sz="8" w:space="0" w:color="000000"/>
              <w:right w:val="single" w:sz="8" w:space="0" w:color="000000"/>
            </w:tcBorders>
            <w:vAlign w:val="center"/>
          </w:tcPr>
          <w:p w:rsidR="00DF1FE2" w:rsidP="00DF1FE2" w14:paraId="014C668B" w14:textId="396CF20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215263">
              <w:rPr>
                <w:sz w:val="20"/>
                <w:szCs w:val="20"/>
              </w:rPr>
              <w:t>84</w:t>
            </w:r>
          </w:p>
        </w:tc>
        <w:tc>
          <w:tcPr>
            <w:tcW w:w="1260" w:type="dxa"/>
            <w:tcBorders>
              <w:top w:val="single" w:sz="8" w:space="0" w:color="000000"/>
              <w:left w:val="single" w:sz="8" w:space="0" w:color="000000"/>
              <w:bottom w:val="single" w:sz="8" w:space="0" w:color="000000"/>
              <w:right w:val="single" w:sz="8" w:space="0" w:color="000000"/>
            </w:tcBorders>
            <w:vAlign w:val="center"/>
          </w:tcPr>
          <w:p w:rsidR="00DF1FE2" w:rsidP="00DF1FE2" w14:paraId="7704BF82" w14:textId="07BB98A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114</w:t>
            </w:r>
          </w:p>
        </w:tc>
        <w:tc>
          <w:tcPr>
            <w:tcW w:w="1200" w:type="dxa"/>
            <w:tcBorders>
              <w:top w:val="single" w:sz="8" w:space="0" w:color="000000"/>
              <w:left w:val="single" w:sz="8" w:space="0" w:color="000000"/>
              <w:bottom w:val="single" w:sz="8" w:space="0" w:color="000000"/>
              <w:right w:val="single" w:sz="8" w:space="0" w:color="000000"/>
            </w:tcBorders>
            <w:vAlign w:val="center"/>
          </w:tcPr>
          <w:p w:rsidR="00DF1FE2" w:rsidP="00FA2696" w14:paraId="38C7234D" w14:textId="18D2391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215263">
              <w:rPr>
                <w:sz w:val="20"/>
                <w:szCs w:val="20"/>
              </w:rPr>
              <w:t>9,525</w:t>
            </w:r>
          </w:p>
        </w:tc>
      </w:tr>
      <w:tr w14:paraId="38F22C8D" w14:textId="77777777" w:rsidTr="00B72697">
        <w:tblPrEx>
          <w:tblW w:w="9360" w:type="dxa"/>
          <w:tblInd w:w="111" w:type="dxa"/>
          <w:tblLayout w:type="fixed"/>
          <w:tblCellMar>
            <w:left w:w="111" w:type="dxa"/>
            <w:right w:w="111" w:type="dxa"/>
          </w:tblCellMar>
          <w:tblLook w:val="0000"/>
        </w:tblPrEx>
        <w:tc>
          <w:tcPr>
            <w:tcW w:w="1590" w:type="dxa"/>
            <w:tcBorders>
              <w:top w:val="single" w:sz="8" w:space="0" w:color="000000"/>
              <w:left w:val="single" w:sz="8" w:space="0" w:color="000000"/>
              <w:bottom w:val="single" w:sz="8" w:space="0" w:color="000000"/>
              <w:right w:val="single" w:sz="8" w:space="0" w:color="000000"/>
            </w:tcBorders>
          </w:tcPr>
          <w:p w:rsidR="00836811" w:rsidP="00DF1FE2" w14:paraId="4C5A9684" w14:textId="07E24E46">
            <w:pPr>
              <w:pBdr>
                <w:top w:val="single" w:sz="6" w:space="0" w:color="FFFFFF"/>
                <w:left w:val="single" w:sz="6" w:space="0" w:color="FFFFFF"/>
                <w:bottom w:val="single" w:sz="6" w:space="0" w:color="FFFFFF"/>
                <w:right w:val="single" w:sz="6" w:space="0" w:color="FFFFFF"/>
              </w:pBdr>
              <w:rPr>
                <w:sz w:val="20"/>
                <w:szCs w:val="20"/>
              </w:rPr>
            </w:pPr>
            <w:r w:rsidRPr="007B7303">
              <w:rPr>
                <w:sz w:val="20"/>
                <w:szCs w:val="20"/>
              </w:rPr>
              <w:t>Initial tests at new mills (inlet/outlet)</w:t>
            </w:r>
          </w:p>
        </w:tc>
        <w:tc>
          <w:tcPr>
            <w:tcW w:w="1440" w:type="dxa"/>
            <w:tcBorders>
              <w:top w:val="single" w:sz="8" w:space="0" w:color="000000"/>
              <w:left w:val="single" w:sz="8" w:space="0" w:color="000000"/>
              <w:bottom w:val="single" w:sz="8" w:space="0" w:color="000000"/>
              <w:right w:val="single" w:sz="8" w:space="0" w:color="000000"/>
            </w:tcBorders>
            <w:vAlign w:val="center"/>
          </w:tcPr>
          <w:p w:rsidR="00215263" w:rsidP="00DF1FE2" w14:paraId="4A4D2C15" w14:textId="0F935B20">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w:t>
            </w:r>
            <w:r w:rsidR="00073DCF">
              <w:rPr>
                <w:sz w:val="20"/>
                <w:szCs w:val="20"/>
              </w:rPr>
              <w:t>6</w:t>
            </w:r>
            <w:r>
              <w:rPr>
                <w:sz w:val="20"/>
                <w:szCs w:val="20"/>
              </w:rPr>
              <w:t>0,000</w:t>
            </w:r>
            <w:r w:rsidRPr="00073DCF" w:rsidR="00073DCF">
              <w:rPr>
                <w:sz w:val="20"/>
                <w:szCs w:val="20"/>
                <w:vertAlign w:val="superscript"/>
              </w:rPr>
              <w:t>2</w:t>
            </w:r>
          </w:p>
        </w:tc>
        <w:tc>
          <w:tcPr>
            <w:tcW w:w="1260" w:type="dxa"/>
            <w:tcBorders>
              <w:top w:val="single" w:sz="8" w:space="0" w:color="000000"/>
              <w:left w:val="single" w:sz="8" w:space="0" w:color="000000"/>
              <w:bottom w:val="single" w:sz="8" w:space="0" w:color="000000"/>
              <w:right w:val="single" w:sz="8" w:space="0" w:color="000000"/>
            </w:tcBorders>
            <w:vAlign w:val="center"/>
          </w:tcPr>
          <w:p w:rsidR="00215263" w:rsidP="00DF1FE2" w14:paraId="0DA0EB36" w14:textId="4B5454A4">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w:t>
            </w:r>
          </w:p>
        </w:tc>
        <w:tc>
          <w:tcPr>
            <w:tcW w:w="1350" w:type="dxa"/>
            <w:tcBorders>
              <w:top w:val="single" w:sz="8" w:space="0" w:color="000000"/>
              <w:left w:val="single" w:sz="8" w:space="0" w:color="000000"/>
              <w:bottom w:val="single" w:sz="8" w:space="0" w:color="000000"/>
              <w:right w:val="single" w:sz="8" w:space="0" w:color="000000"/>
            </w:tcBorders>
            <w:vAlign w:val="center"/>
          </w:tcPr>
          <w:p w:rsidR="00215263" w:rsidP="00DF1FE2" w14:paraId="716C3854" w14:textId="3A24F1E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w:t>
            </w:r>
            <w:r w:rsidR="00513D82">
              <w:rPr>
                <w:sz w:val="20"/>
                <w:szCs w:val="20"/>
              </w:rPr>
              <w:t>120</w:t>
            </w:r>
            <w:r>
              <w:rPr>
                <w:sz w:val="20"/>
                <w:szCs w:val="20"/>
              </w:rPr>
              <w:t>,000</w:t>
            </w:r>
          </w:p>
        </w:tc>
        <w:tc>
          <w:tcPr>
            <w:tcW w:w="1260" w:type="dxa"/>
            <w:tcBorders>
              <w:top w:val="single" w:sz="8" w:space="0" w:color="000000"/>
              <w:left w:val="single" w:sz="8" w:space="0" w:color="000000"/>
              <w:bottom w:val="single" w:sz="8" w:space="0" w:color="000000"/>
              <w:right w:val="single" w:sz="8" w:space="0" w:color="000000"/>
            </w:tcBorders>
            <w:vAlign w:val="center"/>
          </w:tcPr>
          <w:p w:rsidR="00215263" w:rsidP="00DF1FE2" w14:paraId="5FB9D3D1" w14:textId="443607CD">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215263" w:rsidP="00DF1FE2" w14:paraId="76FFE8F1"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1200" w:type="dxa"/>
            <w:tcBorders>
              <w:top w:val="single" w:sz="8" w:space="0" w:color="000000"/>
              <w:left w:val="single" w:sz="8" w:space="0" w:color="000000"/>
              <w:bottom w:val="single" w:sz="8" w:space="0" w:color="000000"/>
              <w:right w:val="single" w:sz="8" w:space="0" w:color="000000"/>
            </w:tcBorders>
            <w:vAlign w:val="center"/>
          </w:tcPr>
          <w:p w:rsidR="00215263" w:rsidP="00FA2696" w14:paraId="52985498" w14:textId="6D49E406">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r>
      <w:tr w14:paraId="261B2C94" w14:textId="77777777" w:rsidTr="00B72697">
        <w:tblPrEx>
          <w:tblW w:w="9360" w:type="dxa"/>
          <w:tblInd w:w="111" w:type="dxa"/>
          <w:tblLayout w:type="fixed"/>
          <w:tblCellMar>
            <w:left w:w="111" w:type="dxa"/>
            <w:right w:w="111" w:type="dxa"/>
          </w:tblCellMar>
          <w:tblLook w:val="0000"/>
        </w:tblPrEx>
        <w:tc>
          <w:tcPr>
            <w:tcW w:w="1590" w:type="dxa"/>
            <w:tcBorders>
              <w:top w:val="single" w:sz="8" w:space="0" w:color="000000"/>
              <w:left w:val="single" w:sz="8" w:space="0" w:color="000000"/>
              <w:bottom w:val="single" w:sz="8" w:space="0" w:color="000000"/>
              <w:right w:val="single" w:sz="8" w:space="0" w:color="000000"/>
            </w:tcBorders>
          </w:tcPr>
          <w:p w:rsidR="007B7303" w:rsidP="00DF1FE2" w14:paraId="0F955C5C" w14:textId="0FE17B12">
            <w:pPr>
              <w:pBdr>
                <w:top w:val="single" w:sz="6" w:space="0" w:color="FFFFFF"/>
                <w:left w:val="single" w:sz="6" w:space="0" w:color="FFFFFF"/>
                <w:bottom w:val="single" w:sz="6" w:space="0" w:color="FFFFFF"/>
                <w:right w:val="single" w:sz="6" w:space="0" w:color="FFFFFF"/>
              </w:pBdr>
              <w:rPr>
                <w:sz w:val="20"/>
                <w:szCs w:val="20"/>
              </w:rPr>
            </w:pPr>
            <w:r w:rsidRPr="00B72697">
              <w:rPr>
                <w:sz w:val="20"/>
                <w:szCs w:val="20"/>
              </w:rPr>
              <w:t>Initial tests on new process lines at existing mills (inlet/outlet)</w:t>
            </w:r>
          </w:p>
        </w:tc>
        <w:tc>
          <w:tcPr>
            <w:tcW w:w="1440" w:type="dxa"/>
            <w:tcBorders>
              <w:top w:val="single" w:sz="8" w:space="0" w:color="000000"/>
              <w:left w:val="single" w:sz="8" w:space="0" w:color="000000"/>
              <w:bottom w:val="single" w:sz="8" w:space="0" w:color="000000"/>
              <w:right w:val="single" w:sz="8" w:space="0" w:color="000000"/>
            </w:tcBorders>
            <w:vAlign w:val="center"/>
          </w:tcPr>
          <w:p w:rsidR="007B7303" w:rsidP="00DF1FE2" w14:paraId="7004EBBE" w14:textId="521215C0">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$30,000</w:t>
            </w:r>
            <w:r w:rsidRPr="00073DCF">
              <w:rPr>
                <w:sz w:val="20"/>
                <w:szCs w:val="20"/>
                <w:vertAlign w:val="superscript"/>
              </w:rPr>
              <w:t>2</w:t>
            </w:r>
          </w:p>
        </w:tc>
        <w:tc>
          <w:tcPr>
            <w:tcW w:w="1260" w:type="dxa"/>
            <w:tcBorders>
              <w:top w:val="single" w:sz="8" w:space="0" w:color="000000"/>
              <w:left w:val="single" w:sz="8" w:space="0" w:color="000000"/>
              <w:bottom w:val="single" w:sz="8" w:space="0" w:color="000000"/>
              <w:right w:val="single" w:sz="8" w:space="0" w:color="000000"/>
            </w:tcBorders>
            <w:vAlign w:val="center"/>
          </w:tcPr>
          <w:p w:rsidR="007B7303" w:rsidP="00DF1FE2" w14:paraId="07D4CC51" w14:textId="0FA572B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w:t>
            </w:r>
          </w:p>
        </w:tc>
        <w:tc>
          <w:tcPr>
            <w:tcW w:w="1350" w:type="dxa"/>
            <w:tcBorders>
              <w:top w:val="single" w:sz="8" w:space="0" w:color="000000"/>
              <w:left w:val="single" w:sz="8" w:space="0" w:color="000000"/>
              <w:bottom w:val="single" w:sz="8" w:space="0" w:color="000000"/>
              <w:right w:val="single" w:sz="8" w:space="0" w:color="000000"/>
            </w:tcBorders>
            <w:vAlign w:val="center"/>
          </w:tcPr>
          <w:p w:rsidR="007B7303" w:rsidP="00DF1FE2" w14:paraId="09AEEF4F" w14:textId="0FC96114">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$150,000</w:t>
            </w:r>
          </w:p>
        </w:tc>
        <w:tc>
          <w:tcPr>
            <w:tcW w:w="1260" w:type="dxa"/>
            <w:tcBorders>
              <w:top w:val="single" w:sz="8" w:space="0" w:color="000000"/>
              <w:left w:val="single" w:sz="8" w:space="0" w:color="000000"/>
              <w:bottom w:val="single" w:sz="8" w:space="0" w:color="000000"/>
              <w:right w:val="single" w:sz="8" w:space="0" w:color="000000"/>
            </w:tcBorders>
            <w:vAlign w:val="center"/>
          </w:tcPr>
          <w:p w:rsidR="007B7303" w:rsidP="00DF1FE2" w14:paraId="171F5FCD"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7B7303" w:rsidP="00DF1FE2" w14:paraId="29AAF47F"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1200" w:type="dxa"/>
            <w:tcBorders>
              <w:top w:val="single" w:sz="8" w:space="0" w:color="000000"/>
              <w:left w:val="single" w:sz="8" w:space="0" w:color="000000"/>
              <w:bottom w:val="single" w:sz="8" w:space="0" w:color="000000"/>
              <w:right w:val="single" w:sz="8" w:space="0" w:color="000000"/>
            </w:tcBorders>
            <w:vAlign w:val="center"/>
          </w:tcPr>
          <w:p w:rsidR="007B7303" w:rsidP="00FA2696" w14:paraId="1E726862" w14:textId="5163B8FC">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r>
      <w:tr w14:paraId="4B7BE6E1" w14:textId="77777777" w:rsidTr="00B72697">
        <w:tblPrEx>
          <w:tblW w:w="9360" w:type="dxa"/>
          <w:tblInd w:w="111" w:type="dxa"/>
          <w:tblLayout w:type="fixed"/>
          <w:tblCellMar>
            <w:left w:w="111" w:type="dxa"/>
            <w:right w:w="111" w:type="dxa"/>
          </w:tblCellMar>
          <w:tblLook w:val="0000"/>
        </w:tblPrEx>
        <w:tc>
          <w:tcPr>
            <w:tcW w:w="1590" w:type="dxa"/>
            <w:tcBorders>
              <w:top w:val="single" w:sz="8" w:space="0" w:color="000000"/>
              <w:left w:val="single" w:sz="8" w:space="0" w:color="000000"/>
              <w:bottom w:val="single" w:sz="8" w:space="0" w:color="000000"/>
              <w:right w:val="single" w:sz="8" w:space="0" w:color="000000"/>
            </w:tcBorders>
          </w:tcPr>
          <w:p w:rsidR="00073DCF" w:rsidP="00DF1FE2" w14:paraId="05939B25" w14:textId="583B1863">
            <w:pPr>
              <w:pBdr>
                <w:top w:val="single" w:sz="6" w:space="0" w:color="FFFFFF"/>
                <w:left w:val="single" w:sz="6" w:space="0" w:color="FFFFFF"/>
                <w:bottom w:val="single" w:sz="6" w:space="0" w:color="FFFFFF"/>
                <w:right w:val="single" w:sz="6" w:space="0" w:color="FFFFFF"/>
              </w:pBdr>
              <w:rPr>
                <w:sz w:val="20"/>
                <w:szCs w:val="20"/>
              </w:rPr>
            </w:pPr>
            <w:r w:rsidRPr="00B72697">
              <w:rPr>
                <w:sz w:val="20"/>
                <w:szCs w:val="20"/>
              </w:rPr>
              <w:t>Repeat tests (inlet/outlet)</w:t>
            </w:r>
          </w:p>
        </w:tc>
        <w:tc>
          <w:tcPr>
            <w:tcW w:w="1440" w:type="dxa"/>
            <w:tcBorders>
              <w:top w:val="single" w:sz="8" w:space="0" w:color="000000"/>
              <w:left w:val="single" w:sz="8" w:space="0" w:color="000000"/>
              <w:bottom w:val="single" w:sz="8" w:space="0" w:color="000000"/>
              <w:right w:val="single" w:sz="8" w:space="0" w:color="000000"/>
            </w:tcBorders>
            <w:vAlign w:val="center"/>
          </w:tcPr>
          <w:p w:rsidR="00073DCF" w:rsidP="00DF1FE2" w14:paraId="0AB396EA" w14:textId="74D95996">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$60,000</w:t>
            </w:r>
            <w:r w:rsidRPr="00073DCF">
              <w:rPr>
                <w:sz w:val="20"/>
                <w:szCs w:val="20"/>
                <w:vertAlign w:val="superscript"/>
              </w:rPr>
              <w:t>2</w:t>
            </w:r>
          </w:p>
        </w:tc>
        <w:tc>
          <w:tcPr>
            <w:tcW w:w="1260" w:type="dxa"/>
            <w:tcBorders>
              <w:top w:val="single" w:sz="8" w:space="0" w:color="000000"/>
              <w:left w:val="single" w:sz="8" w:space="0" w:color="000000"/>
              <w:bottom w:val="single" w:sz="8" w:space="0" w:color="000000"/>
              <w:right w:val="single" w:sz="8" w:space="0" w:color="000000"/>
            </w:tcBorders>
            <w:vAlign w:val="center"/>
          </w:tcPr>
          <w:p w:rsidR="00073DCF" w:rsidP="00DF1FE2" w14:paraId="26B13287" w14:textId="49FC4D2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113</w:t>
            </w:r>
          </w:p>
        </w:tc>
        <w:tc>
          <w:tcPr>
            <w:tcW w:w="1350" w:type="dxa"/>
            <w:tcBorders>
              <w:top w:val="single" w:sz="8" w:space="0" w:color="000000"/>
              <w:left w:val="single" w:sz="8" w:space="0" w:color="000000"/>
              <w:bottom w:val="single" w:sz="8" w:space="0" w:color="000000"/>
              <w:right w:val="single" w:sz="8" w:space="0" w:color="000000"/>
            </w:tcBorders>
            <w:vAlign w:val="center"/>
          </w:tcPr>
          <w:p w:rsidR="00073DCF" w:rsidP="00DF1FE2" w14:paraId="76EC1C43" w14:textId="3B9E0326">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w:t>
            </w:r>
            <w:r>
              <w:rPr>
                <w:sz w:val="20"/>
                <w:szCs w:val="20"/>
              </w:rPr>
              <w:t>6,780,000</w:t>
            </w:r>
          </w:p>
        </w:tc>
        <w:tc>
          <w:tcPr>
            <w:tcW w:w="1260" w:type="dxa"/>
            <w:tcBorders>
              <w:top w:val="single" w:sz="8" w:space="0" w:color="000000"/>
              <w:left w:val="single" w:sz="8" w:space="0" w:color="000000"/>
              <w:bottom w:val="single" w:sz="8" w:space="0" w:color="000000"/>
              <w:right w:val="single" w:sz="8" w:space="0" w:color="000000"/>
            </w:tcBorders>
            <w:vAlign w:val="center"/>
          </w:tcPr>
          <w:p w:rsidR="00073DCF" w:rsidP="00DF1FE2" w14:paraId="5B053185"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073DCF" w:rsidP="00DF1FE2" w14:paraId="7149ACD5"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1200" w:type="dxa"/>
            <w:tcBorders>
              <w:top w:val="single" w:sz="8" w:space="0" w:color="000000"/>
              <w:left w:val="single" w:sz="8" w:space="0" w:color="000000"/>
              <w:bottom w:val="single" w:sz="8" w:space="0" w:color="000000"/>
              <w:right w:val="single" w:sz="8" w:space="0" w:color="000000"/>
            </w:tcBorders>
            <w:vAlign w:val="center"/>
          </w:tcPr>
          <w:p w:rsidR="00073DCF" w:rsidP="00FA2696" w14:paraId="32784856" w14:textId="79BC72E9">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r>
      <w:tr w14:paraId="64FE6875" w14:textId="77777777" w:rsidTr="00B72697">
        <w:tblPrEx>
          <w:tblW w:w="9360" w:type="dxa"/>
          <w:tblInd w:w="111" w:type="dxa"/>
          <w:tblLayout w:type="fixed"/>
          <w:tblCellMar>
            <w:left w:w="111" w:type="dxa"/>
            <w:right w:w="111" w:type="dxa"/>
          </w:tblCellMar>
          <w:tblLook w:val="0000"/>
        </w:tblPrEx>
        <w:tc>
          <w:tcPr>
            <w:tcW w:w="1590" w:type="dxa"/>
            <w:tcBorders>
              <w:top w:val="single" w:sz="8" w:space="0" w:color="000000"/>
              <w:left w:val="single" w:sz="8" w:space="0" w:color="000000"/>
              <w:bottom w:val="single" w:sz="8" w:space="0" w:color="000000"/>
              <w:right w:val="single" w:sz="8" w:space="0" w:color="000000"/>
            </w:tcBorders>
          </w:tcPr>
          <w:p w:rsidR="00836811" w:rsidRPr="005F7CB0" w:rsidP="00836811" w14:paraId="4996E4A5" w14:textId="3AA9AAFE">
            <w:pPr>
              <w:pBdr>
                <w:top w:val="single" w:sz="6" w:space="0" w:color="FFFFFF"/>
                <w:left w:val="single" w:sz="6" w:space="0" w:color="FFFFFF"/>
                <w:bottom w:val="single" w:sz="6" w:space="0" w:color="FFFFFF"/>
                <w:right w:val="single" w:sz="6" w:space="0" w:color="FFFFFF"/>
              </w:pBdr>
              <w:rPr>
                <w:b/>
                <w:sz w:val="20"/>
                <w:szCs w:val="20"/>
              </w:rPr>
            </w:pPr>
            <w:r w:rsidRPr="005F7CB0">
              <w:rPr>
                <w:b/>
                <w:sz w:val="20"/>
                <w:szCs w:val="20"/>
              </w:rPr>
              <w:t>Totals</w:t>
            </w:r>
          </w:p>
        </w:tc>
        <w:tc>
          <w:tcPr>
            <w:tcW w:w="1440" w:type="dxa"/>
            <w:tcBorders>
              <w:top w:val="single" w:sz="8" w:space="0" w:color="000000"/>
              <w:left w:val="single" w:sz="8" w:space="0" w:color="000000"/>
              <w:bottom w:val="single" w:sz="8" w:space="0" w:color="000000"/>
              <w:right w:val="single" w:sz="8" w:space="0" w:color="000000"/>
            </w:tcBorders>
            <w:vAlign w:val="center"/>
          </w:tcPr>
          <w:p w:rsidR="00836811" w:rsidRPr="005F7CB0" w:rsidP="00836811" w14:paraId="3CCE66A8" w14:textId="77777777">
            <w:pPr>
              <w:pBdr>
                <w:top w:val="single" w:sz="6" w:space="0" w:color="FFFFFF"/>
                <w:left w:val="single" w:sz="6" w:space="0" w:color="FFFFFF"/>
                <w:bottom w:val="single" w:sz="6" w:space="0" w:color="FFFFFF"/>
                <w:right w:val="single" w:sz="6" w:space="0" w:color="FFFFFF"/>
              </w:pBdr>
              <w:jc w:val="center"/>
              <w:rPr>
                <w:b/>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836811" w:rsidRPr="005F7CB0" w:rsidP="00836811" w14:paraId="55451744" w14:textId="77777777">
            <w:pPr>
              <w:pBdr>
                <w:top w:val="single" w:sz="6" w:space="0" w:color="FFFFFF"/>
                <w:left w:val="single" w:sz="6" w:space="0" w:color="FFFFFF"/>
                <w:bottom w:val="single" w:sz="6" w:space="0" w:color="FFFFFF"/>
                <w:right w:val="single" w:sz="6" w:space="0" w:color="FFFFFF"/>
              </w:pBdr>
              <w:jc w:val="center"/>
              <w:rPr>
                <w:b/>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rsidR="00836811" w:rsidRPr="005F7CB0" w:rsidP="00836811" w14:paraId="569A7C8B" w14:textId="2FB1588E">
            <w:pPr>
              <w:pBdr>
                <w:top w:val="single" w:sz="6" w:space="0" w:color="FFFFFF"/>
                <w:left w:val="single" w:sz="6" w:space="0" w:color="FFFFFF"/>
                <w:bottom w:val="single" w:sz="6" w:space="0" w:color="FFFFFF"/>
                <w:right w:val="single" w:sz="6" w:space="0" w:color="FFFFFF"/>
              </w:pBdr>
              <w:jc w:val="center"/>
              <w:rPr>
                <w:b/>
                <w:sz w:val="20"/>
                <w:szCs w:val="20"/>
              </w:rPr>
            </w:pPr>
            <w:r w:rsidRPr="005F7CB0">
              <w:rPr>
                <w:b/>
                <w:sz w:val="20"/>
                <w:szCs w:val="20"/>
              </w:rPr>
              <w:t>$</w:t>
            </w:r>
            <w:r w:rsidR="00B72697">
              <w:rPr>
                <w:b/>
                <w:sz w:val="20"/>
                <w:szCs w:val="20"/>
              </w:rPr>
              <w:t>7</w:t>
            </w:r>
            <w:r w:rsidR="0090483A">
              <w:rPr>
                <w:b/>
                <w:sz w:val="20"/>
                <w:szCs w:val="20"/>
              </w:rPr>
              <w:t>,</w:t>
            </w:r>
            <w:r w:rsidR="00B72697">
              <w:rPr>
                <w:b/>
                <w:sz w:val="20"/>
                <w:szCs w:val="20"/>
              </w:rPr>
              <w:t>066</w:t>
            </w:r>
            <w:r w:rsidR="00073DCF">
              <w:rPr>
                <w:b/>
                <w:sz w:val="20"/>
                <w:szCs w:val="20"/>
              </w:rPr>
              <w:t>,</w:t>
            </w:r>
            <w:r w:rsidRPr="005F7CB0">
              <w:rPr>
                <w:b/>
                <w:sz w:val="20"/>
                <w:szCs w:val="20"/>
              </w:rPr>
              <w:t>000</w:t>
            </w:r>
          </w:p>
        </w:tc>
        <w:tc>
          <w:tcPr>
            <w:tcW w:w="1260" w:type="dxa"/>
            <w:tcBorders>
              <w:top w:val="single" w:sz="8" w:space="0" w:color="000000"/>
              <w:left w:val="single" w:sz="8" w:space="0" w:color="000000"/>
              <w:bottom w:val="single" w:sz="8" w:space="0" w:color="000000"/>
              <w:right w:val="single" w:sz="8" w:space="0" w:color="000000"/>
            </w:tcBorders>
            <w:vAlign w:val="center"/>
          </w:tcPr>
          <w:p w:rsidR="00836811" w:rsidRPr="005F7CB0" w:rsidP="00836811" w14:paraId="7FA8CF76" w14:textId="77777777">
            <w:pPr>
              <w:pBdr>
                <w:top w:val="single" w:sz="6" w:space="0" w:color="FFFFFF"/>
                <w:left w:val="single" w:sz="6" w:space="0" w:color="FFFFFF"/>
                <w:bottom w:val="single" w:sz="6" w:space="0" w:color="FFFFFF"/>
                <w:right w:val="single" w:sz="6" w:space="0" w:color="FFFFFF"/>
              </w:pBdr>
              <w:jc w:val="center"/>
              <w:rPr>
                <w:b/>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836811" w:rsidRPr="005F7CB0" w:rsidP="00836811" w14:paraId="0A2BE273" w14:textId="77777777">
            <w:pPr>
              <w:pBdr>
                <w:top w:val="single" w:sz="6" w:space="0" w:color="FFFFFF"/>
                <w:left w:val="single" w:sz="6" w:space="0" w:color="FFFFFF"/>
                <w:bottom w:val="single" w:sz="6" w:space="0" w:color="FFFFFF"/>
                <w:right w:val="single" w:sz="6" w:space="0" w:color="FFFFFF"/>
              </w:pBdr>
              <w:jc w:val="center"/>
              <w:rPr>
                <w:b/>
                <w:sz w:val="20"/>
                <w:szCs w:val="20"/>
              </w:rPr>
            </w:pPr>
          </w:p>
        </w:tc>
        <w:tc>
          <w:tcPr>
            <w:tcW w:w="1200" w:type="dxa"/>
            <w:tcBorders>
              <w:top w:val="single" w:sz="8" w:space="0" w:color="000000"/>
              <w:left w:val="single" w:sz="8" w:space="0" w:color="000000"/>
              <w:bottom w:val="single" w:sz="8" w:space="0" w:color="000000"/>
              <w:right w:val="single" w:sz="8" w:space="0" w:color="000000"/>
            </w:tcBorders>
            <w:vAlign w:val="center"/>
          </w:tcPr>
          <w:p w:rsidR="00836811" w:rsidRPr="005F7CB0" w:rsidP="00836811" w14:paraId="509AFD90" w14:textId="7673610E">
            <w:pPr>
              <w:pBdr>
                <w:top w:val="single" w:sz="6" w:space="0" w:color="FFFFFF"/>
                <w:left w:val="single" w:sz="6" w:space="0" w:color="FFFFFF"/>
                <w:bottom w:val="single" w:sz="6" w:space="0" w:color="FFFFFF"/>
                <w:right w:val="single" w:sz="6" w:space="0" w:color="FFFFFF"/>
              </w:pBdr>
              <w:jc w:val="center"/>
              <w:rPr>
                <w:b/>
                <w:sz w:val="20"/>
                <w:szCs w:val="20"/>
              </w:rPr>
            </w:pPr>
            <w:r w:rsidRPr="005F7CB0">
              <w:rPr>
                <w:b/>
                <w:sz w:val="20"/>
                <w:szCs w:val="20"/>
              </w:rPr>
              <w:t>$10,000</w:t>
            </w:r>
          </w:p>
        </w:tc>
      </w:tr>
      <w:tr w14:paraId="12C1AAAE" w14:textId="77777777" w:rsidTr="00B72697">
        <w:tblPrEx>
          <w:tblW w:w="9360" w:type="dxa"/>
          <w:tblInd w:w="111" w:type="dxa"/>
          <w:tblLayout w:type="fixed"/>
          <w:tblCellMar>
            <w:left w:w="111" w:type="dxa"/>
            <w:right w:w="111" w:type="dxa"/>
          </w:tblCellMar>
          <w:tblLook w:val="0000"/>
        </w:tblPrEx>
        <w:tc>
          <w:tcPr>
            <w:tcW w:w="1590" w:type="dxa"/>
            <w:tcBorders>
              <w:top w:val="single" w:sz="8" w:space="0" w:color="000000"/>
              <w:left w:val="single" w:sz="8" w:space="0" w:color="000000"/>
              <w:bottom w:val="single" w:sz="8" w:space="0" w:color="000000"/>
              <w:right w:val="single" w:sz="8" w:space="0" w:color="000000"/>
            </w:tcBorders>
          </w:tcPr>
          <w:p w:rsidR="00836811" w:rsidRPr="005F7CB0" w:rsidP="00836811" w14:paraId="7B4C7304" w14:textId="296A6955">
            <w:pPr>
              <w:pBdr>
                <w:top w:val="single" w:sz="6" w:space="0" w:color="FFFFFF"/>
                <w:left w:val="single" w:sz="6" w:space="0" w:color="FFFFFF"/>
                <w:bottom w:val="single" w:sz="6" w:space="0" w:color="FFFFFF"/>
                <w:right w:val="single" w:sz="6" w:space="0" w:color="FFFFFF"/>
              </w:pBdr>
              <w:rPr>
                <w:b/>
                <w:sz w:val="20"/>
                <w:szCs w:val="20"/>
              </w:rPr>
            </w:pPr>
            <w:r>
              <w:rPr>
                <w:b/>
                <w:sz w:val="20"/>
                <w:szCs w:val="20"/>
              </w:rPr>
              <w:t xml:space="preserve">Average </w:t>
            </w:r>
            <w:r w:rsidRPr="005F7CB0">
              <w:rPr>
                <w:b/>
                <w:sz w:val="20"/>
                <w:szCs w:val="20"/>
              </w:rPr>
              <w:t>capital/ startup + O&amp;M cost</w:t>
            </w:r>
            <w:r>
              <w:rPr>
                <w:b/>
                <w:sz w:val="20"/>
                <w:szCs w:val="20"/>
              </w:rPr>
              <w:t xml:space="preserve"> for 3-year period</w:t>
            </w:r>
          </w:p>
        </w:tc>
        <w:tc>
          <w:tcPr>
            <w:tcW w:w="1440" w:type="dxa"/>
            <w:tcBorders>
              <w:top w:val="single" w:sz="8" w:space="0" w:color="000000"/>
              <w:left w:val="single" w:sz="8" w:space="0" w:color="000000"/>
              <w:bottom w:val="single" w:sz="8" w:space="0" w:color="000000"/>
              <w:right w:val="single" w:sz="8" w:space="0" w:color="000000"/>
            </w:tcBorders>
            <w:vAlign w:val="center"/>
          </w:tcPr>
          <w:p w:rsidR="00836811" w:rsidRPr="005F7CB0" w:rsidP="00836811" w14:paraId="3EE54A8E" w14:textId="77777777">
            <w:pPr>
              <w:pBdr>
                <w:top w:val="single" w:sz="6" w:space="0" w:color="FFFFFF"/>
                <w:left w:val="single" w:sz="6" w:space="0" w:color="FFFFFF"/>
                <w:bottom w:val="single" w:sz="6" w:space="0" w:color="FFFFFF"/>
                <w:right w:val="single" w:sz="6" w:space="0" w:color="FFFFFF"/>
              </w:pBdr>
              <w:jc w:val="center"/>
              <w:rPr>
                <w:b/>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836811" w:rsidRPr="005F7CB0" w:rsidP="00836811" w14:paraId="7D69FBEE" w14:textId="77777777">
            <w:pPr>
              <w:pBdr>
                <w:top w:val="single" w:sz="6" w:space="0" w:color="FFFFFF"/>
                <w:left w:val="single" w:sz="6" w:space="0" w:color="FFFFFF"/>
                <w:bottom w:val="single" w:sz="6" w:space="0" w:color="FFFFFF"/>
                <w:right w:val="single" w:sz="6" w:space="0" w:color="FFFFFF"/>
              </w:pBdr>
              <w:jc w:val="center"/>
              <w:rPr>
                <w:b/>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rsidR="00836811" w:rsidRPr="005F7CB0" w:rsidP="00836811" w14:paraId="65F2CB33" w14:textId="77777777">
            <w:pPr>
              <w:pBdr>
                <w:top w:val="single" w:sz="6" w:space="0" w:color="FFFFFF"/>
                <w:left w:val="single" w:sz="6" w:space="0" w:color="FFFFFF"/>
                <w:bottom w:val="single" w:sz="6" w:space="0" w:color="FFFFFF"/>
                <w:right w:val="single" w:sz="6" w:space="0" w:color="FFFFFF"/>
              </w:pBdr>
              <w:jc w:val="center"/>
              <w:rPr>
                <w:b/>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836811" w:rsidRPr="005F7CB0" w:rsidP="00836811" w14:paraId="2E6A598A" w14:textId="77777777">
            <w:pPr>
              <w:pBdr>
                <w:top w:val="single" w:sz="6" w:space="0" w:color="FFFFFF"/>
                <w:left w:val="single" w:sz="6" w:space="0" w:color="FFFFFF"/>
                <w:bottom w:val="single" w:sz="6" w:space="0" w:color="FFFFFF"/>
                <w:right w:val="single" w:sz="6" w:space="0" w:color="FFFFFF"/>
              </w:pBdr>
              <w:jc w:val="center"/>
              <w:rPr>
                <w:b/>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836811" w:rsidRPr="005F7CB0" w:rsidP="00836811" w14:paraId="40F9E032" w14:textId="77777777">
            <w:pPr>
              <w:pBdr>
                <w:top w:val="single" w:sz="6" w:space="0" w:color="FFFFFF"/>
                <w:left w:val="single" w:sz="6" w:space="0" w:color="FFFFFF"/>
                <w:bottom w:val="single" w:sz="6" w:space="0" w:color="FFFFFF"/>
                <w:right w:val="single" w:sz="6" w:space="0" w:color="FFFFFF"/>
              </w:pBdr>
              <w:jc w:val="center"/>
              <w:rPr>
                <w:b/>
                <w:sz w:val="20"/>
                <w:szCs w:val="20"/>
              </w:rPr>
            </w:pPr>
          </w:p>
        </w:tc>
        <w:tc>
          <w:tcPr>
            <w:tcW w:w="1200" w:type="dxa"/>
            <w:tcBorders>
              <w:top w:val="single" w:sz="8" w:space="0" w:color="000000"/>
              <w:left w:val="single" w:sz="8" w:space="0" w:color="000000"/>
              <w:bottom w:val="single" w:sz="8" w:space="0" w:color="000000"/>
              <w:right w:val="single" w:sz="8" w:space="0" w:color="000000"/>
            </w:tcBorders>
            <w:vAlign w:val="center"/>
          </w:tcPr>
          <w:p w:rsidR="00836811" w:rsidRPr="005F7CB0" w:rsidP="00836811" w14:paraId="4D1AA891" w14:textId="0FD5A03D">
            <w:pPr>
              <w:pBdr>
                <w:top w:val="single" w:sz="6" w:space="0" w:color="FFFFFF"/>
                <w:left w:val="single" w:sz="6" w:space="0" w:color="FFFFFF"/>
                <w:bottom w:val="single" w:sz="6" w:space="0" w:color="FFFFFF"/>
                <w:right w:val="single" w:sz="6" w:space="0" w:color="FFFFFF"/>
              </w:pBdr>
              <w:jc w:val="center"/>
              <w:rPr>
                <w:b/>
                <w:sz w:val="20"/>
                <w:szCs w:val="20"/>
              </w:rPr>
            </w:pPr>
            <w:r w:rsidRPr="005F7CB0">
              <w:rPr>
                <w:b/>
                <w:sz w:val="20"/>
                <w:szCs w:val="20"/>
              </w:rPr>
              <w:t>$</w:t>
            </w:r>
            <w:r w:rsidR="00526271">
              <w:rPr>
                <w:b/>
                <w:sz w:val="20"/>
                <w:szCs w:val="20"/>
              </w:rPr>
              <w:t>2,3</w:t>
            </w:r>
            <w:r w:rsidR="00B72697">
              <w:rPr>
                <w:b/>
                <w:sz w:val="20"/>
                <w:szCs w:val="20"/>
              </w:rPr>
              <w:t>65</w:t>
            </w:r>
            <w:r w:rsidR="00526271">
              <w:rPr>
                <w:b/>
                <w:sz w:val="20"/>
                <w:szCs w:val="20"/>
              </w:rPr>
              <w:t>,000</w:t>
            </w:r>
            <w:r>
              <w:rPr>
                <w:b/>
                <w:sz w:val="20"/>
                <w:szCs w:val="20"/>
                <w:vertAlign w:val="superscript"/>
              </w:rPr>
              <w:t>3</w:t>
            </w:r>
          </w:p>
        </w:tc>
      </w:tr>
    </w:tbl>
    <w:p w:rsidR="00CA4CD6" w14:paraId="01B1561B" w14:textId="3384A4FF">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sidRPr="00272D68" w:rsidR="000B2E1C">
        <w:rPr>
          <w:sz w:val="20"/>
          <w:szCs w:val="20"/>
        </w:rPr>
        <w:t xml:space="preserve">Note: Totals have been rounded to </w:t>
      </w:r>
      <w:r w:rsidR="00FC7E2C">
        <w:rPr>
          <w:sz w:val="20"/>
          <w:szCs w:val="20"/>
        </w:rPr>
        <w:t>4</w:t>
      </w:r>
      <w:r w:rsidRPr="00272D68" w:rsidR="000B2E1C">
        <w:rPr>
          <w:sz w:val="20"/>
          <w:szCs w:val="20"/>
        </w:rPr>
        <w:t xml:space="preserve"> significant figures.</w:t>
      </w:r>
      <w:r w:rsidR="009C7E97">
        <w:rPr>
          <w:sz w:val="20"/>
          <w:szCs w:val="20"/>
        </w:rPr>
        <w:t xml:space="preserve"> </w:t>
      </w:r>
      <w:r w:rsidRPr="00272D68" w:rsidR="000B2E1C">
        <w:rPr>
          <w:sz w:val="20"/>
          <w:szCs w:val="20"/>
        </w:rPr>
        <w:t>Figures may not add exactly due to rounding.</w:t>
      </w:r>
    </w:p>
    <w:p w:rsidR="0004106E" w14:paraId="49941D2F" w14:textId="7E0B2833">
      <w:pPr>
        <w:pBdr>
          <w:top w:val="single" w:sz="6" w:space="0" w:color="FFFFFF"/>
          <w:left w:val="single" w:sz="6" w:space="0" w:color="FFFFFF"/>
          <w:bottom w:val="single" w:sz="6" w:space="0" w:color="FFFFFF"/>
          <w:right w:val="single" w:sz="6" w:space="0" w:color="FFFFFF"/>
        </w:pBdr>
        <w:rPr>
          <w:sz w:val="20"/>
          <w:szCs w:val="20"/>
        </w:rPr>
      </w:pPr>
      <w:r w:rsidRPr="00F665F8">
        <w:rPr>
          <w:sz w:val="20"/>
          <w:szCs w:val="20"/>
          <w:vertAlign w:val="superscript"/>
        </w:rPr>
        <w:t>1</w:t>
      </w:r>
      <w:r w:rsidRPr="0004106E">
        <w:rPr>
          <w:sz w:val="20"/>
          <w:szCs w:val="20"/>
        </w:rPr>
        <w:t xml:space="preserve"> Based on average number of PCWP facility respondents over the 3-year period (113 + 113 + </w:t>
      </w:r>
      <w:r w:rsidR="00B72697">
        <w:rPr>
          <w:sz w:val="20"/>
          <w:szCs w:val="20"/>
        </w:rPr>
        <w:t>(113+2)</w:t>
      </w:r>
      <w:r w:rsidRPr="0004106E">
        <w:rPr>
          <w:sz w:val="20"/>
          <w:szCs w:val="20"/>
        </w:rPr>
        <w:t>) / 3 = 114.  Annual O&amp;M costs are not cur</w:t>
      </w:r>
      <w:r>
        <w:rPr>
          <w:sz w:val="20"/>
          <w:szCs w:val="20"/>
        </w:rPr>
        <w:t>r</w:t>
      </w:r>
      <w:r w:rsidRPr="0004106E">
        <w:rPr>
          <w:sz w:val="20"/>
          <w:szCs w:val="20"/>
        </w:rPr>
        <w:t>ently required in the rule for lumber mills.</w:t>
      </w:r>
    </w:p>
    <w:p w:rsidR="00836811" w14:paraId="6A334B39" w14:textId="0DEC0FFE">
      <w:pPr>
        <w:pBdr>
          <w:top w:val="single" w:sz="6" w:space="0" w:color="FFFFFF"/>
          <w:left w:val="single" w:sz="6" w:space="0" w:color="FFFFFF"/>
          <w:bottom w:val="single" w:sz="6" w:space="0" w:color="FFFFFF"/>
          <w:right w:val="single" w:sz="6" w:space="0" w:color="FFFFFF"/>
        </w:pBdr>
        <w:rPr>
          <w:sz w:val="20"/>
          <w:szCs w:val="20"/>
        </w:rPr>
      </w:pPr>
      <w:r w:rsidRPr="00836811">
        <w:rPr>
          <w:sz w:val="20"/>
          <w:szCs w:val="20"/>
          <w:vertAlign w:val="superscript"/>
        </w:rPr>
        <w:t>2</w:t>
      </w:r>
      <w:r>
        <w:rPr>
          <w:sz w:val="20"/>
          <w:szCs w:val="20"/>
        </w:rPr>
        <w:t xml:space="preserve"> </w:t>
      </w:r>
      <w:r w:rsidRPr="004C1122" w:rsidR="004C1122">
        <w:rPr>
          <w:sz w:val="20"/>
          <w:szCs w:val="20"/>
        </w:rPr>
        <w:t>Estimated based on a test cost of $30,000 for each inlet/outlet test for 2 emission points at each facility for a total of $60,000 per facility</w:t>
      </w:r>
      <w:r w:rsidR="004C1122">
        <w:rPr>
          <w:sz w:val="20"/>
          <w:szCs w:val="20"/>
        </w:rPr>
        <w:t xml:space="preserve"> (except 1 e</w:t>
      </w:r>
      <w:r w:rsidRPr="004C1122" w:rsidR="004C1122">
        <w:rPr>
          <w:sz w:val="20"/>
          <w:szCs w:val="20"/>
        </w:rPr>
        <w:t xml:space="preserve">mission point </w:t>
      </w:r>
      <w:r w:rsidR="004C1122">
        <w:rPr>
          <w:sz w:val="20"/>
          <w:szCs w:val="20"/>
        </w:rPr>
        <w:t xml:space="preserve">is assumed for </w:t>
      </w:r>
      <w:r w:rsidRPr="004C1122" w:rsidR="004C1122">
        <w:rPr>
          <w:sz w:val="20"/>
          <w:szCs w:val="20"/>
        </w:rPr>
        <w:t>new process lines at existing facilities</w:t>
      </w:r>
      <w:r w:rsidR="004C1122">
        <w:rPr>
          <w:sz w:val="20"/>
          <w:szCs w:val="20"/>
        </w:rPr>
        <w:t xml:space="preserve"> for a testing </w:t>
      </w:r>
      <w:r w:rsidR="004C1122">
        <w:rPr>
          <w:sz w:val="20"/>
          <w:szCs w:val="20"/>
        </w:rPr>
        <w:t>cost of $30,000)</w:t>
      </w:r>
      <w:r w:rsidRPr="004C1122" w:rsidR="004C1122">
        <w:rPr>
          <w:sz w:val="20"/>
          <w:szCs w:val="20"/>
        </w:rPr>
        <w:t>. Repeat tests are required every 2 years for processes controlled by biofilters and every 5 years for other HAP controls.</w:t>
      </w:r>
      <w:r w:rsidR="007F15F2">
        <w:rPr>
          <w:sz w:val="20"/>
          <w:szCs w:val="20"/>
        </w:rPr>
        <w:t xml:space="preserve"> </w:t>
      </w:r>
    </w:p>
    <w:p w:rsidR="00F665F8" w:rsidRPr="004049A9" w14:paraId="5995310A" w14:textId="0C770F22">
      <w:pPr>
        <w:pBdr>
          <w:top w:val="single" w:sz="6" w:space="0" w:color="FFFFFF"/>
          <w:left w:val="single" w:sz="6" w:space="0" w:color="FFFFFF"/>
          <w:bottom w:val="single" w:sz="6" w:space="0" w:color="FFFFFF"/>
          <w:right w:val="single" w:sz="6" w:space="0" w:color="FFFFFF"/>
        </w:pBdr>
        <w:rPr>
          <w:sz w:val="20"/>
          <w:szCs w:val="20"/>
        </w:rPr>
      </w:pPr>
      <w:r w:rsidRPr="004049A9">
        <w:rPr>
          <w:sz w:val="20"/>
          <w:szCs w:val="20"/>
          <w:vertAlign w:val="superscript"/>
        </w:rPr>
        <w:t>3</w:t>
      </w:r>
      <w:r w:rsidRPr="004049A9">
        <w:rPr>
          <w:sz w:val="20"/>
          <w:szCs w:val="20"/>
        </w:rPr>
        <w:t xml:space="preserve">Calculated as </w:t>
      </w:r>
      <w:r w:rsidRPr="004049A9" w:rsidR="00526271">
        <w:rPr>
          <w:sz w:val="20"/>
          <w:szCs w:val="20"/>
        </w:rPr>
        <w:t xml:space="preserve">the </w:t>
      </w:r>
      <w:r w:rsidRPr="004049A9">
        <w:rPr>
          <w:sz w:val="20"/>
          <w:szCs w:val="20"/>
        </w:rPr>
        <w:t>column D</w:t>
      </w:r>
      <w:r w:rsidRPr="004049A9" w:rsidR="00526271">
        <w:rPr>
          <w:sz w:val="20"/>
          <w:szCs w:val="20"/>
        </w:rPr>
        <w:t xml:space="preserve"> total cost divided by 3 years plus the column G total annual cost</w:t>
      </w:r>
      <w:r w:rsidRPr="004049A9">
        <w:rPr>
          <w:sz w:val="20"/>
          <w:szCs w:val="20"/>
        </w:rPr>
        <w:t>.</w:t>
      </w:r>
    </w:p>
    <w:p w:rsidR="00F665F8" w:rsidRPr="004049A9" w14:paraId="59447848" w14:textId="77777777">
      <w:pPr>
        <w:pBdr>
          <w:top w:val="single" w:sz="6" w:space="0" w:color="FFFFFF"/>
          <w:left w:val="single" w:sz="6" w:space="0" w:color="FFFFFF"/>
          <w:bottom w:val="single" w:sz="6" w:space="0" w:color="FFFFFF"/>
          <w:right w:val="single" w:sz="6" w:space="0" w:color="FFFFFF"/>
        </w:pBdr>
        <w:rPr>
          <w:sz w:val="20"/>
          <w:szCs w:val="20"/>
        </w:rPr>
      </w:pPr>
    </w:p>
    <w:p w:rsidR="00CA4CD6" w:rsidRPr="004049A9" w14:paraId="0B40F409" w14:textId="670CA1B9">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 xml:space="preserve">The total capital/startup costs for this ICR </w:t>
      </w:r>
      <w:r w:rsidRPr="004049A9">
        <w:t>are $</w:t>
      </w:r>
      <w:r w:rsidRPr="004049A9" w:rsidR="004C1122">
        <w:t>7</w:t>
      </w:r>
      <w:r w:rsidRPr="004049A9" w:rsidR="00526271">
        <w:t>,</w:t>
      </w:r>
      <w:r w:rsidRPr="004049A9" w:rsidR="004C1122">
        <w:t>066</w:t>
      </w:r>
      <w:r w:rsidRPr="004049A9" w:rsidR="00605B5F">
        <w:t>,000</w:t>
      </w:r>
      <w:r w:rsidRPr="004049A9">
        <w:t>.</w:t>
      </w:r>
      <w:r w:rsidRPr="004049A9" w:rsidR="009C7E97">
        <w:t xml:space="preserve"> </w:t>
      </w:r>
      <w:r w:rsidRPr="004049A9">
        <w:t xml:space="preserve">This </w:t>
      </w:r>
      <w:r w:rsidRPr="004049A9">
        <w:rPr>
          <w:color w:val="000000"/>
        </w:rPr>
        <w:t>is the total o</w:t>
      </w:r>
      <w:r w:rsidRPr="004049A9" w:rsidR="00507EC5">
        <w:rPr>
          <w:color w:val="000000"/>
        </w:rPr>
        <w:t xml:space="preserve">f column D in the above table. </w:t>
      </w:r>
    </w:p>
    <w:p w:rsidR="00CA4CD6" w:rsidRPr="004049A9"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rsidRPr="004049A9" w14:paraId="5A5951B0" w14:textId="1297B487">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 xml:space="preserve">The total </w:t>
      </w:r>
      <w:r w:rsidRPr="004049A9" w:rsidR="00526271">
        <w:rPr>
          <w:color w:val="000000"/>
        </w:rPr>
        <w:t xml:space="preserve">annual </w:t>
      </w:r>
      <w:r w:rsidRPr="004049A9">
        <w:rPr>
          <w:color w:val="000000"/>
        </w:rPr>
        <w:t>operation and maintenance (</w:t>
      </w:r>
      <w:r w:rsidRPr="004049A9" w:rsidR="003F1AFC">
        <w:rPr>
          <w:color w:val="000000"/>
        </w:rPr>
        <w:t>O&amp;M) costs for this ICR are $</w:t>
      </w:r>
      <w:r w:rsidRPr="004049A9" w:rsidR="00FA2696">
        <w:t>1</w:t>
      </w:r>
      <w:r w:rsidRPr="004049A9" w:rsidR="00F0649E">
        <w:t>0</w:t>
      </w:r>
      <w:r w:rsidRPr="004049A9" w:rsidR="00FA2696">
        <w:t>,000</w:t>
      </w:r>
      <w:r w:rsidRPr="004049A9">
        <w:rPr>
          <w:color w:val="000000"/>
        </w:rPr>
        <w:t>.</w:t>
      </w:r>
      <w:r w:rsidRPr="004049A9" w:rsidR="009C7E97">
        <w:rPr>
          <w:color w:val="000000"/>
        </w:rPr>
        <w:t xml:space="preserve"> </w:t>
      </w:r>
      <w:r w:rsidRPr="004049A9" w:rsidR="00507EC5">
        <w:rPr>
          <w:color w:val="000000"/>
        </w:rPr>
        <w:t xml:space="preserve">This is the total of column G. </w:t>
      </w:r>
    </w:p>
    <w:p w:rsidR="004C701D" w:rsidRPr="004049A9"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4049A9" w:rsidP="00DF1FE2" w14:paraId="3E481E4D" w14:textId="486CBC26">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The average annual cost for capital/startup and operation and maintenance costs to industry over the next three years of the ICR is estimated to be $</w:t>
      </w:r>
      <w:r w:rsidRPr="004049A9" w:rsidR="00526271">
        <w:rPr>
          <w:color w:val="000000"/>
        </w:rPr>
        <w:t>2,3</w:t>
      </w:r>
      <w:r w:rsidRPr="004049A9" w:rsidR="004C1122">
        <w:rPr>
          <w:color w:val="000000"/>
        </w:rPr>
        <w:t>65</w:t>
      </w:r>
      <w:r w:rsidRPr="004049A9" w:rsidR="00526271">
        <w:rPr>
          <w:color w:val="000000"/>
        </w:rPr>
        <w:t>,000</w:t>
      </w:r>
      <w:r w:rsidRPr="004049A9">
        <w:rPr>
          <w:color w:val="000000"/>
        </w:rPr>
        <w:t>.</w:t>
      </w:r>
      <w:r w:rsidRPr="004049A9" w:rsidR="009C7E97">
        <w:rPr>
          <w:color w:val="000000"/>
        </w:rPr>
        <w:t xml:space="preserve"> </w:t>
      </w:r>
      <w:r w:rsidRPr="004049A9" w:rsidR="001C5991">
        <w:rPr>
          <w:color w:val="000000"/>
        </w:rPr>
        <w:t>These are recordkeeping costs.</w:t>
      </w:r>
    </w:p>
    <w:p w:rsidR="00DF1FE2" w:rsidRPr="004049A9" w:rsidP="00DF1FE2" w14:paraId="3AB6650D"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4049A9"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sidRPr="004049A9">
        <w:rPr>
          <w:b/>
          <w:bCs/>
          <w:color w:val="000000"/>
        </w:rPr>
        <w:t>6(c)</w:t>
      </w:r>
      <w:r w:rsidRPr="004049A9" w:rsidR="009C7E97">
        <w:rPr>
          <w:b/>
          <w:bCs/>
          <w:color w:val="000000"/>
        </w:rPr>
        <w:t xml:space="preserve"> </w:t>
      </w:r>
      <w:r w:rsidRPr="004049A9">
        <w:rPr>
          <w:b/>
          <w:bCs/>
          <w:color w:val="000000"/>
        </w:rPr>
        <w:t>Estimating Agency Burden and Cost</w:t>
      </w:r>
    </w:p>
    <w:p w:rsidR="00CA4CD6" w:rsidRPr="004049A9"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rsidRPr="004049A9" w14:paraId="64D4459F" w14:textId="4A5F2BE5">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The only costs to the Agency are those costs associated with analysis of the reported information.</w:t>
      </w:r>
      <w:r w:rsidRPr="004049A9" w:rsidR="009C7E97">
        <w:rPr>
          <w:color w:val="000000"/>
        </w:rPr>
        <w:t xml:space="preserve"> </w:t>
      </w:r>
      <w:r w:rsidRPr="004049A9">
        <w:rPr>
          <w:color w:val="000000"/>
        </w:rPr>
        <w:t>EPA's overall compliance and enforcement program i</w:t>
      </w:r>
      <w:r w:rsidRPr="004049A9" w:rsidR="005C42AC">
        <w:rPr>
          <w:color w:val="000000"/>
        </w:rPr>
        <w:t xml:space="preserve">ncludes </w:t>
      </w:r>
      <w:r w:rsidRPr="004049A9" w:rsidR="004D778E">
        <w:rPr>
          <w:color w:val="000000"/>
        </w:rPr>
        <w:t xml:space="preserve">such </w:t>
      </w:r>
      <w:r w:rsidRPr="004049A9" w:rsidR="005C42AC">
        <w:rPr>
          <w:color w:val="000000"/>
        </w:rPr>
        <w:t xml:space="preserve">activities as </w:t>
      </w:r>
      <w:r w:rsidRPr="004049A9" w:rsidR="004D778E">
        <w:rPr>
          <w:color w:val="000000"/>
        </w:rPr>
        <w:t xml:space="preserve">    </w:t>
      </w:r>
      <w:r w:rsidRPr="004049A9" w:rsidR="005C42AC">
        <w:rPr>
          <w:color w:val="000000"/>
        </w:rPr>
        <w:t xml:space="preserve">the </w:t>
      </w:r>
      <w:r w:rsidRPr="004049A9">
        <w:rPr>
          <w:color w:val="000000"/>
        </w:rPr>
        <w:t>examination of records maint</w:t>
      </w:r>
      <w:r w:rsidRPr="004049A9" w:rsidR="0035325B">
        <w:rPr>
          <w:color w:val="000000"/>
        </w:rPr>
        <w:t xml:space="preserve">ained by the respondents, </w:t>
      </w:r>
      <w:r w:rsidRPr="004049A9">
        <w:rPr>
          <w:color w:val="000000"/>
        </w:rPr>
        <w:t xml:space="preserve">periodic inspection of sources of emissions, and the publication and distribution of collected information. </w:t>
      </w:r>
    </w:p>
    <w:p w:rsidR="00CA4CD6" w:rsidRPr="004049A9"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7B92C1A4">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The average annual Agency cost during the three years of the ICR is estimated to be $</w:t>
      </w:r>
      <w:r w:rsidRPr="004049A9" w:rsidR="00E216EC">
        <w:t>62</w:t>
      </w:r>
      <w:r w:rsidRPr="004049A9" w:rsidR="00FA2696">
        <w:t>,</w:t>
      </w:r>
      <w:r w:rsidRPr="004049A9" w:rsidR="00E216EC">
        <w:t>3</w:t>
      </w:r>
      <w:r w:rsidRPr="004049A9" w:rsidR="00FA2696">
        <w:t>00</w:t>
      </w:r>
      <w:r w:rsidRPr="004049A9">
        <w:rPr>
          <w:color w:val="000000"/>
        </w:rPr>
        <w:t>.</w:t>
      </w:r>
      <w:r w:rsidR="009C7E97">
        <w:rPr>
          <w:color w:val="000000"/>
        </w:rPr>
        <w:t xml:space="preserve"> </w:t>
      </w:r>
    </w:p>
    <w:p w:rsidR="001363BA" w:rsidP="001363BA" w14:paraId="32B24A35" w14:textId="77777777">
      <w:pPr>
        <w:pBdr>
          <w:top w:val="single" w:sz="6" w:space="0" w:color="FFFFFF"/>
          <w:left w:val="single" w:sz="6" w:space="0" w:color="FFFFFF"/>
          <w:bottom w:val="single" w:sz="6" w:space="0" w:color="FFFFFF"/>
          <w:right w:val="single" w:sz="6" w:space="0" w:color="FFFFFF"/>
        </w:pBdr>
        <w:rPr>
          <w:color w:val="000000"/>
        </w:rPr>
      </w:pPr>
    </w:p>
    <w:p w:rsidR="001363BA" w:rsidP="001363BA" w14:paraId="33C767C1" w14:textId="37FE710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1363BA" w:rsidP="001363BA" w14:paraId="03E42FC2" w14:textId="77777777">
      <w:pPr>
        <w:keepNext/>
        <w:widowControl/>
        <w:pBdr>
          <w:top w:val="single" w:sz="6" w:space="0" w:color="FFFFFF"/>
          <w:left w:val="single" w:sz="6" w:space="0" w:color="FFFFFF"/>
          <w:bottom w:val="single" w:sz="6" w:space="0" w:color="FFFFFF"/>
          <w:right w:val="single" w:sz="6" w:space="0" w:color="FFFFFF"/>
        </w:pBdr>
        <w:ind w:firstLine="720"/>
        <w:rPr>
          <w:color w:val="000000"/>
        </w:rPr>
      </w:pPr>
    </w:p>
    <w:tbl>
      <w:tblPr>
        <w:tblW w:w="5000" w:type="pct"/>
        <w:tblLook w:val="04A0"/>
      </w:tblPr>
      <w:tblGrid>
        <w:gridCol w:w="2988"/>
        <w:gridCol w:w="2287"/>
        <w:gridCol w:w="4075"/>
      </w:tblGrid>
      <w:tr w14:paraId="3F044865" w14:textId="77777777" w:rsidTr="001D6969">
        <w:tblPrEx>
          <w:tblW w:w="5000" w:type="pct"/>
          <w:tblLook w:val="04A0"/>
        </w:tblPrEx>
        <w:trPr>
          <w:trHeight w:val="288"/>
        </w:trPr>
        <w:tc>
          <w:tcPr>
            <w:tcW w:w="1598" w:type="pct"/>
            <w:tcBorders>
              <w:top w:val="single" w:sz="4" w:space="0" w:color="auto"/>
              <w:left w:val="single" w:sz="4" w:space="0" w:color="auto"/>
              <w:bottom w:val="single" w:sz="4" w:space="0" w:color="auto"/>
              <w:right w:val="single" w:sz="4" w:space="0" w:color="auto"/>
            </w:tcBorders>
            <w:noWrap/>
            <w:vAlign w:val="bottom"/>
            <w:hideMark/>
          </w:tcPr>
          <w:p w:rsidR="001363BA" w14:paraId="6408D461" w14:textId="77777777">
            <w:pPr>
              <w:keepNext/>
              <w:widowControl/>
              <w:autoSpaceDE/>
              <w:adjustRightInd/>
              <w:rPr>
                <w:b/>
                <w:bCs/>
                <w:color w:val="000000"/>
              </w:rPr>
            </w:pPr>
            <w:r>
              <w:rPr>
                <w:b/>
                <w:bCs/>
                <w:color w:val="000000"/>
              </w:rPr>
              <w:t>Agency Worker Rates</w:t>
            </w:r>
          </w:p>
        </w:tc>
        <w:tc>
          <w:tcPr>
            <w:tcW w:w="1223" w:type="pct"/>
            <w:tcBorders>
              <w:top w:val="single" w:sz="4" w:space="0" w:color="auto"/>
              <w:left w:val="nil"/>
              <w:bottom w:val="single" w:sz="4" w:space="0" w:color="auto"/>
              <w:right w:val="single" w:sz="4" w:space="0" w:color="auto"/>
            </w:tcBorders>
            <w:noWrap/>
            <w:vAlign w:val="bottom"/>
            <w:hideMark/>
          </w:tcPr>
          <w:p w:rsidR="001363BA" w14:paraId="41C88234" w14:textId="7EF6B699">
            <w:pPr>
              <w:keepNext/>
              <w:widowControl/>
              <w:autoSpaceDE/>
              <w:adjustRightInd/>
              <w:jc w:val="center"/>
              <w:rPr>
                <w:b/>
                <w:bCs/>
                <w:color w:val="000000"/>
              </w:rPr>
            </w:pPr>
            <w:r>
              <w:rPr>
                <w:b/>
                <w:bCs/>
                <w:color w:val="000000"/>
              </w:rPr>
              <w:t xml:space="preserve">Labor Rates, $/hr </w:t>
            </w:r>
            <w:r w:rsidR="0004106E">
              <w:rPr>
                <w:b/>
                <w:bCs/>
                <w:color w:val="000000"/>
                <w:vertAlign w:val="superscript"/>
              </w:rPr>
              <w:t>1</w:t>
            </w:r>
          </w:p>
        </w:tc>
        <w:tc>
          <w:tcPr>
            <w:tcW w:w="2179" w:type="pct"/>
            <w:tcBorders>
              <w:top w:val="single" w:sz="4" w:space="0" w:color="auto"/>
              <w:left w:val="nil"/>
              <w:bottom w:val="single" w:sz="4" w:space="0" w:color="auto"/>
              <w:right w:val="single" w:sz="4" w:space="0" w:color="auto"/>
            </w:tcBorders>
            <w:noWrap/>
            <w:vAlign w:val="bottom"/>
            <w:hideMark/>
          </w:tcPr>
          <w:p w:rsidR="001363BA" w14:paraId="2BC4FC00" w14:textId="0A1C109E">
            <w:pPr>
              <w:keepNext/>
              <w:widowControl/>
              <w:autoSpaceDE/>
              <w:adjustRightInd/>
              <w:jc w:val="center"/>
              <w:rPr>
                <w:b/>
                <w:bCs/>
                <w:color w:val="000000"/>
              </w:rPr>
            </w:pPr>
            <w:r>
              <w:rPr>
                <w:b/>
                <w:bCs/>
                <w:color w:val="000000"/>
              </w:rPr>
              <w:t>Total including 60% overhead, $/hr</w:t>
            </w:r>
          </w:p>
        </w:tc>
      </w:tr>
      <w:tr w14:paraId="19604AC4" w14:textId="77777777" w:rsidTr="001D6969">
        <w:tblPrEx>
          <w:tblW w:w="5000" w:type="pct"/>
          <w:tblLook w:val="04A0"/>
        </w:tblPrEx>
        <w:trPr>
          <w:trHeight w:val="288"/>
        </w:trPr>
        <w:tc>
          <w:tcPr>
            <w:tcW w:w="1598" w:type="pct"/>
            <w:tcBorders>
              <w:top w:val="nil"/>
              <w:left w:val="single" w:sz="4" w:space="0" w:color="auto"/>
              <w:bottom w:val="single" w:sz="4" w:space="0" w:color="auto"/>
              <w:right w:val="single" w:sz="4" w:space="0" w:color="auto"/>
            </w:tcBorders>
            <w:noWrap/>
            <w:vAlign w:val="bottom"/>
            <w:hideMark/>
          </w:tcPr>
          <w:p w:rsidR="001363BA" w14:paraId="225A0D9B" w14:textId="77777777">
            <w:pPr>
              <w:keepNext/>
              <w:widowControl/>
              <w:autoSpaceDE/>
              <w:adjustRightInd/>
              <w:rPr>
                <w:color w:val="000000"/>
              </w:rPr>
            </w:pPr>
            <w:r>
              <w:rPr>
                <w:color w:val="000000"/>
              </w:rPr>
              <w:t>Managerial (GS-13, step 5)</w:t>
            </w:r>
          </w:p>
        </w:tc>
        <w:tc>
          <w:tcPr>
            <w:tcW w:w="1223" w:type="pct"/>
            <w:tcBorders>
              <w:top w:val="nil"/>
              <w:left w:val="nil"/>
              <w:bottom w:val="single" w:sz="4" w:space="0" w:color="auto"/>
              <w:right w:val="single" w:sz="4" w:space="0" w:color="auto"/>
            </w:tcBorders>
            <w:noWrap/>
            <w:vAlign w:val="bottom"/>
            <w:hideMark/>
          </w:tcPr>
          <w:p w:rsidR="001363BA" w14:paraId="73C8AEA6" w14:textId="6FECEC8D">
            <w:pPr>
              <w:keepNext/>
              <w:widowControl/>
              <w:autoSpaceDE/>
              <w:adjustRightInd/>
              <w:jc w:val="center"/>
              <w:rPr>
                <w:color w:val="000000"/>
              </w:rPr>
            </w:pPr>
            <w:r>
              <w:rPr>
                <w:color w:val="000000"/>
              </w:rPr>
              <w:t>$41.07</w:t>
            </w:r>
          </w:p>
        </w:tc>
        <w:tc>
          <w:tcPr>
            <w:tcW w:w="2179" w:type="pct"/>
            <w:tcBorders>
              <w:top w:val="nil"/>
              <w:left w:val="nil"/>
              <w:bottom w:val="single" w:sz="4" w:space="0" w:color="auto"/>
              <w:right w:val="single" w:sz="4" w:space="0" w:color="auto"/>
            </w:tcBorders>
            <w:noWrap/>
            <w:vAlign w:val="bottom"/>
            <w:hideMark/>
          </w:tcPr>
          <w:p w:rsidR="001363BA" w14:paraId="795A5448" w14:textId="7EE786C3">
            <w:pPr>
              <w:keepNext/>
              <w:widowControl/>
              <w:autoSpaceDE/>
              <w:adjustRightInd/>
              <w:jc w:val="center"/>
              <w:rPr>
                <w:color w:val="000000"/>
              </w:rPr>
            </w:pPr>
            <w:r>
              <w:rPr>
                <w:color w:val="000000"/>
              </w:rPr>
              <w:t>$65.71</w:t>
            </w:r>
          </w:p>
        </w:tc>
      </w:tr>
      <w:tr w14:paraId="270F3BE9" w14:textId="77777777" w:rsidTr="001D6969">
        <w:tblPrEx>
          <w:tblW w:w="5000" w:type="pct"/>
          <w:tblLook w:val="04A0"/>
        </w:tblPrEx>
        <w:trPr>
          <w:trHeight w:val="288"/>
        </w:trPr>
        <w:tc>
          <w:tcPr>
            <w:tcW w:w="1598" w:type="pct"/>
            <w:tcBorders>
              <w:top w:val="nil"/>
              <w:left w:val="single" w:sz="4" w:space="0" w:color="auto"/>
              <w:bottom w:val="single" w:sz="4" w:space="0" w:color="auto"/>
              <w:right w:val="single" w:sz="4" w:space="0" w:color="auto"/>
            </w:tcBorders>
            <w:noWrap/>
            <w:vAlign w:val="bottom"/>
            <w:hideMark/>
          </w:tcPr>
          <w:p w:rsidR="001363BA" w14:paraId="1E20F761" w14:textId="77777777">
            <w:pPr>
              <w:keepNext/>
              <w:widowControl/>
              <w:autoSpaceDE/>
              <w:adjustRightInd/>
              <w:rPr>
                <w:color w:val="000000"/>
              </w:rPr>
            </w:pPr>
            <w:r>
              <w:rPr>
                <w:color w:val="000000"/>
              </w:rPr>
              <w:t xml:space="preserve">Technical (GS-12, step 1) </w:t>
            </w:r>
          </w:p>
        </w:tc>
        <w:tc>
          <w:tcPr>
            <w:tcW w:w="1223" w:type="pct"/>
            <w:tcBorders>
              <w:top w:val="nil"/>
              <w:left w:val="nil"/>
              <w:bottom w:val="single" w:sz="4" w:space="0" w:color="auto"/>
              <w:right w:val="single" w:sz="4" w:space="0" w:color="auto"/>
            </w:tcBorders>
            <w:noWrap/>
            <w:vAlign w:val="bottom"/>
            <w:hideMark/>
          </w:tcPr>
          <w:p w:rsidR="001363BA" w14:paraId="71BF0439" w14:textId="1F9DBD72">
            <w:pPr>
              <w:keepNext/>
              <w:widowControl/>
              <w:autoSpaceDE/>
              <w:adjustRightInd/>
              <w:jc w:val="center"/>
              <w:rPr>
                <w:color w:val="000000"/>
              </w:rPr>
            </w:pPr>
            <w:r>
              <w:rPr>
                <w:color w:val="000000"/>
              </w:rPr>
              <w:t>$30.47</w:t>
            </w:r>
          </w:p>
        </w:tc>
        <w:tc>
          <w:tcPr>
            <w:tcW w:w="2179" w:type="pct"/>
            <w:tcBorders>
              <w:top w:val="nil"/>
              <w:left w:val="nil"/>
              <w:bottom w:val="single" w:sz="4" w:space="0" w:color="auto"/>
              <w:right w:val="single" w:sz="4" w:space="0" w:color="auto"/>
            </w:tcBorders>
            <w:noWrap/>
            <w:vAlign w:val="bottom"/>
            <w:hideMark/>
          </w:tcPr>
          <w:p w:rsidR="001363BA" w14:paraId="761F3A5F" w14:textId="673E5F5D">
            <w:pPr>
              <w:keepNext/>
              <w:widowControl/>
              <w:autoSpaceDE/>
              <w:adjustRightInd/>
              <w:jc w:val="center"/>
              <w:rPr>
                <w:color w:val="000000"/>
              </w:rPr>
            </w:pPr>
            <w:r>
              <w:rPr>
                <w:color w:val="000000"/>
              </w:rPr>
              <w:t>$48.75</w:t>
            </w:r>
          </w:p>
        </w:tc>
      </w:tr>
      <w:tr w14:paraId="3F777EC7" w14:textId="77777777" w:rsidTr="001D6969">
        <w:tblPrEx>
          <w:tblW w:w="5000" w:type="pct"/>
          <w:tblLook w:val="04A0"/>
        </w:tblPrEx>
        <w:trPr>
          <w:trHeight w:val="288"/>
        </w:trPr>
        <w:tc>
          <w:tcPr>
            <w:tcW w:w="1598" w:type="pct"/>
            <w:tcBorders>
              <w:top w:val="nil"/>
              <w:left w:val="single" w:sz="4" w:space="0" w:color="auto"/>
              <w:bottom w:val="single" w:sz="4" w:space="0" w:color="auto"/>
              <w:right w:val="single" w:sz="4" w:space="0" w:color="auto"/>
            </w:tcBorders>
            <w:noWrap/>
            <w:vAlign w:val="bottom"/>
            <w:hideMark/>
          </w:tcPr>
          <w:p w:rsidR="001363BA" w14:paraId="0E7A149E" w14:textId="77777777">
            <w:pPr>
              <w:keepNext/>
              <w:widowControl/>
              <w:autoSpaceDE/>
              <w:adjustRightInd/>
              <w:rPr>
                <w:color w:val="000000"/>
              </w:rPr>
            </w:pPr>
            <w:r>
              <w:rPr>
                <w:color w:val="000000"/>
              </w:rPr>
              <w:t>Clerical (GS-6, step 3)</w:t>
            </w:r>
          </w:p>
        </w:tc>
        <w:tc>
          <w:tcPr>
            <w:tcW w:w="1223" w:type="pct"/>
            <w:tcBorders>
              <w:top w:val="nil"/>
              <w:left w:val="nil"/>
              <w:bottom w:val="single" w:sz="4" w:space="0" w:color="auto"/>
              <w:right w:val="single" w:sz="4" w:space="0" w:color="auto"/>
            </w:tcBorders>
            <w:noWrap/>
            <w:vAlign w:val="bottom"/>
            <w:hideMark/>
          </w:tcPr>
          <w:p w:rsidR="001363BA" w14:paraId="7C75A2FF" w14:textId="1A630C60">
            <w:pPr>
              <w:keepNext/>
              <w:widowControl/>
              <w:autoSpaceDE/>
              <w:adjustRightInd/>
              <w:jc w:val="center"/>
              <w:rPr>
                <w:color w:val="000000"/>
              </w:rPr>
            </w:pPr>
            <w:r>
              <w:rPr>
                <w:color w:val="000000"/>
              </w:rPr>
              <w:t>$16.49</w:t>
            </w:r>
          </w:p>
        </w:tc>
        <w:tc>
          <w:tcPr>
            <w:tcW w:w="2179" w:type="pct"/>
            <w:tcBorders>
              <w:top w:val="nil"/>
              <w:left w:val="nil"/>
              <w:bottom w:val="single" w:sz="4" w:space="0" w:color="auto"/>
              <w:right w:val="single" w:sz="4" w:space="0" w:color="auto"/>
            </w:tcBorders>
            <w:noWrap/>
            <w:vAlign w:val="bottom"/>
            <w:hideMark/>
          </w:tcPr>
          <w:p w:rsidR="001363BA" w14:paraId="072C0990" w14:textId="60C7D31F">
            <w:pPr>
              <w:keepNext/>
              <w:widowControl/>
              <w:autoSpaceDE/>
              <w:adjustRightInd/>
              <w:jc w:val="center"/>
              <w:rPr>
                <w:color w:val="000000"/>
              </w:rPr>
            </w:pPr>
            <w:r>
              <w:rPr>
                <w:color w:val="000000"/>
              </w:rPr>
              <w:t>$26.38</w:t>
            </w:r>
          </w:p>
        </w:tc>
      </w:tr>
    </w:tbl>
    <w:p w:rsidR="001363BA" w:rsidP="001363BA" w14:paraId="66476B3D" w14:textId="675413FA">
      <w:pPr>
        <w:keepNext/>
        <w:widowControl/>
        <w:pBdr>
          <w:top w:val="single" w:sz="6" w:space="0" w:color="FFFFFF"/>
          <w:left w:val="single" w:sz="6" w:space="0" w:color="FFFFFF"/>
          <w:bottom w:val="single" w:sz="6" w:space="0" w:color="FFFFFF"/>
          <w:right w:val="single" w:sz="6" w:space="0" w:color="FFFFFF"/>
        </w:pBdr>
        <w:rPr>
          <w:color w:val="000000"/>
          <w:sz w:val="22"/>
          <w:szCs w:val="22"/>
        </w:rPr>
      </w:pPr>
      <w:r>
        <w:rPr>
          <w:color w:val="000000"/>
          <w:sz w:val="22"/>
          <w:szCs w:val="22"/>
          <w:vertAlign w:val="superscript"/>
        </w:rPr>
        <w:t>1</w:t>
      </w:r>
      <w:r>
        <w:rPr>
          <w:color w:val="000000"/>
          <w:sz w:val="22"/>
          <w:szCs w:val="22"/>
        </w:rPr>
        <w:t xml:space="preserve"> https://www.opm.gov/policy-data-oversight/pay-leave/salaries-wages/salary-tables/pdf/2018/GS_h.pdf</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14:paraId="4F3D8841" w14:textId="0FAB37DF">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1363BA">
        <w:rPr>
          <w:color w:val="000000"/>
        </w:rPr>
        <w:t>8</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Pr="00CF2B37" w:rsidR="00CF2B37">
        <w:t>Average Annual EPA Burden and Cost –</w:t>
      </w:r>
      <w:r w:rsidR="00144F35">
        <w:rPr>
          <w:color w:val="000000"/>
        </w:rPr>
        <w:t xml:space="preserve"> </w:t>
      </w:r>
      <w:r w:rsidR="00DF1FE2">
        <w:t xml:space="preserve">NESHAP for </w:t>
      </w:r>
      <w:r w:rsidR="00DF1FE2">
        <w:rPr>
          <w:bCs/>
        </w:rPr>
        <w:t>Plywood and Composite Products (40 CFR Part 63, Subpart DDDD)</w:t>
      </w:r>
      <w:r w:rsidR="00DF1FE2">
        <w:t xml:space="preserve"> (</w:t>
      </w:r>
      <w:r w:rsidR="00F71A51">
        <w:t>Final</w:t>
      </w:r>
      <w:r w:rsidR="00F256DD">
        <w:t xml:space="preserve"> </w:t>
      </w:r>
      <w:r w:rsidR="001363BA">
        <w:t>Amendments</w:t>
      </w:r>
      <w:r w:rsidR="00DF1FE2">
        <w:t>).</w:t>
      </w:r>
    </w:p>
    <w:p w:rsidR="00A528F0" w14:paraId="401816A9" w14:textId="772A2769">
      <w:pPr>
        <w:pBdr>
          <w:top w:val="single" w:sz="6" w:space="0" w:color="FFFFFF"/>
          <w:left w:val="single" w:sz="6" w:space="0" w:color="FFFFFF"/>
          <w:bottom w:val="single" w:sz="6" w:space="0" w:color="FFFFFF"/>
          <w:right w:val="single" w:sz="6" w:space="0" w:color="FFFFFF"/>
        </w:pBdr>
        <w:rPr>
          <w:color w:val="000000"/>
        </w:rPr>
      </w:pPr>
    </w:p>
    <w:p w:rsidR="00A528F0" w:rsidRPr="00833ECE" w:rsidP="00833ECE" w14:paraId="2736D511" w14:textId="248A711E">
      <w:pPr>
        <w:pBdr>
          <w:top w:val="single" w:sz="6" w:space="0" w:color="FFFFFF"/>
          <w:left w:val="single" w:sz="6" w:space="0" w:color="FFFFFF"/>
          <w:bottom w:val="single" w:sz="6" w:space="0" w:color="FFFFFF"/>
          <w:right w:val="single" w:sz="6" w:space="0" w:color="FFFFFF"/>
        </w:pBdr>
        <w:ind w:firstLine="720"/>
      </w:pPr>
      <w:r w:rsidRPr="008210AE">
        <w:t>We assume that burdens for managerial tasks take 5% of the time required for technical tasks</w:t>
      </w:r>
      <w:r>
        <w:t>,</w:t>
      </w:r>
      <w:r w:rsidRPr="008210AE">
        <w:t xml:space="preserve"> because the typical tasks for managers are to review and approve reports. Clerical burdens are assumed to take 10% of the time required for technical tasks</w:t>
      </w:r>
      <w:r>
        <w:t>,</w:t>
      </w:r>
      <w:r w:rsidRPr="008210AE">
        <w:t xml:space="preserve"> because the typical duties of clerical staff are to proofread the reports, make copies and maintain records.</w:t>
      </w:r>
    </w:p>
    <w:p w:rsidR="00CA4CD6" w14:paraId="7D624E93" w14:textId="348D596E">
      <w:pPr>
        <w:pBdr>
          <w:top w:val="single" w:sz="6" w:space="0" w:color="FFFFFF"/>
          <w:left w:val="single" w:sz="6" w:space="0" w:color="FFFFFF"/>
          <w:bottom w:val="single" w:sz="6" w:space="0" w:color="FFFFFF"/>
          <w:right w:val="single" w:sz="6" w:space="0" w:color="FFFFFF"/>
        </w:pBdr>
        <w:rPr>
          <w:color w:val="000000"/>
        </w:rPr>
      </w:pPr>
    </w:p>
    <w:p w:rsidR="00481DEB" w14:paraId="667732DD" w14:textId="77777777">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br w:type="page"/>
      </w:r>
    </w:p>
    <w:p w:rsidR="00CA4CD6" w14:paraId="3F6D60FA" w14:textId="20548B78">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1C6CF2D9" w14:textId="6653044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4C0F79">
        <w:rPr>
          <w:color w:val="000000"/>
        </w:rPr>
        <w:t>24</w:t>
      </w:r>
      <w:r w:rsidR="00621281">
        <w:rPr>
          <w:color w:val="000000"/>
        </w:rPr>
        <w:t>4</w:t>
      </w:r>
      <w:r>
        <w:rPr>
          <w:color w:val="000000"/>
        </w:rPr>
        <w:t xml:space="preserve"> existing respondents will be subject to the</w:t>
      </w:r>
      <w:r w:rsidR="004D778E">
        <w:rPr>
          <w:color w:val="000000"/>
        </w:rPr>
        <w:t>se</w:t>
      </w:r>
      <w:r>
        <w:rPr>
          <w:color w:val="000000"/>
        </w:rPr>
        <w:t xml:space="preserve"> standard</w:t>
      </w:r>
      <w:r w:rsidR="004D778E">
        <w:rPr>
          <w:color w:val="000000"/>
        </w:rPr>
        <w:t>s</w:t>
      </w:r>
      <w:r>
        <w:rPr>
          <w:color w:val="000000"/>
        </w:rPr>
        <w:t>.</w:t>
      </w:r>
      <w:r w:rsidR="009C7E97">
        <w:rPr>
          <w:color w:val="000000"/>
        </w:rPr>
        <w:t xml:space="preserve"> </w:t>
      </w:r>
      <w:r w:rsidR="00621281">
        <w:rPr>
          <w:color w:val="000000"/>
        </w:rPr>
        <w:t>There are 113 existing PCWP facilities and 130 existing lumber mills subject to the PCWP NESHAP</w:t>
      </w:r>
      <w:r w:rsidR="00FB2AD1">
        <w:rPr>
          <w:color w:val="000000"/>
        </w:rPr>
        <w:t xml:space="preserve">, for a total of </w:t>
      </w:r>
      <w:r w:rsidR="007F72B5">
        <w:rPr>
          <w:color w:val="000000"/>
        </w:rPr>
        <w:t>243 existing respondents</w:t>
      </w:r>
      <w:r w:rsidR="00621281">
        <w:rPr>
          <w:color w:val="000000"/>
        </w:rPr>
        <w:t>.</w:t>
      </w:r>
      <w:r>
        <w:rPr>
          <w:rStyle w:val="FootnoteReference"/>
          <w:color w:val="000000"/>
          <w:vertAlign w:val="superscript"/>
        </w:rPr>
        <w:footnoteReference w:id="3"/>
      </w:r>
      <w:r w:rsidR="00621281">
        <w:rPr>
          <w:color w:val="000000"/>
        </w:rPr>
        <w:t xml:space="preserve"> </w:t>
      </w:r>
      <w:r w:rsidR="004C0F79">
        <w:rPr>
          <w:color w:val="000000"/>
        </w:rPr>
        <w:t xml:space="preserve">Two new greenfield facilities </w:t>
      </w:r>
      <w:r w:rsidR="007F72B5">
        <w:rPr>
          <w:color w:val="000000"/>
        </w:rPr>
        <w:t xml:space="preserve">(new respondents) </w:t>
      </w:r>
      <w:r w:rsidR="004C0F79">
        <w:rPr>
          <w:color w:val="000000"/>
        </w:rPr>
        <w:t xml:space="preserve">are projected to come online during the </w:t>
      </w:r>
      <w:r w:rsidR="0004106E">
        <w:rPr>
          <w:color w:val="000000"/>
        </w:rPr>
        <w:t>three</w:t>
      </w:r>
      <w:r w:rsidR="004C0F79">
        <w:rPr>
          <w:color w:val="000000"/>
        </w:rPr>
        <w:t>-year period</w:t>
      </w:r>
      <w:r w:rsidR="007F72B5">
        <w:rPr>
          <w:color w:val="000000"/>
        </w:rPr>
        <w:t xml:space="preserve"> and five new process lines are projected to be installed at existing facilities (existing respondents that are also new respondents)</w:t>
      </w:r>
      <w:r w:rsidR="004C0F79">
        <w:rPr>
          <w:color w:val="000000"/>
        </w:rPr>
        <w:t>. Thus, i</w:t>
      </w:r>
      <w:r>
        <w:rPr>
          <w:color w:val="000000"/>
        </w:rPr>
        <w:t>t is estimated that</w:t>
      </w:r>
      <w:r w:rsidR="004C0F79">
        <w:rPr>
          <w:color w:val="000000"/>
        </w:rPr>
        <w:t xml:space="preserve"> an average of </w:t>
      </w:r>
      <w:r w:rsidR="007F72B5">
        <w:rPr>
          <w:color w:val="000000"/>
        </w:rPr>
        <w:t>two</w:t>
      </w:r>
      <w:r>
        <w:rPr>
          <w:color w:val="000000"/>
        </w:rPr>
        <w:t xml:space="preserve"> additional</w:t>
      </w:r>
      <w:r w:rsidR="00DF1FE2">
        <w:rPr>
          <w:color w:val="000000"/>
        </w:rPr>
        <w:t xml:space="preserve"> </w:t>
      </w:r>
      <w:r>
        <w:rPr>
          <w:color w:val="000000"/>
        </w:rPr>
        <w:t>respondent</w:t>
      </w:r>
      <w:r w:rsidR="007F72B5">
        <w:rPr>
          <w:color w:val="000000"/>
        </w:rPr>
        <w:t>s</w:t>
      </w:r>
      <w:r>
        <w:rPr>
          <w:color w:val="000000"/>
        </w:rPr>
        <w:t xml:space="preserve"> per year will become subject</w:t>
      </w:r>
      <w:r w:rsidR="004D778E">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4C0F79">
        <w:rPr>
          <w:color w:val="000000"/>
        </w:rPr>
        <w:t>244</w:t>
      </w:r>
      <w:r>
        <w:rPr>
          <w:color w:val="000000"/>
        </w:rPr>
        <w:t xml:space="preserve"> per year.</w:t>
      </w:r>
      <w:r w:rsidR="00A528F0">
        <w:rPr>
          <w:color w:val="000000"/>
        </w:rPr>
        <w:t xml:space="preserve"> The average number of respondents is calculated using the following table that addresses the 3 years covered by this ICR.</w:t>
      </w:r>
    </w:p>
    <w:p w:rsidR="00CA4CD6" w14:paraId="04E66AD8"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61"/>
        <w:gridCol w:w="1536"/>
        <w:gridCol w:w="1282"/>
        <w:gridCol w:w="2070"/>
        <w:gridCol w:w="1800"/>
        <w:gridCol w:w="1710"/>
      </w:tblGrid>
      <w:tr w14:paraId="3104CFD0" w14:textId="77777777" w:rsidTr="00D37803">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Pr="00D37803" w14:paraId="200D15AA"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20"/>
                <w:szCs w:val="20"/>
              </w:rPr>
            </w:pPr>
            <w:r w:rsidRPr="00D37803">
              <w:rPr>
                <w:b/>
                <w:bCs/>
                <w:color w:val="000000"/>
                <w:sz w:val="20"/>
                <w:szCs w:val="20"/>
              </w:rPr>
              <w:t>Number of Respondents</w:t>
            </w:r>
          </w:p>
        </w:tc>
      </w:tr>
      <w:tr w14:paraId="18B7DFB1" w14:textId="77777777" w:rsidTr="000459E1">
        <w:tblPrEx>
          <w:tblW w:w="9359" w:type="dxa"/>
          <w:tblInd w:w="110" w:type="dxa"/>
          <w:tblLayout w:type="fixed"/>
          <w:tblCellMar>
            <w:left w:w="110" w:type="dxa"/>
            <w:right w:w="110" w:type="dxa"/>
          </w:tblCellMar>
          <w:tblLook w:val="0000"/>
        </w:tblPrEx>
        <w:tc>
          <w:tcPr>
            <w:tcW w:w="961" w:type="dxa"/>
            <w:tcBorders>
              <w:top w:val="single" w:sz="7" w:space="0" w:color="000000"/>
              <w:left w:val="single" w:sz="7" w:space="0" w:color="000000"/>
              <w:bottom w:val="single" w:sz="8" w:space="0" w:color="000000"/>
              <w:right w:val="single" w:sz="6" w:space="0" w:color="FFFFFF"/>
            </w:tcBorders>
          </w:tcPr>
          <w:p w:rsidR="00CA4CD6" w:rsidRPr="00D37803" w14:paraId="16CB5887" w14:textId="77777777">
            <w:pPr>
              <w:spacing w:line="120" w:lineRule="exact"/>
              <w:rPr>
                <w:color w:val="000000"/>
                <w:sz w:val="20"/>
                <w:szCs w:val="20"/>
              </w:rPr>
            </w:pPr>
          </w:p>
          <w:p w:rsidR="00CA4CD6" w:rsidRPr="00D37803"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rsidRPr="00D37803"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37803">
              <w:rPr>
                <w:color w:val="000000"/>
                <w:sz w:val="20"/>
                <w:szCs w:val="20"/>
              </w:rPr>
              <w:t>Year</w:t>
            </w:r>
          </w:p>
        </w:tc>
        <w:tc>
          <w:tcPr>
            <w:tcW w:w="1536" w:type="dxa"/>
            <w:tcBorders>
              <w:top w:val="single" w:sz="7" w:space="0" w:color="000000"/>
              <w:left w:val="single" w:sz="7" w:space="0" w:color="000000"/>
              <w:bottom w:val="single" w:sz="8" w:space="0" w:color="000000"/>
              <w:right w:val="single" w:sz="6" w:space="0" w:color="FFFFFF"/>
            </w:tcBorders>
          </w:tcPr>
          <w:p w:rsidR="00CA4CD6" w:rsidRPr="00D37803" w14:paraId="1E068334" w14:textId="77777777">
            <w:pPr>
              <w:spacing w:line="120" w:lineRule="exact"/>
              <w:rPr>
                <w:color w:val="000000"/>
                <w:sz w:val="20"/>
                <w:szCs w:val="20"/>
              </w:rPr>
            </w:pPr>
          </w:p>
          <w:p w:rsidR="00CA4CD6" w:rsidRPr="00D37803"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(A)</w:t>
            </w:r>
          </w:p>
          <w:p w:rsidR="00CA4CD6" w:rsidRPr="00D37803"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D37803">
              <w:rPr>
                <w:color w:val="000000"/>
                <w:sz w:val="20"/>
                <w:szCs w:val="20"/>
              </w:rPr>
              <w:t xml:space="preserve">Number of New Respondents </w:t>
            </w:r>
            <w:r w:rsidRPr="00D37803">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D37803" w14:paraId="7EFDEF19" w14:textId="77777777">
            <w:pPr>
              <w:spacing w:line="120" w:lineRule="exact"/>
              <w:rPr>
                <w:color w:val="000000"/>
                <w:sz w:val="20"/>
                <w:szCs w:val="20"/>
              </w:rPr>
            </w:pPr>
          </w:p>
          <w:p w:rsidR="00CA4CD6" w:rsidRPr="00D37803"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(B)</w:t>
            </w:r>
          </w:p>
          <w:p w:rsidR="00CA4CD6" w:rsidRPr="00D37803"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D37803">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D37803" w14:paraId="0049DAFE" w14:textId="77777777">
            <w:pPr>
              <w:spacing w:line="120" w:lineRule="exact"/>
              <w:rPr>
                <w:color w:val="000000"/>
                <w:sz w:val="20"/>
                <w:szCs w:val="20"/>
              </w:rPr>
            </w:pPr>
          </w:p>
          <w:p w:rsidR="00CA4CD6" w:rsidRPr="00D37803"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(C)</w:t>
            </w:r>
          </w:p>
          <w:p w:rsidR="00CA4CD6" w:rsidRPr="00D37803"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D37803">
              <w:rPr>
                <w:color w:val="000000"/>
                <w:sz w:val="20"/>
                <w:szCs w:val="20"/>
              </w:rPr>
              <w:t>Number of Existing</w:t>
            </w:r>
            <w:r w:rsidRPr="00D37803" w:rsidR="009C7E97">
              <w:rPr>
                <w:color w:val="000000"/>
                <w:sz w:val="20"/>
                <w:szCs w:val="20"/>
              </w:rPr>
              <w:t xml:space="preserve"> </w:t>
            </w:r>
            <w:r w:rsidRPr="00D37803">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D37803" w14:paraId="029C61A3" w14:textId="77777777">
            <w:pPr>
              <w:spacing w:line="120" w:lineRule="exact"/>
              <w:rPr>
                <w:color w:val="000000"/>
                <w:sz w:val="20"/>
                <w:szCs w:val="20"/>
              </w:rPr>
            </w:pPr>
          </w:p>
          <w:p w:rsidR="00CA4CD6" w:rsidRPr="00D37803"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(D)</w:t>
            </w:r>
          </w:p>
          <w:p w:rsidR="00CA4CD6" w:rsidRPr="00D37803"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D37803">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Pr="00D37803" w14:paraId="07DED9D4" w14:textId="77777777">
            <w:pPr>
              <w:spacing w:line="120" w:lineRule="exact"/>
              <w:rPr>
                <w:color w:val="000000"/>
                <w:sz w:val="20"/>
                <w:szCs w:val="20"/>
              </w:rPr>
            </w:pPr>
          </w:p>
          <w:p w:rsidR="00CA4CD6" w:rsidRPr="00D37803"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(E)</w:t>
            </w:r>
          </w:p>
          <w:p w:rsidR="00CA4CD6" w:rsidRPr="00D37803"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Number of Respondents</w:t>
            </w:r>
          </w:p>
          <w:p w:rsidR="00CA4CD6" w:rsidRPr="00D37803"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D37803">
              <w:rPr>
                <w:color w:val="000000"/>
                <w:sz w:val="20"/>
                <w:szCs w:val="20"/>
              </w:rPr>
              <w:t>(E=A+B+C-D)</w:t>
            </w:r>
          </w:p>
        </w:tc>
      </w:tr>
      <w:tr w14:paraId="1525732D" w14:textId="77777777" w:rsidTr="000459E1">
        <w:tblPrEx>
          <w:tblW w:w="9359" w:type="dxa"/>
          <w:tblInd w:w="110" w:type="dxa"/>
          <w:tblLayout w:type="fixed"/>
          <w:tblCellMar>
            <w:left w:w="110" w:type="dxa"/>
            <w:right w:w="110" w:type="dxa"/>
          </w:tblCellMar>
          <w:tblLook w:val="0000"/>
        </w:tblPrEx>
        <w:tc>
          <w:tcPr>
            <w:tcW w:w="961" w:type="dxa"/>
            <w:tcBorders>
              <w:top w:val="single" w:sz="8" w:space="0" w:color="000000"/>
              <w:left w:val="single" w:sz="8" w:space="0" w:color="000000"/>
              <w:bottom w:val="single" w:sz="6" w:space="0" w:color="000000"/>
              <w:right w:val="single" w:sz="6" w:space="0" w:color="000000"/>
            </w:tcBorders>
          </w:tcPr>
          <w:p w:rsidR="00CA4CD6" w:rsidRPr="00D37803" w:rsidP="00D91C34" w14:paraId="547CA8F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1536" w:type="dxa"/>
            <w:tcBorders>
              <w:top w:val="single" w:sz="8" w:space="0" w:color="000000"/>
              <w:left w:val="single" w:sz="6" w:space="0" w:color="000000"/>
              <w:bottom w:val="single" w:sz="6" w:space="0" w:color="000000"/>
              <w:right w:val="single" w:sz="6" w:space="0" w:color="000000"/>
            </w:tcBorders>
            <w:vAlign w:val="center"/>
          </w:tcPr>
          <w:p w:rsidR="00CA4CD6" w:rsidRPr="00621281" w:rsidP="00D91C34" w14:paraId="3108CE70" w14:textId="3F37DEEE">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RPr="00621281" w:rsidP="00D91C34" w14:paraId="0B137A30" w14:textId="092694C3">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2</w:t>
            </w:r>
            <w:r w:rsidRPr="00621281" w:rsidR="00F93350">
              <w:rPr>
                <w:color w:val="000000"/>
                <w:sz w:val="20"/>
                <w:szCs w:val="20"/>
              </w:rPr>
              <w:t>43</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RPr="00621281" w:rsidP="00D91C34" w14:paraId="7D960C93" w14:textId="62F30031">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RPr="00621281" w:rsidP="00D91C34" w14:paraId="7ED54B96" w14:textId="40AC23BE">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RPr="00621281" w:rsidP="00D91C34" w14:paraId="3F7C0DAD" w14:textId="42C387CA">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2</w:t>
            </w:r>
            <w:r w:rsidRPr="00621281" w:rsidR="00F93350">
              <w:rPr>
                <w:color w:val="000000"/>
                <w:sz w:val="20"/>
                <w:szCs w:val="20"/>
              </w:rPr>
              <w:t>43</w:t>
            </w:r>
          </w:p>
        </w:tc>
      </w:tr>
      <w:tr w14:paraId="75ED52D9" w14:textId="77777777" w:rsidTr="000459E1">
        <w:tblPrEx>
          <w:tblW w:w="9359" w:type="dxa"/>
          <w:tblInd w:w="110" w:type="dxa"/>
          <w:tblLayout w:type="fixed"/>
          <w:tblCellMar>
            <w:left w:w="110" w:type="dxa"/>
            <w:right w:w="110" w:type="dxa"/>
          </w:tblCellMar>
          <w:tblLook w:val="0000"/>
        </w:tblPrEx>
        <w:tc>
          <w:tcPr>
            <w:tcW w:w="961" w:type="dxa"/>
            <w:tcBorders>
              <w:top w:val="single" w:sz="6" w:space="0" w:color="000000"/>
              <w:left w:val="single" w:sz="8" w:space="0" w:color="000000"/>
              <w:bottom w:val="single" w:sz="6" w:space="0" w:color="000000"/>
              <w:right w:val="single" w:sz="6" w:space="0" w:color="000000"/>
            </w:tcBorders>
          </w:tcPr>
          <w:p w:rsidR="00CA4CD6" w:rsidRPr="00D37803" w:rsidP="00D91C34" w14:paraId="63EBAA5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w:t>
            </w:r>
          </w:p>
        </w:tc>
        <w:tc>
          <w:tcPr>
            <w:tcW w:w="1536" w:type="dxa"/>
            <w:tcBorders>
              <w:top w:val="single" w:sz="6" w:space="0" w:color="000000"/>
              <w:left w:val="single" w:sz="6" w:space="0" w:color="000000"/>
              <w:bottom w:val="single" w:sz="6" w:space="0" w:color="000000"/>
              <w:right w:val="single" w:sz="6" w:space="0" w:color="000000"/>
            </w:tcBorders>
            <w:vAlign w:val="center"/>
          </w:tcPr>
          <w:p w:rsidR="00CA4CD6" w:rsidRPr="00621281" w:rsidP="00D91C34" w14:paraId="7564DEC3" w14:textId="158491F9">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RPr="00621281" w:rsidP="00D91C34" w14:paraId="002226B8" w14:textId="4A59D48B">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2</w:t>
            </w:r>
            <w:r w:rsidRPr="00621281" w:rsidR="00F93350">
              <w:rPr>
                <w:color w:val="000000"/>
                <w:sz w:val="20"/>
                <w:szCs w:val="20"/>
              </w:rPr>
              <w:t>43</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RPr="00621281" w:rsidP="00D91C34" w14:paraId="1C3913C5" w14:textId="6EC4D6AA">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RPr="00621281" w:rsidP="00D91C34" w14:paraId="3802688A" w14:textId="71418074">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RPr="00621281" w:rsidP="00D91C34" w14:paraId="45C01B8A" w14:textId="02E19779">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2</w:t>
            </w:r>
            <w:r w:rsidRPr="00621281" w:rsidR="00F93350">
              <w:rPr>
                <w:color w:val="000000"/>
                <w:sz w:val="20"/>
                <w:szCs w:val="20"/>
              </w:rPr>
              <w:t>43</w:t>
            </w:r>
          </w:p>
        </w:tc>
      </w:tr>
      <w:tr w14:paraId="0C60FE4C" w14:textId="77777777" w:rsidTr="000459E1">
        <w:tblPrEx>
          <w:tblW w:w="9359" w:type="dxa"/>
          <w:tblInd w:w="110" w:type="dxa"/>
          <w:tblLayout w:type="fixed"/>
          <w:tblCellMar>
            <w:left w:w="110" w:type="dxa"/>
            <w:right w:w="110" w:type="dxa"/>
          </w:tblCellMar>
          <w:tblLook w:val="0000"/>
        </w:tblPrEx>
        <w:tc>
          <w:tcPr>
            <w:tcW w:w="961" w:type="dxa"/>
            <w:tcBorders>
              <w:top w:val="single" w:sz="6" w:space="0" w:color="000000"/>
              <w:left w:val="single" w:sz="8" w:space="0" w:color="000000"/>
              <w:bottom w:val="single" w:sz="6" w:space="0" w:color="000000"/>
              <w:right w:val="single" w:sz="6" w:space="0" w:color="000000"/>
            </w:tcBorders>
          </w:tcPr>
          <w:p w:rsidR="00CA4CD6" w:rsidRPr="00D37803" w:rsidP="00D91C34" w14:paraId="3609EB7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3</w:t>
            </w:r>
          </w:p>
        </w:tc>
        <w:tc>
          <w:tcPr>
            <w:tcW w:w="1536" w:type="dxa"/>
            <w:tcBorders>
              <w:top w:val="single" w:sz="6" w:space="0" w:color="000000"/>
              <w:left w:val="single" w:sz="6" w:space="0" w:color="000000"/>
              <w:bottom w:val="single" w:sz="6" w:space="0" w:color="000000"/>
              <w:right w:val="single" w:sz="6" w:space="0" w:color="000000"/>
            </w:tcBorders>
            <w:vAlign w:val="center"/>
          </w:tcPr>
          <w:p w:rsidR="00CA4CD6" w:rsidRPr="00621281" w:rsidP="00D91C34" w14:paraId="1A6EA395" w14:textId="6744FB18">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7</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RPr="00621281" w:rsidP="00D91C34" w14:paraId="37336570" w14:textId="50EB2004">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2</w:t>
            </w:r>
            <w:r w:rsidRPr="00621281" w:rsidR="00F93350">
              <w:rPr>
                <w:color w:val="000000"/>
                <w:sz w:val="20"/>
                <w:szCs w:val="20"/>
              </w:rPr>
              <w:t>43</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RPr="00621281" w:rsidP="00D91C34" w14:paraId="7C60F04B" w14:textId="52CFC0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RPr="00621281" w:rsidP="00D91C34" w14:paraId="53B7186D" w14:textId="3AF70765">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5</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RPr="00621281" w:rsidP="00D91C34" w14:paraId="18B5AAAA" w14:textId="54FD04FF">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2</w:t>
            </w:r>
            <w:r w:rsidRPr="00621281" w:rsidR="00F93350">
              <w:rPr>
                <w:color w:val="000000"/>
                <w:sz w:val="20"/>
                <w:szCs w:val="20"/>
              </w:rPr>
              <w:t>4</w:t>
            </w:r>
            <w:r w:rsidRPr="00621281" w:rsidR="0071623A">
              <w:rPr>
                <w:color w:val="000000"/>
                <w:sz w:val="20"/>
                <w:szCs w:val="20"/>
              </w:rPr>
              <w:t>5</w:t>
            </w:r>
          </w:p>
        </w:tc>
      </w:tr>
      <w:tr w14:paraId="6B3C1DEA" w14:textId="77777777" w:rsidTr="000459E1">
        <w:tblPrEx>
          <w:tblW w:w="9359" w:type="dxa"/>
          <w:tblInd w:w="110" w:type="dxa"/>
          <w:tblLayout w:type="fixed"/>
          <w:tblCellMar>
            <w:left w:w="110" w:type="dxa"/>
            <w:right w:w="110" w:type="dxa"/>
          </w:tblCellMar>
          <w:tblLook w:val="0000"/>
        </w:tblPrEx>
        <w:tc>
          <w:tcPr>
            <w:tcW w:w="961" w:type="dxa"/>
            <w:tcBorders>
              <w:top w:val="single" w:sz="6" w:space="0" w:color="000000"/>
              <w:left w:val="single" w:sz="8" w:space="0" w:color="000000"/>
              <w:bottom w:val="single" w:sz="8" w:space="0" w:color="000000"/>
              <w:right w:val="single" w:sz="6" w:space="0" w:color="000000"/>
            </w:tcBorders>
          </w:tcPr>
          <w:p w:rsidR="00CA4CD6" w:rsidRPr="000459E1" w:rsidP="00D91C34" w14:paraId="5D9CD301" w14:textId="77777777">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0459E1">
              <w:rPr>
                <w:b/>
                <w:color w:val="000000"/>
                <w:sz w:val="20"/>
                <w:szCs w:val="20"/>
              </w:rPr>
              <w:t>Average</w:t>
            </w:r>
          </w:p>
        </w:tc>
        <w:tc>
          <w:tcPr>
            <w:tcW w:w="1536" w:type="dxa"/>
            <w:tcBorders>
              <w:top w:val="single" w:sz="6" w:space="0" w:color="000000"/>
              <w:left w:val="single" w:sz="6" w:space="0" w:color="000000"/>
              <w:bottom w:val="single" w:sz="8" w:space="0" w:color="000000"/>
              <w:right w:val="single" w:sz="6" w:space="0" w:color="000000"/>
            </w:tcBorders>
            <w:vAlign w:val="center"/>
          </w:tcPr>
          <w:p w:rsidR="00CA4CD6" w:rsidRPr="00621281" w:rsidP="00D91C34" w14:paraId="1581E97D" w14:textId="5B3DC331">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621281">
              <w:rPr>
                <w:b/>
                <w:color w:val="000000"/>
                <w:sz w:val="20"/>
                <w:szCs w:val="20"/>
              </w:rPr>
              <w:t>2</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RPr="00621281" w:rsidP="00D91C34" w14:paraId="47314C40" w14:textId="7056C127">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621281">
              <w:rPr>
                <w:b/>
                <w:color w:val="000000"/>
                <w:sz w:val="20"/>
                <w:szCs w:val="20"/>
              </w:rPr>
              <w:t>2</w:t>
            </w:r>
            <w:r w:rsidRPr="00621281" w:rsidR="00F93350">
              <w:rPr>
                <w:b/>
                <w:color w:val="000000"/>
                <w:sz w:val="20"/>
                <w:szCs w:val="20"/>
              </w:rPr>
              <w:t>43</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RPr="00621281" w:rsidP="00D91C34" w14:paraId="480163AE" w14:textId="736F9B22">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621281">
              <w:rPr>
                <w:b/>
                <w:color w:val="000000"/>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RPr="00621281" w:rsidP="00D91C34" w14:paraId="2B2CDCCB" w14:textId="00A54027">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621281">
              <w:rPr>
                <w:b/>
                <w:color w:val="000000"/>
                <w:sz w:val="20"/>
                <w:szCs w:val="20"/>
              </w:rPr>
              <w:t>2</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RPr="00621281" w:rsidP="00D91C34" w14:paraId="0CAD30F7" w14:textId="2740887F">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621281">
              <w:rPr>
                <w:b/>
                <w:sz w:val="20"/>
                <w:szCs w:val="20"/>
              </w:rPr>
              <w:t>2</w:t>
            </w:r>
            <w:r w:rsidRPr="00621281" w:rsidR="00F93350">
              <w:rPr>
                <w:b/>
                <w:sz w:val="20"/>
                <w:szCs w:val="20"/>
              </w:rPr>
              <w:t>44</w:t>
            </w:r>
          </w:p>
        </w:tc>
      </w:tr>
    </w:tbl>
    <w:p w:rsidR="00CA4CD6" w:rsidRPr="0004106E" w:rsidP="00F93350" w14:paraId="50712C32" w14:textId="1F8F412D">
      <w:pPr>
        <w:pBdr>
          <w:top w:val="single" w:sz="6" w:space="0" w:color="FFFFFF"/>
          <w:left w:val="single" w:sz="6" w:space="0" w:color="FFFFFF"/>
          <w:bottom w:val="single" w:sz="6" w:space="0" w:color="FFFFFF"/>
          <w:right w:val="single" w:sz="6" w:space="0" w:color="FFFFFF"/>
        </w:pBdr>
        <w:rPr>
          <w:color w:val="000000"/>
          <w:sz w:val="20"/>
          <w:szCs w:val="20"/>
        </w:rPr>
      </w:pPr>
      <w:r w:rsidRPr="0004106E">
        <w:rPr>
          <w:color w:val="000000"/>
          <w:sz w:val="20"/>
          <w:szCs w:val="20"/>
          <w:vertAlign w:val="superscript"/>
        </w:rPr>
        <w:t>1</w:t>
      </w:r>
      <w:r w:rsidR="0004106E">
        <w:rPr>
          <w:color w:val="000000"/>
          <w:sz w:val="20"/>
          <w:szCs w:val="20"/>
        </w:rPr>
        <w:t xml:space="preserve"> </w:t>
      </w:r>
      <w:r w:rsidRPr="0004106E">
        <w:rPr>
          <w:color w:val="000000"/>
          <w:sz w:val="20"/>
          <w:szCs w:val="20"/>
        </w:rPr>
        <w:t xml:space="preserve">New </w:t>
      </w:r>
      <w:r w:rsidRPr="0004106E">
        <w:rPr>
          <w:color w:val="000000"/>
          <w:sz w:val="20"/>
          <w:szCs w:val="20"/>
        </w:rPr>
        <w:t>respondents</w:t>
      </w:r>
      <w:r w:rsidRPr="0004106E">
        <w:rPr>
          <w:color w:val="000000"/>
          <w:sz w:val="20"/>
          <w:szCs w:val="20"/>
        </w:rPr>
        <w:t xml:space="preserve"> include sources </w:t>
      </w:r>
      <w:r w:rsidRPr="0004106E" w:rsidR="00F93350">
        <w:rPr>
          <w:color w:val="000000"/>
          <w:sz w:val="20"/>
          <w:szCs w:val="20"/>
        </w:rPr>
        <w:t xml:space="preserve">that </w:t>
      </w:r>
      <w:r w:rsidRPr="0004106E">
        <w:rPr>
          <w:color w:val="000000"/>
          <w:sz w:val="20"/>
          <w:szCs w:val="20"/>
        </w:rPr>
        <w:t>construct</w:t>
      </w:r>
      <w:r w:rsidRPr="0004106E" w:rsidR="00F93350">
        <w:rPr>
          <w:color w:val="000000"/>
          <w:sz w:val="20"/>
          <w:szCs w:val="20"/>
        </w:rPr>
        <w:t xml:space="preserve"> or</w:t>
      </w:r>
      <w:r w:rsidRPr="0004106E">
        <w:rPr>
          <w:color w:val="000000"/>
          <w:sz w:val="20"/>
          <w:szCs w:val="20"/>
        </w:rPr>
        <w:t xml:space="preserve"> reconstruct affected facilities</w:t>
      </w:r>
      <w:r w:rsidRPr="0004106E" w:rsidR="00F93350">
        <w:rPr>
          <w:color w:val="000000"/>
          <w:sz w:val="20"/>
          <w:szCs w:val="20"/>
        </w:rPr>
        <w:t xml:space="preserve"> during the ICR response period</w:t>
      </w:r>
      <w:r w:rsidRPr="0004106E">
        <w:rPr>
          <w:color w:val="000000"/>
          <w:sz w:val="20"/>
          <w:szCs w:val="20"/>
        </w:rPr>
        <w:t>.</w:t>
      </w:r>
      <w:r w:rsidRPr="0004106E" w:rsidR="0004106E">
        <w:rPr>
          <w:sz w:val="20"/>
          <w:szCs w:val="20"/>
        </w:rPr>
        <w:t xml:space="preserve"> </w:t>
      </w:r>
    </w:p>
    <w:p w:rsidR="00CB42E2" w14:paraId="4F93CFF3"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0B94E50" w14:textId="46E3D4EE">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w:t>
      </w:r>
      <w:r w:rsidR="0004106E">
        <w:rPr>
          <w:color w:val="000000"/>
        </w:rPr>
        <w:t>n</w:t>
      </w:r>
      <w:r>
        <w:rPr>
          <w:color w:val="000000"/>
        </w:rPr>
        <w:t xml:space="preserve">umber of </w:t>
      </w:r>
      <w:r w:rsidR="0004106E">
        <w:rPr>
          <w:color w:val="000000"/>
        </w:rPr>
        <w:t>r</w:t>
      </w:r>
      <w:r>
        <w:rPr>
          <w:color w:val="000000"/>
        </w:rPr>
        <w:t xml:space="preserve">espondents over the </w:t>
      </w:r>
      <w:r w:rsidR="008210AE">
        <w:rPr>
          <w:color w:val="000000"/>
        </w:rPr>
        <w:t>three-year</w:t>
      </w:r>
      <w:r>
        <w:rPr>
          <w:color w:val="000000"/>
        </w:rPr>
        <w:t xml:space="preserve"> period of this ICR is </w:t>
      </w:r>
      <w:r w:rsidR="00B06EF6">
        <w:rPr>
          <w:color w:val="000000"/>
        </w:rPr>
        <w:t>244</w:t>
      </w:r>
      <w:r w:rsidR="00507EC5">
        <w:rPr>
          <w:color w:val="000000"/>
        </w:rPr>
        <w:t xml:space="preserve">. </w:t>
      </w:r>
    </w:p>
    <w:p w:rsidR="00CA4CD6" w:rsidP="008210AE" w14:paraId="6343745F" w14:textId="00ECF08A">
      <w:pPr>
        <w:pBdr>
          <w:top w:val="single" w:sz="6" w:space="0" w:color="FFFFFF"/>
          <w:left w:val="single" w:sz="6" w:space="0" w:color="FFFFFF"/>
          <w:bottom w:val="single" w:sz="6" w:space="0" w:color="FFFFFF"/>
          <w:right w:val="single" w:sz="6" w:space="0" w:color="FFFFFF"/>
        </w:pBdr>
        <w:rPr>
          <w:color w:val="000000"/>
        </w:rPr>
      </w:pPr>
    </w:p>
    <w:p w:rsidR="00343715" w14:paraId="68B44CC9" w14:textId="77777777">
      <w:pPr>
        <w:widowControl/>
        <w:autoSpaceDE/>
        <w:autoSpaceDN/>
        <w:adjustRightInd/>
        <w:rPr>
          <w:color w:val="000000"/>
        </w:rPr>
      </w:pPr>
      <w:r>
        <w:rPr>
          <w:color w:val="000000"/>
        </w:rPr>
        <w:br w:type="page"/>
      </w:r>
    </w:p>
    <w:p w:rsidR="00CA4CD6" w14:paraId="2DD44DAF" w14:textId="19A4F76A">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11" w:type="dxa"/>
          <w:right w:w="111" w:type="dxa"/>
        </w:tblCellMar>
        <w:tblLook w:val="0000"/>
      </w:tblPr>
      <w:tblGrid>
        <w:gridCol w:w="3449"/>
        <w:gridCol w:w="1281"/>
        <w:gridCol w:w="1190"/>
        <w:gridCol w:w="1989"/>
        <w:gridCol w:w="1431"/>
      </w:tblGrid>
      <w:tr w14:paraId="046B3587" w14:textId="77777777" w:rsidTr="00343715">
        <w:tblPrEx>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11" w:type="dxa"/>
            <w:right w:w="111" w:type="dxa"/>
          </w:tblCellMar>
          <w:tblLook w:val="0000"/>
        </w:tblPrEx>
        <w:trPr>
          <w:trHeight w:val="385"/>
          <w:tblHeader/>
        </w:trPr>
        <w:tc>
          <w:tcPr>
            <w:tcW w:w="5000" w:type="pct"/>
            <w:gridSpan w:val="5"/>
          </w:tcPr>
          <w:p w:rsidR="00CA4CD6" w14:paraId="2BFF83AC"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343715">
        <w:tblPrEx>
          <w:tblW w:w="5000" w:type="pct"/>
          <w:tblCellMar>
            <w:left w:w="111" w:type="dxa"/>
            <w:right w:w="111" w:type="dxa"/>
          </w:tblCellMar>
          <w:tblLook w:val="0000"/>
        </w:tblPrEx>
        <w:trPr>
          <w:tblHeader/>
        </w:trPr>
        <w:tc>
          <w:tcPr>
            <w:tcW w:w="1846" w:type="pct"/>
          </w:tcPr>
          <w:p w:rsidR="00CA4CD6" w:rsidRPr="00D37803" w:rsidP="0035325B" w14:paraId="1FF13FEE" w14:textId="77777777">
            <w:pPr>
              <w:spacing w:line="120" w:lineRule="exact"/>
              <w:jc w:val="center"/>
              <w:rPr>
                <w:b/>
                <w:bCs/>
                <w:color w:val="000000"/>
                <w:sz w:val="20"/>
                <w:szCs w:val="20"/>
              </w:rPr>
            </w:pPr>
          </w:p>
          <w:p w:rsidR="00CA4CD6" w:rsidRPr="00D37803"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(A)</w:t>
            </w:r>
          </w:p>
          <w:p w:rsidR="00CA4CD6" w:rsidRPr="00D37803"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RPr="00D37803" w:rsidP="0035325B" w14:paraId="1BEAAD9B" w14:textId="35ED6A5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37803">
              <w:rPr>
                <w:color w:val="000000"/>
                <w:sz w:val="20"/>
                <w:szCs w:val="20"/>
              </w:rPr>
              <w:t>Information Collection Activity</w:t>
            </w:r>
            <w:r w:rsidRPr="00D37803" w:rsidR="00C87221">
              <w:rPr>
                <w:color w:val="000000"/>
                <w:sz w:val="20"/>
                <w:szCs w:val="20"/>
                <w:vertAlign w:val="superscript"/>
              </w:rPr>
              <w:t>1</w:t>
            </w:r>
          </w:p>
        </w:tc>
        <w:tc>
          <w:tcPr>
            <w:tcW w:w="686" w:type="pct"/>
          </w:tcPr>
          <w:p w:rsidR="00CA4CD6" w:rsidRPr="00D37803" w:rsidP="0035325B" w14:paraId="1512DB18" w14:textId="77777777">
            <w:pPr>
              <w:spacing w:line="120" w:lineRule="exact"/>
              <w:jc w:val="center"/>
              <w:rPr>
                <w:color w:val="000000"/>
                <w:sz w:val="20"/>
                <w:szCs w:val="20"/>
              </w:rPr>
            </w:pPr>
          </w:p>
          <w:p w:rsidR="00CA4CD6" w:rsidRPr="00D37803"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(B)</w:t>
            </w:r>
          </w:p>
          <w:p w:rsidR="00CA4CD6" w:rsidRPr="00D37803"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RPr="00D37803"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37803">
              <w:rPr>
                <w:color w:val="000000"/>
                <w:sz w:val="20"/>
                <w:szCs w:val="20"/>
              </w:rPr>
              <w:t>Number of Respondents</w:t>
            </w:r>
          </w:p>
        </w:tc>
        <w:tc>
          <w:tcPr>
            <w:tcW w:w="637" w:type="pct"/>
          </w:tcPr>
          <w:p w:rsidR="00CA4CD6" w:rsidRPr="00D37803" w:rsidP="0035325B" w14:paraId="7C8774CA" w14:textId="77777777">
            <w:pPr>
              <w:spacing w:line="120" w:lineRule="exact"/>
              <w:jc w:val="center"/>
              <w:rPr>
                <w:color w:val="000000"/>
                <w:sz w:val="20"/>
                <w:szCs w:val="20"/>
              </w:rPr>
            </w:pPr>
          </w:p>
          <w:p w:rsidR="00CA4CD6" w:rsidRPr="00D37803"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(C)</w:t>
            </w:r>
          </w:p>
          <w:p w:rsidR="00CA4CD6" w:rsidRPr="00D37803"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RPr="00D37803"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37803">
              <w:rPr>
                <w:color w:val="000000"/>
                <w:sz w:val="20"/>
                <w:szCs w:val="20"/>
              </w:rPr>
              <w:t>Number of Responses</w:t>
            </w:r>
          </w:p>
        </w:tc>
        <w:tc>
          <w:tcPr>
            <w:tcW w:w="1065" w:type="pct"/>
          </w:tcPr>
          <w:p w:rsidR="00CA4CD6" w:rsidRPr="00D37803" w:rsidP="0035325B" w14:paraId="3214EDCF" w14:textId="77777777">
            <w:pPr>
              <w:spacing w:line="120" w:lineRule="exact"/>
              <w:jc w:val="center"/>
              <w:rPr>
                <w:color w:val="000000"/>
                <w:sz w:val="20"/>
                <w:szCs w:val="20"/>
              </w:rPr>
            </w:pPr>
          </w:p>
          <w:p w:rsidR="00CA4CD6" w:rsidRPr="00D37803"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(D)</w:t>
            </w:r>
          </w:p>
          <w:p w:rsidR="00CA4CD6" w:rsidRPr="00D37803"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37803">
              <w:rPr>
                <w:color w:val="000000"/>
                <w:sz w:val="20"/>
                <w:szCs w:val="20"/>
              </w:rPr>
              <w:t xml:space="preserve">Number of Existing Respondents That Keep Records </w:t>
            </w:r>
            <w:r w:rsidRPr="00D37803">
              <w:rPr>
                <w:color w:val="000000"/>
                <w:sz w:val="20"/>
                <w:szCs w:val="20"/>
              </w:rPr>
              <w:t>But</w:t>
            </w:r>
            <w:r w:rsidRPr="00D37803">
              <w:rPr>
                <w:color w:val="000000"/>
                <w:sz w:val="20"/>
                <w:szCs w:val="20"/>
              </w:rPr>
              <w:t xml:space="preserve"> Do Not Submit Reports</w:t>
            </w:r>
          </w:p>
        </w:tc>
        <w:tc>
          <w:tcPr>
            <w:tcW w:w="766" w:type="pct"/>
          </w:tcPr>
          <w:p w:rsidR="00CA4CD6" w:rsidRPr="00D37803" w:rsidP="0035325B" w14:paraId="2EDBD8A8" w14:textId="77777777">
            <w:pPr>
              <w:spacing w:line="120" w:lineRule="exact"/>
              <w:jc w:val="center"/>
              <w:rPr>
                <w:color w:val="000000"/>
                <w:sz w:val="20"/>
                <w:szCs w:val="20"/>
              </w:rPr>
            </w:pPr>
          </w:p>
          <w:p w:rsidR="00CA4CD6" w:rsidRPr="00D37803"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(E)</w:t>
            </w:r>
          </w:p>
          <w:p w:rsidR="00CA4CD6" w:rsidRPr="00D37803"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Total Annual</w:t>
            </w:r>
            <w:r w:rsidRPr="00D37803" w:rsidR="009C7E97">
              <w:rPr>
                <w:color w:val="000000"/>
                <w:sz w:val="20"/>
                <w:szCs w:val="20"/>
              </w:rPr>
              <w:t xml:space="preserve"> </w:t>
            </w:r>
            <w:r w:rsidRPr="00D37803">
              <w:rPr>
                <w:color w:val="000000"/>
                <w:sz w:val="20"/>
                <w:szCs w:val="20"/>
              </w:rPr>
              <w:t>Responses</w:t>
            </w:r>
          </w:p>
          <w:p w:rsidR="00CA4CD6" w:rsidRPr="00D37803"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37803">
              <w:rPr>
                <w:color w:val="000000"/>
                <w:sz w:val="20"/>
                <w:szCs w:val="20"/>
              </w:rPr>
              <w:t>E=(</w:t>
            </w:r>
            <w:r w:rsidRPr="00D37803">
              <w:rPr>
                <w:color w:val="000000"/>
                <w:sz w:val="20"/>
                <w:szCs w:val="20"/>
              </w:rPr>
              <w:t>BxC</w:t>
            </w:r>
            <w:r w:rsidRPr="00D37803">
              <w:rPr>
                <w:color w:val="000000"/>
                <w:sz w:val="20"/>
                <w:szCs w:val="20"/>
              </w:rPr>
              <w:t>)+D</w:t>
            </w:r>
          </w:p>
        </w:tc>
      </w:tr>
      <w:tr w14:paraId="16C1203F" w14:textId="77777777" w:rsidTr="00343715">
        <w:tblPrEx>
          <w:tblW w:w="5000" w:type="pct"/>
          <w:tblCellMar>
            <w:left w:w="111" w:type="dxa"/>
            <w:right w:w="111" w:type="dxa"/>
          </w:tblCellMar>
          <w:tblLook w:val="0000"/>
        </w:tblPrEx>
        <w:trPr>
          <w:trHeight w:val="366"/>
        </w:trPr>
        <w:tc>
          <w:tcPr>
            <w:tcW w:w="1846" w:type="pct"/>
            <w:vAlign w:val="center"/>
          </w:tcPr>
          <w:p w:rsidR="008210AE" w:rsidRPr="00D37803" w:rsidP="008210AE" w14:paraId="7DB8FBDE" w14:textId="01D7E6CB">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Notification of construction/reconstruction</w:t>
            </w:r>
          </w:p>
        </w:tc>
        <w:tc>
          <w:tcPr>
            <w:tcW w:w="686" w:type="pct"/>
            <w:vAlign w:val="center"/>
          </w:tcPr>
          <w:p w:rsidR="008210AE" w:rsidRPr="00D37803" w:rsidP="008210AE" w14:paraId="63308014" w14:textId="0C32B9E7">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15</w:t>
            </w:r>
          </w:p>
        </w:tc>
        <w:tc>
          <w:tcPr>
            <w:tcW w:w="637" w:type="pct"/>
            <w:vAlign w:val="center"/>
          </w:tcPr>
          <w:p w:rsidR="008210AE" w:rsidRPr="00D37803" w:rsidP="008210AE" w14:paraId="7D6BA6A3" w14:textId="53F59AFF">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1065" w:type="pct"/>
            <w:vAlign w:val="center"/>
          </w:tcPr>
          <w:p w:rsidR="008210AE" w:rsidRPr="00D37803" w:rsidP="008210AE" w14:paraId="508145DD" w14:textId="10481C54">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rsidR="008210AE" w:rsidRPr="00D37803" w:rsidP="008210AE" w14:paraId="70F8E048" w14:textId="2D7A9E78">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15</w:t>
            </w:r>
          </w:p>
        </w:tc>
      </w:tr>
      <w:tr w14:paraId="300564D1" w14:textId="77777777" w:rsidTr="00343715">
        <w:tblPrEx>
          <w:tblW w:w="5000" w:type="pct"/>
          <w:tblCellMar>
            <w:left w:w="111" w:type="dxa"/>
            <w:right w:w="111" w:type="dxa"/>
          </w:tblCellMar>
          <w:tblLook w:val="0000"/>
        </w:tblPrEx>
        <w:trPr>
          <w:trHeight w:val="366"/>
        </w:trPr>
        <w:tc>
          <w:tcPr>
            <w:tcW w:w="1846" w:type="pct"/>
            <w:vAlign w:val="center"/>
          </w:tcPr>
          <w:p w:rsidR="008210AE" w:rsidRPr="00D37803" w:rsidP="008210AE" w14:paraId="0F46E3DF" w14:textId="201D44F2">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Notification of anticipated startup</w:t>
            </w:r>
          </w:p>
        </w:tc>
        <w:tc>
          <w:tcPr>
            <w:tcW w:w="686" w:type="pct"/>
            <w:vAlign w:val="center"/>
          </w:tcPr>
          <w:p w:rsidR="008210AE" w:rsidRPr="00D37803" w:rsidP="008210AE" w14:paraId="06C154FF" w14:textId="1B460F69">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15</w:t>
            </w:r>
          </w:p>
        </w:tc>
        <w:tc>
          <w:tcPr>
            <w:tcW w:w="637" w:type="pct"/>
            <w:vAlign w:val="center"/>
          </w:tcPr>
          <w:p w:rsidR="008210AE" w:rsidRPr="00D37803" w:rsidP="008210AE" w14:paraId="40F59661" w14:textId="4F1FA89A">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1065" w:type="pct"/>
            <w:vAlign w:val="center"/>
          </w:tcPr>
          <w:p w:rsidR="008210AE" w:rsidRPr="00D37803" w:rsidP="008210AE" w14:paraId="3E42D994" w14:textId="0C9402AD">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rsidR="008210AE" w:rsidRPr="00D37803" w:rsidP="008210AE" w14:paraId="4B9F0EBE" w14:textId="4E8B3813">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15</w:t>
            </w:r>
          </w:p>
        </w:tc>
      </w:tr>
      <w:tr w14:paraId="4FB1550D" w14:textId="77777777" w:rsidTr="00343715">
        <w:tblPrEx>
          <w:tblW w:w="5000" w:type="pct"/>
          <w:tblCellMar>
            <w:left w:w="111" w:type="dxa"/>
            <w:right w:w="111" w:type="dxa"/>
          </w:tblCellMar>
          <w:tblLook w:val="0000"/>
        </w:tblPrEx>
        <w:trPr>
          <w:trHeight w:val="366"/>
        </w:trPr>
        <w:tc>
          <w:tcPr>
            <w:tcW w:w="1846" w:type="pct"/>
            <w:vAlign w:val="center"/>
          </w:tcPr>
          <w:p w:rsidR="008210AE" w:rsidRPr="00D37803" w:rsidP="008210AE" w14:paraId="5387B54C" w14:textId="57BC11E2">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Notification of actual startup</w:t>
            </w:r>
          </w:p>
        </w:tc>
        <w:tc>
          <w:tcPr>
            <w:tcW w:w="686" w:type="pct"/>
            <w:vAlign w:val="center"/>
          </w:tcPr>
          <w:p w:rsidR="008210AE" w:rsidRPr="00D37803" w:rsidP="008210AE" w14:paraId="5E226832" w14:textId="2515A6D8">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15</w:t>
            </w:r>
          </w:p>
        </w:tc>
        <w:tc>
          <w:tcPr>
            <w:tcW w:w="637" w:type="pct"/>
            <w:vAlign w:val="center"/>
          </w:tcPr>
          <w:p w:rsidR="008210AE" w:rsidRPr="00D37803" w:rsidP="008210AE" w14:paraId="61FE4D7C" w14:textId="56B48A43">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1065" w:type="pct"/>
            <w:vAlign w:val="center"/>
          </w:tcPr>
          <w:p w:rsidR="008210AE" w:rsidRPr="00D37803" w:rsidP="008210AE" w14:paraId="4628B654" w14:textId="67290FF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rsidR="008210AE" w:rsidRPr="00D37803" w:rsidP="008210AE" w14:paraId="2ACB2E06" w14:textId="1A6D8B54">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15</w:t>
            </w:r>
          </w:p>
        </w:tc>
      </w:tr>
      <w:tr w14:paraId="083E1D2F" w14:textId="77777777" w:rsidTr="00343715">
        <w:tblPrEx>
          <w:tblW w:w="5000" w:type="pct"/>
          <w:tblCellMar>
            <w:left w:w="111" w:type="dxa"/>
            <w:right w:w="111" w:type="dxa"/>
          </w:tblCellMar>
          <w:tblLook w:val="0000"/>
        </w:tblPrEx>
        <w:trPr>
          <w:trHeight w:val="366"/>
        </w:trPr>
        <w:tc>
          <w:tcPr>
            <w:tcW w:w="1846" w:type="pct"/>
            <w:vAlign w:val="center"/>
          </w:tcPr>
          <w:p w:rsidR="008210AE" w:rsidRPr="00D37803" w:rsidP="008210AE" w14:paraId="0A00E7E9" w14:textId="6B2B16A3">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Notification of applicability of standard</w:t>
            </w:r>
            <w:r w:rsidRPr="00D37803" w:rsidR="00B57B80">
              <w:rPr>
                <w:color w:val="000000"/>
                <w:sz w:val="20"/>
                <w:szCs w:val="20"/>
              </w:rPr>
              <w:t xml:space="preserve"> (initial notification)</w:t>
            </w:r>
          </w:p>
        </w:tc>
        <w:tc>
          <w:tcPr>
            <w:tcW w:w="686" w:type="pct"/>
            <w:vAlign w:val="center"/>
          </w:tcPr>
          <w:p w:rsidR="008210AE" w:rsidRPr="00D37803" w:rsidP="008210AE" w14:paraId="6D5F816B" w14:textId="56F6CFC3">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15</w:t>
            </w:r>
          </w:p>
        </w:tc>
        <w:tc>
          <w:tcPr>
            <w:tcW w:w="637" w:type="pct"/>
            <w:vAlign w:val="center"/>
          </w:tcPr>
          <w:p w:rsidR="008210AE" w:rsidRPr="00D37803" w:rsidP="008210AE" w14:paraId="64FA5AEC" w14:textId="6B5D1197">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1065" w:type="pct"/>
            <w:vAlign w:val="center"/>
          </w:tcPr>
          <w:p w:rsidR="008210AE" w:rsidRPr="00D37803" w:rsidP="008210AE" w14:paraId="67D9124E" w14:textId="6C78B255">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rsidR="008210AE" w:rsidRPr="00D37803" w:rsidP="008210AE" w14:paraId="526F05CB" w14:textId="553BA7C6">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15</w:t>
            </w:r>
          </w:p>
        </w:tc>
      </w:tr>
      <w:tr w14:paraId="4F2DCCF3" w14:textId="77777777" w:rsidTr="00343715">
        <w:tblPrEx>
          <w:tblW w:w="5000" w:type="pct"/>
          <w:tblCellMar>
            <w:left w:w="111" w:type="dxa"/>
            <w:right w:w="111" w:type="dxa"/>
          </w:tblCellMar>
          <w:tblLook w:val="0000"/>
        </w:tblPrEx>
        <w:trPr>
          <w:trHeight w:val="366"/>
        </w:trPr>
        <w:tc>
          <w:tcPr>
            <w:tcW w:w="1846" w:type="pct"/>
            <w:vAlign w:val="center"/>
          </w:tcPr>
          <w:p w:rsidR="008210AE" w:rsidRPr="00D37803" w:rsidP="008210AE" w14:paraId="555F6D06" w14:textId="573E3E0D">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Emissions averaging plan</w:t>
            </w:r>
          </w:p>
        </w:tc>
        <w:tc>
          <w:tcPr>
            <w:tcW w:w="686" w:type="pct"/>
            <w:vAlign w:val="center"/>
          </w:tcPr>
          <w:p w:rsidR="008210AE" w:rsidRPr="00D37803" w:rsidP="008210AE" w14:paraId="4B2521A1" w14:textId="09DF58B6">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637" w:type="pct"/>
            <w:vAlign w:val="center"/>
          </w:tcPr>
          <w:p w:rsidR="008210AE" w:rsidRPr="00D37803" w:rsidP="008210AE" w14:paraId="7F4D2A7C" w14:textId="585AE561">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1065" w:type="pct"/>
            <w:vAlign w:val="center"/>
          </w:tcPr>
          <w:p w:rsidR="008210AE" w:rsidRPr="00D37803" w:rsidP="008210AE" w14:paraId="643A86F8" w14:textId="321E9AF9">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rsidR="008210AE" w:rsidRPr="00D37803" w:rsidP="008210AE" w14:paraId="4A4188E6" w14:textId="5B2C090A">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r>
      <w:tr w14:paraId="6C13DEF4" w14:textId="77777777" w:rsidTr="00343715">
        <w:tblPrEx>
          <w:tblW w:w="5000" w:type="pct"/>
          <w:tblCellMar>
            <w:left w:w="111" w:type="dxa"/>
            <w:right w:w="111" w:type="dxa"/>
          </w:tblCellMar>
          <w:tblLook w:val="0000"/>
        </w:tblPrEx>
        <w:trPr>
          <w:trHeight w:val="366"/>
        </w:trPr>
        <w:tc>
          <w:tcPr>
            <w:tcW w:w="1846" w:type="pct"/>
            <w:vAlign w:val="center"/>
          </w:tcPr>
          <w:p w:rsidR="008210AE" w:rsidRPr="00D37803" w:rsidP="008210AE" w14:paraId="7BBFA3A2" w14:textId="4363A285">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Request for routing control system maintenance exemption</w:t>
            </w:r>
          </w:p>
        </w:tc>
        <w:tc>
          <w:tcPr>
            <w:tcW w:w="686" w:type="pct"/>
            <w:vAlign w:val="center"/>
          </w:tcPr>
          <w:p w:rsidR="008210AE" w:rsidRPr="00D37803" w:rsidP="008210AE" w14:paraId="435BE08A" w14:textId="2BDBA62A">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w:t>
            </w:r>
          </w:p>
        </w:tc>
        <w:tc>
          <w:tcPr>
            <w:tcW w:w="637" w:type="pct"/>
            <w:vAlign w:val="center"/>
          </w:tcPr>
          <w:p w:rsidR="008210AE" w:rsidRPr="00D37803" w:rsidP="008210AE" w14:paraId="45D39C51" w14:textId="272CA4FA">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1065" w:type="pct"/>
            <w:vAlign w:val="center"/>
          </w:tcPr>
          <w:p w:rsidR="008210AE" w:rsidRPr="00D37803" w:rsidP="008210AE" w14:paraId="191EB1FB" w14:textId="02F8CC6A">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rsidR="008210AE" w:rsidRPr="00D37803" w:rsidP="008210AE" w14:paraId="69A7F94D" w14:textId="59F4564C">
            <w:pPr>
              <w:pBdr>
                <w:top w:val="single" w:sz="6" w:space="0" w:color="FFFFFF"/>
                <w:left w:val="single" w:sz="6" w:space="0" w:color="FFFFFF"/>
                <w:bottom w:val="single" w:sz="6" w:space="0" w:color="FFFFFF"/>
                <w:right w:val="single" w:sz="6" w:space="0" w:color="FFFFFF"/>
              </w:pBdr>
              <w:jc w:val="center"/>
              <w:rPr>
                <w:color w:val="FF0000"/>
                <w:sz w:val="20"/>
                <w:szCs w:val="20"/>
              </w:rPr>
            </w:pPr>
            <w:r w:rsidRPr="00D37803">
              <w:rPr>
                <w:sz w:val="20"/>
                <w:szCs w:val="20"/>
              </w:rPr>
              <w:t>2</w:t>
            </w:r>
          </w:p>
        </w:tc>
      </w:tr>
      <w:tr w14:paraId="41547DD2" w14:textId="77777777" w:rsidTr="00343715">
        <w:tblPrEx>
          <w:tblW w:w="5000" w:type="pct"/>
          <w:tblCellMar>
            <w:left w:w="111" w:type="dxa"/>
            <w:right w:w="111" w:type="dxa"/>
          </w:tblCellMar>
          <w:tblLook w:val="0000"/>
        </w:tblPrEx>
        <w:trPr>
          <w:trHeight w:val="366"/>
        </w:trPr>
        <w:tc>
          <w:tcPr>
            <w:tcW w:w="1846" w:type="pct"/>
            <w:vAlign w:val="center"/>
          </w:tcPr>
          <w:p w:rsidR="008210AE" w:rsidRPr="00B34D4E" w:rsidP="008210AE" w14:paraId="25776BC3" w14:textId="4C397333">
            <w:pPr>
              <w:pBdr>
                <w:top w:val="single" w:sz="6" w:space="0" w:color="FFFFFF"/>
                <w:left w:val="single" w:sz="6" w:space="0" w:color="FFFFFF"/>
                <w:bottom w:val="single" w:sz="6" w:space="0" w:color="FFFFFF"/>
                <w:right w:val="single" w:sz="6" w:space="0" w:color="FFFFFF"/>
              </w:pBdr>
              <w:rPr>
                <w:color w:val="000000"/>
                <w:sz w:val="20"/>
                <w:szCs w:val="20"/>
              </w:rPr>
            </w:pPr>
            <w:r w:rsidRPr="00B34D4E">
              <w:rPr>
                <w:color w:val="000000"/>
                <w:sz w:val="20"/>
                <w:szCs w:val="20"/>
              </w:rPr>
              <w:t>Notification of performance test</w:t>
            </w:r>
          </w:p>
        </w:tc>
        <w:tc>
          <w:tcPr>
            <w:tcW w:w="686" w:type="pct"/>
            <w:vAlign w:val="center"/>
          </w:tcPr>
          <w:p w:rsidR="008210AE" w:rsidRPr="00B34D4E" w:rsidP="008210AE" w14:paraId="716DD1D5" w14:textId="78B7E2C8">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40</w:t>
            </w:r>
          </w:p>
        </w:tc>
        <w:tc>
          <w:tcPr>
            <w:tcW w:w="637" w:type="pct"/>
            <w:vAlign w:val="center"/>
          </w:tcPr>
          <w:p w:rsidR="008210AE" w:rsidRPr="00B34D4E" w:rsidP="008210AE" w14:paraId="1D17C8D9" w14:textId="75E9E144">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1</w:t>
            </w:r>
          </w:p>
        </w:tc>
        <w:tc>
          <w:tcPr>
            <w:tcW w:w="1065" w:type="pct"/>
            <w:vAlign w:val="center"/>
          </w:tcPr>
          <w:p w:rsidR="008210AE" w:rsidRPr="00B34D4E" w:rsidP="008210AE" w14:paraId="3480F909" w14:textId="2873D2EF">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0</w:t>
            </w:r>
          </w:p>
        </w:tc>
        <w:tc>
          <w:tcPr>
            <w:tcW w:w="766" w:type="pct"/>
            <w:vAlign w:val="center"/>
          </w:tcPr>
          <w:p w:rsidR="008210AE" w:rsidRPr="00B34D4E" w:rsidP="008210AE" w14:paraId="52DE9DB1" w14:textId="667C62D3">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40</w:t>
            </w:r>
          </w:p>
        </w:tc>
      </w:tr>
      <w:tr w14:paraId="0E140B28" w14:textId="77777777" w:rsidTr="00343715">
        <w:tblPrEx>
          <w:tblW w:w="5000" w:type="pct"/>
          <w:tblCellMar>
            <w:left w:w="111" w:type="dxa"/>
            <w:right w:w="111" w:type="dxa"/>
          </w:tblCellMar>
          <w:tblLook w:val="0000"/>
        </w:tblPrEx>
        <w:trPr>
          <w:trHeight w:val="366"/>
        </w:trPr>
        <w:tc>
          <w:tcPr>
            <w:tcW w:w="1846" w:type="pct"/>
            <w:vAlign w:val="center"/>
          </w:tcPr>
          <w:p w:rsidR="008210AE" w:rsidRPr="00B34D4E" w:rsidP="008210AE" w14:paraId="64B83FAA" w14:textId="31FCBF78">
            <w:pPr>
              <w:pBdr>
                <w:top w:val="single" w:sz="6" w:space="0" w:color="FFFFFF"/>
                <w:left w:val="single" w:sz="6" w:space="0" w:color="FFFFFF"/>
                <w:bottom w:val="single" w:sz="6" w:space="0" w:color="FFFFFF"/>
                <w:right w:val="single" w:sz="6" w:space="0" w:color="FFFFFF"/>
              </w:pBdr>
              <w:rPr>
                <w:color w:val="000000"/>
                <w:sz w:val="20"/>
                <w:szCs w:val="20"/>
              </w:rPr>
            </w:pPr>
            <w:r w:rsidRPr="00B34D4E">
              <w:rPr>
                <w:color w:val="000000"/>
                <w:sz w:val="20"/>
                <w:szCs w:val="20"/>
              </w:rPr>
              <w:t>Notification of compliance status with performance test</w:t>
            </w:r>
          </w:p>
        </w:tc>
        <w:tc>
          <w:tcPr>
            <w:tcW w:w="686" w:type="pct"/>
            <w:vAlign w:val="center"/>
          </w:tcPr>
          <w:p w:rsidR="008210AE" w:rsidRPr="00B34D4E" w:rsidP="008210AE" w14:paraId="0B6F3926" w14:textId="3099903A">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40</w:t>
            </w:r>
          </w:p>
        </w:tc>
        <w:tc>
          <w:tcPr>
            <w:tcW w:w="637" w:type="pct"/>
            <w:vAlign w:val="center"/>
          </w:tcPr>
          <w:p w:rsidR="008210AE" w:rsidRPr="00B34D4E" w:rsidP="008210AE" w14:paraId="44F018DB" w14:textId="617DD657">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1</w:t>
            </w:r>
          </w:p>
        </w:tc>
        <w:tc>
          <w:tcPr>
            <w:tcW w:w="1065" w:type="pct"/>
            <w:vAlign w:val="center"/>
          </w:tcPr>
          <w:p w:rsidR="008210AE" w:rsidRPr="00B34D4E" w:rsidP="008210AE" w14:paraId="49F67049" w14:textId="3394B7C6">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0</w:t>
            </w:r>
          </w:p>
        </w:tc>
        <w:tc>
          <w:tcPr>
            <w:tcW w:w="766" w:type="pct"/>
            <w:vAlign w:val="center"/>
          </w:tcPr>
          <w:p w:rsidR="008210AE" w:rsidRPr="00B34D4E" w:rsidP="008210AE" w14:paraId="0E3E7B7C" w14:textId="2D8C3E1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40</w:t>
            </w:r>
          </w:p>
        </w:tc>
      </w:tr>
      <w:tr w14:paraId="2CE37A07" w14:textId="77777777" w:rsidTr="00343715">
        <w:tblPrEx>
          <w:tblW w:w="5000" w:type="pct"/>
          <w:tblCellMar>
            <w:left w:w="111" w:type="dxa"/>
            <w:right w:w="111" w:type="dxa"/>
          </w:tblCellMar>
          <w:tblLook w:val="0000"/>
        </w:tblPrEx>
        <w:trPr>
          <w:trHeight w:val="366"/>
        </w:trPr>
        <w:tc>
          <w:tcPr>
            <w:tcW w:w="1846" w:type="pct"/>
            <w:vAlign w:val="center"/>
          </w:tcPr>
          <w:p w:rsidR="008210AE" w:rsidRPr="00B34D4E" w:rsidP="008210AE" w14:paraId="54D3BC36" w14:textId="2DCD2354">
            <w:pPr>
              <w:pBdr>
                <w:top w:val="single" w:sz="6" w:space="0" w:color="FFFFFF"/>
                <w:left w:val="single" w:sz="6" w:space="0" w:color="FFFFFF"/>
                <w:bottom w:val="single" w:sz="6" w:space="0" w:color="FFFFFF"/>
                <w:right w:val="single" w:sz="6" w:space="0" w:color="FFFFFF"/>
              </w:pBdr>
              <w:rPr>
                <w:color w:val="000000"/>
                <w:sz w:val="20"/>
                <w:szCs w:val="20"/>
              </w:rPr>
            </w:pPr>
            <w:r w:rsidRPr="00B34D4E">
              <w:rPr>
                <w:color w:val="000000"/>
                <w:sz w:val="20"/>
                <w:szCs w:val="20"/>
              </w:rPr>
              <w:t>Notification of compliance status without performance test</w:t>
            </w:r>
          </w:p>
        </w:tc>
        <w:tc>
          <w:tcPr>
            <w:tcW w:w="686" w:type="pct"/>
            <w:vAlign w:val="center"/>
          </w:tcPr>
          <w:p w:rsidR="008210AE" w:rsidRPr="00B34D4E" w:rsidP="008210AE" w14:paraId="59E83FDA" w14:textId="04446611">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2</w:t>
            </w:r>
          </w:p>
        </w:tc>
        <w:tc>
          <w:tcPr>
            <w:tcW w:w="637" w:type="pct"/>
            <w:vAlign w:val="center"/>
          </w:tcPr>
          <w:p w:rsidR="008210AE" w:rsidRPr="00B34D4E" w:rsidP="008210AE" w14:paraId="3DE67F0A" w14:textId="3E69F08B">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1</w:t>
            </w:r>
          </w:p>
        </w:tc>
        <w:tc>
          <w:tcPr>
            <w:tcW w:w="1065" w:type="pct"/>
            <w:vAlign w:val="center"/>
          </w:tcPr>
          <w:p w:rsidR="008210AE" w:rsidRPr="00B34D4E" w:rsidP="008210AE" w14:paraId="4EA46B3D" w14:textId="013DDC8A">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0</w:t>
            </w:r>
          </w:p>
        </w:tc>
        <w:tc>
          <w:tcPr>
            <w:tcW w:w="766" w:type="pct"/>
            <w:vAlign w:val="center"/>
          </w:tcPr>
          <w:p w:rsidR="008210AE" w:rsidRPr="00B34D4E" w:rsidP="008210AE" w14:paraId="14B2DD60" w14:textId="530CB866">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2</w:t>
            </w:r>
          </w:p>
        </w:tc>
      </w:tr>
      <w:tr w14:paraId="1A6E2446" w14:textId="77777777" w:rsidTr="00343715">
        <w:tblPrEx>
          <w:tblW w:w="5000" w:type="pct"/>
          <w:tblCellMar>
            <w:left w:w="111" w:type="dxa"/>
            <w:right w:w="111" w:type="dxa"/>
          </w:tblCellMar>
          <w:tblLook w:val="0000"/>
        </w:tblPrEx>
        <w:trPr>
          <w:trHeight w:val="366"/>
        </w:trPr>
        <w:tc>
          <w:tcPr>
            <w:tcW w:w="1846" w:type="pct"/>
            <w:vAlign w:val="center"/>
          </w:tcPr>
          <w:p w:rsidR="008210AE" w:rsidRPr="00B34D4E" w:rsidP="008210AE" w14:paraId="694B55A1" w14:textId="0E725911">
            <w:pPr>
              <w:pBdr>
                <w:top w:val="single" w:sz="6" w:space="0" w:color="FFFFFF"/>
                <w:left w:val="single" w:sz="6" w:space="0" w:color="FFFFFF"/>
                <w:bottom w:val="single" w:sz="6" w:space="0" w:color="FFFFFF"/>
                <w:right w:val="single" w:sz="6" w:space="0" w:color="FFFFFF"/>
              </w:pBdr>
              <w:rPr>
                <w:color w:val="000000"/>
                <w:sz w:val="20"/>
                <w:szCs w:val="20"/>
              </w:rPr>
            </w:pPr>
            <w:r w:rsidRPr="00B34D4E">
              <w:rPr>
                <w:color w:val="000000"/>
                <w:sz w:val="20"/>
                <w:szCs w:val="20"/>
              </w:rPr>
              <w:t>Initial compliance report with no deviations</w:t>
            </w:r>
          </w:p>
        </w:tc>
        <w:tc>
          <w:tcPr>
            <w:tcW w:w="686" w:type="pct"/>
            <w:vAlign w:val="center"/>
          </w:tcPr>
          <w:p w:rsidR="008210AE" w:rsidRPr="00B34D4E" w:rsidP="008210AE" w14:paraId="0A2103F1" w14:textId="0DB2D2B7">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2</w:t>
            </w:r>
          </w:p>
        </w:tc>
        <w:tc>
          <w:tcPr>
            <w:tcW w:w="637" w:type="pct"/>
            <w:vAlign w:val="center"/>
          </w:tcPr>
          <w:p w:rsidR="008210AE" w:rsidRPr="00B34D4E" w:rsidP="008210AE" w14:paraId="2FA0F118" w14:textId="5B81339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1</w:t>
            </w:r>
          </w:p>
        </w:tc>
        <w:tc>
          <w:tcPr>
            <w:tcW w:w="1065" w:type="pct"/>
            <w:vAlign w:val="center"/>
          </w:tcPr>
          <w:p w:rsidR="008210AE" w:rsidRPr="00B34D4E" w:rsidP="008210AE" w14:paraId="4C4DF691" w14:textId="06A61A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0</w:t>
            </w:r>
          </w:p>
        </w:tc>
        <w:tc>
          <w:tcPr>
            <w:tcW w:w="766" w:type="pct"/>
            <w:vAlign w:val="center"/>
          </w:tcPr>
          <w:p w:rsidR="008210AE" w:rsidRPr="00B34D4E" w:rsidP="008210AE" w14:paraId="65F8F223" w14:textId="0E0D9384">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2</w:t>
            </w:r>
          </w:p>
        </w:tc>
      </w:tr>
      <w:tr w14:paraId="6A24CBD7" w14:textId="77777777" w:rsidTr="00343715">
        <w:tblPrEx>
          <w:tblW w:w="5000" w:type="pct"/>
          <w:tblCellMar>
            <w:left w:w="111" w:type="dxa"/>
            <w:right w:w="111" w:type="dxa"/>
          </w:tblCellMar>
          <w:tblLook w:val="0000"/>
        </w:tblPrEx>
        <w:trPr>
          <w:trHeight w:val="366"/>
        </w:trPr>
        <w:tc>
          <w:tcPr>
            <w:tcW w:w="1846" w:type="pct"/>
            <w:vAlign w:val="center"/>
          </w:tcPr>
          <w:p w:rsidR="008210AE" w:rsidRPr="00B34D4E" w:rsidP="008210AE" w14:paraId="287D56F1" w14:textId="20ACD884">
            <w:pPr>
              <w:pBdr>
                <w:top w:val="single" w:sz="6" w:space="0" w:color="FFFFFF"/>
                <w:left w:val="single" w:sz="6" w:space="0" w:color="FFFFFF"/>
                <w:bottom w:val="single" w:sz="6" w:space="0" w:color="FFFFFF"/>
                <w:right w:val="single" w:sz="6" w:space="0" w:color="FFFFFF"/>
              </w:pBdr>
              <w:rPr>
                <w:color w:val="000000"/>
                <w:sz w:val="20"/>
                <w:szCs w:val="20"/>
              </w:rPr>
            </w:pPr>
            <w:r w:rsidRPr="00B34D4E">
              <w:rPr>
                <w:color w:val="000000"/>
                <w:sz w:val="20"/>
                <w:szCs w:val="20"/>
              </w:rPr>
              <w:t>Initial compliance report with deviations</w:t>
            </w:r>
          </w:p>
        </w:tc>
        <w:tc>
          <w:tcPr>
            <w:tcW w:w="686" w:type="pct"/>
            <w:vAlign w:val="center"/>
          </w:tcPr>
          <w:p w:rsidR="008210AE" w:rsidRPr="00B34D4E" w:rsidP="008210AE" w14:paraId="6B7D323E" w14:textId="21FAF887">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0</w:t>
            </w:r>
          </w:p>
        </w:tc>
        <w:tc>
          <w:tcPr>
            <w:tcW w:w="637" w:type="pct"/>
            <w:vAlign w:val="center"/>
          </w:tcPr>
          <w:p w:rsidR="008210AE" w:rsidRPr="00B34D4E" w:rsidP="008210AE" w14:paraId="3CFD546F" w14:textId="341D0BD7">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1</w:t>
            </w:r>
          </w:p>
        </w:tc>
        <w:tc>
          <w:tcPr>
            <w:tcW w:w="1065" w:type="pct"/>
            <w:vAlign w:val="center"/>
          </w:tcPr>
          <w:p w:rsidR="008210AE" w:rsidRPr="00B34D4E" w:rsidP="008210AE" w14:paraId="5D9CECFB" w14:textId="595C04C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0</w:t>
            </w:r>
          </w:p>
        </w:tc>
        <w:tc>
          <w:tcPr>
            <w:tcW w:w="766" w:type="pct"/>
            <w:vAlign w:val="center"/>
          </w:tcPr>
          <w:p w:rsidR="008210AE" w:rsidRPr="00B34D4E" w:rsidP="008210AE" w14:paraId="683C3E09" w14:textId="3A313A8A">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0</w:t>
            </w:r>
          </w:p>
        </w:tc>
      </w:tr>
      <w:tr w14:paraId="6B8ED617" w14:textId="77777777" w:rsidTr="00343715">
        <w:tblPrEx>
          <w:tblW w:w="5000" w:type="pct"/>
          <w:tblCellMar>
            <w:left w:w="111" w:type="dxa"/>
            <w:right w:w="111" w:type="dxa"/>
          </w:tblCellMar>
          <w:tblLook w:val="0000"/>
        </w:tblPrEx>
        <w:trPr>
          <w:trHeight w:val="366"/>
        </w:trPr>
        <w:tc>
          <w:tcPr>
            <w:tcW w:w="1846" w:type="pct"/>
            <w:vAlign w:val="center"/>
          </w:tcPr>
          <w:p w:rsidR="008210AE" w:rsidRPr="00D37803" w:rsidP="008210AE" w14:paraId="06F89BD4" w14:textId="61B82CE2">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Initial compliance emissions averaging report</w:t>
            </w:r>
          </w:p>
        </w:tc>
        <w:tc>
          <w:tcPr>
            <w:tcW w:w="686" w:type="pct"/>
            <w:vAlign w:val="center"/>
          </w:tcPr>
          <w:p w:rsidR="008210AE" w:rsidRPr="00D37803" w:rsidP="008210AE" w14:paraId="0A7EC0E7" w14:textId="719ED61B">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637" w:type="pct"/>
            <w:vAlign w:val="center"/>
          </w:tcPr>
          <w:p w:rsidR="008210AE" w:rsidRPr="00D37803" w:rsidP="008210AE" w14:paraId="3BBB09D4" w14:textId="7588BB3F">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1065" w:type="pct"/>
            <w:vAlign w:val="center"/>
          </w:tcPr>
          <w:p w:rsidR="008210AE" w:rsidRPr="00D37803" w:rsidP="008210AE" w14:paraId="1174CE6E" w14:textId="19846064">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rsidR="008210AE" w:rsidRPr="00D37803" w:rsidP="008210AE" w14:paraId="491FFF38" w14:textId="0672A397">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r>
      <w:tr w14:paraId="52060048" w14:textId="77777777" w:rsidTr="00343715">
        <w:tblPrEx>
          <w:tblW w:w="5000" w:type="pct"/>
          <w:tblCellMar>
            <w:left w:w="111" w:type="dxa"/>
            <w:right w:w="111" w:type="dxa"/>
          </w:tblCellMar>
          <w:tblLook w:val="0000"/>
        </w:tblPrEx>
        <w:trPr>
          <w:trHeight w:val="366"/>
        </w:trPr>
        <w:tc>
          <w:tcPr>
            <w:tcW w:w="1846" w:type="pct"/>
            <w:vAlign w:val="center"/>
          </w:tcPr>
          <w:p w:rsidR="008210AE" w:rsidRPr="00D37803" w:rsidP="008210AE" w14:paraId="340508A9" w14:textId="4B45B155">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Semiannual report with no deviations</w:t>
            </w:r>
          </w:p>
        </w:tc>
        <w:tc>
          <w:tcPr>
            <w:tcW w:w="686" w:type="pct"/>
            <w:vAlign w:val="center"/>
          </w:tcPr>
          <w:p w:rsidR="008210AE" w:rsidRPr="00D37803" w:rsidP="008210AE" w14:paraId="4029FC95" w14:textId="3F88610A">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102</w:t>
            </w:r>
          </w:p>
        </w:tc>
        <w:tc>
          <w:tcPr>
            <w:tcW w:w="637" w:type="pct"/>
            <w:vAlign w:val="center"/>
          </w:tcPr>
          <w:p w:rsidR="008210AE" w:rsidRPr="00D37803" w:rsidP="008210AE" w14:paraId="25CBBB05" w14:textId="5CCC33A0">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w:t>
            </w:r>
          </w:p>
        </w:tc>
        <w:tc>
          <w:tcPr>
            <w:tcW w:w="1065" w:type="pct"/>
            <w:vAlign w:val="center"/>
          </w:tcPr>
          <w:p w:rsidR="008210AE" w:rsidRPr="00D37803" w:rsidP="008210AE" w14:paraId="13D26EF5" w14:textId="20E56BAD">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rsidR="008210AE" w:rsidRPr="00D37803" w:rsidP="008210AE" w14:paraId="0AF77311" w14:textId="34718A36">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204</w:t>
            </w:r>
          </w:p>
        </w:tc>
      </w:tr>
      <w:tr w14:paraId="3E7458F0" w14:textId="77777777" w:rsidTr="00343715">
        <w:tblPrEx>
          <w:tblW w:w="5000" w:type="pct"/>
          <w:tblCellMar>
            <w:left w:w="111" w:type="dxa"/>
            <w:right w:w="111" w:type="dxa"/>
          </w:tblCellMar>
          <w:tblLook w:val="0000"/>
        </w:tblPrEx>
        <w:trPr>
          <w:trHeight w:val="366"/>
        </w:trPr>
        <w:tc>
          <w:tcPr>
            <w:tcW w:w="1846" w:type="pct"/>
            <w:vAlign w:val="center"/>
          </w:tcPr>
          <w:p w:rsidR="008210AE" w:rsidRPr="00D37803" w:rsidP="008210AE" w14:paraId="40FA7E85" w14:textId="1084C489">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Semiannual report with deviations</w:t>
            </w:r>
          </w:p>
        </w:tc>
        <w:tc>
          <w:tcPr>
            <w:tcW w:w="686" w:type="pct"/>
            <w:vAlign w:val="center"/>
          </w:tcPr>
          <w:p w:rsidR="008210AE" w:rsidRPr="00D37803" w:rsidP="008210AE" w14:paraId="64D48EAE" w14:textId="1F79B848">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11</w:t>
            </w:r>
          </w:p>
        </w:tc>
        <w:tc>
          <w:tcPr>
            <w:tcW w:w="637" w:type="pct"/>
            <w:vAlign w:val="center"/>
          </w:tcPr>
          <w:p w:rsidR="008210AE" w:rsidRPr="00D37803" w:rsidP="008210AE" w14:paraId="4972854C" w14:textId="1D38BCEF">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w:t>
            </w:r>
          </w:p>
        </w:tc>
        <w:tc>
          <w:tcPr>
            <w:tcW w:w="1065" w:type="pct"/>
            <w:vAlign w:val="center"/>
          </w:tcPr>
          <w:p w:rsidR="008210AE" w:rsidRPr="00D37803" w:rsidP="008210AE" w14:paraId="49709784" w14:textId="24B4D493">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rsidR="008210AE" w:rsidRPr="00D37803" w:rsidP="008210AE" w14:paraId="7F7173CC" w14:textId="172F259D">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22</w:t>
            </w:r>
          </w:p>
        </w:tc>
      </w:tr>
      <w:tr w14:paraId="3D453983" w14:textId="77777777" w:rsidTr="00343715">
        <w:tblPrEx>
          <w:tblW w:w="5000" w:type="pct"/>
          <w:tblCellMar>
            <w:left w:w="111" w:type="dxa"/>
            <w:right w:w="111" w:type="dxa"/>
          </w:tblCellMar>
          <w:tblLook w:val="0000"/>
        </w:tblPrEx>
        <w:trPr>
          <w:trHeight w:val="366"/>
        </w:trPr>
        <w:tc>
          <w:tcPr>
            <w:tcW w:w="1846" w:type="pct"/>
            <w:vAlign w:val="center"/>
          </w:tcPr>
          <w:p w:rsidR="008210AE" w:rsidRPr="00D37803" w:rsidP="008210AE" w14:paraId="3D158B1A" w14:textId="23BC3E38">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Semiannual control system maintenance report</w:t>
            </w:r>
          </w:p>
        </w:tc>
        <w:tc>
          <w:tcPr>
            <w:tcW w:w="686" w:type="pct"/>
            <w:vAlign w:val="center"/>
          </w:tcPr>
          <w:p w:rsidR="008210AE" w:rsidRPr="00D37803" w:rsidP="008210AE" w14:paraId="7E86276D" w14:textId="6AA7DDD8">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11</w:t>
            </w:r>
          </w:p>
        </w:tc>
        <w:tc>
          <w:tcPr>
            <w:tcW w:w="637" w:type="pct"/>
            <w:vAlign w:val="center"/>
          </w:tcPr>
          <w:p w:rsidR="008210AE" w:rsidRPr="00D37803" w:rsidP="008210AE" w14:paraId="7BA38FA2" w14:textId="5F05E51F">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w:t>
            </w:r>
          </w:p>
        </w:tc>
        <w:tc>
          <w:tcPr>
            <w:tcW w:w="1065" w:type="pct"/>
            <w:vAlign w:val="center"/>
          </w:tcPr>
          <w:p w:rsidR="008210AE" w:rsidRPr="00D37803" w:rsidP="008210AE" w14:paraId="4CCA309D" w14:textId="0033C310">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rsidR="008210AE" w:rsidRPr="00D37803" w:rsidP="008210AE" w14:paraId="03B7CD22" w14:textId="37EB02D0">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22</w:t>
            </w:r>
          </w:p>
        </w:tc>
      </w:tr>
      <w:tr w14:paraId="5CC707B1" w14:textId="77777777" w:rsidTr="00343715">
        <w:tblPrEx>
          <w:tblW w:w="5000" w:type="pct"/>
          <w:tblCellMar>
            <w:left w:w="111" w:type="dxa"/>
            <w:right w:w="111" w:type="dxa"/>
          </w:tblCellMar>
          <w:tblLook w:val="0000"/>
        </w:tblPrEx>
        <w:trPr>
          <w:trHeight w:val="366"/>
        </w:trPr>
        <w:tc>
          <w:tcPr>
            <w:tcW w:w="1846" w:type="pct"/>
            <w:vAlign w:val="center"/>
          </w:tcPr>
          <w:p w:rsidR="008210AE" w:rsidRPr="00D37803" w:rsidP="008210AE" w14:paraId="2FA511EF" w14:textId="5A7F0B22">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Semiannual emissions averaging report</w:t>
            </w:r>
          </w:p>
        </w:tc>
        <w:tc>
          <w:tcPr>
            <w:tcW w:w="686" w:type="pct"/>
            <w:vAlign w:val="center"/>
          </w:tcPr>
          <w:p w:rsidR="008210AE" w:rsidRPr="00D37803" w:rsidP="008210AE" w14:paraId="6AADBDAA" w14:textId="44D90B2D">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637" w:type="pct"/>
            <w:vAlign w:val="center"/>
          </w:tcPr>
          <w:p w:rsidR="008210AE" w:rsidRPr="00D37803" w:rsidP="008210AE" w14:paraId="26520A50" w14:textId="58457563">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w:t>
            </w:r>
          </w:p>
        </w:tc>
        <w:tc>
          <w:tcPr>
            <w:tcW w:w="1065" w:type="pct"/>
            <w:vAlign w:val="center"/>
          </w:tcPr>
          <w:p w:rsidR="008210AE" w:rsidRPr="00D37803" w:rsidP="008210AE" w14:paraId="34625397" w14:textId="4151B9E3">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rsidR="008210AE" w:rsidRPr="00D37803" w:rsidP="008210AE" w14:paraId="3B2D87FF" w14:textId="6638E239">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w:t>
            </w:r>
          </w:p>
        </w:tc>
      </w:tr>
      <w:tr w14:paraId="070C07B8" w14:textId="77777777" w:rsidTr="00343715">
        <w:tblPrEx>
          <w:tblW w:w="5000" w:type="pct"/>
          <w:tblCellMar>
            <w:left w:w="111" w:type="dxa"/>
            <w:right w:w="111" w:type="dxa"/>
          </w:tblCellMar>
          <w:tblLook w:val="0000"/>
        </w:tblPrEx>
        <w:trPr>
          <w:trHeight w:val="366"/>
        </w:trPr>
        <w:tc>
          <w:tcPr>
            <w:tcW w:w="1846" w:type="pct"/>
            <w:vAlign w:val="center"/>
          </w:tcPr>
          <w:p w:rsidR="008210AE" w:rsidRPr="00D37803" w:rsidP="008210AE" w14:paraId="368E1577" w14:textId="7390C1F5">
            <w:pPr>
              <w:pBdr>
                <w:top w:val="single" w:sz="6" w:space="0" w:color="FFFFFF"/>
                <w:left w:val="single" w:sz="6" w:space="0" w:color="FFFFFF"/>
                <w:bottom w:val="single" w:sz="6" w:space="0" w:color="FFFFFF"/>
                <w:right w:val="single" w:sz="6" w:space="0" w:color="FFFFFF"/>
              </w:pBdr>
              <w:rPr>
                <w:b/>
                <w:color w:val="000000"/>
                <w:sz w:val="20"/>
                <w:szCs w:val="20"/>
              </w:rPr>
            </w:pPr>
            <w:r w:rsidRPr="00D37803">
              <w:rPr>
                <w:b/>
                <w:color w:val="000000"/>
                <w:sz w:val="20"/>
                <w:szCs w:val="20"/>
              </w:rPr>
              <w:t>Total Number of Annual Responses</w:t>
            </w:r>
          </w:p>
        </w:tc>
        <w:tc>
          <w:tcPr>
            <w:tcW w:w="686" w:type="pct"/>
            <w:vAlign w:val="center"/>
          </w:tcPr>
          <w:p w:rsidR="008210AE" w:rsidRPr="00D37803" w:rsidP="008210AE" w14:paraId="03DA4AD4" w14:textId="77777777">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637" w:type="pct"/>
            <w:vAlign w:val="center"/>
          </w:tcPr>
          <w:p w:rsidR="008210AE" w:rsidRPr="00D37803" w:rsidP="008210AE" w14:paraId="68755D43" w14:textId="77777777">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065" w:type="pct"/>
            <w:vAlign w:val="center"/>
          </w:tcPr>
          <w:p w:rsidR="008210AE" w:rsidRPr="00D37803" w:rsidP="008210AE" w14:paraId="7987C0A8" w14:textId="136DC2F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D37803">
              <w:rPr>
                <w:b/>
                <w:color w:val="000000"/>
                <w:sz w:val="20"/>
                <w:szCs w:val="20"/>
              </w:rPr>
              <w:t>Total</w:t>
            </w:r>
          </w:p>
        </w:tc>
        <w:tc>
          <w:tcPr>
            <w:tcW w:w="766" w:type="pct"/>
            <w:vAlign w:val="center"/>
          </w:tcPr>
          <w:p w:rsidR="008210AE" w:rsidRPr="00D37803" w:rsidP="008210AE" w14:paraId="67F6EDC2" w14:textId="0E08467A">
            <w:pPr>
              <w:pBdr>
                <w:top w:val="single" w:sz="6" w:space="0" w:color="FFFFFF"/>
                <w:left w:val="single" w:sz="6" w:space="0" w:color="FFFFFF"/>
                <w:bottom w:val="single" w:sz="6" w:space="0" w:color="FFFFFF"/>
                <w:right w:val="single" w:sz="6" w:space="0" w:color="FFFFFF"/>
              </w:pBdr>
              <w:jc w:val="center"/>
              <w:rPr>
                <w:b/>
                <w:color w:val="000000"/>
                <w:sz w:val="20"/>
                <w:szCs w:val="20"/>
              </w:rPr>
            </w:pPr>
            <w:r>
              <w:rPr>
                <w:b/>
                <w:sz w:val="20"/>
                <w:szCs w:val="20"/>
              </w:rPr>
              <w:t>396</w:t>
            </w:r>
          </w:p>
        </w:tc>
      </w:tr>
    </w:tbl>
    <w:p w:rsidR="00CA4CD6" w:rsidRPr="00C87221" w14:paraId="515D2AA1" w14:textId="1AEA95B9">
      <w:pPr>
        <w:pBdr>
          <w:top w:val="single" w:sz="6" w:space="0" w:color="FFFFFF"/>
          <w:left w:val="single" w:sz="6" w:space="0" w:color="FFFFFF"/>
          <w:bottom w:val="single" w:sz="6" w:space="0" w:color="FFFFFF"/>
          <w:right w:val="single" w:sz="6" w:space="0" w:color="FFFFFF"/>
        </w:pBdr>
        <w:rPr>
          <w:color w:val="000000"/>
          <w:sz w:val="20"/>
          <w:szCs w:val="20"/>
        </w:rPr>
      </w:pPr>
      <w:r w:rsidRPr="00C87221">
        <w:rPr>
          <w:color w:val="000000"/>
          <w:sz w:val="20"/>
          <w:szCs w:val="20"/>
          <w:vertAlign w:val="superscript"/>
        </w:rPr>
        <w:t>1</w:t>
      </w:r>
      <w:r w:rsidRPr="00C87221">
        <w:rPr>
          <w:color w:val="000000"/>
          <w:sz w:val="20"/>
          <w:szCs w:val="20"/>
        </w:rPr>
        <w:t xml:space="preserve">Performance test results, selected notifications, and semiannual reports </w:t>
      </w:r>
      <w:r w:rsidR="00A528F0">
        <w:rPr>
          <w:color w:val="000000"/>
          <w:sz w:val="20"/>
          <w:szCs w:val="20"/>
        </w:rPr>
        <w:t xml:space="preserve">will be </w:t>
      </w:r>
      <w:r w:rsidRPr="00C87221">
        <w:rPr>
          <w:color w:val="000000"/>
          <w:sz w:val="20"/>
          <w:szCs w:val="20"/>
        </w:rPr>
        <w:t xml:space="preserve">submitted </w:t>
      </w:r>
      <w:r w:rsidR="00A528F0">
        <w:rPr>
          <w:color w:val="000000"/>
          <w:sz w:val="20"/>
          <w:szCs w:val="20"/>
        </w:rPr>
        <w:t xml:space="preserve">electronically </w:t>
      </w:r>
      <w:r w:rsidRPr="00C87221">
        <w:rPr>
          <w:color w:val="000000"/>
          <w:sz w:val="20"/>
          <w:szCs w:val="20"/>
        </w:rPr>
        <w:t>through CEDRI.</w:t>
      </w:r>
    </w:p>
    <w:p w:rsidR="00C87221" w:rsidRPr="00FA2696" w14:paraId="25CFF4C2" w14:textId="77777777">
      <w:pPr>
        <w:pBdr>
          <w:top w:val="single" w:sz="6" w:space="0" w:color="FFFFFF"/>
          <w:left w:val="single" w:sz="6" w:space="0" w:color="FFFFFF"/>
          <w:bottom w:val="single" w:sz="6" w:space="0" w:color="FFFFFF"/>
          <w:right w:val="single" w:sz="6" w:space="0" w:color="FFFFFF"/>
        </w:pBdr>
      </w:pPr>
    </w:p>
    <w:p w:rsidR="00CA4CD6" w:rsidRPr="00FA2696" w:rsidP="008210AE" w14:paraId="75D4A849" w14:textId="6E889AC1">
      <w:pPr>
        <w:pBdr>
          <w:top w:val="single" w:sz="6" w:space="0" w:color="FFFFFF"/>
          <w:left w:val="single" w:sz="6" w:space="0" w:color="FFFFFF"/>
          <w:bottom w:val="single" w:sz="6" w:space="0" w:color="FFFFFF"/>
          <w:right w:val="single" w:sz="6" w:space="0" w:color="FFFFFF"/>
        </w:pBdr>
        <w:ind w:firstLine="720"/>
      </w:pPr>
      <w:r w:rsidRPr="00FA2696">
        <w:t xml:space="preserve">The number of Total Annual Responses is </w:t>
      </w:r>
      <w:r w:rsidR="00C671BA">
        <w:t>3</w:t>
      </w:r>
      <w:r w:rsidR="00E216EC">
        <w:t>96</w:t>
      </w:r>
      <w:r w:rsidRPr="00FA2696" w:rsidR="008210AE">
        <w:t>.</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rsidRPr="004049A9" w:rsidP="008210AE" w14:paraId="48CA59B8" w14:textId="7C5B8FB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w:t>
      </w:r>
      <w:r w:rsidRPr="004049A9">
        <w:rPr>
          <w:color w:val="000000"/>
        </w:rPr>
        <w:t xml:space="preserve">annual labor costs are </w:t>
      </w:r>
      <w:r w:rsidRPr="004049A9" w:rsidR="00FA2696">
        <w:rPr>
          <w:color w:val="000000"/>
        </w:rPr>
        <w:t>$</w:t>
      </w:r>
      <w:r w:rsidRPr="004049A9" w:rsidR="00E216EC">
        <w:rPr>
          <w:color w:val="000000"/>
        </w:rPr>
        <w:t>4</w:t>
      </w:r>
      <w:r w:rsidRPr="004049A9" w:rsidR="00FA2696">
        <w:rPr>
          <w:color w:val="000000"/>
        </w:rPr>
        <w:t>,</w:t>
      </w:r>
      <w:r w:rsidR="001A019D">
        <w:rPr>
          <w:color w:val="000000"/>
        </w:rPr>
        <w:t>560</w:t>
      </w:r>
      <w:r w:rsidRPr="004049A9" w:rsidR="00FA2696">
        <w:rPr>
          <w:color w:val="000000"/>
        </w:rPr>
        <w:t>,000</w:t>
      </w:r>
      <w:r w:rsidRPr="004049A9">
        <w:rPr>
          <w:color w:val="000000"/>
        </w:rPr>
        <w:t>.</w:t>
      </w:r>
      <w:r w:rsidRPr="004049A9" w:rsidR="009C7E97">
        <w:rPr>
          <w:color w:val="000000"/>
        </w:rPr>
        <w:t xml:space="preserve"> </w:t>
      </w:r>
      <w:r w:rsidRPr="004049A9">
        <w:rPr>
          <w:color w:val="000000"/>
        </w:rPr>
        <w:t xml:space="preserve">Details regarding these estimates may be found </w:t>
      </w:r>
      <w:r w:rsidRPr="004049A9" w:rsidR="007A458D">
        <w:rPr>
          <w:color w:val="000000"/>
        </w:rPr>
        <w:t xml:space="preserve">below </w:t>
      </w:r>
      <w:r w:rsidRPr="004049A9" w:rsidR="0035325B">
        <w:rPr>
          <w:color w:val="000000"/>
        </w:rPr>
        <w:t>in Table 1:</w:t>
      </w:r>
      <w:r w:rsidRPr="004049A9">
        <w:rPr>
          <w:color w:val="000000"/>
        </w:rPr>
        <w:t xml:space="preserve"> Annual Respondent Burden and Cost</w:t>
      </w:r>
      <w:r w:rsidRPr="004049A9" w:rsidR="00CF2B37">
        <w:rPr>
          <w:color w:val="000000"/>
        </w:rPr>
        <w:t xml:space="preserve"> –</w:t>
      </w:r>
      <w:r w:rsidRPr="004049A9">
        <w:rPr>
          <w:color w:val="000000"/>
        </w:rPr>
        <w:t xml:space="preserve"> </w:t>
      </w:r>
      <w:r w:rsidRPr="004049A9" w:rsidR="008210AE">
        <w:t xml:space="preserve">NESHAP for </w:t>
      </w:r>
      <w:r w:rsidRPr="004049A9" w:rsidR="008210AE">
        <w:rPr>
          <w:bCs/>
        </w:rPr>
        <w:t>Plywood and Composite Products (40 CFR Part 63, Subpart DDDD)</w:t>
      </w:r>
      <w:r w:rsidRPr="004049A9" w:rsidR="008210AE">
        <w:t xml:space="preserve"> </w:t>
      </w:r>
      <w:r w:rsidR="00F71A51">
        <w:t>(Final</w:t>
      </w:r>
      <w:r w:rsidRPr="004049A9" w:rsidR="00F256DD">
        <w:t xml:space="preserve"> </w:t>
      </w:r>
      <w:r w:rsidRPr="004049A9" w:rsidR="00623F56">
        <w:t>Amendments</w:t>
      </w:r>
      <w:r w:rsidRPr="004049A9" w:rsidR="008210AE">
        <w:t>).</w:t>
      </w:r>
    </w:p>
    <w:p w:rsidR="00CA4CD6" w:rsidRPr="004049A9"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rsidRPr="004049A9" w14:paraId="69F4ADEF" w14:textId="5EA0010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br w:type="page"/>
      </w:r>
      <w:r w:rsidRPr="004049A9">
        <w:rPr>
          <w:b/>
          <w:bCs/>
          <w:color w:val="000000"/>
        </w:rPr>
        <w:t>6(e)</w:t>
      </w:r>
      <w:r w:rsidRPr="004049A9" w:rsidR="009C7E97">
        <w:rPr>
          <w:b/>
          <w:bCs/>
          <w:color w:val="000000"/>
        </w:rPr>
        <w:t xml:space="preserve"> </w:t>
      </w:r>
      <w:r w:rsidRPr="004049A9">
        <w:rPr>
          <w:b/>
          <w:bCs/>
          <w:color w:val="000000"/>
        </w:rPr>
        <w:t>Bottom Line Burden Hours and Cost Tables</w:t>
      </w:r>
    </w:p>
    <w:p w:rsidR="00CA4CD6" w:rsidRPr="004049A9"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rsidRPr="004049A9" w14:paraId="2100F319" w14:textId="0BB0EF62">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 xml:space="preserve">The detailed bottom line burden hours and cost calculations for the respondents and the Agency are shown </w:t>
      </w:r>
      <w:r w:rsidRPr="004049A9" w:rsidR="004D778E">
        <w:rPr>
          <w:color w:val="000000"/>
        </w:rPr>
        <w:t xml:space="preserve">below </w:t>
      </w:r>
      <w:r w:rsidRPr="004049A9">
        <w:rPr>
          <w:color w:val="000000"/>
        </w:rPr>
        <w:t>in Tables 1 and 2</w:t>
      </w:r>
      <w:r w:rsidRPr="004049A9" w:rsidR="004D778E">
        <w:t xml:space="preserve">, </w:t>
      </w:r>
      <w:r w:rsidRPr="004049A9">
        <w:t>respectively</w:t>
      </w:r>
      <w:r w:rsidRPr="004049A9">
        <w:rPr>
          <w:color w:val="000000"/>
        </w:rPr>
        <w:t>, and summarized below.</w:t>
      </w:r>
      <w:r w:rsidRPr="004049A9" w:rsidR="009C7E97">
        <w:rPr>
          <w:color w:val="000000"/>
        </w:rPr>
        <w:t xml:space="preserve"> </w:t>
      </w:r>
    </w:p>
    <w:p w:rsidR="00CA4CD6" w:rsidRPr="004049A9"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RPr="004049A9"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sidRPr="004049A9">
        <w:rPr>
          <w:b/>
          <w:bCs/>
          <w:color w:val="000000"/>
        </w:rPr>
        <w:t>(</w:t>
      </w:r>
      <w:r w:rsidRPr="004049A9">
        <w:rPr>
          <w:b/>
          <w:bCs/>
          <w:color w:val="000000"/>
        </w:rPr>
        <w:t>i</w:t>
      </w:r>
      <w:r w:rsidRPr="004049A9">
        <w:rPr>
          <w:b/>
          <w:bCs/>
          <w:color w:val="000000"/>
        </w:rPr>
        <w:t>) Respondent Tally</w:t>
      </w:r>
    </w:p>
    <w:p w:rsidR="00CA4CD6" w:rsidRPr="004049A9" w14:paraId="587E1B8A" w14:textId="77777777">
      <w:pPr>
        <w:pBdr>
          <w:top w:val="single" w:sz="6" w:space="0" w:color="FFFFFF"/>
          <w:left w:val="single" w:sz="6" w:space="0" w:color="FFFFFF"/>
          <w:bottom w:val="single" w:sz="6" w:space="0" w:color="FFFFFF"/>
          <w:right w:val="single" w:sz="6" w:space="0" w:color="FFFFFF"/>
        </w:pBdr>
        <w:rPr>
          <w:color w:val="000000"/>
        </w:rPr>
      </w:pPr>
    </w:p>
    <w:p w:rsidR="0049327D" w:rsidRPr="004049A9" w:rsidP="0021722B" w14:paraId="109815C3" w14:textId="07288BAC">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 xml:space="preserve">The total annual labor </w:t>
      </w:r>
      <w:r w:rsidRPr="004049A9" w:rsidR="002C416A">
        <w:rPr>
          <w:color w:val="000000"/>
        </w:rPr>
        <w:t>hours are</w:t>
      </w:r>
      <w:r w:rsidRPr="004049A9">
        <w:rPr>
          <w:color w:val="000000"/>
        </w:rPr>
        <w:t xml:space="preserve"> </w:t>
      </w:r>
      <w:r w:rsidR="001A019D">
        <w:rPr>
          <w:color w:val="000000"/>
        </w:rPr>
        <w:t>39</w:t>
      </w:r>
      <w:r w:rsidRPr="004049A9" w:rsidR="00FA2696">
        <w:rPr>
          <w:color w:val="000000"/>
        </w:rPr>
        <w:t>,</w:t>
      </w:r>
      <w:r w:rsidR="001A019D">
        <w:rPr>
          <w:color w:val="000000"/>
        </w:rPr>
        <w:t>7</w:t>
      </w:r>
      <w:r w:rsidRPr="004049A9" w:rsidR="00FA2696">
        <w:rPr>
          <w:color w:val="000000"/>
        </w:rPr>
        <w:t>00</w:t>
      </w:r>
      <w:r w:rsidRPr="004049A9" w:rsidR="004D778E">
        <w:rPr>
          <w:color w:val="000000"/>
        </w:rPr>
        <w:t xml:space="preserve"> hours</w:t>
      </w:r>
      <w:r w:rsidRPr="004049A9">
        <w:rPr>
          <w:color w:val="000000"/>
        </w:rPr>
        <w:t>.</w:t>
      </w:r>
      <w:r w:rsidRPr="004049A9" w:rsidR="009C7E97">
        <w:rPr>
          <w:color w:val="000000"/>
        </w:rPr>
        <w:t xml:space="preserve"> </w:t>
      </w:r>
      <w:r w:rsidRPr="004049A9">
        <w:rPr>
          <w:color w:val="000000"/>
        </w:rPr>
        <w:t xml:space="preserve">Details regarding these estimates may be found </w:t>
      </w:r>
      <w:r w:rsidRPr="004049A9" w:rsidR="004D778E">
        <w:rPr>
          <w:color w:val="000000"/>
        </w:rPr>
        <w:t xml:space="preserve">below </w:t>
      </w:r>
      <w:r w:rsidRPr="004049A9">
        <w:rPr>
          <w:color w:val="000000"/>
        </w:rPr>
        <w:t>in Table 1</w:t>
      </w:r>
      <w:r w:rsidRPr="004049A9" w:rsidR="004D778E">
        <w:rPr>
          <w:color w:val="000000"/>
        </w:rPr>
        <w:t>:</w:t>
      </w:r>
      <w:r w:rsidRPr="004049A9" w:rsidR="009C7E97">
        <w:rPr>
          <w:color w:val="000000"/>
        </w:rPr>
        <w:t xml:space="preserve"> </w:t>
      </w:r>
      <w:r w:rsidRPr="004049A9">
        <w:rPr>
          <w:color w:val="000000"/>
        </w:rPr>
        <w:t>Annual Respondent Burden and Cost</w:t>
      </w:r>
      <w:r w:rsidRPr="004049A9" w:rsidR="00CF2B37">
        <w:rPr>
          <w:color w:val="000000"/>
        </w:rPr>
        <w:t xml:space="preserve"> – </w:t>
      </w:r>
      <w:r w:rsidRPr="004049A9" w:rsidR="008210AE">
        <w:t xml:space="preserve">NESHAP for </w:t>
      </w:r>
      <w:r w:rsidRPr="004049A9" w:rsidR="008210AE">
        <w:rPr>
          <w:bCs/>
        </w:rPr>
        <w:t>Plywood and Composite Products (40 CFR Part 63, Subpart DDDD)</w:t>
      </w:r>
      <w:r w:rsidRPr="004049A9" w:rsidR="008210AE">
        <w:t xml:space="preserve"> (</w:t>
      </w:r>
      <w:r w:rsidR="00F71A51">
        <w:t>Final</w:t>
      </w:r>
      <w:r w:rsidRPr="004049A9" w:rsidR="00F256DD">
        <w:t xml:space="preserve"> </w:t>
      </w:r>
      <w:r w:rsidRPr="004049A9" w:rsidR="00623F56">
        <w:t>Amendments</w:t>
      </w:r>
      <w:r w:rsidRPr="004049A9" w:rsidR="008210AE">
        <w:t>)</w:t>
      </w:r>
      <w:r w:rsidRPr="004049A9">
        <w:rPr>
          <w:color w:val="000000"/>
        </w:rPr>
        <w:t>.</w:t>
      </w:r>
      <w:r w:rsidRPr="004049A9" w:rsidR="009C7E97">
        <w:rPr>
          <w:color w:val="000000"/>
        </w:rPr>
        <w:t xml:space="preserve"> </w:t>
      </w:r>
      <w:r w:rsidRPr="004049A9" w:rsidR="00A528F0">
        <w:rPr>
          <w:color w:val="000000"/>
        </w:rPr>
        <w:t>Furthermore, the annual public reporting and recordkeeping burden for this collection of information is estimated to averag</w:t>
      </w:r>
      <w:r w:rsidRPr="004049A9" w:rsidR="00A528F0">
        <w:t xml:space="preserve">e </w:t>
      </w:r>
      <w:r w:rsidRPr="004049A9" w:rsidR="00E216EC">
        <w:t>106</w:t>
      </w:r>
      <w:r w:rsidRPr="004049A9" w:rsidR="00A528F0">
        <w:t xml:space="preserve"> </w:t>
      </w:r>
      <w:r w:rsidRPr="004049A9" w:rsidR="00A528F0">
        <w:rPr>
          <w:color w:val="000000"/>
        </w:rPr>
        <w:t>hours per response.</w:t>
      </w:r>
    </w:p>
    <w:p w:rsidR="0021722B" w:rsidRPr="004049A9"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4049A9" w14:paraId="291B4E94" w14:textId="1A24440E">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 xml:space="preserve">The total annual capital/startup and O&amp;M costs to the regulated entity are </w:t>
      </w:r>
      <w:r w:rsidRPr="004049A9" w:rsidR="00FA2696">
        <w:rPr>
          <w:color w:val="000000"/>
        </w:rPr>
        <w:t>$</w:t>
      </w:r>
      <w:r w:rsidRPr="004049A9" w:rsidR="00001B52">
        <w:rPr>
          <w:color w:val="000000"/>
        </w:rPr>
        <w:t>2</w:t>
      </w:r>
      <w:r w:rsidRPr="004049A9" w:rsidR="00FA2696">
        <w:rPr>
          <w:color w:val="000000"/>
        </w:rPr>
        <w:t>,</w:t>
      </w:r>
      <w:r w:rsidRPr="004049A9" w:rsidR="00001B52">
        <w:rPr>
          <w:color w:val="000000"/>
        </w:rPr>
        <w:t>365,000</w:t>
      </w:r>
      <w:r w:rsidRPr="004049A9" w:rsidR="00507EC5">
        <w:rPr>
          <w:color w:val="000000"/>
        </w:rPr>
        <w:t>.</w:t>
      </w:r>
      <w:r w:rsidRPr="004049A9" w:rsidR="009C7E97">
        <w:rPr>
          <w:color w:val="000000"/>
        </w:rPr>
        <w:t xml:space="preserve"> </w:t>
      </w:r>
      <w:r w:rsidRPr="004049A9">
        <w:rPr>
          <w:color w:val="000000"/>
        </w:rPr>
        <w:t>The cost calculations are detailed in Section 6(b)(iii), Capital/Startup vs. Operation and Maintenance (O&amp;M) Costs.</w:t>
      </w:r>
    </w:p>
    <w:p w:rsidR="00CA4CD6" w:rsidRPr="004049A9"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RPr="004049A9"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sidRPr="004049A9">
        <w:rPr>
          <w:b/>
          <w:bCs/>
          <w:color w:val="000000"/>
        </w:rPr>
        <w:t>(ii) The Agency Tally</w:t>
      </w:r>
    </w:p>
    <w:p w:rsidR="00CA4CD6" w:rsidRPr="004049A9" w14:paraId="046A0083" w14:textId="77777777">
      <w:pPr>
        <w:pBdr>
          <w:top w:val="single" w:sz="6" w:space="0" w:color="FFFFFF"/>
          <w:left w:val="single" w:sz="6" w:space="0" w:color="FFFFFF"/>
          <w:bottom w:val="single" w:sz="6" w:space="0" w:color="FFFFFF"/>
          <w:right w:val="single" w:sz="6" w:space="0" w:color="FFFFFF"/>
        </w:pBdr>
        <w:rPr>
          <w:color w:val="FF0000"/>
        </w:rPr>
      </w:pPr>
    </w:p>
    <w:p w:rsidR="0049327D" w:rsidRPr="004049A9" w:rsidP="00144F35" w14:paraId="47DC86B1" w14:textId="0B186EFE">
      <w:pPr>
        <w:pBdr>
          <w:top w:val="single" w:sz="6" w:space="0" w:color="FFFFFF"/>
          <w:left w:val="single" w:sz="6" w:space="0" w:color="FFFFFF"/>
          <w:bottom w:val="single" w:sz="6" w:space="0" w:color="FFFFFF"/>
          <w:right w:val="single" w:sz="6" w:space="0" w:color="FFFFFF"/>
        </w:pBdr>
        <w:ind w:firstLine="720"/>
        <w:rPr>
          <w:color w:val="FF0000"/>
        </w:rPr>
      </w:pPr>
      <w:r w:rsidRPr="004049A9">
        <w:rPr>
          <w:color w:val="000000"/>
        </w:rPr>
        <w:t xml:space="preserve">The average annual Agency burden and cost over next three years is estimated to be </w:t>
      </w:r>
      <w:r w:rsidRPr="004049A9" w:rsidR="00001B52">
        <w:rPr>
          <w:color w:val="000000"/>
        </w:rPr>
        <w:t>1310</w:t>
      </w:r>
      <w:r w:rsidRPr="004049A9">
        <w:rPr>
          <w:color w:val="000000"/>
        </w:rPr>
        <w:t xml:space="preserve"> labor hours at a cost of </w:t>
      </w:r>
      <w:r w:rsidRPr="004049A9" w:rsidR="00FA2696">
        <w:rPr>
          <w:color w:val="000000"/>
        </w:rPr>
        <w:t>$</w:t>
      </w:r>
      <w:r w:rsidRPr="004049A9" w:rsidR="00001B52">
        <w:rPr>
          <w:color w:val="000000"/>
        </w:rPr>
        <w:t>62</w:t>
      </w:r>
      <w:r w:rsidRPr="004049A9" w:rsidR="00FA2696">
        <w:rPr>
          <w:color w:val="000000"/>
        </w:rPr>
        <w:t>,</w:t>
      </w:r>
      <w:r w:rsidRPr="004049A9" w:rsidR="00001B52">
        <w:rPr>
          <w:color w:val="000000"/>
        </w:rPr>
        <w:t>3</w:t>
      </w:r>
      <w:r w:rsidRPr="004049A9" w:rsidR="00FA2696">
        <w:rPr>
          <w:color w:val="000000"/>
        </w:rPr>
        <w:t>00</w:t>
      </w:r>
      <w:r w:rsidRPr="004049A9" w:rsidR="00144F35">
        <w:rPr>
          <w:color w:val="000000"/>
        </w:rPr>
        <w:t>.</w:t>
      </w:r>
      <w:r w:rsidRPr="004049A9" w:rsidR="009C7E97">
        <w:rPr>
          <w:color w:val="000000"/>
        </w:rPr>
        <w:t xml:space="preserve"> </w:t>
      </w:r>
      <w:r w:rsidRPr="004049A9" w:rsidR="00144F35">
        <w:rPr>
          <w:color w:val="000000"/>
        </w:rPr>
        <w:t xml:space="preserve">See </w:t>
      </w:r>
      <w:r w:rsidRPr="004049A9" w:rsidR="004D778E">
        <w:rPr>
          <w:color w:val="000000"/>
        </w:rPr>
        <w:t xml:space="preserve">below in </w:t>
      </w:r>
      <w:r w:rsidRPr="004049A9" w:rsidR="00144F35">
        <w:rPr>
          <w:color w:val="000000"/>
        </w:rPr>
        <w:t xml:space="preserve">Table 2: </w:t>
      </w:r>
      <w:r w:rsidRPr="004049A9" w:rsidR="00CF2B37">
        <w:t>Average Annual EPA Burden and Cost –</w:t>
      </w:r>
      <w:r w:rsidRPr="004049A9" w:rsidR="00144F35">
        <w:rPr>
          <w:color w:val="000000"/>
        </w:rPr>
        <w:t xml:space="preserve"> </w:t>
      </w:r>
      <w:r w:rsidRPr="004049A9" w:rsidR="008210AE">
        <w:t xml:space="preserve">NESHAP for </w:t>
      </w:r>
      <w:r w:rsidRPr="004049A9" w:rsidR="008210AE">
        <w:rPr>
          <w:bCs/>
        </w:rPr>
        <w:t>Plywood and Composite Products (40 CFR Part 63, Subpart DDDD)</w:t>
      </w:r>
      <w:r w:rsidRPr="004049A9" w:rsidR="008210AE">
        <w:t xml:space="preserve"> (</w:t>
      </w:r>
      <w:r w:rsidR="00F71A51">
        <w:t>Final</w:t>
      </w:r>
      <w:r w:rsidRPr="004049A9" w:rsidR="00001B52">
        <w:t xml:space="preserve"> Amendments</w:t>
      </w:r>
      <w:r w:rsidRPr="004049A9" w:rsidR="008210AE">
        <w:t>).</w:t>
      </w:r>
    </w:p>
    <w:p w:rsidR="00CA4CD6" w:rsidRPr="004049A9"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rsidRPr="004049A9"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sidRPr="004049A9">
        <w:rPr>
          <w:b/>
          <w:bCs/>
          <w:color w:val="000000"/>
        </w:rPr>
        <w:t>6(f)</w:t>
      </w:r>
      <w:r w:rsidRPr="004049A9" w:rsidR="009C7E97">
        <w:rPr>
          <w:b/>
          <w:bCs/>
          <w:color w:val="000000"/>
        </w:rPr>
        <w:t xml:space="preserve"> </w:t>
      </w:r>
      <w:r w:rsidRPr="004049A9">
        <w:rPr>
          <w:b/>
          <w:bCs/>
          <w:color w:val="000000"/>
        </w:rPr>
        <w:t>Reasons for Change in Burden</w:t>
      </w:r>
    </w:p>
    <w:p w:rsidR="00CA4CD6" w:rsidRPr="004049A9" w14:paraId="2CC29317" w14:textId="77777777">
      <w:pPr>
        <w:pBdr>
          <w:top w:val="single" w:sz="6" w:space="0" w:color="FFFFFF"/>
          <w:left w:val="single" w:sz="6" w:space="0" w:color="FFFFFF"/>
          <w:bottom w:val="single" w:sz="6" w:space="0" w:color="FFFFFF"/>
          <w:right w:val="single" w:sz="6" w:space="0" w:color="FFFFFF"/>
        </w:pBdr>
        <w:rPr>
          <w:color w:val="FF0000"/>
        </w:rPr>
      </w:pPr>
    </w:p>
    <w:p w:rsidR="00042BD5" w:rsidP="00042BD5" w14:paraId="3A1403E7" w14:textId="12D2DF13">
      <w:pPr>
        <w:ind w:firstLine="720"/>
      </w:pPr>
      <w:r w:rsidRPr="004049A9">
        <w:t xml:space="preserve">This ICR is prepared for amendments to the PCWP </w:t>
      </w:r>
      <w:r w:rsidRPr="004049A9">
        <w:rPr>
          <w:bCs/>
        </w:rPr>
        <w:t xml:space="preserve">NESHAP </w:t>
      </w:r>
      <w:r w:rsidRPr="004049A9">
        <w:t>(40 CFR, Part 63, Subpart DDDD). These amendments: (1) adjust references to the Part 63 General Provisions (40 CFR, Part 63, Subpart A) and revise provisions in the NESHAP (40 CFR Part 63, Subpart DDDD) to remove the SSM exemption and SSM plan requirement; (2) add repeat emissions testing; (3) add electronic submittal of selected notifications, semiannual reports, and performance test reports; and (4) make technical and editorial changes. Where applicable, adjustments for these amendments are reflected in Tables 1 and 2 of this ICR.</w:t>
      </w:r>
    </w:p>
    <w:p w:rsidR="00805FCD" w:rsidP="00042BD5" w14:paraId="3EC4967F" w14:textId="16CE61A1">
      <w:pPr>
        <w:ind w:firstLine="720"/>
      </w:pPr>
    </w:p>
    <w:p w:rsidR="00805FCD" w:rsidP="00042BD5" w14:paraId="48F675A5" w14:textId="577FCA48">
      <w:pPr>
        <w:ind w:firstLine="720"/>
      </w:pPr>
      <w:r>
        <w:t xml:space="preserve">Changes in the burden estimates from the most-recently approved ICR </w:t>
      </w:r>
      <w:r w:rsidRPr="00805FCD">
        <w:t>renewal (Agency Tracking ID 1984.08)</w:t>
      </w:r>
      <w:r>
        <w:t xml:space="preserve"> include (1) an increase in the burden estimate </w:t>
      </w:r>
      <w:r w:rsidRPr="004049A9">
        <w:t>for familiarizing with regulatory requirements to reflect the actual time it would take industry to review the amended rule</w:t>
      </w:r>
      <w:r>
        <w:t>; (2) addition of b</w:t>
      </w:r>
      <w:r w:rsidRPr="004049A9">
        <w:t>urden estimates for the industry to prepare for/attend performance tests and retests, report the results of the performance tests/retests through CEDRI using the ERT, and adjust existing data acquisition systems to include startup and shutdown periods and to transition to submission of selected notifications and semiannual reports through CEDR</w:t>
      </w:r>
      <w:r>
        <w:t>I; and (3) removal of b</w:t>
      </w:r>
      <w:r w:rsidRPr="004049A9">
        <w:t>urden estimates</w:t>
      </w:r>
      <w:r>
        <w:t xml:space="preserve"> </w:t>
      </w:r>
      <w:r w:rsidRPr="004049A9">
        <w:t xml:space="preserve">for developing SSM plans and submitting periodic SSM reports. </w:t>
      </w:r>
      <w:r w:rsidR="00AA6A83">
        <w:t>In addition, d</w:t>
      </w:r>
      <w:r w:rsidRPr="004049A9">
        <w:t xml:space="preserve">istinctions between PCWP mills and kiln-dried lumber mills that are subject to PCWP NESHAP </w:t>
      </w:r>
      <w:r>
        <w:t>(but currently have no requirements</w:t>
      </w:r>
      <w:r w:rsidR="00AA6A83">
        <w:t xml:space="preserve"> beyond initial notification) </w:t>
      </w:r>
      <w:r w:rsidRPr="004049A9">
        <w:t>were made whe</w:t>
      </w:r>
      <w:r w:rsidR="00AA6A83">
        <w:t>re</w:t>
      </w:r>
      <w:r w:rsidRPr="004049A9">
        <w:t xml:space="preserve"> needed </w:t>
      </w:r>
      <w:r w:rsidR="00AA6A83">
        <w:t xml:space="preserve">in the burden tables </w:t>
      </w:r>
      <w:r w:rsidRPr="004049A9">
        <w:t>to reflect differences in the burden for the two types of facilities.</w:t>
      </w:r>
    </w:p>
    <w:p w:rsidR="00CA4CD6" w:rsidRPr="004049A9"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sidRPr="004049A9">
        <w:rPr>
          <w:b/>
          <w:bCs/>
          <w:color w:val="000000"/>
        </w:rPr>
        <w:t>6(g)</w:t>
      </w:r>
      <w:r w:rsidRPr="004049A9" w:rsidR="009C7E97">
        <w:rPr>
          <w:b/>
          <w:bCs/>
          <w:color w:val="000000"/>
        </w:rPr>
        <w:t xml:space="preserve"> </w:t>
      </w:r>
      <w:r w:rsidRPr="004049A9">
        <w:rPr>
          <w:b/>
          <w:bCs/>
          <w:color w:val="000000"/>
        </w:rPr>
        <w:t>Burden Statement</w:t>
      </w:r>
    </w:p>
    <w:p w:rsidR="00CA4CD6" w:rsidRPr="004049A9"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62EB6AE9">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 xml:space="preserve">The annual public reporting and recordkeeping burden for this collection of information is estimated to average </w:t>
      </w:r>
      <w:r w:rsidRPr="004049A9" w:rsidR="00001B52">
        <w:t>106</w:t>
      </w:r>
      <w:r w:rsidRPr="004049A9">
        <w:rPr>
          <w:color w:val="000000"/>
        </w:rPr>
        <w:t xml:space="preserve"> hours per response.</w:t>
      </w:r>
      <w:r w:rsidRPr="004049A9" w:rsidR="009C7E97">
        <w:rPr>
          <w:color w:val="000000"/>
        </w:rPr>
        <w:t xml:space="preserve"> </w:t>
      </w:r>
      <w:r w:rsidRPr="004049A9">
        <w:rPr>
          <w:color w:val="000000"/>
        </w:rPr>
        <w:t>Burden means the total time, effort, or financial resources expended by persons to generate</w:t>
      </w:r>
      <w:r>
        <w:rPr>
          <w:color w:val="000000"/>
        </w:rPr>
        <w:t xml:space="preserve">, maintain, retain, or disclose or provide information 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5E8198D3">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32464443">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8210AE" w:rsidR="008210AE">
        <w:t>EPA-HQ-OECA-2013-0341</w:t>
      </w:r>
      <w:r w:rsidRPr="008210AE">
        <w:t>.</w:t>
      </w:r>
      <w:r w:rsidRPr="008210AE" w:rsidR="009C7E97">
        <w:t xml:space="preserve"> </w:t>
      </w:r>
      <w:r w:rsidRPr="00354C15">
        <w:t xml:space="preserve">An electronic version of the public docket is available at </w:t>
      </w:r>
      <w:hyperlink r:id="rId6" w:history="1">
        <w:r w:rsidRPr="00522FA1" w:rsidR="00377D7F">
          <w:rPr>
            <w:rStyle w:val="Hyperlink"/>
            <w:color w:val="auto"/>
          </w:rPr>
          <w:t>http://www.regulations.gov/</w:t>
        </w:r>
      </w:hyperlink>
      <w:r w:rsidRPr="00481DEB" w:rsidR="004D778E">
        <w:rPr>
          <w:rStyle w:val="Hyperlink"/>
          <w:color w:val="auto"/>
          <w:u w:val="none"/>
        </w:rPr>
        <w:t>,</w:t>
      </w:r>
      <w:r w:rsidRPr="00522FA1"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4D778E">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4D778E">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8210AE" w:rsidR="008210AE">
        <w:t>EPA-HQ-OECA-2013-0341</w:t>
      </w:r>
      <w:r w:rsidR="00CA4CD6">
        <w:t xml:space="preserve"> and OMB Control </w:t>
      </w:r>
      <w:r w:rsidRPr="008210AE" w:rsidR="00CA4CD6">
        <w:t xml:space="preserve">Number </w:t>
      </w:r>
      <w:r w:rsidRPr="008210AE" w:rsidR="008210AE">
        <w:t>2060-0552</w:t>
      </w:r>
      <w:r w:rsidRPr="008210AE" w:rsidR="00CA4CD6">
        <w:t xml:space="preserve">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7"/>
          <w:type w:val="continuous"/>
          <w:pgSz w:w="12240" w:h="15840"/>
          <w:pgMar w:top="1350" w:right="1440" w:bottom="1440" w:left="1440" w:header="1350" w:footer="1440" w:gutter="0"/>
          <w:cols w:space="720"/>
          <w:noEndnote/>
          <w:titlePg/>
          <w:docGrid w:linePitch="326"/>
        </w:sectPr>
      </w:pPr>
    </w:p>
    <w:p w:rsidR="00144F35" w:rsidP="00A65F54" w14:paraId="6CB24DB0" w14:textId="5E2791BA">
      <w:pPr>
        <w:outlineLvl w:val="0"/>
        <w:rPr>
          <w:b/>
          <w:bCs/>
          <w:color w:val="000000"/>
        </w:rPr>
      </w:pPr>
      <w:r w:rsidRPr="00C4183F">
        <w:rPr>
          <w:b/>
          <w:bCs/>
          <w:color w:val="000000"/>
        </w:rPr>
        <w:t xml:space="preserve">Table 1: Annual Respondent </w:t>
      </w:r>
      <w:r w:rsidRPr="00696F91">
        <w:rPr>
          <w:b/>
          <w:bCs/>
        </w:rPr>
        <w:t xml:space="preserve">Burden and Cost – </w:t>
      </w:r>
      <w:r w:rsidRPr="00696F91" w:rsidR="00696F91">
        <w:rPr>
          <w:b/>
          <w:bCs/>
        </w:rPr>
        <w:t>NESHAP for Plywood and Composite Products (40 CFR Part 63, Subpart DDDD) (</w:t>
      </w:r>
      <w:r w:rsidR="00F71A51">
        <w:rPr>
          <w:b/>
          <w:bCs/>
        </w:rPr>
        <w:t>Final</w:t>
      </w:r>
      <w:r w:rsidR="00001B52">
        <w:rPr>
          <w:b/>
          <w:bCs/>
        </w:rPr>
        <w:t xml:space="preserve"> Amendments</w:t>
      </w:r>
      <w:r w:rsidRPr="00696F91" w:rsidR="00696F91">
        <w:rPr>
          <w:b/>
          <w:bCs/>
        </w:rPr>
        <w:t>)</w:t>
      </w:r>
    </w:p>
    <w:tbl>
      <w:tblPr>
        <w:tblW w:w="13387" w:type="dxa"/>
        <w:tblInd w:w="-72" w:type="dxa"/>
        <w:tblLayout w:type="fixed"/>
        <w:tblLook w:val="04A0"/>
      </w:tblPr>
      <w:tblGrid>
        <w:gridCol w:w="3420"/>
        <w:gridCol w:w="1239"/>
        <w:gridCol w:w="1259"/>
        <w:gridCol w:w="1259"/>
        <w:gridCol w:w="1350"/>
        <w:gridCol w:w="1080"/>
        <w:gridCol w:w="1350"/>
        <w:gridCol w:w="1260"/>
        <w:gridCol w:w="1170"/>
      </w:tblGrid>
      <w:tr w14:paraId="117E4DBB" w14:textId="77777777" w:rsidTr="00A85037">
        <w:tblPrEx>
          <w:tblW w:w="13387" w:type="dxa"/>
          <w:tblInd w:w="-72" w:type="dxa"/>
          <w:tblLayout w:type="fixed"/>
          <w:tblLook w:val="04A0"/>
        </w:tblPrEx>
        <w:trPr>
          <w:trHeight w:val="300"/>
          <w:tblHead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5037" w:rsidRPr="006F268A" w:rsidP="00A85037" w14:paraId="09051B64" w14:textId="16E51D78">
            <w:pPr>
              <w:widowControl/>
              <w:autoSpaceDE/>
              <w:autoSpaceDN/>
              <w:adjustRightInd/>
              <w:rPr>
                <w:sz w:val="20"/>
                <w:szCs w:val="20"/>
              </w:rPr>
            </w:pPr>
            <w:r w:rsidRPr="00696F91">
              <w:rPr>
                <w:b/>
                <w:bCs/>
                <w:color w:val="000000"/>
                <w:sz w:val="20"/>
                <w:szCs w:val="20"/>
              </w:rPr>
              <w:t>Burden Item</w:t>
            </w:r>
          </w:p>
        </w:tc>
        <w:tc>
          <w:tcPr>
            <w:tcW w:w="1239" w:type="dxa"/>
            <w:tcBorders>
              <w:top w:val="single" w:sz="4" w:space="0" w:color="auto"/>
              <w:left w:val="nil"/>
              <w:bottom w:val="single" w:sz="4" w:space="0" w:color="auto"/>
              <w:right w:val="single" w:sz="4" w:space="0" w:color="auto"/>
            </w:tcBorders>
            <w:shd w:val="clear" w:color="auto" w:fill="auto"/>
            <w:noWrap/>
            <w:vAlign w:val="center"/>
          </w:tcPr>
          <w:p w:rsidR="00A85037" w:rsidRPr="006F268A" w:rsidP="00A85037" w14:paraId="23F87537" w14:textId="6EA83405">
            <w:pPr>
              <w:widowControl/>
              <w:autoSpaceDE/>
              <w:autoSpaceDN/>
              <w:adjustRightInd/>
              <w:jc w:val="center"/>
              <w:rPr>
                <w:sz w:val="20"/>
                <w:szCs w:val="20"/>
              </w:rPr>
            </w:pPr>
            <w:r w:rsidRPr="00696F91">
              <w:rPr>
                <w:b/>
                <w:bCs/>
                <w:color w:val="000000"/>
                <w:sz w:val="20"/>
                <w:szCs w:val="20"/>
              </w:rPr>
              <w:t>(A)</w:t>
            </w:r>
            <w:r w:rsidRPr="00696F91">
              <w:rPr>
                <w:b/>
                <w:bCs/>
                <w:color w:val="000000"/>
                <w:sz w:val="20"/>
                <w:szCs w:val="20"/>
              </w:rPr>
              <w:br/>
              <w:t>Person hours per occurrence</w:t>
            </w:r>
          </w:p>
        </w:tc>
        <w:tc>
          <w:tcPr>
            <w:tcW w:w="1259" w:type="dxa"/>
            <w:tcBorders>
              <w:top w:val="single" w:sz="4" w:space="0" w:color="auto"/>
              <w:left w:val="nil"/>
              <w:bottom w:val="single" w:sz="4" w:space="0" w:color="auto"/>
              <w:right w:val="single" w:sz="4" w:space="0" w:color="auto"/>
            </w:tcBorders>
            <w:shd w:val="clear" w:color="auto" w:fill="auto"/>
            <w:noWrap/>
            <w:vAlign w:val="center"/>
          </w:tcPr>
          <w:p w:rsidR="00A85037" w:rsidRPr="006F268A" w:rsidP="00A85037" w14:paraId="0DB58711" w14:textId="45E0A332">
            <w:pPr>
              <w:widowControl/>
              <w:autoSpaceDE/>
              <w:autoSpaceDN/>
              <w:adjustRightInd/>
              <w:jc w:val="center"/>
              <w:rPr>
                <w:sz w:val="20"/>
                <w:szCs w:val="20"/>
              </w:rPr>
            </w:pPr>
            <w:r w:rsidRPr="00696F91">
              <w:rPr>
                <w:b/>
                <w:bCs/>
                <w:color w:val="000000"/>
                <w:sz w:val="20"/>
                <w:szCs w:val="20"/>
              </w:rPr>
              <w:t>(B)</w:t>
            </w:r>
            <w:r w:rsidRPr="00696F91">
              <w:rPr>
                <w:b/>
                <w:bCs/>
                <w:color w:val="000000"/>
                <w:sz w:val="20"/>
                <w:szCs w:val="20"/>
              </w:rPr>
              <w:br/>
              <w:t>No. of occurrences per respondent per year</w:t>
            </w:r>
          </w:p>
        </w:tc>
        <w:tc>
          <w:tcPr>
            <w:tcW w:w="1259" w:type="dxa"/>
            <w:tcBorders>
              <w:top w:val="single" w:sz="4" w:space="0" w:color="auto"/>
              <w:left w:val="nil"/>
              <w:bottom w:val="single" w:sz="4" w:space="0" w:color="auto"/>
              <w:right w:val="single" w:sz="4" w:space="0" w:color="auto"/>
            </w:tcBorders>
            <w:shd w:val="clear" w:color="auto" w:fill="auto"/>
            <w:noWrap/>
            <w:vAlign w:val="center"/>
          </w:tcPr>
          <w:p w:rsidR="00A85037" w:rsidRPr="006F268A" w:rsidP="00A85037" w14:paraId="080B409D" w14:textId="55E186E9">
            <w:pPr>
              <w:widowControl/>
              <w:autoSpaceDE/>
              <w:autoSpaceDN/>
              <w:adjustRightInd/>
              <w:jc w:val="center"/>
              <w:rPr>
                <w:sz w:val="20"/>
                <w:szCs w:val="20"/>
              </w:rPr>
            </w:pPr>
            <w:r w:rsidRPr="00696F91">
              <w:rPr>
                <w:b/>
                <w:bCs/>
                <w:color w:val="000000"/>
                <w:sz w:val="20"/>
                <w:szCs w:val="20"/>
              </w:rPr>
              <w:t>(C)</w:t>
            </w:r>
            <w:r w:rsidRPr="00696F91">
              <w:rPr>
                <w:b/>
                <w:bCs/>
                <w:color w:val="000000"/>
                <w:sz w:val="20"/>
                <w:szCs w:val="20"/>
              </w:rPr>
              <w:br/>
              <w:t xml:space="preserve">Person hours per respondent per year </w:t>
            </w:r>
            <w:r w:rsidRPr="00696F91">
              <w:rPr>
                <w:b/>
                <w:bCs/>
                <w:color w:val="000000"/>
                <w:sz w:val="20"/>
                <w:szCs w:val="20"/>
              </w:rPr>
              <w:br/>
              <w:t>(C=</w:t>
            </w:r>
            <w:r w:rsidRPr="00696F91">
              <w:rPr>
                <w:b/>
                <w:bCs/>
                <w:color w:val="000000"/>
                <w:sz w:val="20"/>
                <w:szCs w:val="20"/>
              </w:rPr>
              <w:t>AxB</w:t>
            </w:r>
            <w:r w:rsidRPr="00696F91">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A85037" w:rsidRPr="006F268A" w:rsidP="00A85037" w14:paraId="32BA8BAC" w14:textId="48017901">
            <w:pPr>
              <w:widowControl/>
              <w:autoSpaceDE/>
              <w:autoSpaceDN/>
              <w:adjustRightInd/>
              <w:jc w:val="center"/>
              <w:rPr>
                <w:sz w:val="20"/>
                <w:szCs w:val="20"/>
              </w:rPr>
            </w:pPr>
            <w:r>
              <w:rPr>
                <w:b/>
                <w:bCs/>
                <w:color w:val="000000"/>
                <w:sz w:val="20"/>
                <w:szCs w:val="20"/>
              </w:rPr>
              <w:t>(D)</w:t>
            </w:r>
            <w:r>
              <w:rPr>
                <w:b/>
                <w:bCs/>
                <w:color w:val="000000"/>
                <w:sz w:val="20"/>
                <w:szCs w:val="20"/>
              </w:rPr>
              <w:br/>
              <w:t xml:space="preserve">Respondents per year </w:t>
            </w:r>
            <w:r w:rsidRPr="00696F91">
              <w:rPr>
                <w:b/>
                <w:bCs/>
                <w:color w:val="000000"/>
                <w:vertAlign w:val="superscript"/>
              </w:rPr>
              <w:t>a</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85037" w:rsidRPr="006F268A" w:rsidP="00A85037" w14:paraId="398D07A6" w14:textId="7B8BE577">
            <w:pPr>
              <w:widowControl/>
              <w:autoSpaceDE/>
              <w:autoSpaceDN/>
              <w:adjustRightInd/>
              <w:jc w:val="center"/>
              <w:rPr>
                <w:sz w:val="20"/>
                <w:szCs w:val="20"/>
              </w:rPr>
            </w:pPr>
            <w:r w:rsidRPr="00696F91">
              <w:rPr>
                <w:b/>
                <w:bCs/>
                <w:color w:val="000000"/>
                <w:sz w:val="20"/>
                <w:szCs w:val="20"/>
              </w:rPr>
              <w:t>(E)</w:t>
            </w:r>
            <w:r w:rsidRPr="00696F91">
              <w:rPr>
                <w:b/>
                <w:bCs/>
                <w:color w:val="000000"/>
                <w:sz w:val="20"/>
                <w:szCs w:val="20"/>
              </w:rPr>
              <w:br/>
              <w:t xml:space="preserve">Technical person- hours per year </w:t>
            </w:r>
            <w:r w:rsidRPr="00696F91">
              <w:rPr>
                <w:b/>
                <w:bCs/>
                <w:color w:val="000000"/>
                <w:sz w:val="20"/>
                <w:szCs w:val="20"/>
              </w:rPr>
              <w:br/>
              <w:t>(E=</w:t>
            </w:r>
            <w:r w:rsidRPr="00696F91">
              <w:rPr>
                <w:b/>
                <w:bCs/>
                <w:color w:val="000000"/>
                <w:sz w:val="20"/>
                <w:szCs w:val="20"/>
              </w:rPr>
              <w:t>CxD</w:t>
            </w:r>
            <w:r w:rsidRPr="00696F91">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A85037" w:rsidRPr="006F268A" w:rsidP="00A85037" w14:paraId="726B2DB0" w14:textId="40EEF8B9">
            <w:pPr>
              <w:widowControl/>
              <w:autoSpaceDE/>
              <w:autoSpaceDN/>
              <w:adjustRightInd/>
              <w:jc w:val="center"/>
              <w:rPr>
                <w:sz w:val="20"/>
                <w:szCs w:val="20"/>
              </w:rPr>
            </w:pPr>
            <w:r w:rsidRPr="00696F91">
              <w:rPr>
                <w:b/>
                <w:bCs/>
                <w:color w:val="000000"/>
                <w:sz w:val="20"/>
                <w:szCs w:val="20"/>
              </w:rPr>
              <w:t>(F)</w:t>
            </w:r>
            <w:r w:rsidRPr="00696F91">
              <w:rPr>
                <w:b/>
                <w:bCs/>
                <w:color w:val="000000"/>
                <w:sz w:val="20"/>
                <w:szCs w:val="20"/>
              </w:rPr>
              <w:br/>
              <w:t>Management person hours per year</w:t>
            </w:r>
            <w:r w:rsidRPr="00696F91">
              <w:rPr>
                <w:b/>
                <w:bCs/>
                <w:color w:val="000000"/>
                <w:sz w:val="20"/>
                <w:szCs w:val="20"/>
              </w:rPr>
              <w:br/>
              <w:t>(F=Ex0.05)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85037" w:rsidRPr="006F268A" w:rsidP="00A85037" w14:paraId="14C4B698" w14:textId="2AC899AA">
            <w:pPr>
              <w:widowControl/>
              <w:autoSpaceDE/>
              <w:autoSpaceDN/>
              <w:adjustRightInd/>
              <w:jc w:val="center"/>
              <w:rPr>
                <w:sz w:val="20"/>
                <w:szCs w:val="20"/>
              </w:rPr>
            </w:pPr>
            <w:r w:rsidRPr="00696F91">
              <w:rPr>
                <w:b/>
                <w:bCs/>
                <w:color w:val="000000"/>
                <w:sz w:val="20"/>
                <w:szCs w:val="20"/>
              </w:rPr>
              <w:t>(G)</w:t>
            </w:r>
            <w:r w:rsidRPr="00696F91">
              <w:rPr>
                <w:b/>
                <w:bCs/>
                <w:color w:val="000000"/>
                <w:sz w:val="20"/>
                <w:szCs w:val="20"/>
              </w:rPr>
              <w:br/>
              <w:t xml:space="preserve">Clerical person hours per year </w:t>
            </w:r>
            <w:r w:rsidRPr="00696F91">
              <w:rPr>
                <w:b/>
                <w:bCs/>
                <w:color w:val="000000"/>
                <w:sz w:val="20"/>
                <w:szCs w:val="20"/>
              </w:rPr>
              <w:br/>
              <w:t>(G=Ex0.1)</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85037" w:rsidRPr="006F268A" w:rsidP="00A85037" w14:paraId="599DB039" w14:textId="6CBBDB08">
            <w:pPr>
              <w:widowControl/>
              <w:autoSpaceDE/>
              <w:autoSpaceDN/>
              <w:adjustRightInd/>
              <w:jc w:val="right"/>
              <w:rPr>
                <w:sz w:val="20"/>
                <w:szCs w:val="20"/>
              </w:rPr>
            </w:pPr>
            <w:r w:rsidRPr="00696F91">
              <w:rPr>
                <w:b/>
                <w:bCs/>
                <w:color w:val="000000"/>
                <w:sz w:val="20"/>
                <w:szCs w:val="20"/>
              </w:rPr>
              <w:t>(H)</w:t>
            </w:r>
            <w:r w:rsidRPr="00696F91">
              <w:rPr>
                <w:b/>
                <w:bCs/>
                <w:color w:val="000000"/>
                <w:sz w:val="20"/>
                <w:szCs w:val="20"/>
              </w:rPr>
              <w:br/>
              <w:t xml:space="preserve">Total Cost per year </w:t>
            </w:r>
            <w:r w:rsidRPr="00696F91">
              <w:rPr>
                <w:b/>
                <w:bCs/>
                <w:color w:val="000000"/>
                <w:sz w:val="20"/>
                <w:szCs w:val="20"/>
                <w:vertAlign w:val="superscript"/>
              </w:rPr>
              <w:t>b</w:t>
            </w:r>
          </w:p>
        </w:tc>
      </w:tr>
      <w:tr w14:paraId="50750502" w14:textId="77777777" w:rsidTr="00946C54">
        <w:tblPrEx>
          <w:tblW w:w="13387" w:type="dxa"/>
          <w:tblInd w:w="-72" w:type="dxa"/>
          <w:tblLayout w:type="fixed"/>
          <w:tblLook w:val="04A0"/>
        </w:tblPrEx>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037" w:rsidRPr="006F268A" w:rsidP="00A85037" w14:paraId="4370BF9A" w14:textId="3648EF2B">
            <w:pPr>
              <w:widowControl/>
              <w:autoSpaceDE/>
              <w:autoSpaceDN/>
              <w:adjustRightInd/>
              <w:rPr>
                <w:sz w:val="20"/>
                <w:szCs w:val="20"/>
              </w:rPr>
            </w:pPr>
            <w:r w:rsidRPr="006F268A">
              <w:rPr>
                <w:sz w:val="20"/>
                <w:szCs w:val="20"/>
              </w:rPr>
              <w:t>1. Applications</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rsidR="00A85037" w:rsidRPr="006F268A" w:rsidP="00A85037" w14:paraId="57735115" w14:textId="77777777">
            <w:pPr>
              <w:widowControl/>
              <w:autoSpaceDE/>
              <w:autoSpaceDN/>
              <w:adjustRightInd/>
              <w:jc w:val="center"/>
              <w:rPr>
                <w:sz w:val="20"/>
                <w:szCs w:val="20"/>
              </w:rPr>
            </w:pPr>
            <w:r w:rsidRPr="006F268A">
              <w:rPr>
                <w:sz w:val="20"/>
                <w:szCs w:val="20"/>
              </w:rPr>
              <w:t>N/A</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85037" w:rsidRPr="006F268A" w:rsidP="00A85037" w14:paraId="7DFA802C" w14:textId="77777777">
            <w:pPr>
              <w:widowControl/>
              <w:autoSpaceDE/>
              <w:autoSpaceDN/>
              <w:adjustRightInd/>
              <w:jc w:val="center"/>
              <w:rPr>
                <w:sz w:val="20"/>
                <w:szCs w:val="20"/>
              </w:rPr>
            </w:pPr>
            <w:r w:rsidRPr="006F268A">
              <w:rPr>
                <w:sz w:val="20"/>
                <w:szCs w:val="20"/>
              </w:rPr>
              <w:t> </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A85037" w:rsidRPr="006F268A" w:rsidP="00A85037" w14:paraId="0E140742" w14:textId="77777777">
            <w:pPr>
              <w:widowControl/>
              <w:autoSpaceDE/>
              <w:autoSpaceDN/>
              <w:adjustRightInd/>
              <w:jc w:val="center"/>
              <w:rPr>
                <w:sz w:val="20"/>
                <w:szCs w:val="20"/>
              </w:rPr>
            </w:pPr>
            <w:r w:rsidRPr="006F268A">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A85037" w:rsidRPr="006F268A" w:rsidP="00A85037" w14:paraId="3167186A" w14:textId="77777777">
            <w:pPr>
              <w:widowControl/>
              <w:autoSpaceDE/>
              <w:autoSpaceDN/>
              <w:adjustRightInd/>
              <w:jc w:val="center"/>
              <w:rPr>
                <w:sz w:val="20"/>
                <w:szCs w:val="20"/>
              </w:rPr>
            </w:pPr>
            <w:r w:rsidRPr="006F268A">
              <w:rPr>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85037" w:rsidRPr="006F268A" w:rsidP="00A85037" w14:paraId="5B205F24" w14:textId="77777777">
            <w:pPr>
              <w:widowControl/>
              <w:autoSpaceDE/>
              <w:autoSpaceDN/>
              <w:adjustRightInd/>
              <w:jc w:val="center"/>
              <w:rPr>
                <w:sz w:val="20"/>
                <w:szCs w:val="20"/>
              </w:rPr>
            </w:pPr>
            <w:r w:rsidRPr="006F268A">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A85037" w:rsidRPr="006F268A" w:rsidP="00A85037" w14:paraId="03EED09B" w14:textId="77777777">
            <w:pPr>
              <w:widowControl/>
              <w:autoSpaceDE/>
              <w:autoSpaceDN/>
              <w:adjustRightInd/>
              <w:jc w:val="center"/>
              <w:rPr>
                <w:sz w:val="20"/>
                <w:szCs w:val="20"/>
              </w:rPr>
            </w:pPr>
            <w:r w:rsidRPr="006F268A">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85037" w:rsidRPr="006F268A" w:rsidP="00A85037" w14:paraId="7BC58CB1" w14:textId="77777777">
            <w:pPr>
              <w:widowControl/>
              <w:autoSpaceDE/>
              <w:autoSpaceDN/>
              <w:adjustRightInd/>
              <w:jc w:val="center"/>
              <w:rPr>
                <w:sz w:val="20"/>
                <w:szCs w:val="20"/>
              </w:rPr>
            </w:pPr>
            <w:r w:rsidRPr="006F268A">
              <w:rPr>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A85037" w:rsidRPr="006F268A" w:rsidP="00A85037" w14:paraId="64B35FF4" w14:textId="77777777">
            <w:pPr>
              <w:widowControl/>
              <w:autoSpaceDE/>
              <w:autoSpaceDN/>
              <w:adjustRightInd/>
              <w:jc w:val="right"/>
              <w:rPr>
                <w:sz w:val="20"/>
                <w:szCs w:val="20"/>
              </w:rPr>
            </w:pPr>
            <w:r w:rsidRPr="006F268A">
              <w:rPr>
                <w:sz w:val="20"/>
                <w:szCs w:val="20"/>
              </w:rPr>
              <w:t> </w:t>
            </w:r>
          </w:p>
        </w:tc>
      </w:tr>
      <w:tr w14:paraId="5D079F36"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344DF0C0" w14:textId="270C0B48">
            <w:pPr>
              <w:widowControl/>
              <w:autoSpaceDE/>
              <w:autoSpaceDN/>
              <w:adjustRightInd/>
              <w:rPr>
                <w:sz w:val="20"/>
                <w:szCs w:val="20"/>
              </w:rPr>
            </w:pPr>
            <w:r w:rsidRPr="006F268A">
              <w:rPr>
                <w:sz w:val="20"/>
                <w:szCs w:val="20"/>
              </w:rPr>
              <w:t>2. Surveys and studies</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D19B31E" w14:textId="77777777">
            <w:pPr>
              <w:widowControl/>
              <w:autoSpaceDE/>
              <w:autoSpaceDN/>
              <w:adjustRightInd/>
              <w:jc w:val="center"/>
              <w:rPr>
                <w:sz w:val="20"/>
                <w:szCs w:val="20"/>
              </w:rPr>
            </w:pPr>
            <w:r w:rsidRPr="006F268A">
              <w:rPr>
                <w:sz w:val="20"/>
                <w:szCs w:val="20"/>
              </w:rPr>
              <w:t>N/A</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DF956AC" w14:textId="77777777">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17ED6FA" w14:textId="77777777">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A0A3480" w14:textId="77777777">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48CD9C1" w14:textId="77777777">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A8AB75B" w14:textId="77777777">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6A8C34D" w14:textId="77777777">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3591F04" w14:textId="77777777">
            <w:pPr>
              <w:widowControl/>
              <w:autoSpaceDE/>
              <w:autoSpaceDN/>
              <w:adjustRightInd/>
              <w:jc w:val="right"/>
              <w:rPr>
                <w:sz w:val="20"/>
                <w:szCs w:val="20"/>
              </w:rPr>
            </w:pPr>
            <w:r w:rsidRPr="006F268A">
              <w:rPr>
                <w:sz w:val="20"/>
                <w:szCs w:val="20"/>
              </w:rPr>
              <w:t> </w:t>
            </w:r>
          </w:p>
        </w:tc>
      </w:tr>
      <w:tr w14:paraId="55960E05" w14:textId="77777777" w:rsidTr="00946C54">
        <w:tblPrEx>
          <w:tblW w:w="13387" w:type="dxa"/>
          <w:tblInd w:w="-72" w:type="dxa"/>
          <w:tblLayout w:type="fixed"/>
          <w:tblLook w:val="04A0"/>
        </w:tblPrEx>
        <w:trPr>
          <w:trHeight w:val="35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0873D4C1" w14:textId="141987A6">
            <w:pPr>
              <w:widowControl/>
              <w:autoSpaceDE/>
              <w:autoSpaceDN/>
              <w:adjustRightInd/>
              <w:rPr>
                <w:sz w:val="20"/>
                <w:szCs w:val="20"/>
              </w:rPr>
            </w:pPr>
            <w:r w:rsidRPr="00F40AC3">
              <w:rPr>
                <w:sz w:val="20"/>
                <w:szCs w:val="20"/>
              </w:rPr>
              <w:t>3. Reporting requirements</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EB5A66F"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9BEE49C"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B553147"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E504D53" w14:textId="77777777">
            <w:pPr>
              <w:widowControl/>
              <w:autoSpaceDE/>
              <w:autoSpaceDN/>
              <w:adjustRightInd/>
              <w:jc w:val="center"/>
              <w:rPr>
                <w:sz w:val="20"/>
                <w:szCs w:val="20"/>
              </w:rPr>
            </w:pPr>
            <w:r w:rsidRPr="00F40AC3">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9B375DE"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4BDA449" w14:textId="77777777">
            <w:pPr>
              <w:widowControl/>
              <w:autoSpaceDE/>
              <w:autoSpaceDN/>
              <w:adjustRightInd/>
              <w:jc w:val="center"/>
              <w:rPr>
                <w:sz w:val="20"/>
                <w:szCs w:val="20"/>
              </w:rPr>
            </w:pPr>
            <w:r w:rsidRPr="00F40AC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A5447CF" w14:textId="77777777">
            <w:pPr>
              <w:widowControl/>
              <w:autoSpaceDE/>
              <w:autoSpaceDN/>
              <w:adjustRightInd/>
              <w:jc w:val="center"/>
              <w:rPr>
                <w:sz w:val="20"/>
                <w:szCs w:val="20"/>
              </w:rPr>
            </w:pPr>
            <w:r w:rsidRPr="00F40AC3">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E538806" w14:textId="77777777">
            <w:pPr>
              <w:widowControl/>
              <w:autoSpaceDE/>
              <w:autoSpaceDN/>
              <w:adjustRightInd/>
              <w:jc w:val="right"/>
              <w:rPr>
                <w:sz w:val="20"/>
                <w:szCs w:val="20"/>
              </w:rPr>
            </w:pPr>
            <w:r w:rsidRPr="00F40AC3">
              <w:rPr>
                <w:sz w:val="20"/>
                <w:szCs w:val="20"/>
              </w:rPr>
              <w:t> </w:t>
            </w:r>
          </w:p>
        </w:tc>
      </w:tr>
      <w:tr w14:paraId="4ABF5111"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78A4A65C" w14:textId="3275B183">
            <w:pPr>
              <w:widowControl/>
              <w:autoSpaceDE/>
              <w:autoSpaceDN/>
              <w:adjustRightInd/>
              <w:ind w:left="144"/>
              <w:rPr>
                <w:sz w:val="20"/>
                <w:szCs w:val="20"/>
              </w:rPr>
            </w:pPr>
            <w:r w:rsidRPr="00F40AC3">
              <w:rPr>
                <w:sz w:val="20"/>
                <w:szCs w:val="20"/>
              </w:rPr>
              <w:t xml:space="preserve">A. Familiarize with regulatory requirements </w:t>
            </w:r>
            <w:r w:rsidRPr="00F40AC3">
              <w:rPr>
                <w:sz w:val="20"/>
                <w:szCs w:val="20"/>
                <w:vertAlign w:val="superscript"/>
              </w:rPr>
              <w:t>c</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F8F21BD" w14:textId="77777777">
            <w:pPr>
              <w:widowControl/>
              <w:autoSpaceDE/>
              <w:autoSpaceDN/>
              <w:adjustRightInd/>
              <w:jc w:val="center"/>
              <w:rPr>
                <w:sz w:val="20"/>
                <w:szCs w:val="20"/>
              </w:rPr>
            </w:pPr>
            <w:r w:rsidRPr="00F40AC3">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10E357E" w14:textId="77777777">
            <w:pPr>
              <w:widowControl/>
              <w:autoSpaceDE/>
              <w:autoSpaceDN/>
              <w:adjustRightInd/>
              <w:jc w:val="center"/>
              <w:rPr>
                <w:sz w:val="20"/>
                <w:szCs w:val="20"/>
              </w:rPr>
            </w:pPr>
            <w:r w:rsidRPr="00F40AC3">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926D07A" w14:textId="77777777">
            <w:pPr>
              <w:widowControl/>
              <w:autoSpaceDE/>
              <w:autoSpaceDN/>
              <w:adjustRightInd/>
              <w:jc w:val="center"/>
              <w:rPr>
                <w:sz w:val="20"/>
                <w:szCs w:val="20"/>
              </w:rPr>
            </w:pPr>
            <w:r w:rsidRPr="00F40AC3">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118D0E2" w14:textId="77777777">
            <w:pPr>
              <w:widowControl/>
              <w:autoSpaceDE/>
              <w:autoSpaceDN/>
              <w:adjustRightInd/>
              <w:jc w:val="center"/>
              <w:rPr>
                <w:sz w:val="20"/>
                <w:szCs w:val="20"/>
              </w:rPr>
            </w:pPr>
            <w:r w:rsidRPr="00F40AC3">
              <w:rPr>
                <w:sz w:val="20"/>
                <w:szCs w:val="20"/>
              </w:rPr>
              <w:t>244</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0122B8C" w14:textId="77777777">
            <w:pPr>
              <w:widowControl/>
              <w:autoSpaceDE/>
              <w:autoSpaceDN/>
              <w:adjustRightInd/>
              <w:jc w:val="center"/>
              <w:rPr>
                <w:sz w:val="20"/>
                <w:szCs w:val="20"/>
              </w:rPr>
            </w:pPr>
            <w:r w:rsidRPr="00F40AC3">
              <w:rPr>
                <w:sz w:val="20"/>
                <w:szCs w:val="20"/>
              </w:rPr>
              <w:t>244</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41D4B3C" w14:textId="77777777">
            <w:pPr>
              <w:widowControl/>
              <w:autoSpaceDE/>
              <w:autoSpaceDN/>
              <w:adjustRightInd/>
              <w:jc w:val="center"/>
              <w:rPr>
                <w:sz w:val="20"/>
                <w:szCs w:val="20"/>
              </w:rPr>
            </w:pPr>
            <w:r w:rsidRPr="00F40AC3">
              <w:rPr>
                <w:sz w:val="20"/>
                <w:szCs w:val="20"/>
              </w:rPr>
              <w:t>12.2</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2DC318A" w14:textId="77777777">
            <w:pPr>
              <w:widowControl/>
              <w:autoSpaceDE/>
              <w:autoSpaceDN/>
              <w:adjustRightInd/>
              <w:jc w:val="center"/>
              <w:rPr>
                <w:sz w:val="20"/>
                <w:szCs w:val="20"/>
              </w:rPr>
            </w:pPr>
            <w:r w:rsidRPr="00F40AC3">
              <w:rPr>
                <w:sz w:val="20"/>
                <w:szCs w:val="20"/>
              </w:rPr>
              <w:t>24.4</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4653C18" w14:textId="77777777">
            <w:pPr>
              <w:widowControl/>
              <w:autoSpaceDE/>
              <w:autoSpaceDN/>
              <w:adjustRightInd/>
              <w:jc w:val="right"/>
              <w:rPr>
                <w:sz w:val="20"/>
                <w:szCs w:val="20"/>
              </w:rPr>
            </w:pPr>
            <w:r w:rsidRPr="00F40AC3">
              <w:rPr>
                <w:sz w:val="20"/>
                <w:szCs w:val="20"/>
              </w:rPr>
              <w:t xml:space="preserve">$32,267 </w:t>
            </w:r>
          </w:p>
        </w:tc>
      </w:tr>
      <w:tr w14:paraId="3E7EC6F5"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2895DCAF" w14:textId="6827CFFF">
            <w:pPr>
              <w:widowControl/>
              <w:autoSpaceDE/>
              <w:autoSpaceDN/>
              <w:adjustRightInd/>
              <w:ind w:left="288"/>
              <w:rPr>
                <w:sz w:val="20"/>
                <w:szCs w:val="20"/>
              </w:rPr>
            </w:pPr>
            <w:r w:rsidRPr="00F40AC3">
              <w:rPr>
                <w:sz w:val="20"/>
                <w:szCs w:val="20"/>
              </w:rPr>
              <w:t xml:space="preserve">1) Amendments pertaining to PCWP mills </w:t>
            </w:r>
            <w:r w:rsidRPr="00F40AC3">
              <w:rPr>
                <w:sz w:val="20"/>
                <w:szCs w:val="20"/>
                <w:vertAlign w:val="superscript"/>
              </w:rPr>
              <w:t>d</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83FE172" w14:textId="7C947F2C">
            <w:pPr>
              <w:widowControl/>
              <w:autoSpaceDE/>
              <w:autoSpaceDN/>
              <w:adjustRightInd/>
              <w:jc w:val="center"/>
              <w:rPr>
                <w:sz w:val="20"/>
                <w:szCs w:val="20"/>
              </w:rPr>
            </w:pPr>
            <w:r w:rsidRPr="00F40AC3">
              <w:rPr>
                <w:sz w:val="20"/>
                <w:szCs w:val="20"/>
              </w:rPr>
              <w:t>10</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5B88AE8" w14:textId="77777777">
            <w:pPr>
              <w:widowControl/>
              <w:autoSpaceDE/>
              <w:autoSpaceDN/>
              <w:adjustRightInd/>
              <w:jc w:val="center"/>
              <w:rPr>
                <w:sz w:val="20"/>
                <w:szCs w:val="20"/>
              </w:rPr>
            </w:pPr>
            <w:r w:rsidRPr="00F40AC3">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3B5E4D5" w14:textId="77777777">
            <w:pPr>
              <w:widowControl/>
              <w:autoSpaceDE/>
              <w:autoSpaceDN/>
              <w:adjustRightInd/>
              <w:jc w:val="center"/>
              <w:rPr>
                <w:sz w:val="20"/>
                <w:szCs w:val="20"/>
              </w:rPr>
            </w:pPr>
            <w:r w:rsidRPr="00F40AC3">
              <w:rPr>
                <w:sz w:val="20"/>
                <w:szCs w:val="20"/>
              </w:rPr>
              <w:t>20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418B791" w14:textId="77777777">
            <w:pPr>
              <w:widowControl/>
              <w:autoSpaceDE/>
              <w:autoSpaceDN/>
              <w:adjustRightInd/>
              <w:jc w:val="center"/>
              <w:rPr>
                <w:sz w:val="20"/>
                <w:szCs w:val="20"/>
              </w:rPr>
            </w:pPr>
            <w:r w:rsidRPr="00F40AC3">
              <w:rPr>
                <w:sz w:val="20"/>
                <w:szCs w:val="20"/>
              </w:rPr>
              <w:t>38</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346F6A3" w14:textId="31253CA6">
            <w:pPr>
              <w:widowControl/>
              <w:autoSpaceDE/>
              <w:autoSpaceDN/>
              <w:adjustRightInd/>
              <w:jc w:val="center"/>
              <w:rPr>
                <w:sz w:val="20"/>
                <w:szCs w:val="20"/>
              </w:rPr>
            </w:pPr>
            <w:r w:rsidRPr="00F40AC3">
              <w:rPr>
                <w:sz w:val="20"/>
                <w:szCs w:val="20"/>
              </w:rPr>
              <w:t>380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470B790" w14:textId="6C86E27A">
            <w:pPr>
              <w:widowControl/>
              <w:autoSpaceDE/>
              <w:autoSpaceDN/>
              <w:adjustRightInd/>
              <w:jc w:val="center"/>
              <w:rPr>
                <w:sz w:val="20"/>
                <w:szCs w:val="20"/>
              </w:rPr>
            </w:pPr>
            <w:r w:rsidRPr="00F40AC3">
              <w:rPr>
                <w:sz w:val="20"/>
                <w:szCs w:val="20"/>
              </w:rPr>
              <w:t>19</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33EDBD0" w14:textId="3461726F">
            <w:pPr>
              <w:widowControl/>
              <w:autoSpaceDE/>
              <w:autoSpaceDN/>
              <w:adjustRightInd/>
              <w:jc w:val="center"/>
              <w:rPr>
                <w:sz w:val="20"/>
                <w:szCs w:val="20"/>
              </w:rPr>
            </w:pPr>
            <w:r w:rsidRPr="00F40AC3">
              <w:rPr>
                <w:sz w:val="20"/>
                <w:szCs w:val="20"/>
              </w:rPr>
              <w:t>38</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D83A5DB" w14:textId="0FD18762">
            <w:pPr>
              <w:widowControl/>
              <w:autoSpaceDE/>
              <w:autoSpaceDN/>
              <w:adjustRightInd/>
              <w:jc w:val="right"/>
              <w:rPr>
                <w:sz w:val="20"/>
                <w:szCs w:val="20"/>
              </w:rPr>
            </w:pPr>
            <w:r w:rsidRPr="00F40AC3">
              <w:rPr>
                <w:sz w:val="20"/>
                <w:szCs w:val="20"/>
              </w:rPr>
              <w:t xml:space="preserve">$50,251 </w:t>
            </w:r>
          </w:p>
        </w:tc>
      </w:tr>
      <w:tr w14:paraId="115F8AA4"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20A37D59" w14:textId="5A634892">
            <w:pPr>
              <w:widowControl/>
              <w:autoSpaceDE/>
              <w:autoSpaceDN/>
              <w:adjustRightInd/>
              <w:ind w:left="288"/>
              <w:rPr>
                <w:sz w:val="20"/>
                <w:szCs w:val="20"/>
              </w:rPr>
            </w:pPr>
            <w:r w:rsidRPr="00F40AC3">
              <w:rPr>
                <w:sz w:val="20"/>
                <w:szCs w:val="20"/>
              </w:rPr>
              <w:t xml:space="preserve">2) Amendments pertaining to lumber mills </w:t>
            </w:r>
            <w:r w:rsidRPr="00F40AC3">
              <w:rPr>
                <w:sz w:val="20"/>
                <w:szCs w:val="20"/>
                <w:vertAlign w:val="superscript"/>
              </w:rPr>
              <w:t>e</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B0C78BA" w14:textId="77777777">
            <w:pPr>
              <w:widowControl/>
              <w:autoSpaceDE/>
              <w:autoSpaceDN/>
              <w:adjustRightInd/>
              <w:jc w:val="center"/>
              <w:rPr>
                <w:sz w:val="20"/>
                <w:szCs w:val="20"/>
              </w:rPr>
            </w:pPr>
            <w:r w:rsidRPr="00F40AC3">
              <w:rPr>
                <w:sz w:val="20"/>
                <w:szCs w:val="20"/>
              </w:rPr>
              <w:t>0</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88056A7" w14:textId="77777777">
            <w:pPr>
              <w:widowControl/>
              <w:autoSpaceDE/>
              <w:autoSpaceDN/>
              <w:adjustRightInd/>
              <w:jc w:val="center"/>
              <w:rPr>
                <w:sz w:val="20"/>
                <w:szCs w:val="20"/>
              </w:rPr>
            </w:pPr>
            <w:r w:rsidRPr="00F40AC3">
              <w:rPr>
                <w:sz w:val="20"/>
                <w:szCs w:val="20"/>
              </w:rPr>
              <w:t>0</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E8931C4" w14:textId="77777777">
            <w:pPr>
              <w:widowControl/>
              <w:autoSpaceDE/>
              <w:autoSpaceDN/>
              <w:adjustRightInd/>
              <w:jc w:val="center"/>
              <w:rPr>
                <w:sz w:val="20"/>
                <w:szCs w:val="20"/>
              </w:rPr>
            </w:pPr>
            <w:r w:rsidRPr="00F40AC3">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046F1AA" w14:textId="77777777">
            <w:pPr>
              <w:widowControl/>
              <w:autoSpaceDE/>
              <w:autoSpaceDN/>
              <w:adjustRightInd/>
              <w:jc w:val="center"/>
              <w:rPr>
                <w:sz w:val="20"/>
                <w:szCs w:val="20"/>
              </w:rPr>
            </w:pPr>
            <w:r w:rsidRPr="00F40AC3">
              <w:rPr>
                <w:sz w:val="20"/>
                <w:szCs w:val="20"/>
              </w:rPr>
              <w:t>43</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CB1C8D9" w14:textId="77777777">
            <w:pPr>
              <w:widowControl/>
              <w:autoSpaceDE/>
              <w:autoSpaceDN/>
              <w:adjustRightInd/>
              <w:jc w:val="center"/>
              <w:rPr>
                <w:sz w:val="20"/>
                <w:szCs w:val="20"/>
              </w:rPr>
            </w:pPr>
            <w:r w:rsidRPr="00F40AC3">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B72E841" w14:textId="77777777">
            <w:pPr>
              <w:widowControl/>
              <w:autoSpaceDE/>
              <w:autoSpaceDN/>
              <w:adjustRightInd/>
              <w:jc w:val="center"/>
              <w:rPr>
                <w:sz w:val="20"/>
                <w:szCs w:val="20"/>
              </w:rPr>
            </w:pPr>
            <w:r w:rsidRPr="00F40AC3">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244BAAA" w14:textId="77777777">
            <w:pPr>
              <w:widowControl/>
              <w:autoSpaceDE/>
              <w:autoSpaceDN/>
              <w:adjustRightInd/>
              <w:jc w:val="center"/>
              <w:rPr>
                <w:sz w:val="20"/>
                <w:szCs w:val="20"/>
              </w:rPr>
            </w:pPr>
            <w:r w:rsidRPr="00F40AC3">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1B9D650" w14:textId="77777777">
            <w:pPr>
              <w:widowControl/>
              <w:autoSpaceDE/>
              <w:autoSpaceDN/>
              <w:adjustRightInd/>
              <w:jc w:val="right"/>
              <w:rPr>
                <w:sz w:val="20"/>
                <w:szCs w:val="20"/>
              </w:rPr>
            </w:pPr>
            <w:r w:rsidRPr="00F40AC3">
              <w:rPr>
                <w:sz w:val="20"/>
                <w:szCs w:val="20"/>
              </w:rPr>
              <w:t xml:space="preserve">$0.00 </w:t>
            </w:r>
          </w:p>
        </w:tc>
      </w:tr>
      <w:tr w14:paraId="4D7CD81C"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1956654F" w14:textId="2DE3E833">
            <w:pPr>
              <w:widowControl/>
              <w:autoSpaceDE/>
              <w:autoSpaceDN/>
              <w:adjustRightInd/>
              <w:ind w:left="144"/>
              <w:rPr>
                <w:sz w:val="20"/>
                <w:szCs w:val="20"/>
              </w:rPr>
            </w:pPr>
            <w:r w:rsidRPr="00F40AC3">
              <w:rPr>
                <w:sz w:val="20"/>
                <w:szCs w:val="20"/>
              </w:rPr>
              <w:t xml:space="preserve">B. Required activities </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279563A" w14:textId="77777777">
            <w:pPr>
              <w:widowControl/>
              <w:autoSpaceDE/>
              <w:autoSpaceDN/>
              <w:adjustRightInd/>
              <w:jc w:val="center"/>
              <w:rPr>
                <w:sz w:val="20"/>
                <w:szCs w:val="20"/>
              </w:rPr>
            </w:pPr>
            <w:r w:rsidRPr="00F40AC3">
              <w:rPr>
                <w:sz w:val="20"/>
                <w:szCs w:val="20"/>
              </w:rPr>
              <w:t>N/A</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3EDB056"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0928EBC"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17AA4AE" w14:textId="77777777">
            <w:pPr>
              <w:widowControl/>
              <w:autoSpaceDE/>
              <w:autoSpaceDN/>
              <w:adjustRightInd/>
              <w:jc w:val="center"/>
              <w:rPr>
                <w:sz w:val="20"/>
                <w:szCs w:val="20"/>
              </w:rPr>
            </w:pPr>
            <w:r w:rsidRPr="00F40AC3">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90C6DB9"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CDA02C4" w14:textId="77777777">
            <w:pPr>
              <w:widowControl/>
              <w:autoSpaceDE/>
              <w:autoSpaceDN/>
              <w:adjustRightInd/>
              <w:jc w:val="center"/>
              <w:rPr>
                <w:sz w:val="20"/>
                <w:szCs w:val="20"/>
              </w:rPr>
            </w:pPr>
            <w:r w:rsidRPr="00F40AC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2A8C14B" w14:textId="77777777">
            <w:pPr>
              <w:widowControl/>
              <w:autoSpaceDE/>
              <w:autoSpaceDN/>
              <w:adjustRightInd/>
              <w:jc w:val="center"/>
              <w:rPr>
                <w:sz w:val="20"/>
                <w:szCs w:val="20"/>
              </w:rPr>
            </w:pPr>
            <w:r w:rsidRPr="00F40AC3">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F0C148A" w14:textId="77777777">
            <w:pPr>
              <w:widowControl/>
              <w:autoSpaceDE/>
              <w:autoSpaceDN/>
              <w:adjustRightInd/>
              <w:jc w:val="right"/>
              <w:rPr>
                <w:sz w:val="20"/>
                <w:szCs w:val="20"/>
              </w:rPr>
            </w:pPr>
            <w:r w:rsidRPr="00F40AC3">
              <w:rPr>
                <w:sz w:val="20"/>
                <w:szCs w:val="20"/>
              </w:rPr>
              <w:t> </w:t>
            </w:r>
          </w:p>
        </w:tc>
      </w:tr>
      <w:tr w14:paraId="0712F23E"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497B8C2E" w14:textId="1B4FBA3B">
            <w:pPr>
              <w:widowControl/>
              <w:autoSpaceDE/>
              <w:autoSpaceDN/>
              <w:adjustRightInd/>
              <w:ind w:left="144"/>
              <w:rPr>
                <w:sz w:val="20"/>
                <w:szCs w:val="20"/>
              </w:rPr>
            </w:pPr>
            <w:r w:rsidRPr="006F268A">
              <w:rPr>
                <w:sz w:val="20"/>
                <w:szCs w:val="20"/>
              </w:rPr>
              <w:t>C. Create information</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3BD8AAB" w14:textId="77777777">
            <w:pPr>
              <w:widowControl/>
              <w:autoSpaceDE/>
              <w:autoSpaceDN/>
              <w:adjustRightInd/>
              <w:jc w:val="center"/>
              <w:rPr>
                <w:sz w:val="20"/>
                <w:szCs w:val="20"/>
              </w:rPr>
            </w:pPr>
            <w:r w:rsidRPr="006F268A">
              <w:rPr>
                <w:sz w:val="20"/>
                <w:szCs w:val="20"/>
              </w:rPr>
              <w:t>See 3E</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97D8050" w14:textId="77777777">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EB04DC3" w14:textId="77777777">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CA3FD5D" w14:textId="77777777">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A3BDC95" w14:textId="77777777">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58A2D74" w14:textId="77777777">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0FE6F23" w14:textId="77777777">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BFA942A" w14:textId="77777777">
            <w:pPr>
              <w:widowControl/>
              <w:autoSpaceDE/>
              <w:autoSpaceDN/>
              <w:adjustRightInd/>
              <w:jc w:val="right"/>
              <w:rPr>
                <w:sz w:val="20"/>
                <w:szCs w:val="20"/>
              </w:rPr>
            </w:pPr>
            <w:r w:rsidRPr="006F268A">
              <w:rPr>
                <w:sz w:val="20"/>
                <w:szCs w:val="20"/>
              </w:rPr>
              <w:t> </w:t>
            </w:r>
          </w:p>
        </w:tc>
      </w:tr>
      <w:tr w14:paraId="4ED3D851"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7CE3E60C" w14:textId="5CA82AC5">
            <w:pPr>
              <w:widowControl/>
              <w:autoSpaceDE/>
              <w:autoSpaceDN/>
              <w:adjustRightInd/>
              <w:ind w:left="144"/>
              <w:rPr>
                <w:sz w:val="20"/>
                <w:szCs w:val="20"/>
              </w:rPr>
            </w:pPr>
            <w:r w:rsidRPr="006F268A">
              <w:rPr>
                <w:sz w:val="20"/>
                <w:szCs w:val="20"/>
              </w:rPr>
              <w:t>D. Gather existing information</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DFD5D09" w14:textId="77777777">
            <w:pPr>
              <w:widowControl/>
              <w:autoSpaceDE/>
              <w:autoSpaceDN/>
              <w:adjustRightInd/>
              <w:jc w:val="center"/>
              <w:rPr>
                <w:sz w:val="20"/>
                <w:szCs w:val="20"/>
              </w:rPr>
            </w:pPr>
            <w:r w:rsidRPr="006F268A">
              <w:rPr>
                <w:sz w:val="20"/>
                <w:szCs w:val="20"/>
              </w:rPr>
              <w:t>See 3E</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BE6F3B8" w14:textId="77777777">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6209E54" w14:textId="77777777">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C66D71B" w14:textId="77777777">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056F170" w14:textId="77777777">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2792C3C" w14:textId="77777777">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DA2A568" w14:textId="77777777">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3B055AE" w14:textId="77777777">
            <w:pPr>
              <w:widowControl/>
              <w:autoSpaceDE/>
              <w:autoSpaceDN/>
              <w:adjustRightInd/>
              <w:jc w:val="right"/>
              <w:rPr>
                <w:sz w:val="20"/>
                <w:szCs w:val="20"/>
              </w:rPr>
            </w:pPr>
            <w:r w:rsidRPr="006F268A">
              <w:rPr>
                <w:sz w:val="20"/>
                <w:szCs w:val="20"/>
              </w:rPr>
              <w:t> </w:t>
            </w:r>
          </w:p>
        </w:tc>
      </w:tr>
      <w:tr w14:paraId="61EA273B"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301E68AE" w14:textId="3A7DB064">
            <w:pPr>
              <w:widowControl/>
              <w:autoSpaceDE/>
              <w:autoSpaceDN/>
              <w:adjustRightInd/>
              <w:ind w:left="144"/>
              <w:rPr>
                <w:sz w:val="20"/>
                <w:szCs w:val="20"/>
              </w:rPr>
            </w:pPr>
            <w:r w:rsidRPr="006F268A">
              <w:rPr>
                <w:sz w:val="20"/>
                <w:szCs w:val="20"/>
              </w:rPr>
              <w:t>E. Write report</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9A2991B" w14:textId="77777777">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DD855A3" w14:textId="77777777">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F5A03DD" w14:textId="77777777">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B531138" w14:textId="77777777">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CC88CAD" w14:textId="77777777">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4C9A216" w14:textId="77777777">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65C0CA4" w14:textId="77777777">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45DEA16" w14:textId="77777777">
            <w:pPr>
              <w:widowControl/>
              <w:autoSpaceDE/>
              <w:autoSpaceDN/>
              <w:adjustRightInd/>
              <w:jc w:val="right"/>
              <w:rPr>
                <w:sz w:val="20"/>
                <w:szCs w:val="20"/>
              </w:rPr>
            </w:pPr>
            <w:r w:rsidRPr="006F268A">
              <w:rPr>
                <w:sz w:val="20"/>
                <w:szCs w:val="20"/>
              </w:rPr>
              <w:t> </w:t>
            </w:r>
          </w:p>
        </w:tc>
      </w:tr>
      <w:tr w14:paraId="4B0A8C71"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6EEFE915" w14:textId="02E4CA98">
            <w:pPr>
              <w:widowControl/>
              <w:autoSpaceDE/>
              <w:autoSpaceDN/>
              <w:adjustRightInd/>
              <w:ind w:left="288"/>
              <w:rPr>
                <w:sz w:val="20"/>
                <w:szCs w:val="20"/>
              </w:rPr>
            </w:pPr>
            <w:r w:rsidRPr="006F268A">
              <w:rPr>
                <w:sz w:val="20"/>
                <w:szCs w:val="20"/>
              </w:rPr>
              <w:t xml:space="preserve">1) Notification of construction/reconstruction </w:t>
            </w:r>
            <w:r w:rsidRPr="006F268A">
              <w:rPr>
                <w:sz w:val="20"/>
                <w:szCs w:val="20"/>
                <w:vertAlign w:val="superscript"/>
              </w:rPr>
              <w:t>f</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4CDC4FE" w14:textId="77777777">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50AE936" w14:textId="77777777">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EA1AB82" w14:textId="77777777">
            <w:pPr>
              <w:widowControl/>
              <w:autoSpaceDE/>
              <w:autoSpaceDN/>
              <w:adjustRightInd/>
              <w:jc w:val="center"/>
              <w:rPr>
                <w:sz w:val="20"/>
                <w:szCs w:val="20"/>
              </w:rPr>
            </w:pPr>
            <w:r w:rsidRPr="006F268A">
              <w:rPr>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B3D93D6" w14:textId="77777777">
            <w:pPr>
              <w:widowControl/>
              <w:autoSpaceDE/>
              <w:autoSpaceDN/>
              <w:adjustRightInd/>
              <w:jc w:val="center"/>
              <w:rPr>
                <w:sz w:val="20"/>
                <w:szCs w:val="20"/>
              </w:rPr>
            </w:pPr>
            <w:r w:rsidRPr="006F268A">
              <w:rPr>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45D4B17" w14:textId="77777777">
            <w:pPr>
              <w:widowControl/>
              <w:autoSpaceDE/>
              <w:autoSpaceDN/>
              <w:adjustRightInd/>
              <w:jc w:val="center"/>
              <w:rPr>
                <w:sz w:val="20"/>
                <w:szCs w:val="20"/>
              </w:rPr>
            </w:pPr>
            <w:r w:rsidRPr="006F268A">
              <w:rPr>
                <w:sz w:val="20"/>
                <w:szCs w:val="20"/>
              </w:rPr>
              <w:t>30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5A167CBB" w14:textId="77777777">
            <w:pPr>
              <w:widowControl/>
              <w:autoSpaceDE/>
              <w:autoSpaceDN/>
              <w:adjustRightInd/>
              <w:jc w:val="center"/>
              <w:rPr>
                <w:sz w:val="20"/>
                <w:szCs w:val="20"/>
              </w:rPr>
            </w:pPr>
            <w:r w:rsidRPr="006F268A">
              <w:rPr>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BBC07CC" w14:textId="77777777">
            <w:pPr>
              <w:widowControl/>
              <w:autoSpaceDE/>
              <w:autoSpaceDN/>
              <w:adjustRightInd/>
              <w:jc w:val="center"/>
              <w:rPr>
                <w:sz w:val="20"/>
                <w:szCs w:val="20"/>
              </w:rPr>
            </w:pPr>
            <w:r w:rsidRPr="006F268A">
              <w:rPr>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783EC3B" w14:textId="77777777">
            <w:pPr>
              <w:widowControl/>
              <w:autoSpaceDE/>
              <w:autoSpaceDN/>
              <w:adjustRightInd/>
              <w:jc w:val="right"/>
              <w:rPr>
                <w:sz w:val="20"/>
                <w:szCs w:val="20"/>
              </w:rPr>
            </w:pPr>
            <w:r w:rsidRPr="006F268A">
              <w:rPr>
                <w:sz w:val="20"/>
                <w:szCs w:val="20"/>
              </w:rPr>
              <w:t xml:space="preserve">$3,967 </w:t>
            </w:r>
          </w:p>
        </w:tc>
      </w:tr>
      <w:tr w14:paraId="73B3DE06"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6EBAB24D" w14:textId="1E3CC9AA">
            <w:pPr>
              <w:widowControl/>
              <w:autoSpaceDE/>
              <w:autoSpaceDN/>
              <w:adjustRightInd/>
              <w:ind w:left="288"/>
              <w:rPr>
                <w:sz w:val="20"/>
                <w:szCs w:val="20"/>
              </w:rPr>
            </w:pPr>
            <w:r w:rsidRPr="006F268A">
              <w:rPr>
                <w:sz w:val="20"/>
                <w:szCs w:val="20"/>
              </w:rPr>
              <w:t xml:space="preserve">2) Notification of anticipated startup </w:t>
            </w:r>
            <w:r w:rsidRPr="006F268A">
              <w:rPr>
                <w:sz w:val="20"/>
                <w:szCs w:val="20"/>
                <w:vertAlign w:val="superscript"/>
              </w:rPr>
              <w:t>f</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B57195B" w14:textId="77777777">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7746265" w14:textId="77777777">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6EF8838" w14:textId="77777777">
            <w:pPr>
              <w:widowControl/>
              <w:autoSpaceDE/>
              <w:autoSpaceDN/>
              <w:adjustRightInd/>
              <w:jc w:val="center"/>
              <w:rPr>
                <w:sz w:val="20"/>
                <w:szCs w:val="20"/>
              </w:rPr>
            </w:pPr>
            <w:r w:rsidRPr="006F268A">
              <w:rPr>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E49A9C8" w14:textId="77777777">
            <w:pPr>
              <w:widowControl/>
              <w:autoSpaceDE/>
              <w:autoSpaceDN/>
              <w:adjustRightInd/>
              <w:jc w:val="center"/>
              <w:rPr>
                <w:sz w:val="20"/>
                <w:szCs w:val="20"/>
              </w:rPr>
            </w:pPr>
            <w:r w:rsidRPr="006F268A">
              <w:rPr>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B03248B" w14:textId="77777777">
            <w:pPr>
              <w:widowControl/>
              <w:autoSpaceDE/>
              <w:autoSpaceDN/>
              <w:adjustRightInd/>
              <w:jc w:val="center"/>
              <w:rPr>
                <w:sz w:val="20"/>
                <w:szCs w:val="20"/>
              </w:rPr>
            </w:pPr>
            <w:r w:rsidRPr="006F268A">
              <w:rPr>
                <w:sz w:val="20"/>
                <w:szCs w:val="20"/>
              </w:rPr>
              <w:t>30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29D9588" w14:textId="77777777">
            <w:pPr>
              <w:widowControl/>
              <w:autoSpaceDE/>
              <w:autoSpaceDN/>
              <w:adjustRightInd/>
              <w:jc w:val="center"/>
              <w:rPr>
                <w:sz w:val="20"/>
                <w:szCs w:val="20"/>
              </w:rPr>
            </w:pPr>
            <w:r w:rsidRPr="006F268A">
              <w:rPr>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27E3C40" w14:textId="77777777">
            <w:pPr>
              <w:widowControl/>
              <w:autoSpaceDE/>
              <w:autoSpaceDN/>
              <w:adjustRightInd/>
              <w:jc w:val="center"/>
              <w:rPr>
                <w:sz w:val="20"/>
                <w:szCs w:val="20"/>
              </w:rPr>
            </w:pPr>
            <w:r w:rsidRPr="006F268A">
              <w:rPr>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FDA45C7" w14:textId="77777777">
            <w:pPr>
              <w:widowControl/>
              <w:autoSpaceDE/>
              <w:autoSpaceDN/>
              <w:adjustRightInd/>
              <w:jc w:val="right"/>
              <w:rPr>
                <w:sz w:val="20"/>
                <w:szCs w:val="20"/>
              </w:rPr>
            </w:pPr>
            <w:r w:rsidRPr="006F268A">
              <w:rPr>
                <w:sz w:val="20"/>
                <w:szCs w:val="20"/>
              </w:rPr>
              <w:t xml:space="preserve">$3,967 </w:t>
            </w:r>
          </w:p>
        </w:tc>
      </w:tr>
      <w:tr w14:paraId="2135443B"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56597A66" w14:textId="1D114B31">
            <w:pPr>
              <w:widowControl/>
              <w:autoSpaceDE/>
              <w:autoSpaceDN/>
              <w:adjustRightInd/>
              <w:ind w:left="288"/>
              <w:rPr>
                <w:sz w:val="20"/>
                <w:szCs w:val="20"/>
              </w:rPr>
            </w:pPr>
            <w:r w:rsidRPr="006F268A">
              <w:rPr>
                <w:sz w:val="20"/>
                <w:szCs w:val="20"/>
              </w:rPr>
              <w:t>3) Notification of actual startup</w:t>
            </w:r>
            <w:r w:rsidRPr="006F268A">
              <w:rPr>
                <w:sz w:val="20"/>
                <w:szCs w:val="20"/>
                <w:vertAlign w:val="superscript"/>
              </w:rPr>
              <w:t xml:space="preserve"> f</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1B97C63" w14:textId="77777777">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3E5B9EF" w14:textId="77777777">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F1AC2BE" w14:textId="77777777">
            <w:pPr>
              <w:widowControl/>
              <w:autoSpaceDE/>
              <w:autoSpaceDN/>
              <w:adjustRightInd/>
              <w:jc w:val="center"/>
              <w:rPr>
                <w:sz w:val="20"/>
                <w:szCs w:val="20"/>
              </w:rPr>
            </w:pPr>
            <w:r w:rsidRPr="006F268A">
              <w:rPr>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0ADC059" w14:textId="77777777">
            <w:pPr>
              <w:widowControl/>
              <w:autoSpaceDE/>
              <w:autoSpaceDN/>
              <w:adjustRightInd/>
              <w:jc w:val="center"/>
              <w:rPr>
                <w:sz w:val="20"/>
                <w:szCs w:val="20"/>
              </w:rPr>
            </w:pPr>
            <w:r w:rsidRPr="006F268A">
              <w:rPr>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4B9018F" w14:textId="77777777">
            <w:pPr>
              <w:widowControl/>
              <w:autoSpaceDE/>
              <w:autoSpaceDN/>
              <w:adjustRightInd/>
              <w:jc w:val="center"/>
              <w:rPr>
                <w:sz w:val="20"/>
                <w:szCs w:val="20"/>
              </w:rPr>
            </w:pPr>
            <w:r w:rsidRPr="006F268A">
              <w:rPr>
                <w:sz w:val="20"/>
                <w:szCs w:val="20"/>
              </w:rPr>
              <w:t>30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87D7BA7" w14:textId="77777777">
            <w:pPr>
              <w:widowControl/>
              <w:autoSpaceDE/>
              <w:autoSpaceDN/>
              <w:adjustRightInd/>
              <w:jc w:val="center"/>
              <w:rPr>
                <w:sz w:val="20"/>
                <w:szCs w:val="20"/>
              </w:rPr>
            </w:pPr>
            <w:r w:rsidRPr="006F268A">
              <w:rPr>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0FD920F" w14:textId="77777777">
            <w:pPr>
              <w:widowControl/>
              <w:autoSpaceDE/>
              <w:autoSpaceDN/>
              <w:adjustRightInd/>
              <w:jc w:val="center"/>
              <w:rPr>
                <w:sz w:val="20"/>
                <w:szCs w:val="20"/>
              </w:rPr>
            </w:pPr>
            <w:r w:rsidRPr="006F268A">
              <w:rPr>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AD8FB80" w14:textId="77777777">
            <w:pPr>
              <w:widowControl/>
              <w:autoSpaceDE/>
              <w:autoSpaceDN/>
              <w:adjustRightInd/>
              <w:jc w:val="right"/>
              <w:rPr>
                <w:sz w:val="20"/>
                <w:szCs w:val="20"/>
              </w:rPr>
            </w:pPr>
            <w:r w:rsidRPr="006F268A">
              <w:rPr>
                <w:sz w:val="20"/>
                <w:szCs w:val="20"/>
              </w:rPr>
              <w:t xml:space="preserve">$3,967 </w:t>
            </w:r>
          </w:p>
        </w:tc>
      </w:tr>
      <w:tr w14:paraId="06022C0E"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1387401C" w14:textId="16EB66BB">
            <w:pPr>
              <w:widowControl/>
              <w:autoSpaceDE/>
              <w:autoSpaceDN/>
              <w:adjustRightInd/>
              <w:ind w:left="288"/>
              <w:rPr>
                <w:sz w:val="20"/>
                <w:szCs w:val="20"/>
              </w:rPr>
            </w:pPr>
            <w:r w:rsidRPr="006F268A">
              <w:rPr>
                <w:sz w:val="20"/>
                <w:szCs w:val="20"/>
              </w:rPr>
              <w:t>4</w:t>
            </w:r>
            <w:r>
              <w:rPr>
                <w:sz w:val="20"/>
                <w:szCs w:val="20"/>
              </w:rPr>
              <w:t>)</w:t>
            </w:r>
            <w:r w:rsidRPr="006F268A">
              <w:rPr>
                <w:sz w:val="20"/>
                <w:szCs w:val="20"/>
              </w:rPr>
              <w:t xml:space="preserve"> Notification of applicability of standard (initial notification)</w:t>
            </w:r>
            <w:r w:rsidRPr="006F268A">
              <w:rPr>
                <w:sz w:val="20"/>
                <w:szCs w:val="20"/>
                <w:vertAlign w:val="superscript"/>
              </w:rPr>
              <w:t xml:space="preserve"> f</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6B3403F" w14:textId="77777777">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5B49510" w14:textId="77777777">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5BC78165" w14:textId="77777777">
            <w:pPr>
              <w:widowControl/>
              <w:autoSpaceDE/>
              <w:autoSpaceDN/>
              <w:adjustRightInd/>
              <w:jc w:val="center"/>
              <w:rPr>
                <w:sz w:val="20"/>
                <w:szCs w:val="20"/>
              </w:rPr>
            </w:pPr>
            <w:r w:rsidRPr="006F268A">
              <w:rPr>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FBBDFD4" w14:textId="77777777">
            <w:pPr>
              <w:widowControl/>
              <w:autoSpaceDE/>
              <w:autoSpaceDN/>
              <w:adjustRightInd/>
              <w:jc w:val="center"/>
              <w:rPr>
                <w:sz w:val="20"/>
                <w:szCs w:val="20"/>
              </w:rPr>
            </w:pPr>
            <w:r w:rsidRPr="006F268A">
              <w:rPr>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5867D37" w14:textId="77777777">
            <w:pPr>
              <w:widowControl/>
              <w:autoSpaceDE/>
              <w:autoSpaceDN/>
              <w:adjustRightInd/>
              <w:jc w:val="center"/>
              <w:rPr>
                <w:sz w:val="20"/>
                <w:szCs w:val="20"/>
              </w:rPr>
            </w:pPr>
            <w:r w:rsidRPr="006F268A">
              <w:rPr>
                <w:sz w:val="20"/>
                <w:szCs w:val="20"/>
              </w:rPr>
              <w:t>30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37E7F7A" w14:textId="77777777">
            <w:pPr>
              <w:widowControl/>
              <w:autoSpaceDE/>
              <w:autoSpaceDN/>
              <w:adjustRightInd/>
              <w:jc w:val="center"/>
              <w:rPr>
                <w:sz w:val="20"/>
                <w:szCs w:val="20"/>
              </w:rPr>
            </w:pPr>
            <w:r w:rsidRPr="006F268A">
              <w:rPr>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6ED0C4A" w14:textId="77777777">
            <w:pPr>
              <w:widowControl/>
              <w:autoSpaceDE/>
              <w:autoSpaceDN/>
              <w:adjustRightInd/>
              <w:jc w:val="center"/>
              <w:rPr>
                <w:sz w:val="20"/>
                <w:szCs w:val="20"/>
              </w:rPr>
            </w:pPr>
            <w:r w:rsidRPr="006F268A">
              <w:rPr>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EFD49B9" w14:textId="77777777">
            <w:pPr>
              <w:widowControl/>
              <w:autoSpaceDE/>
              <w:autoSpaceDN/>
              <w:adjustRightInd/>
              <w:jc w:val="right"/>
              <w:rPr>
                <w:sz w:val="20"/>
                <w:szCs w:val="20"/>
              </w:rPr>
            </w:pPr>
            <w:r w:rsidRPr="006F268A">
              <w:rPr>
                <w:sz w:val="20"/>
                <w:szCs w:val="20"/>
              </w:rPr>
              <w:t xml:space="preserve">$3,967 </w:t>
            </w:r>
          </w:p>
        </w:tc>
      </w:tr>
      <w:tr w14:paraId="4DEB8AD0"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1C60D3A7" w14:textId="5FD0C9CE">
            <w:pPr>
              <w:widowControl/>
              <w:autoSpaceDE/>
              <w:autoSpaceDN/>
              <w:adjustRightInd/>
              <w:ind w:left="288"/>
              <w:rPr>
                <w:sz w:val="20"/>
                <w:szCs w:val="20"/>
              </w:rPr>
            </w:pPr>
            <w:r w:rsidRPr="006F268A">
              <w:rPr>
                <w:sz w:val="20"/>
                <w:szCs w:val="20"/>
              </w:rPr>
              <w:t xml:space="preserve">5) Emissions averaging plan </w:t>
            </w:r>
            <w:r w:rsidRPr="006F268A">
              <w:rPr>
                <w:sz w:val="20"/>
                <w:szCs w:val="20"/>
                <w:vertAlign w:val="superscript"/>
              </w:rPr>
              <w:t>g</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9A47AD8" w14:textId="77777777">
            <w:pPr>
              <w:widowControl/>
              <w:autoSpaceDE/>
              <w:autoSpaceDN/>
              <w:adjustRightInd/>
              <w:jc w:val="center"/>
              <w:rPr>
                <w:sz w:val="20"/>
                <w:szCs w:val="20"/>
              </w:rPr>
            </w:pPr>
            <w:r w:rsidRPr="006F268A">
              <w:rPr>
                <w:sz w:val="20"/>
                <w:szCs w:val="20"/>
              </w:rPr>
              <w:t>120</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6098DC1" w14:textId="77777777">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790046B" w14:textId="77777777">
            <w:pPr>
              <w:widowControl/>
              <w:autoSpaceDE/>
              <w:autoSpaceDN/>
              <w:adjustRightInd/>
              <w:jc w:val="center"/>
              <w:rPr>
                <w:sz w:val="20"/>
                <w:szCs w:val="20"/>
              </w:rPr>
            </w:pPr>
            <w:r w:rsidRPr="006F268A">
              <w:rPr>
                <w:sz w:val="20"/>
                <w:szCs w:val="20"/>
              </w:rPr>
              <w:t>120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B067EDF" w14:textId="77777777">
            <w:pPr>
              <w:widowControl/>
              <w:autoSpaceDE/>
              <w:autoSpaceDN/>
              <w:adjustRightInd/>
              <w:jc w:val="center"/>
              <w:rPr>
                <w:sz w:val="20"/>
                <w:szCs w:val="20"/>
              </w:rPr>
            </w:pPr>
            <w:r w:rsidRPr="006F268A">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33E108B" w14:textId="77777777">
            <w:pPr>
              <w:widowControl/>
              <w:autoSpaceDE/>
              <w:autoSpaceDN/>
              <w:adjustRightInd/>
              <w:jc w:val="center"/>
              <w:rPr>
                <w:sz w:val="20"/>
                <w:szCs w:val="20"/>
              </w:rPr>
            </w:pPr>
            <w:r w:rsidRPr="006F268A">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F0D951D" w14:textId="77777777">
            <w:pPr>
              <w:widowControl/>
              <w:autoSpaceDE/>
              <w:autoSpaceDN/>
              <w:adjustRightInd/>
              <w:jc w:val="center"/>
              <w:rPr>
                <w:sz w:val="20"/>
                <w:szCs w:val="20"/>
              </w:rPr>
            </w:pPr>
            <w:r w:rsidRPr="006F268A">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71E53AD" w14:textId="77777777">
            <w:pPr>
              <w:widowControl/>
              <w:autoSpaceDE/>
              <w:autoSpaceDN/>
              <w:adjustRightInd/>
              <w:jc w:val="center"/>
              <w:rPr>
                <w:sz w:val="20"/>
                <w:szCs w:val="20"/>
              </w:rPr>
            </w:pPr>
            <w:r w:rsidRPr="006F268A">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17CDB08" w14:textId="77777777">
            <w:pPr>
              <w:widowControl/>
              <w:autoSpaceDE/>
              <w:autoSpaceDN/>
              <w:adjustRightInd/>
              <w:jc w:val="right"/>
              <w:rPr>
                <w:sz w:val="20"/>
                <w:szCs w:val="20"/>
              </w:rPr>
            </w:pPr>
            <w:r w:rsidRPr="006F268A">
              <w:rPr>
                <w:sz w:val="20"/>
                <w:szCs w:val="20"/>
              </w:rPr>
              <w:t xml:space="preserve">$0 </w:t>
            </w:r>
          </w:p>
        </w:tc>
      </w:tr>
      <w:tr w14:paraId="617C3610"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60391D49" w14:textId="67DAD4AD">
            <w:pPr>
              <w:widowControl/>
              <w:autoSpaceDE/>
              <w:autoSpaceDN/>
              <w:adjustRightInd/>
              <w:ind w:left="288"/>
              <w:rPr>
                <w:sz w:val="20"/>
                <w:szCs w:val="20"/>
              </w:rPr>
            </w:pPr>
            <w:r w:rsidRPr="006F268A">
              <w:rPr>
                <w:sz w:val="20"/>
                <w:szCs w:val="20"/>
              </w:rPr>
              <w:t xml:space="preserve">6) Request for routine control system maintenance exemption </w:t>
            </w:r>
            <w:r w:rsidRPr="006F268A">
              <w:rPr>
                <w:sz w:val="20"/>
                <w:szCs w:val="20"/>
                <w:vertAlign w:val="superscript"/>
              </w:rPr>
              <w:t>h</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A255D8D" w14:textId="77777777">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5682B081" w14:textId="77777777">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EBA2D3C" w14:textId="77777777">
            <w:pPr>
              <w:widowControl/>
              <w:autoSpaceDE/>
              <w:autoSpaceDN/>
              <w:adjustRightInd/>
              <w:jc w:val="center"/>
              <w:rPr>
                <w:sz w:val="20"/>
                <w:szCs w:val="20"/>
              </w:rPr>
            </w:pPr>
            <w:r w:rsidRPr="006F268A">
              <w:rPr>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76657F8" w14:textId="77777777">
            <w:pPr>
              <w:widowControl/>
              <w:autoSpaceDE/>
              <w:autoSpaceDN/>
              <w:adjustRightInd/>
              <w:jc w:val="center"/>
              <w:rPr>
                <w:sz w:val="20"/>
                <w:szCs w:val="20"/>
              </w:rPr>
            </w:pPr>
            <w:r w:rsidRPr="006F268A">
              <w:rPr>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C49CAFE" w14:textId="77777777">
            <w:pPr>
              <w:widowControl/>
              <w:autoSpaceDE/>
              <w:autoSpaceDN/>
              <w:adjustRightInd/>
              <w:jc w:val="center"/>
              <w:rPr>
                <w:sz w:val="20"/>
                <w:szCs w:val="20"/>
              </w:rPr>
            </w:pPr>
            <w:r w:rsidRPr="006F268A">
              <w:rPr>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5FD3C87" w14:textId="77777777">
            <w:pPr>
              <w:widowControl/>
              <w:autoSpaceDE/>
              <w:autoSpaceDN/>
              <w:adjustRightInd/>
              <w:jc w:val="center"/>
              <w:rPr>
                <w:sz w:val="20"/>
                <w:szCs w:val="20"/>
              </w:rPr>
            </w:pPr>
            <w:r w:rsidRPr="006F268A">
              <w:rPr>
                <w:sz w:val="20"/>
                <w:szCs w:val="20"/>
              </w:rPr>
              <w:t>0.2</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F07E11A" w14:textId="77777777">
            <w:pPr>
              <w:widowControl/>
              <w:autoSpaceDE/>
              <w:autoSpaceDN/>
              <w:adjustRightInd/>
              <w:jc w:val="center"/>
              <w:rPr>
                <w:sz w:val="20"/>
                <w:szCs w:val="20"/>
              </w:rPr>
            </w:pPr>
            <w:r w:rsidRPr="006F268A">
              <w:rPr>
                <w:sz w:val="20"/>
                <w:szCs w:val="20"/>
              </w:rPr>
              <w:t>0.4</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C53AF62" w14:textId="77777777">
            <w:pPr>
              <w:widowControl/>
              <w:autoSpaceDE/>
              <w:autoSpaceDN/>
              <w:adjustRightInd/>
              <w:jc w:val="right"/>
              <w:rPr>
                <w:sz w:val="20"/>
                <w:szCs w:val="20"/>
              </w:rPr>
            </w:pPr>
            <w:r w:rsidRPr="006F268A">
              <w:rPr>
                <w:sz w:val="20"/>
                <w:szCs w:val="20"/>
              </w:rPr>
              <w:t xml:space="preserve">$529 </w:t>
            </w:r>
          </w:p>
        </w:tc>
      </w:tr>
      <w:tr w14:paraId="5416ECC2"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667AE" w:rsidP="00A85037" w14:paraId="75330091" w14:textId="63AF0F21">
            <w:pPr>
              <w:widowControl/>
              <w:autoSpaceDE/>
              <w:autoSpaceDN/>
              <w:adjustRightInd/>
              <w:ind w:left="288"/>
              <w:rPr>
                <w:sz w:val="20"/>
                <w:szCs w:val="20"/>
              </w:rPr>
            </w:pPr>
            <w:r w:rsidRPr="006667AE">
              <w:rPr>
                <w:sz w:val="20"/>
                <w:szCs w:val="20"/>
              </w:rPr>
              <w:t>7) Notification of performance test</w:t>
            </w:r>
            <w:r>
              <w:rPr>
                <w:sz w:val="20"/>
                <w:szCs w:val="20"/>
              </w:rPr>
              <w:t xml:space="preserve"> </w:t>
            </w:r>
            <w:r w:rsidRPr="006667AE">
              <w:rPr>
                <w:sz w:val="20"/>
                <w:szCs w:val="20"/>
                <w:vertAlign w:val="superscript"/>
              </w:rPr>
              <w:t>i</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0A9A513" w14:textId="77777777">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72EA10B" w14:textId="77777777">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2E50659" w14:textId="77777777">
            <w:pPr>
              <w:widowControl/>
              <w:autoSpaceDE/>
              <w:autoSpaceDN/>
              <w:adjustRightInd/>
              <w:jc w:val="center"/>
              <w:rPr>
                <w:sz w:val="20"/>
                <w:szCs w:val="20"/>
              </w:rPr>
            </w:pPr>
            <w:r w:rsidRPr="006F268A">
              <w:rPr>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7317EFE" w14:textId="77777777">
            <w:pPr>
              <w:widowControl/>
              <w:autoSpaceDE/>
              <w:autoSpaceDN/>
              <w:adjustRightInd/>
              <w:jc w:val="center"/>
              <w:rPr>
                <w:sz w:val="20"/>
                <w:szCs w:val="20"/>
              </w:rPr>
            </w:pPr>
            <w:r w:rsidRPr="006F268A">
              <w:rPr>
                <w:sz w:val="20"/>
                <w:szCs w:val="20"/>
              </w:rPr>
              <w:t>40</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0E19704" w14:textId="77777777">
            <w:pPr>
              <w:widowControl/>
              <w:autoSpaceDE/>
              <w:autoSpaceDN/>
              <w:adjustRightInd/>
              <w:jc w:val="center"/>
              <w:rPr>
                <w:sz w:val="20"/>
                <w:szCs w:val="20"/>
              </w:rPr>
            </w:pPr>
            <w:r w:rsidRPr="006F268A">
              <w:rPr>
                <w:sz w:val="20"/>
                <w:szCs w:val="20"/>
              </w:rPr>
              <w:t>80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96B2588" w14:textId="77777777">
            <w:pPr>
              <w:widowControl/>
              <w:autoSpaceDE/>
              <w:autoSpaceDN/>
              <w:adjustRightInd/>
              <w:jc w:val="center"/>
              <w:rPr>
                <w:sz w:val="20"/>
                <w:szCs w:val="20"/>
              </w:rPr>
            </w:pPr>
            <w:r w:rsidRPr="006F268A">
              <w:rPr>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5E8BAB45" w14:textId="77777777">
            <w:pPr>
              <w:widowControl/>
              <w:autoSpaceDE/>
              <w:autoSpaceDN/>
              <w:adjustRightInd/>
              <w:jc w:val="center"/>
              <w:rPr>
                <w:sz w:val="20"/>
                <w:szCs w:val="20"/>
              </w:rPr>
            </w:pPr>
            <w:r w:rsidRPr="006F268A">
              <w:rPr>
                <w:sz w:val="20"/>
                <w:szCs w:val="20"/>
              </w:rPr>
              <w:t>8</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F36603E" w14:textId="77777777">
            <w:pPr>
              <w:widowControl/>
              <w:autoSpaceDE/>
              <w:autoSpaceDN/>
              <w:adjustRightInd/>
              <w:jc w:val="right"/>
              <w:rPr>
                <w:sz w:val="20"/>
                <w:szCs w:val="20"/>
              </w:rPr>
            </w:pPr>
            <w:r w:rsidRPr="006F268A">
              <w:rPr>
                <w:sz w:val="20"/>
                <w:szCs w:val="20"/>
              </w:rPr>
              <w:t xml:space="preserve">$10,579 </w:t>
            </w:r>
          </w:p>
        </w:tc>
      </w:tr>
      <w:tr w14:paraId="0941D70D"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0E85BE33" w14:textId="02202F25">
            <w:pPr>
              <w:widowControl/>
              <w:autoSpaceDE/>
              <w:autoSpaceDN/>
              <w:adjustRightInd/>
              <w:ind w:left="288"/>
              <w:rPr>
                <w:sz w:val="20"/>
                <w:szCs w:val="20"/>
              </w:rPr>
            </w:pPr>
            <w:r w:rsidRPr="006F268A">
              <w:rPr>
                <w:sz w:val="20"/>
                <w:szCs w:val="20"/>
              </w:rPr>
              <w:t>8) Notification of compliance status (electronically reported)</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BDE5756" w14:textId="77777777">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5BC9498B" w14:textId="77777777">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54174864" w14:textId="77777777">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C40F793" w14:textId="77777777">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36694AD" w14:textId="77777777">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1627543" w14:textId="77777777">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939389A" w14:textId="77777777">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33D1454" w14:textId="77777777">
            <w:pPr>
              <w:widowControl/>
              <w:autoSpaceDE/>
              <w:autoSpaceDN/>
              <w:adjustRightInd/>
              <w:jc w:val="right"/>
              <w:rPr>
                <w:sz w:val="20"/>
                <w:szCs w:val="20"/>
              </w:rPr>
            </w:pPr>
            <w:r w:rsidRPr="006F268A">
              <w:rPr>
                <w:sz w:val="20"/>
                <w:szCs w:val="20"/>
              </w:rPr>
              <w:t> </w:t>
            </w:r>
          </w:p>
        </w:tc>
      </w:tr>
      <w:tr w14:paraId="576637F4"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3DE3BD01" w14:textId="27BD463B">
            <w:pPr>
              <w:widowControl/>
              <w:autoSpaceDE/>
              <w:autoSpaceDN/>
              <w:adjustRightInd/>
              <w:ind w:left="432"/>
              <w:rPr>
                <w:sz w:val="20"/>
                <w:szCs w:val="20"/>
              </w:rPr>
            </w:pPr>
            <w:r w:rsidRPr="00F40AC3">
              <w:rPr>
                <w:sz w:val="20"/>
                <w:szCs w:val="20"/>
              </w:rPr>
              <w:t xml:space="preserve">a. With performance test </w:t>
            </w:r>
            <w:r w:rsidRPr="00F40AC3">
              <w:rPr>
                <w:sz w:val="20"/>
                <w:szCs w:val="20"/>
                <w:vertAlign w:val="superscript"/>
              </w:rPr>
              <w:t>i</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4D69A71" w14:textId="77777777">
            <w:pPr>
              <w:widowControl/>
              <w:autoSpaceDE/>
              <w:autoSpaceDN/>
              <w:adjustRightInd/>
              <w:jc w:val="center"/>
              <w:rPr>
                <w:sz w:val="20"/>
                <w:szCs w:val="20"/>
              </w:rPr>
            </w:pPr>
            <w:r w:rsidRPr="00F40AC3">
              <w:rPr>
                <w:sz w:val="20"/>
                <w:szCs w:val="20"/>
              </w:rPr>
              <w:t>80</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7EFBB0B" w14:textId="77777777">
            <w:pPr>
              <w:widowControl/>
              <w:autoSpaceDE/>
              <w:autoSpaceDN/>
              <w:adjustRightInd/>
              <w:jc w:val="center"/>
              <w:rPr>
                <w:sz w:val="20"/>
                <w:szCs w:val="20"/>
              </w:rPr>
            </w:pPr>
            <w:r w:rsidRPr="00F40AC3">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2E74E3D" w14:textId="77777777">
            <w:pPr>
              <w:widowControl/>
              <w:autoSpaceDE/>
              <w:autoSpaceDN/>
              <w:adjustRightInd/>
              <w:jc w:val="center"/>
              <w:rPr>
                <w:sz w:val="20"/>
                <w:szCs w:val="20"/>
              </w:rPr>
            </w:pPr>
            <w:r w:rsidRPr="00F40AC3">
              <w:rPr>
                <w:sz w:val="20"/>
                <w:szCs w:val="20"/>
              </w:rPr>
              <w:t>80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EB171AB" w14:textId="77777777">
            <w:pPr>
              <w:widowControl/>
              <w:autoSpaceDE/>
              <w:autoSpaceDN/>
              <w:adjustRightInd/>
              <w:jc w:val="center"/>
              <w:rPr>
                <w:sz w:val="20"/>
                <w:szCs w:val="20"/>
              </w:rPr>
            </w:pPr>
            <w:r w:rsidRPr="00F40AC3">
              <w:rPr>
                <w:sz w:val="20"/>
                <w:szCs w:val="20"/>
              </w:rPr>
              <w:t>40</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862A275" w14:textId="77777777">
            <w:pPr>
              <w:widowControl/>
              <w:autoSpaceDE/>
              <w:autoSpaceDN/>
              <w:adjustRightInd/>
              <w:jc w:val="center"/>
              <w:rPr>
                <w:sz w:val="20"/>
                <w:szCs w:val="20"/>
              </w:rPr>
            </w:pPr>
            <w:r w:rsidRPr="00F40AC3">
              <w:rPr>
                <w:sz w:val="20"/>
                <w:szCs w:val="20"/>
              </w:rPr>
              <w:t>3200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AFF4D93" w14:textId="77777777">
            <w:pPr>
              <w:widowControl/>
              <w:autoSpaceDE/>
              <w:autoSpaceDN/>
              <w:adjustRightInd/>
              <w:jc w:val="center"/>
              <w:rPr>
                <w:sz w:val="20"/>
                <w:szCs w:val="20"/>
              </w:rPr>
            </w:pPr>
            <w:r w:rsidRPr="00F40AC3">
              <w:rPr>
                <w:sz w:val="20"/>
                <w:szCs w:val="20"/>
              </w:rPr>
              <w:t>160</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F4FEFE6" w14:textId="77777777">
            <w:pPr>
              <w:widowControl/>
              <w:autoSpaceDE/>
              <w:autoSpaceDN/>
              <w:adjustRightInd/>
              <w:jc w:val="center"/>
              <w:rPr>
                <w:sz w:val="20"/>
                <w:szCs w:val="20"/>
              </w:rPr>
            </w:pPr>
            <w:r w:rsidRPr="00F40AC3">
              <w:rPr>
                <w:sz w:val="20"/>
                <w:szCs w:val="20"/>
              </w:rPr>
              <w:t>320</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8B308D3" w14:textId="77777777">
            <w:pPr>
              <w:widowControl/>
              <w:autoSpaceDE/>
              <w:autoSpaceDN/>
              <w:adjustRightInd/>
              <w:jc w:val="right"/>
              <w:rPr>
                <w:sz w:val="20"/>
                <w:szCs w:val="20"/>
              </w:rPr>
            </w:pPr>
            <w:r w:rsidRPr="00F40AC3">
              <w:rPr>
                <w:sz w:val="20"/>
                <w:szCs w:val="20"/>
              </w:rPr>
              <w:t xml:space="preserve">$423,170 </w:t>
            </w:r>
          </w:p>
        </w:tc>
      </w:tr>
      <w:tr w14:paraId="2C006342"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077D796A" w14:textId="233C0A39">
            <w:pPr>
              <w:widowControl/>
              <w:autoSpaceDE/>
              <w:autoSpaceDN/>
              <w:adjustRightInd/>
              <w:ind w:left="432"/>
              <w:rPr>
                <w:sz w:val="20"/>
                <w:szCs w:val="20"/>
              </w:rPr>
            </w:pPr>
            <w:r w:rsidRPr="00F40AC3">
              <w:rPr>
                <w:sz w:val="20"/>
                <w:szCs w:val="20"/>
              </w:rPr>
              <w:t xml:space="preserve">b. Without performance test </w:t>
            </w:r>
            <w:r w:rsidRPr="00F40AC3">
              <w:rPr>
                <w:sz w:val="20"/>
                <w:szCs w:val="20"/>
                <w:vertAlign w:val="superscript"/>
              </w:rPr>
              <w:t>j</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3A78EF4" w14:textId="77777777">
            <w:pPr>
              <w:widowControl/>
              <w:autoSpaceDE/>
              <w:autoSpaceDN/>
              <w:adjustRightInd/>
              <w:jc w:val="center"/>
              <w:rPr>
                <w:sz w:val="20"/>
                <w:szCs w:val="20"/>
              </w:rPr>
            </w:pPr>
            <w:r w:rsidRPr="00F40AC3">
              <w:rPr>
                <w:sz w:val="20"/>
                <w:szCs w:val="20"/>
              </w:rPr>
              <w:t>60</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E24105C" w14:textId="77777777">
            <w:pPr>
              <w:widowControl/>
              <w:autoSpaceDE/>
              <w:autoSpaceDN/>
              <w:adjustRightInd/>
              <w:jc w:val="center"/>
              <w:rPr>
                <w:sz w:val="20"/>
                <w:szCs w:val="20"/>
              </w:rPr>
            </w:pPr>
            <w:r w:rsidRPr="00F40AC3">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894A503" w14:textId="77777777">
            <w:pPr>
              <w:widowControl/>
              <w:autoSpaceDE/>
              <w:autoSpaceDN/>
              <w:adjustRightInd/>
              <w:jc w:val="center"/>
              <w:rPr>
                <w:sz w:val="20"/>
                <w:szCs w:val="20"/>
              </w:rPr>
            </w:pPr>
            <w:r w:rsidRPr="00F40AC3">
              <w:rPr>
                <w:sz w:val="20"/>
                <w:szCs w:val="20"/>
              </w:rPr>
              <w:t>60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98B4D38" w14:textId="77777777">
            <w:pPr>
              <w:widowControl/>
              <w:autoSpaceDE/>
              <w:autoSpaceDN/>
              <w:adjustRightInd/>
              <w:jc w:val="center"/>
              <w:rPr>
                <w:sz w:val="20"/>
                <w:szCs w:val="20"/>
              </w:rPr>
            </w:pPr>
            <w:r w:rsidRPr="00F40AC3">
              <w:rPr>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01E0AC0" w14:textId="77777777">
            <w:pPr>
              <w:widowControl/>
              <w:autoSpaceDE/>
              <w:autoSpaceDN/>
              <w:adjustRightInd/>
              <w:jc w:val="center"/>
              <w:rPr>
                <w:sz w:val="20"/>
                <w:szCs w:val="20"/>
              </w:rPr>
            </w:pPr>
            <w:r w:rsidRPr="00F40AC3">
              <w:rPr>
                <w:sz w:val="20"/>
                <w:szCs w:val="20"/>
              </w:rPr>
              <w:t>120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B8F446F" w14:textId="77777777">
            <w:pPr>
              <w:widowControl/>
              <w:autoSpaceDE/>
              <w:autoSpaceDN/>
              <w:adjustRightInd/>
              <w:jc w:val="center"/>
              <w:rPr>
                <w:sz w:val="20"/>
                <w:szCs w:val="20"/>
              </w:rPr>
            </w:pPr>
            <w:r w:rsidRPr="00F40AC3">
              <w:rPr>
                <w:sz w:val="20"/>
                <w:szCs w:val="20"/>
              </w:rPr>
              <w:t>6</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2414A9D" w14:textId="77777777">
            <w:pPr>
              <w:widowControl/>
              <w:autoSpaceDE/>
              <w:autoSpaceDN/>
              <w:adjustRightInd/>
              <w:jc w:val="center"/>
              <w:rPr>
                <w:sz w:val="20"/>
                <w:szCs w:val="20"/>
              </w:rPr>
            </w:pPr>
            <w:r w:rsidRPr="00F40AC3">
              <w:rPr>
                <w:sz w:val="20"/>
                <w:szCs w:val="20"/>
              </w:rPr>
              <w:t>12</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DD83F47" w14:textId="77777777">
            <w:pPr>
              <w:widowControl/>
              <w:autoSpaceDE/>
              <w:autoSpaceDN/>
              <w:adjustRightInd/>
              <w:jc w:val="right"/>
              <w:rPr>
                <w:sz w:val="20"/>
                <w:szCs w:val="20"/>
              </w:rPr>
            </w:pPr>
            <w:r w:rsidRPr="00F40AC3">
              <w:rPr>
                <w:sz w:val="20"/>
                <w:szCs w:val="20"/>
              </w:rPr>
              <w:t xml:space="preserve">$15,869 </w:t>
            </w:r>
          </w:p>
        </w:tc>
      </w:tr>
      <w:tr w14:paraId="49CE9ECD"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25EC9400" w14:textId="5160ED72">
            <w:pPr>
              <w:widowControl/>
              <w:autoSpaceDE/>
              <w:autoSpaceDN/>
              <w:adjustRightInd/>
              <w:ind w:left="288"/>
              <w:rPr>
                <w:sz w:val="20"/>
                <w:szCs w:val="20"/>
              </w:rPr>
            </w:pPr>
            <w:r w:rsidRPr="00F40AC3">
              <w:rPr>
                <w:sz w:val="20"/>
                <w:szCs w:val="20"/>
              </w:rPr>
              <w:t xml:space="preserve">9) Initial compliance report (electronically reported) </w:t>
            </w:r>
            <w:r w:rsidRPr="00F40AC3">
              <w:rPr>
                <w:sz w:val="20"/>
                <w:szCs w:val="20"/>
                <w:vertAlign w:val="superscript"/>
              </w:rPr>
              <w:t>l</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FF6803D"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EA2A5DD"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0C1D2F2"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6C66895" w14:textId="77777777">
            <w:pPr>
              <w:widowControl/>
              <w:autoSpaceDE/>
              <w:autoSpaceDN/>
              <w:adjustRightInd/>
              <w:jc w:val="center"/>
              <w:rPr>
                <w:sz w:val="20"/>
                <w:szCs w:val="20"/>
              </w:rPr>
            </w:pPr>
            <w:r w:rsidRPr="00F40AC3">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4A6C75D"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D3B0D35" w14:textId="77777777">
            <w:pPr>
              <w:widowControl/>
              <w:autoSpaceDE/>
              <w:autoSpaceDN/>
              <w:adjustRightInd/>
              <w:jc w:val="center"/>
              <w:rPr>
                <w:sz w:val="20"/>
                <w:szCs w:val="20"/>
              </w:rPr>
            </w:pPr>
            <w:r w:rsidRPr="00F40AC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D767C99" w14:textId="77777777">
            <w:pPr>
              <w:widowControl/>
              <w:autoSpaceDE/>
              <w:autoSpaceDN/>
              <w:adjustRightInd/>
              <w:jc w:val="center"/>
              <w:rPr>
                <w:sz w:val="20"/>
                <w:szCs w:val="20"/>
              </w:rPr>
            </w:pPr>
            <w:r w:rsidRPr="00F40AC3">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596EB53" w14:textId="77777777">
            <w:pPr>
              <w:widowControl/>
              <w:autoSpaceDE/>
              <w:autoSpaceDN/>
              <w:adjustRightInd/>
              <w:jc w:val="right"/>
              <w:rPr>
                <w:sz w:val="20"/>
                <w:szCs w:val="20"/>
              </w:rPr>
            </w:pPr>
            <w:r w:rsidRPr="00F40AC3">
              <w:rPr>
                <w:sz w:val="20"/>
                <w:szCs w:val="20"/>
              </w:rPr>
              <w:t> </w:t>
            </w:r>
          </w:p>
        </w:tc>
      </w:tr>
      <w:tr w14:paraId="6F9CFAC9"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16AEFB89" w14:textId="0E8205DC">
            <w:pPr>
              <w:widowControl/>
              <w:autoSpaceDE/>
              <w:autoSpaceDN/>
              <w:adjustRightInd/>
              <w:ind w:left="432"/>
              <w:rPr>
                <w:sz w:val="20"/>
                <w:szCs w:val="20"/>
              </w:rPr>
            </w:pPr>
            <w:r w:rsidRPr="00F40AC3">
              <w:rPr>
                <w:sz w:val="20"/>
                <w:szCs w:val="20"/>
              </w:rPr>
              <w:t>a. No deviations</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1F4812C" w14:textId="77777777">
            <w:pPr>
              <w:widowControl/>
              <w:autoSpaceDE/>
              <w:autoSpaceDN/>
              <w:adjustRightInd/>
              <w:jc w:val="center"/>
              <w:rPr>
                <w:sz w:val="20"/>
                <w:szCs w:val="20"/>
              </w:rPr>
            </w:pPr>
            <w:r w:rsidRPr="00F40AC3">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C0C5CFD" w14:textId="77777777">
            <w:pPr>
              <w:widowControl/>
              <w:autoSpaceDE/>
              <w:autoSpaceDN/>
              <w:adjustRightInd/>
              <w:jc w:val="center"/>
              <w:rPr>
                <w:sz w:val="20"/>
                <w:szCs w:val="20"/>
              </w:rPr>
            </w:pPr>
            <w:r w:rsidRPr="00F40AC3">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1580DE1" w14:textId="77777777">
            <w:pPr>
              <w:widowControl/>
              <w:autoSpaceDE/>
              <w:autoSpaceDN/>
              <w:adjustRightInd/>
              <w:jc w:val="center"/>
              <w:rPr>
                <w:sz w:val="20"/>
                <w:szCs w:val="20"/>
              </w:rPr>
            </w:pPr>
            <w:r w:rsidRPr="00F40AC3">
              <w:rPr>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A1964E0" w14:textId="77777777">
            <w:pPr>
              <w:widowControl/>
              <w:autoSpaceDE/>
              <w:autoSpaceDN/>
              <w:adjustRightInd/>
              <w:jc w:val="center"/>
              <w:rPr>
                <w:sz w:val="20"/>
                <w:szCs w:val="20"/>
              </w:rPr>
            </w:pPr>
            <w:r w:rsidRPr="00F40AC3">
              <w:rPr>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B3FD432" w14:textId="77777777">
            <w:pPr>
              <w:widowControl/>
              <w:autoSpaceDE/>
              <w:autoSpaceDN/>
              <w:adjustRightInd/>
              <w:jc w:val="center"/>
              <w:rPr>
                <w:sz w:val="20"/>
                <w:szCs w:val="20"/>
              </w:rPr>
            </w:pPr>
            <w:r w:rsidRPr="00F40AC3">
              <w:rPr>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ABC4E70" w14:textId="77777777">
            <w:pPr>
              <w:widowControl/>
              <w:autoSpaceDE/>
              <w:autoSpaceDN/>
              <w:adjustRightInd/>
              <w:jc w:val="center"/>
              <w:rPr>
                <w:sz w:val="20"/>
                <w:szCs w:val="20"/>
              </w:rPr>
            </w:pPr>
            <w:r w:rsidRPr="00F40AC3">
              <w:rPr>
                <w:sz w:val="20"/>
                <w:szCs w:val="20"/>
              </w:rPr>
              <w:t>0.2</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51A1B72" w14:textId="77777777">
            <w:pPr>
              <w:widowControl/>
              <w:autoSpaceDE/>
              <w:autoSpaceDN/>
              <w:adjustRightInd/>
              <w:jc w:val="center"/>
              <w:rPr>
                <w:sz w:val="20"/>
                <w:szCs w:val="20"/>
              </w:rPr>
            </w:pPr>
            <w:r w:rsidRPr="00F40AC3">
              <w:rPr>
                <w:sz w:val="20"/>
                <w:szCs w:val="20"/>
              </w:rPr>
              <w:t>0.4</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59BA885" w14:textId="77777777">
            <w:pPr>
              <w:widowControl/>
              <w:autoSpaceDE/>
              <w:autoSpaceDN/>
              <w:adjustRightInd/>
              <w:jc w:val="right"/>
              <w:rPr>
                <w:sz w:val="20"/>
                <w:szCs w:val="20"/>
              </w:rPr>
            </w:pPr>
            <w:r w:rsidRPr="00F40AC3">
              <w:rPr>
                <w:sz w:val="20"/>
                <w:szCs w:val="20"/>
              </w:rPr>
              <w:t xml:space="preserve">$529 </w:t>
            </w:r>
          </w:p>
        </w:tc>
      </w:tr>
      <w:tr w14:paraId="2CECCA9D"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744DF69D" w14:textId="2D277B6D">
            <w:pPr>
              <w:widowControl/>
              <w:autoSpaceDE/>
              <w:autoSpaceDN/>
              <w:adjustRightInd/>
              <w:ind w:left="432"/>
              <w:rPr>
                <w:sz w:val="20"/>
                <w:szCs w:val="20"/>
              </w:rPr>
            </w:pPr>
            <w:r w:rsidRPr="00F40AC3">
              <w:rPr>
                <w:sz w:val="20"/>
                <w:szCs w:val="20"/>
              </w:rPr>
              <w:t>b. Deviations</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DFAE024" w14:textId="77777777">
            <w:pPr>
              <w:widowControl/>
              <w:autoSpaceDE/>
              <w:autoSpaceDN/>
              <w:adjustRightInd/>
              <w:jc w:val="center"/>
              <w:rPr>
                <w:sz w:val="20"/>
                <w:szCs w:val="20"/>
              </w:rPr>
            </w:pPr>
            <w:r w:rsidRPr="00F40AC3">
              <w:rPr>
                <w:sz w:val="20"/>
                <w:szCs w:val="20"/>
              </w:rPr>
              <w:t>24</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C75AFB3" w14:textId="77777777">
            <w:pPr>
              <w:widowControl/>
              <w:autoSpaceDE/>
              <w:autoSpaceDN/>
              <w:adjustRightInd/>
              <w:jc w:val="center"/>
              <w:rPr>
                <w:sz w:val="20"/>
                <w:szCs w:val="20"/>
              </w:rPr>
            </w:pPr>
            <w:r w:rsidRPr="00F40AC3">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9E25226" w14:textId="77777777">
            <w:pPr>
              <w:widowControl/>
              <w:autoSpaceDE/>
              <w:autoSpaceDN/>
              <w:adjustRightInd/>
              <w:jc w:val="center"/>
              <w:rPr>
                <w:sz w:val="20"/>
                <w:szCs w:val="20"/>
              </w:rPr>
            </w:pPr>
            <w:r w:rsidRPr="00F40AC3">
              <w:rPr>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A7659C3" w14:textId="77777777">
            <w:pPr>
              <w:widowControl/>
              <w:autoSpaceDE/>
              <w:autoSpaceDN/>
              <w:adjustRightInd/>
              <w:jc w:val="center"/>
              <w:rPr>
                <w:sz w:val="20"/>
                <w:szCs w:val="20"/>
              </w:rPr>
            </w:pPr>
            <w:r w:rsidRPr="00F40AC3">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95E8581" w14:textId="77777777">
            <w:pPr>
              <w:widowControl/>
              <w:autoSpaceDE/>
              <w:autoSpaceDN/>
              <w:adjustRightInd/>
              <w:jc w:val="center"/>
              <w:rPr>
                <w:sz w:val="20"/>
                <w:szCs w:val="20"/>
              </w:rPr>
            </w:pPr>
            <w:r w:rsidRPr="00F40AC3">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A345C6A" w14:textId="77777777">
            <w:pPr>
              <w:widowControl/>
              <w:autoSpaceDE/>
              <w:autoSpaceDN/>
              <w:adjustRightInd/>
              <w:jc w:val="center"/>
              <w:rPr>
                <w:sz w:val="20"/>
                <w:szCs w:val="20"/>
              </w:rPr>
            </w:pPr>
            <w:r w:rsidRPr="00F40AC3">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5CA0AFA" w14:textId="77777777">
            <w:pPr>
              <w:widowControl/>
              <w:autoSpaceDE/>
              <w:autoSpaceDN/>
              <w:adjustRightInd/>
              <w:jc w:val="center"/>
              <w:rPr>
                <w:sz w:val="20"/>
                <w:szCs w:val="20"/>
              </w:rPr>
            </w:pPr>
            <w:r w:rsidRPr="00F40AC3">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313E2B4" w14:textId="77777777">
            <w:pPr>
              <w:widowControl/>
              <w:autoSpaceDE/>
              <w:autoSpaceDN/>
              <w:adjustRightInd/>
              <w:jc w:val="right"/>
              <w:rPr>
                <w:sz w:val="20"/>
                <w:szCs w:val="20"/>
              </w:rPr>
            </w:pPr>
            <w:r w:rsidRPr="00F40AC3">
              <w:rPr>
                <w:sz w:val="20"/>
                <w:szCs w:val="20"/>
              </w:rPr>
              <w:t xml:space="preserve">$0 </w:t>
            </w:r>
          </w:p>
        </w:tc>
      </w:tr>
      <w:tr w14:paraId="365D2C8A"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1325BDDC" w14:textId="7067A1A6">
            <w:pPr>
              <w:widowControl/>
              <w:autoSpaceDE/>
              <w:autoSpaceDN/>
              <w:adjustRightInd/>
              <w:ind w:left="432"/>
              <w:rPr>
                <w:sz w:val="20"/>
                <w:szCs w:val="20"/>
              </w:rPr>
            </w:pPr>
            <w:r w:rsidRPr="00F40AC3">
              <w:rPr>
                <w:sz w:val="20"/>
                <w:szCs w:val="20"/>
              </w:rPr>
              <w:t xml:space="preserve">c. Control system maintenance report </w:t>
            </w:r>
            <w:r w:rsidRPr="00F40AC3">
              <w:rPr>
                <w:sz w:val="20"/>
                <w:szCs w:val="20"/>
                <w:vertAlign w:val="superscript"/>
              </w:rPr>
              <w:t>m</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9F15CB7" w14:textId="77777777">
            <w:pPr>
              <w:widowControl/>
              <w:autoSpaceDE/>
              <w:autoSpaceDN/>
              <w:adjustRightInd/>
              <w:jc w:val="center"/>
              <w:rPr>
                <w:sz w:val="20"/>
                <w:szCs w:val="20"/>
              </w:rPr>
            </w:pPr>
            <w:r w:rsidRPr="00F40AC3">
              <w:rPr>
                <w:sz w:val="20"/>
                <w:szCs w:val="20"/>
              </w:rPr>
              <w:t>8</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B7EB05F" w14:textId="77777777">
            <w:pPr>
              <w:widowControl/>
              <w:autoSpaceDE/>
              <w:autoSpaceDN/>
              <w:adjustRightInd/>
              <w:jc w:val="center"/>
              <w:rPr>
                <w:sz w:val="20"/>
                <w:szCs w:val="20"/>
              </w:rPr>
            </w:pPr>
            <w:r w:rsidRPr="00F40AC3">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64108D3" w14:textId="77777777">
            <w:pPr>
              <w:widowControl/>
              <w:autoSpaceDE/>
              <w:autoSpaceDN/>
              <w:adjustRightInd/>
              <w:jc w:val="center"/>
              <w:rPr>
                <w:sz w:val="20"/>
                <w:szCs w:val="20"/>
              </w:rPr>
            </w:pPr>
            <w:r w:rsidRPr="00F40AC3">
              <w:rPr>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7FC5819" w14:textId="77777777">
            <w:pPr>
              <w:widowControl/>
              <w:autoSpaceDE/>
              <w:autoSpaceDN/>
              <w:adjustRightInd/>
              <w:jc w:val="center"/>
              <w:rPr>
                <w:sz w:val="20"/>
                <w:szCs w:val="20"/>
              </w:rPr>
            </w:pPr>
            <w:r w:rsidRPr="00F40AC3">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6CCA1EF" w14:textId="77777777">
            <w:pPr>
              <w:widowControl/>
              <w:autoSpaceDE/>
              <w:autoSpaceDN/>
              <w:adjustRightInd/>
              <w:jc w:val="center"/>
              <w:rPr>
                <w:sz w:val="20"/>
                <w:szCs w:val="20"/>
              </w:rPr>
            </w:pPr>
            <w:r w:rsidRPr="00F40AC3">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36D0234" w14:textId="77777777">
            <w:pPr>
              <w:widowControl/>
              <w:autoSpaceDE/>
              <w:autoSpaceDN/>
              <w:adjustRightInd/>
              <w:jc w:val="center"/>
              <w:rPr>
                <w:sz w:val="20"/>
                <w:szCs w:val="20"/>
              </w:rPr>
            </w:pPr>
            <w:r w:rsidRPr="00F40AC3">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7FA3717" w14:textId="77777777">
            <w:pPr>
              <w:widowControl/>
              <w:autoSpaceDE/>
              <w:autoSpaceDN/>
              <w:adjustRightInd/>
              <w:jc w:val="center"/>
              <w:rPr>
                <w:sz w:val="20"/>
                <w:szCs w:val="20"/>
              </w:rPr>
            </w:pPr>
            <w:r w:rsidRPr="00F40AC3">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5206205" w14:textId="77777777">
            <w:pPr>
              <w:widowControl/>
              <w:autoSpaceDE/>
              <w:autoSpaceDN/>
              <w:adjustRightInd/>
              <w:jc w:val="right"/>
              <w:rPr>
                <w:sz w:val="20"/>
                <w:szCs w:val="20"/>
              </w:rPr>
            </w:pPr>
            <w:r w:rsidRPr="00F40AC3">
              <w:rPr>
                <w:sz w:val="20"/>
                <w:szCs w:val="20"/>
              </w:rPr>
              <w:t xml:space="preserve">$0 </w:t>
            </w:r>
          </w:p>
        </w:tc>
      </w:tr>
      <w:tr w14:paraId="5897EB28"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2F8271FE" w14:textId="52B14C33">
            <w:pPr>
              <w:widowControl/>
              <w:autoSpaceDE/>
              <w:autoSpaceDN/>
              <w:adjustRightInd/>
              <w:ind w:firstLine="600" w:firstLineChars="300"/>
              <w:rPr>
                <w:sz w:val="20"/>
                <w:szCs w:val="20"/>
              </w:rPr>
            </w:pPr>
            <w:r w:rsidRPr="00F40AC3">
              <w:rPr>
                <w:sz w:val="20"/>
                <w:szCs w:val="20"/>
              </w:rPr>
              <w:t xml:space="preserve">d. Emissions averaging report </w:t>
            </w:r>
            <w:r w:rsidRPr="00F40AC3">
              <w:rPr>
                <w:sz w:val="20"/>
                <w:szCs w:val="20"/>
                <w:vertAlign w:val="superscript"/>
              </w:rPr>
              <w:t>g</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A5BD82B" w14:textId="77777777">
            <w:pPr>
              <w:widowControl/>
              <w:autoSpaceDE/>
              <w:autoSpaceDN/>
              <w:adjustRightInd/>
              <w:jc w:val="center"/>
              <w:rPr>
                <w:sz w:val="20"/>
                <w:szCs w:val="20"/>
              </w:rPr>
            </w:pPr>
            <w:r w:rsidRPr="00F40AC3">
              <w:rPr>
                <w:sz w:val="20"/>
                <w:szCs w:val="20"/>
              </w:rPr>
              <w:t>8</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080BA9E" w14:textId="77777777">
            <w:pPr>
              <w:widowControl/>
              <w:autoSpaceDE/>
              <w:autoSpaceDN/>
              <w:adjustRightInd/>
              <w:jc w:val="center"/>
              <w:rPr>
                <w:sz w:val="20"/>
                <w:szCs w:val="20"/>
              </w:rPr>
            </w:pPr>
            <w:r w:rsidRPr="00F40AC3">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58426CD" w14:textId="77777777">
            <w:pPr>
              <w:widowControl/>
              <w:autoSpaceDE/>
              <w:autoSpaceDN/>
              <w:adjustRightInd/>
              <w:jc w:val="center"/>
              <w:rPr>
                <w:sz w:val="20"/>
                <w:szCs w:val="20"/>
              </w:rPr>
            </w:pPr>
            <w:r w:rsidRPr="00F40AC3">
              <w:rPr>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9D1536D" w14:textId="77777777">
            <w:pPr>
              <w:widowControl/>
              <w:autoSpaceDE/>
              <w:autoSpaceDN/>
              <w:adjustRightInd/>
              <w:jc w:val="center"/>
              <w:rPr>
                <w:sz w:val="20"/>
                <w:szCs w:val="20"/>
              </w:rPr>
            </w:pPr>
            <w:r w:rsidRPr="00F40AC3">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E7A44FB" w14:textId="77777777">
            <w:pPr>
              <w:widowControl/>
              <w:autoSpaceDE/>
              <w:autoSpaceDN/>
              <w:adjustRightInd/>
              <w:jc w:val="center"/>
              <w:rPr>
                <w:sz w:val="20"/>
                <w:szCs w:val="20"/>
              </w:rPr>
            </w:pPr>
            <w:r w:rsidRPr="00F40AC3">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3B5167D" w14:textId="77777777">
            <w:pPr>
              <w:widowControl/>
              <w:autoSpaceDE/>
              <w:autoSpaceDN/>
              <w:adjustRightInd/>
              <w:jc w:val="center"/>
              <w:rPr>
                <w:sz w:val="20"/>
                <w:szCs w:val="20"/>
              </w:rPr>
            </w:pPr>
            <w:r w:rsidRPr="00F40AC3">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52CBA4A" w14:textId="77777777">
            <w:pPr>
              <w:widowControl/>
              <w:autoSpaceDE/>
              <w:autoSpaceDN/>
              <w:adjustRightInd/>
              <w:jc w:val="center"/>
              <w:rPr>
                <w:sz w:val="20"/>
                <w:szCs w:val="20"/>
              </w:rPr>
            </w:pPr>
            <w:r w:rsidRPr="00F40AC3">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FF36C8C" w14:textId="77777777">
            <w:pPr>
              <w:widowControl/>
              <w:autoSpaceDE/>
              <w:autoSpaceDN/>
              <w:adjustRightInd/>
              <w:jc w:val="right"/>
              <w:rPr>
                <w:sz w:val="20"/>
                <w:szCs w:val="20"/>
              </w:rPr>
            </w:pPr>
            <w:r w:rsidRPr="00F40AC3">
              <w:rPr>
                <w:sz w:val="20"/>
                <w:szCs w:val="20"/>
              </w:rPr>
              <w:t xml:space="preserve">$0 </w:t>
            </w:r>
          </w:p>
        </w:tc>
      </w:tr>
      <w:tr w14:paraId="32A6DD2E"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5725557E" w14:textId="76C513C5">
            <w:pPr>
              <w:widowControl/>
              <w:autoSpaceDE/>
              <w:autoSpaceDN/>
              <w:adjustRightInd/>
              <w:ind w:left="288"/>
              <w:rPr>
                <w:sz w:val="20"/>
                <w:szCs w:val="20"/>
              </w:rPr>
            </w:pPr>
            <w:r w:rsidRPr="00F40AC3">
              <w:rPr>
                <w:sz w:val="20"/>
                <w:szCs w:val="20"/>
              </w:rPr>
              <w:t xml:space="preserve">10) Semiannual compliance report (electronically reported) </w:t>
            </w:r>
            <w:r w:rsidRPr="00F40AC3">
              <w:rPr>
                <w:sz w:val="20"/>
                <w:szCs w:val="20"/>
                <w:vertAlign w:val="superscript"/>
              </w:rPr>
              <w:t>k</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E4D9532"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1617183"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24C79F7"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AEFEE98" w14:textId="77777777">
            <w:pPr>
              <w:widowControl/>
              <w:autoSpaceDE/>
              <w:autoSpaceDN/>
              <w:adjustRightInd/>
              <w:jc w:val="center"/>
              <w:rPr>
                <w:sz w:val="20"/>
                <w:szCs w:val="20"/>
              </w:rPr>
            </w:pPr>
            <w:r w:rsidRPr="00F40AC3">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1A10C58"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A635E9E" w14:textId="77777777">
            <w:pPr>
              <w:widowControl/>
              <w:autoSpaceDE/>
              <w:autoSpaceDN/>
              <w:adjustRightInd/>
              <w:jc w:val="center"/>
              <w:rPr>
                <w:sz w:val="20"/>
                <w:szCs w:val="20"/>
              </w:rPr>
            </w:pPr>
            <w:r w:rsidRPr="00F40AC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1319449" w14:textId="77777777">
            <w:pPr>
              <w:widowControl/>
              <w:autoSpaceDE/>
              <w:autoSpaceDN/>
              <w:adjustRightInd/>
              <w:jc w:val="center"/>
              <w:rPr>
                <w:sz w:val="20"/>
                <w:szCs w:val="20"/>
              </w:rPr>
            </w:pPr>
            <w:r w:rsidRPr="00F40AC3">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61299E6" w14:textId="77777777">
            <w:pPr>
              <w:widowControl/>
              <w:autoSpaceDE/>
              <w:autoSpaceDN/>
              <w:adjustRightInd/>
              <w:jc w:val="right"/>
              <w:rPr>
                <w:sz w:val="20"/>
                <w:szCs w:val="20"/>
              </w:rPr>
            </w:pPr>
            <w:r w:rsidRPr="00F40AC3">
              <w:rPr>
                <w:sz w:val="20"/>
                <w:szCs w:val="20"/>
              </w:rPr>
              <w:t> </w:t>
            </w:r>
          </w:p>
        </w:tc>
      </w:tr>
      <w:tr w14:paraId="3915E582"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467FF245" w14:textId="01946535">
            <w:pPr>
              <w:widowControl/>
              <w:autoSpaceDE/>
              <w:autoSpaceDN/>
              <w:adjustRightInd/>
              <w:ind w:left="432"/>
              <w:rPr>
                <w:sz w:val="20"/>
                <w:szCs w:val="20"/>
              </w:rPr>
            </w:pPr>
            <w:r w:rsidRPr="00F40AC3">
              <w:rPr>
                <w:sz w:val="20"/>
                <w:szCs w:val="20"/>
              </w:rPr>
              <w:t xml:space="preserve">a. No deviations </w:t>
            </w:r>
            <w:r w:rsidRPr="00F40AC3">
              <w:rPr>
                <w:sz w:val="20"/>
                <w:szCs w:val="20"/>
                <w:vertAlign w:val="superscript"/>
              </w:rPr>
              <w:t>n</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57E22A0" w14:textId="77777777">
            <w:pPr>
              <w:widowControl/>
              <w:autoSpaceDE/>
              <w:autoSpaceDN/>
              <w:adjustRightInd/>
              <w:jc w:val="center"/>
              <w:rPr>
                <w:sz w:val="20"/>
                <w:szCs w:val="20"/>
              </w:rPr>
            </w:pPr>
            <w:r w:rsidRPr="00F40AC3">
              <w:rPr>
                <w:sz w:val="20"/>
                <w:szCs w:val="20"/>
              </w:rPr>
              <w:t>8</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3031AA2" w14:textId="77777777">
            <w:pPr>
              <w:widowControl/>
              <w:autoSpaceDE/>
              <w:autoSpaceDN/>
              <w:adjustRightInd/>
              <w:jc w:val="center"/>
              <w:rPr>
                <w:sz w:val="20"/>
                <w:szCs w:val="20"/>
              </w:rPr>
            </w:pPr>
            <w:r w:rsidRPr="00F40AC3">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9218FC4" w14:textId="77777777">
            <w:pPr>
              <w:widowControl/>
              <w:autoSpaceDE/>
              <w:autoSpaceDN/>
              <w:adjustRightInd/>
              <w:jc w:val="center"/>
              <w:rPr>
                <w:sz w:val="20"/>
                <w:szCs w:val="20"/>
              </w:rPr>
            </w:pPr>
            <w:r w:rsidRPr="00F40AC3">
              <w:rPr>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7954704" w14:textId="77777777">
            <w:pPr>
              <w:widowControl/>
              <w:autoSpaceDE/>
              <w:autoSpaceDN/>
              <w:adjustRightInd/>
              <w:jc w:val="center"/>
              <w:rPr>
                <w:sz w:val="20"/>
                <w:szCs w:val="20"/>
              </w:rPr>
            </w:pPr>
            <w:r w:rsidRPr="00F40AC3">
              <w:rPr>
                <w:sz w:val="20"/>
                <w:szCs w:val="20"/>
              </w:rPr>
              <w:t>102</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4D2451C" w14:textId="77777777">
            <w:pPr>
              <w:widowControl/>
              <w:autoSpaceDE/>
              <w:autoSpaceDN/>
              <w:adjustRightInd/>
              <w:jc w:val="center"/>
              <w:rPr>
                <w:sz w:val="20"/>
                <w:szCs w:val="20"/>
              </w:rPr>
            </w:pPr>
            <w:r w:rsidRPr="00F40AC3">
              <w:rPr>
                <w:sz w:val="20"/>
                <w:szCs w:val="20"/>
              </w:rPr>
              <w:t>1632</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1B22926" w14:textId="77777777">
            <w:pPr>
              <w:widowControl/>
              <w:autoSpaceDE/>
              <w:autoSpaceDN/>
              <w:adjustRightInd/>
              <w:jc w:val="center"/>
              <w:rPr>
                <w:sz w:val="20"/>
                <w:szCs w:val="20"/>
              </w:rPr>
            </w:pPr>
            <w:r w:rsidRPr="00F40AC3">
              <w:rPr>
                <w:sz w:val="20"/>
                <w:szCs w:val="20"/>
              </w:rPr>
              <w:t>81.6</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AE178D0" w14:textId="400E35BA">
            <w:pPr>
              <w:widowControl/>
              <w:autoSpaceDE/>
              <w:autoSpaceDN/>
              <w:adjustRightInd/>
              <w:jc w:val="center"/>
              <w:rPr>
                <w:sz w:val="20"/>
                <w:szCs w:val="20"/>
              </w:rPr>
            </w:pPr>
            <w:r w:rsidRPr="00F40AC3">
              <w:rPr>
                <w:sz w:val="20"/>
                <w:szCs w:val="20"/>
              </w:rPr>
              <w:t>163</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6E48D84" w14:textId="77777777">
            <w:pPr>
              <w:widowControl/>
              <w:autoSpaceDE/>
              <w:autoSpaceDN/>
              <w:adjustRightInd/>
              <w:jc w:val="right"/>
              <w:rPr>
                <w:sz w:val="20"/>
                <w:szCs w:val="20"/>
              </w:rPr>
            </w:pPr>
            <w:r w:rsidRPr="00F40AC3">
              <w:rPr>
                <w:sz w:val="20"/>
                <w:szCs w:val="20"/>
              </w:rPr>
              <w:t xml:space="preserve">$215,816 </w:t>
            </w:r>
          </w:p>
        </w:tc>
      </w:tr>
      <w:tr w14:paraId="76A8065C"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18127D14" w14:textId="34FB4073">
            <w:pPr>
              <w:widowControl/>
              <w:autoSpaceDE/>
              <w:autoSpaceDN/>
              <w:adjustRightInd/>
              <w:ind w:left="432"/>
              <w:rPr>
                <w:sz w:val="20"/>
                <w:szCs w:val="20"/>
              </w:rPr>
            </w:pPr>
            <w:r w:rsidRPr="00F40AC3">
              <w:rPr>
                <w:sz w:val="20"/>
                <w:szCs w:val="20"/>
              </w:rPr>
              <w:t xml:space="preserve">b. Deviation </w:t>
            </w:r>
            <w:r w:rsidRPr="00F40AC3">
              <w:rPr>
                <w:sz w:val="20"/>
                <w:szCs w:val="20"/>
                <w:vertAlign w:val="superscript"/>
              </w:rPr>
              <w:t>n</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8551B5F" w14:textId="77777777">
            <w:pPr>
              <w:widowControl/>
              <w:autoSpaceDE/>
              <w:autoSpaceDN/>
              <w:adjustRightInd/>
              <w:jc w:val="center"/>
              <w:rPr>
                <w:sz w:val="20"/>
                <w:szCs w:val="20"/>
              </w:rPr>
            </w:pPr>
            <w:r w:rsidRPr="00F40AC3">
              <w:rPr>
                <w:sz w:val="20"/>
                <w:szCs w:val="20"/>
              </w:rPr>
              <w:t>24</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407BA58" w14:textId="77777777">
            <w:pPr>
              <w:widowControl/>
              <w:autoSpaceDE/>
              <w:autoSpaceDN/>
              <w:adjustRightInd/>
              <w:jc w:val="center"/>
              <w:rPr>
                <w:sz w:val="20"/>
                <w:szCs w:val="20"/>
              </w:rPr>
            </w:pPr>
            <w:r w:rsidRPr="00F40AC3">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784899B" w14:textId="77777777">
            <w:pPr>
              <w:widowControl/>
              <w:autoSpaceDE/>
              <w:autoSpaceDN/>
              <w:adjustRightInd/>
              <w:jc w:val="center"/>
              <w:rPr>
                <w:sz w:val="20"/>
                <w:szCs w:val="20"/>
              </w:rPr>
            </w:pPr>
            <w:r w:rsidRPr="00F40AC3">
              <w:rPr>
                <w:sz w:val="20"/>
                <w:szCs w:val="20"/>
              </w:rPr>
              <w:t>48</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29FA54D" w14:textId="77777777">
            <w:pPr>
              <w:widowControl/>
              <w:autoSpaceDE/>
              <w:autoSpaceDN/>
              <w:adjustRightInd/>
              <w:jc w:val="center"/>
              <w:rPr>
                <w:sz w:val="20"/>
                <w:szCs w:val="20"/>
              </w:rPr>
            </w:pPr>
            <w:r w:rsidRPr="00F40AC3">
              <w:rPr>
                <w:sz w:val="20"/>
                <w:szCs w:val="20"/>
              </w:rPr>
              <w:t>11</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19531F8" w14:textId="77777777">
            <w:pPr>
              <w:widowControl/>
              <w:autoSpaceDE/>
              <w:autoSpaceDN/>
              <w:adjustRightInd/>
              <w:jc w:val="center"/>
              <w:rPr>
                <w:sz w:val="20"/>
                <w:szCs w:val="20"/>
              </w:rPr>
            </w:pPr>
            <w:r w:rsidRPr="00F40AC3">
              <w:rPr>
                <w:sz w:val="20"/>
                <w:szCs w:val="20"/>
              </w:rPr>
              <w:t>528</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3AADD60" w14:textId="77777777">
            <w:pPr>
              <w:widowControl/>
              <w:autoSpaceDE/>
              <w:autoSpaceDN/>
              <w:adjustRightInd/>
              <w:jc w:val="center"/>
              <w:rPr>
                <w:sz w:val="20"/>
                <w:szCs w:val="20"/>
              </w:rPr>
            </w:pPr>
            <w:r w:rsidRPr="00F40AC3">
              <w:rPr>
                <w:sz w:val="20"/>
                <w:szCs w:val="20"/>
              </w:rPr>
              <w:t>26.4</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CFB7409" w14:textId="77777777">
            <w:pPr>
              <w:widowControl/>
              <w:autoSpaceDE/>
              <w:autoSpaceDN/>
              <w:adjustRightInd/>
              <w:jc w:val="center"/>
              <w:rPr>
                <w:sz w:val="20"/>
                <w:szCs w:val="20"/>
              </w:rPr>
            </w:pPr>
            <w:r w:rsidRPr="00F40AC3">
              <w:rPr>
                <w:sz w:val="20"/>
                <w:szCs w:val="20"/>
              </w:rPr>
              <w:t>52.8</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59F2DAC" w14:textId="77777777">
            <w:pPr>
              <w:widowControl/>
              <w:autoSpaceDE/>
              <w:autoSpaceDN/>
              <w:adjustRightInd/>
              <w:jc w:val="right"/>
              <w:rPr>
                <w:sz w:val="20"/>
                <w:szCs w:val="20"/>
              </w:rPr>
            </w:pPr>
            <w:r w:rsidRPr="00F40AC3">
              <w:rPr>
                <w:sz w:val="20"/>
                <w:szCs w:val="20"/>
              </w:rPr>
              <w:t xml:space="preserve">$69,823 </w:t>
            </w:r>
          </w:p>
        </w:tc>
      </w:tr>
      <w:tr w14:paraId="00FFCB22"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2708E066" w14:textId="25E45D56">
            <w:pPr>
              <w:widowControl/>
              <w:autoSpaceDE/>
              <w:autoSpaceDN/>
              <w:adjustRightInd/>
              <w:ind w:left="432"/>
              <w:rPr>
                <w:sz w:val="20"/>
                <w:szCs w:val="20"/>
              </w:rPr>
            </w:pPr>
            <w:r w:rsidRPr="00F40AC3">
              <w:rPr>
                <w:sz w:val="20"/>
                <w:szCs w:val="20"/>
              </w:rPr>
              <w:t xml:space="preserve">c. Control system maintenance report </w:t>
            </w:r>
            <w:r w:rsidRPr="00F40AC3">
              <w:rPr>
                <w:sz w:val="20"/>
                <w:szCs w:val="20"/>
                <w:vertAlign w:val="superscript"/>
              </w:rPr>
              <w:t>o</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A956EF7" w14:textId="77777777">
            <w:pPr>
              <w:widowControl/>
              <w:autoSpaceDE/>
              <w:autoSpaceDN/>
              <w:adjustRightInd/>
              <w:jc w:val="center"/>
              <w:rPr>
                <w:sz w:val="20"/>
                <w:szCs w:val="20"/>
              </w:rPr>
            </w:pPr>
            <w:r w:rsidRPr="00F40AC3">
              <w:rPr>
                <w:sz w:val="20"/>
                <w:szCs w:val="20"/>
              </w:rPr>
              <w:t>8</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1CEBF43" w14:textId="77777777">
            <w:pPr>
              <w:widowControl/>
              <w:autoSpaceDE/>
              <w:autoSpaceDN/>
              <w:adjustRightInd/>
              <w:jc w:val="center"/>
              <w:rPr>
                <w:sz w:val="20"/>
                <w:szCs w:val="20"/>
              </w:rPr>
            </w:pPr>
            <w:r w:rsidRPr="00F40AC3">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38C5CC3" w14:textId="77777777">
            <w:pPr>
              <w:widowControl/>
              <w:autoSpaceDE/>
              <w:autoSpaceDN/>
              <w:adjustRightInd/>
              <w:jc w:val="center"/>
              <w:rPr>
                <w:sz w:val="20"/>
                <w:szCs w:val="20"/>
              </w:rPr>
            </w:pPr>
            <w:r w:rsidRPr="00F40AC3">
              <w:rPr>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ACF5C36" w14:textId="77777777">
            <w:pPr>
              <w:widowControl/>
              <w:autoSpaceDE/>
              <w:autoSpaceDN/>
              <w:adjustRightInd/>
              <w:jc w:val="center"/>
              <w:rPr>
                <w:sz w:val="20"/>
                <w:szCs w:val="20"/>
              </w:rPr>
            </w:pPr>
            <w:r w:rsidRPr="00F40AC3">
              <w:rPr>
                <w:sz w:val="20"/>
                <w:szCs w:val="20"/>
              </w:rPr>
              <w:t>11</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011665F" w14:textId="77777777">
            <w:pPr>
              <w:widowControl/>
              <w:autoSpaceDE/>
              <w:autoSpaceDN/>
              <w:adjustRightInd/>
              <w:jc w:val="center"/>
              <w:rPr>
                <w:sz w:val="20"/>
                <w:szCs w:val="20"/>
              </w:rPr>
            </w:pPr>
            <w:r w:rsidRPr="00F40AC3">
              <w:rPr>
                <w:sz w:val="20"/>
                <w:szCs w:val="20"/>
              </w:rPr>
              <w:t>176</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69133CA" w14:textId="77777777">
            <w:pPr>
              <w:widowControl/>
              <w:autoSpaceDE/>
              <w:autoSpaceDN/>
              <w:adjustRightInd/>
              <w:jc w:val="center"/>
              <w:rPr>
                <w:sz w:val="20"/>
                <w:szCs w:val="20"/>
              </w:rPr>
            </w:pPr>
            <w:r w:rsidRPr="00F40AC3">
              <w:rPr>
                <w:sz w:val="20"/>
                <w:szCs w:val="20"/>
              </w:rPr>
              <w:t>8.8</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B7C87BA" w14:textId="77777777">
            <w:pPr>
              <w:widowControl/>
              <w:autoSpaceDE/>
              <w:autoSpaceDN/>
              <w:adjustRightInd/>
              <w:jc w:val="center"/>
              <w:rPr>
                <w:sz w:val="20"/>
                <w:szCs w:val="20"/>
              </w:rPr>
            </w:pPr>
            <w:r w:rsidRPr="00F40AC3">
              <w:rPr>
                <w:sz w:val="20"/>
                <w:szCs w:val="20"/>
              </w:rPr>
              <w:t>17.6</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36FBF03" w14:textId="77777777">
            <w:pPr>
              <w:widowControl/>
              <w:autoSpaceDE/>
              <w:autoSpaceDN/>
              <w:adjustRightInd/>
              <w:jc w:val="right"/>
              <w:rPr>
                <w:sz w:val="20"/>
                <w:szCs w:val="20"/>
              </w:rPr>
            </w:pPr>
            <w:r w:rsidRPr="00F40AC3">
              <w:rPr>
                <w:sz w:val="20"/>
                <w:szCs w:val="20"/>
              </w:rPr>
              <w:t xml:space="preserve">$23,274 </w:t>
            </w:r>
          </w:p>
        </w:tc>
      </w:tr>
      <w:tr w14:paraId="54AF7036"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7020802F" w14:textId="44DD7E40">
            <w:pPr>
              <w:widowControl/>
              <w:autoSpaceDE/>
              <w:autoSpaceDN/>
              <w:adjustRightInd/>
              <w:ind w:left="432"/>
              <w:rPr>
                <w:sz w:val="20"/>
                <w:szCs w:val="20"/>
              </w:rPr>
            </w:pPr>
            <w:r w:rsidRPr="00F40AC3">
              <w:rPr>
                <w:sz w:val="20"/>
                <w:szCs w:val="20"/>
              </w:rPr>
              <w:t xml:space="preserve">d. Emissions averaging report </w:t>
            </w:r>
            <w:r w:rsidRPr="00F40AC3">
              <w:rPr>
                <w:sz w:val="20"/>
                <w:szCs w:val="20"/>
                <w:vertAlign w:val="superscript"/>
              </w:rPr>
              <w:t>p</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9E28B0E" w14:textId="77777777">
            <w:pPr>
              <w:widowControl/>
              <w:autoSpaceDE/>
              <w:autoSpaceDN/>
              <w:adjustRightInd/>
              <w:jc w:val="center"/>
              <w:rPr>
                <w:sz w:val="20"/>
                <w:szCs w:val="20"/>
              </w:rPr>
            </w:pPr>
            <w:r w:rsidRPr="00F40AC3">
              <w:rPr>
                <w:sz w:val="20"/>
                <w:szCs w:val="20"/>
              </w:rPr>
              <w:t>20</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2FD6064" w14:textId="77777777">
            <w:pPr>
              <w:widowControl/>
              <w:autoSpaceDE/>
              <w:autoSpaceDN/>
              <w:adjustRightInd/>
              <w:jc w:val="center"/>
              <w:rPr>
                <w:sz w:val="20"/>
                <w:szCs w:val="20"/>
              </w:rPr>
            </w:pPr>
            <w:r w:rsidRPr="00F40AC3">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D67C107" w14:textId="77777777">
            <w:pPr>
              <w:widowControl/>
              <w:autoSpaceDE/>
              <w:autoSpaceDN/>
              <w:adjustRightInd/>
              <w:jc w:val="center"/>
              <w:rPr>
                <w:sz w:val="20"/>
                <w:szCs w:val="20"/>
              </w:rPr>
            </w:pPr>
            <w:r w:rsidRPr="00F40AC3">
              <w:rPr>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0652E8B" w14:textId="77777777">
            <w:pPr>
              <w:widowControl/>
              <w:autoSpaceDE/>
              <w:autoSpaceDN/>
              <w:adjustRightInd/>
              <w:jc w:val="center"/>
              <w:rPr>
                <w:sz w:val="20"/>
                <w:szCs w:val="20"/>
              </w:rPr>
            </w:pPr>
            <w:r w:rsidRPr="00F40AC3">
              <w:rPr>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4B74DDC" w14:textId="77777777">
            <w:pPr>
              <w:widowControl/>
              <w:autoSpaceDE/>
              <w:autoSpaceDN/>
              <w:adjustRightInd/>
              <w:jc w:val="center"/>
              <w:rPr>
                <w:sz w:val="20"/>
                <w:szCs w:val="20"/>
              </w:rPr>
            </w:pPr>
            <w:r w:rsidRPr="00F40AC3">
              <w:rPr>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732AFB6" w14:textId="77777777">
            <w:pPr>
              <w:widowControl/>
              <w:autoSpaceDE/>
              <w:autoSpaceDN/>
              <w:adjustRightInd/>
              <w:jc w:val="center"/>
              <w:rPr>
                <w:sz w:val="20"/>
                <w:szCs w:val="20"/>
              </w:rPr>
            </w:pPr>
            <w:r w:rsidRPr="00F40AC3">
              <w:rPr>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E8BBB33" w14:textId="77777777">
            <w:pPr>
              <w:widowControl/>
              <w:autoSpaceDE/>
              <w:autoSpaceDN/>
              <w:adjustRightInd/>
              <w:jc w:val="center"/>
              <w:rPr>
                <w:sz w:val="20"/>
                <w:szCs w:val="20"/>
              </w:rPr>
            </w:pPr>
            <w:r w:rsidRPr="00F40AC3">
              <w:rPr>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1996473" w14:textId="77777777">
            <w:pPr>
              <w:widowControl/>
              <w:autoSpaceDE/>
              <w:autoSpaceDN/>
              <w:adjustRightInd/>
              <w:jc w:val="right"/>
              <w:rPr>
                <w:sz w:val="20"/>
                <w:szCs w:val="20"/>
              </w:rPr>
            </w:pPr>
            <w:r w:rsidRPr="00F40AC3">
              <w:rPr>
                <w:sz w:val="20"/>
                <w:szCs w:val="20"/>
              </w:rPr>
              <w:t xml:space="preserve">$5,290 </w:t>
            </w:r>
          </w:p>
        </w:tc>
      </w:tr>
      <w:tr w14:paraId="47E352C8"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697098B0" w14:textId="64C01D6E">
            <w:pPr>
              <w:widowControl/>
              <w:autoSpaceDE/>
              <w:autoSpaceDN/>
              <w:adjustRightInd/>
              <w:rPr>
                <w:b/>
                <w:bCs/>
                <w:sz w:val="20"/>
                <w:szCs w:val="20"/>
              </w:rPr>
            </w:pPr>
            <w:r w:rsidRPr="00F40AC3">
              <w:rPr>
                <w:b/>
                <w:bCs/>
                <w:sz w:val="20"/>
                <w:szCs w:val="20"/>
              </w:rPr>
              <w:t>Subtotal for Reporting Requirements</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F9E864F"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F934D88"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1122329"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FDBC40B" w14:textId="77777777">
            <w:pPr>
              <w:widowControl/>
              <w:autoSpaceDE/>
              <w:autoSpaceDN/>
              <w:adjustRightInd/>
              <w:jc w:val="center"/>
              <w:rPr>
                <w:sz w:val="20"/>
                <w:szCs w:val="20"/>
              </w:rPr>
            </w:pPr>
            <w:r w:rsidRPr="00F40AC3">
              <w:rPr>
                <w:sz w:val="20"/>
                <w:szCs w:val="20"/>
              </w:rPr>
              <w:t> </w:t>
            </w:r>
          </w:p>
        </w:tc>
        <w:tc>
          <w:tcPr>
            <w:tcW w:w="3690" w:type="dxa"/>
            <w:gridSpan w:val="3"/>
            <w:tcBorders>
              <w:top w:val="single" w:sz="4" w:space="0" w:color="auto"/>
              <w:left w:val="nil"/>
              <w:bottom w:val="single" w:sz="4" w:space="0" w:color="auto"/>
              <w:right w:val="single" w:sz="4" w:space="0" w:color="auto"/>
            </w:tcBorders>
            <w:shd w:val="clear" w:color="auto" w:fill="auto"/>
            <w:noWrap/>
            <w:vAlign w:val="center"/>
            <w:hideMark/>
          </w:tcPr>
          <w:p w:rsidR="00A85037" w:rsidRPr="00F40AC3" w:rsidP="00A85037" w14:paraId="0CFCC66C" w14:textId="5797318F">
            <w:pPr>
              <w:widowControl/>
              <w:autoSpaceDE/>
              <w:autoSpaceDN/>
              <w:adjustRightInd/>
              <w:jc w:val="center"/>
              <w:rPr>
                <w:b/>
                <w:bCs/>
                <w:sz w:val="20"/>
                <w:szCs w:val="20"/>
              </w:rPr>
            </w:pPr>
            <w:r w:rsidRPr="00F40AC3">
              <w:rPr>
                <w:b/>
                <w:bCs/>
                <w:sz w:val="20"/>
                <w:szCs w:val="20"/>
              </w:rPr>
              <w:t>7,507</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854CA57" w14:textId="636F3697">
            <w:pPr>
              <w:widowControl/>
              <w:autoSpaceDE/>
              <w:autoSpaceDN/>
              <w:adjustRightInd/>
              <w:jc w:val="right"/>
              <w:rPr>
                <w:b/>
                <w:bCs/>
                <w:sz w:val="20"/>
                <w:szCs w:val="20"/>
              </w:rPr>
            </w:pPr>
            <w:r w:rsidRPr="00F40AC3">
              <w:rPr>
                <w:b/>
                <w:bCs/>
                <w:sz w:val="20"/>
                <w:szCs w:val="20"/>
              </w:rPr>
              <w:t xml:space="preserve">$863,266 </w:t>
            </w:r>
          </w:p>
        </w:tc>
      </w:tr>
      <w:tr w14:paraId="60DA63FB"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76EBA110" w14:textId="004142D2">
            <w:pPr>
              <w:widowControl/>
              <w:autoSpaceDE/>
              <w:autoSpaceDN/>
              <w:adjustRightInd/>
              <w:rPr>
                <w:sz w:val="20"/>
                <w:szCs w:val="20"/>
              </w:rPr>
            </w:pPr>
            <w:r w:rsidRPr="00F40AC3">
              <w:rPr>
                <w:sz w:val="20"/>
                <w:szCs w:val="20"/>
              </w:rPr>
              <w:t>4. Recordkeeping requirements</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88EDDEB"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BE46AFF"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4E97E51"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C9FE6C8" w14:textId="77777777">
            <w:pPr>
              <w:widowControl/>
              <w:autoSpaceDE/>
              <w:autoSpaceDN/>
              <w:adjustRightInd/>
              <w:jc w:val="center"/>
              <w:rPr>
                <w:sz w:val="20"/>
                <w:szCs w:val="20"/>
              </w:rPr>
            </w:pPr>
            <w:r w:rsidRPr="00F40AC3">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D655C26"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48D0150" w14:textId="77777777">
            <w:pPr>
              <w:widowControl/>
              <w:autoSpaceDE/>
              <w:autoSpaceDN/>
              <w:adjustRightInd/>
              <w:jc w:val="center"/>
              <w:rPr>
                <w:sz w:val="20"/>
                <w:szCs w:val="20"/>
              </w:rPr>
            </w:pPr>
            <w:r w:rsidRPr="00F40AC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07815EF" w14:textId="77777777">
            <w:pPr>
              <w:widowControl/>
              <w:autoSpaceDE/>
              <w:autoSpaceDN/>
              <w:adjustRightInd/>
              <w:jc w:val="center"/>
              <w:rPr>
                <w:sz w:val="20"/>
                <w:szCs w:val="20"/>
              </w:rPr>
            </w:pPr>
            <w:r w:rsidRPr="00F40AC3">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9EE2A53" w14:textId="77777777">
            <w:pPr>
              <w:widowControl/>
              <w:autoSpaceDE/>
              <w:autoSpaceDN/>
              <w:adjustRightInd/>
              <w:jc w:val="right"/>
              <w:rPr>
                <w:sz w:val="20"/>
                <w:szCs w:val="20"/>
              </w:rPr>
            </w:pPr>
            <w:r w:rsidRPr="00F40AC3">
              <w:rPr>
                <w:sz w:val="20"/>
                <w:szCs w:val="20"/>
              </w:rPr>
              <w:t> </w:t>
            </w:r>
          </w:p>
        </w:tc>
      </w:tr>
      <w:tr w14:paraId="0FE1D68F"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353A7182" w14:textId="62AD1AC0">
            <w:pPr>
              <w:widowControl/>
              <w:autoSpaceDE/>
              <w:autoSpaceDN/>
              <w:adjustRightInd/>
              <w:ind w:left="144"/>
              <w:rPr>
                <w:sz w:val="20"/>
                <w:szCs w:val="20"/>
              </w:rPr>
            </w:pPr>
            <w:r w:rsidRPr="00F40AC3">
              <w:rPr>
                <w:sz w:val="20"/>
                <w:szCs w:val="20"/>
              </w:rPr>
              <w:t xml:space="preserve">A. Familiarize with regulatory requirements </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E2157CE" w14:textId="77777777">
            <w:pPr>
              <w:widowControl/>
              <w:autoSpaceDE/>
              <w:autoSpaceDN/>
              <w:adjustRightInd/>
              <w:jc w:val="center"/>
              <w:rPr>
                <w:sz w:val="20"/>
                <w:szCs w:val="20"/>
              </w:rPr>
            </w:pPr>
            <w:r w:rsidRPr="00F40AC3">
              <w:rPr>
                <w:sz w:val="20"/>
                <w:szCs w:val="20"/>
              </w:rPr>
              <w:t>See 3A</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0322992"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F716E34"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D9D8227" w14:textId="77777777">
            <w:pPr>
              <w:widowControl/>
              <w:autoSpaceDE/>
              <w:autoSpaceDN/>
              <w:adjustRightInd/>
              <w:jc w:val="center"/>
              <w:rPr>
                <w:sz w:val="20"/>
                <w:szCs w:val="20"/>
              </w:rPr>
            </w:pPr>
            <w:r w:rsidRPr="00F40AC3">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E970268"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24453BC" w14:textId="77777777">
            <w:pPr>
              <w:widowControl/>
              <w:autoSpaceDE/>
              <w:autoSpaceDN/>
              <w:adjustRightInd/>
              <w:jc w:val="center"/>
              <w:rPr>
                <w:sz w:val="20"/>
                <w:szCs w:val="20"/>
              </w:rPr>
            </w:pPr>
            <w:r w:rsidRPr="00F40AC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24D01D5" w14:textId="77777777">
            <w:pPr>
              <w:widowControl/>
              <w:autoSpaceDE/>
              <w:autoSpaceDN/>
              <w:adjustRightInd/>
              <w:jc w:val="center"/>
              <w:rPr>
                <w:sz w:val="20"/>
                <w:szCs w:val="20"/>
              </w:rPr>
            </w:pPr>
            <w:r w:rsidRPr="00F40AC3">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F4BF424" w14:textId="77777777">
            <w:pPr>
              <w:widowControl/>
              <w:autoSpaceDE/>
              <w:autoSpaceDN/>
              <w:adjustRightInd/>
              <w:jc w:val="right"/>
              <w:rPr>
                <w:sz w:val="20"/>
                <w:szCs w:val="20"/>
              </w:rPr>
            </w:pPr>
            <w:r w:rsidRPr="00F40AC3">
              <w:rPr>
                <w:sz w:val="20"/>
                <w:szCs w:val="20"/>
              </w:rPr>
              <w:t> </w:t>
            </w:r>
          </w:p>
        </w:tc>
      </w:tr>
      <w:tr w14:paraId="3F1E1036"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65F0D861" w14:textId="25E814E4">
            <w:pPr>
              <w:widowControl/>
              <w:autoSpaceDE/>
              <w:autoSpaceDN/>
              <w:adjustRightInd/>
              <w:ind w:left="144"/>
              <w:rPr>
                <w:sz w:val="20"/>
                <w:szCs w:val="20"/>
              </w:rPr>
            </w:pPr>
            <w:r w:rsidRPr="00F40AC3">
              <w:rPr>
                <w:sz w:val="20"/>
                <w:szCs w:val="20"/>
              </w:rPr>
              <w:t>B. Plan activities</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3A9F66D" w14:textId="77777777">
            <w:pPr>
              <w:widowControl/>
              <w:autoSpaceDE/>
              <w:autoSpaceDN/>
              <w:adjustRightInd/>
              <w:jc w:val="center"/>
              <w:rPr>
                <w:sz w:val="20"/>
                <w:szCs w:val="20"/>
              </w:rPr>
            </w:pPr>
            <w:r w:rsidRPr="00F40AC3">
              <w:rPr>
                <w:sz w:val="20"/>
                <w:szCs w:val="20"/>
              </w:rPr>
              <w:t>N/A</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A5F90BD"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F404DAC"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0F07D00" w14:textId="77777777">
            <w:pPr>
              <w:widowControl/>
              <w:autoSpaceDE/>
              <w:autoSpaceDN/>
              <w:adjustRightInd/>
              <w:jc w:val="center"/>
              <w:rPr>
                <w:sz w:val="20"/>
                <w:szCs w:val="20"/>
              </w:rPr>
            </w:pPr>
            <w:r w:rsidRPr="00F40AC3">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4F847B6"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3E3DB60" w14:textId="77777777">
            <w:pPr>
              <w:widowControl/>
              <w:autoSpaceDE/>
              <w:autoSpaceDN/>
              <w:adjustRightInd/>
              <w:jc w:val="center"/>
              <w:rPr>
                <w:sz w:val="20"/>
                <w:szCs w:val="20"/>
              </w:rPr>
            </w:pPr>
            <w:r w:rsidRPr="00F40AC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763A594" w14:textId="77777777">
            <w:pPr>
              <w:widowControl/>
              <w:autoSpaceDE/>
              <w:autoSpaceDN/>
              <w:adjustRightInd/>
              <w:jc w:val="center"/>
              <w:rPr>
                <w:sz w:val="20"/>
                <w:szCs w:val="20"/>
              </w:rPr>
            </w:pPr>
            <w:r w:rsidRPr="00F40AC3">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4D3DEFB" w14:textId="77777777">
            <w:pPr>
              <w:widowControl/>
              <w:autoSpaceDE/>
              <w:autoSpaceDN/>
              <w:adjustRightInd/>
              <w:jc w:val="right"/>
              <w:rPr>
                <w:sz w:val="20"/>
                <w:szCs w:val="20"/>
              </w:rPr>
            </w:pPr>
            <w:r w:rsidRPr="00F40AC3">
              <w:rPr>
                <w:sz w:val="20"/>
                <w:szCs w:val="20"/>
              </w:rPr>
              <w:t> </w:t>
            </w:r>
          </w:p>
        </w:tc>
      </w:tr>
      <w:tr w14:paraId="303333FC"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7F60B6F6" w14:textId="53762839">
            <w:pPr>
              <w:widowControl/>
              <w:autoSpaceDE/>
              <w:autoSpaceDN/>
              <w:adjustRightInd/>
              <w:ind w:left="144"/>
              <w:rPr>
                <w:sz w:val="20"/>
                <w:szCs w:val="20"/>
              </w:rPr>
            </w:pPr>
            <w:r w:rsidRPr="00F40AC3">
              <w:rPr>
                <w:sz w:val="20"/>
                <w:szCs w:val="20"/>
              </w:rPr>
              <w:t>C. Implement activities</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C580948" w14:textId="77777777">
            <w:pPr>
              <w:widowControl/>
              <w:autoSpaceDE/>
              <w:autoSpaceDN/>
              <w:adjustRightInd/>
              <w:jc w:val="center"/>
              <w:rPr>
                <w:sz w:val="20"/>
                <w:szCs w:val="20"/>
              </w:rPr>
            </w:pPr>
            <w:r w:rsidRPr="00F40AC3">
              <w:rPr>
                <w:sz w:val="20"/>
                <w:szCs w:val="20"/>
              </w:rPr>
              <w:t>N/A</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868EA32"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BED4E3E"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9DF5E57" w14:textId="77777777">
            <w:pPr>
              <w:widowControl/>
              <w:autoSpaceDE/>
              <w:autoSpaceDN/>
              <w:adjustRightInd/>
              <w:jc w:val="center"/>
              <w:rPr>
                <w:sz w:val="20"/>
                <w:szCs w:val="20"/>
              </w:rPr>
            </w:pPr>
            <w:r w:rsidRPr="00F40AC3">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93303D2"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52695C9" w14:textId="77777777">
            <w:pPr>
              <w:widowControl/>
              <w:autoSpaceDE/>
              <w:autoSpaceDN/>
              <w:adjustRightInd/>
              <w:jc w:val="center"/>
              <w:rPr>
                <w:sz w:val="20"/>
                <w:szCs w:val="20"/>
              </w:rPr>
            </w:pPr>
            <w:r w:rsidRPr="00F40AC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44D1BA9" w14:textId="77777777">
            <w:pPr>
              <w:widowControl/>
              <w:autoSpaceDE/>
              <w:autoSpaceDN/>
              <w:adjustRightInd/>
              <w:jc w:val="center"/>
              <w:rPr>
                <w:sz w:val="20"/>
                <w:szCs w:val="20"/>
              </w:rPr>
            </w:pPr>
            <w:r w:rsidRPr="00F40AC3">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D2ADB7E" w14:textId="77777777">
            <w:pPr>
              <w:widowControl/>
              <w:autoSpaceDE/>
              <w:autoSpaceDN/>
              <w:adjustRightInd/>
              <w:jc w:val="right"/>
              <w:rPr>
                <w:sz w:val="20"/>
                <w:szCs w:val="20"/>
              </w:rPr>
            </w:pPr>
            <w:r w:rsidRPr="00F40AC3">
              <w:rPr>
                <w:sz w:val="20"/>
                <w:szCs w:val="20"/>
              </w:rPr>
              <w:t> </w:t>
            </w:r>
          </w:p>
        </w:tc>
      </w:tr>
      <w:tr w14:paraId="1B24EC61"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375E21C4" w14:textId="76F1F1CA">
            <w:pPr>
              <w:widowControl/>
              <w:autoSpaceDE/>
              <w:autoSpaceDN/>
              <w:adjustRightInd/>
              <w:ind w:left="144"/>
              <w:rPr>
                <w:sz w:val="20"/>
                <w:szCs w:val="20"/>
              </w:rPr>
            </w:pPr>
            <w:r w:rsidRPr="00F40AC3">
              <w:rPr>
                <w:sz w:val="20"/>
                <w:szCs w:val="20"/>
              </w:rPr>
              <w:t xml:space="preserve">D. Develop record system </w:t>
            </w:r>
            <w:r w:rsidRPr="00F40AC3">
              <w:rPr>
                <w:sz w:val="20"/>
                <w:szCs w:val="20"/>
                <w:vertAlign w:val="superscript"/>
              </w:rPr>
              <w:t>q</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142202A" w14:textId="77777777">
            <w:pPr>
              <w:widowControl/>
              <w:autoSpaceDE/>
              <w:autoSpaceDN/>
              <w:adjustRightInd/>
              <w:jc w:val="center"/>
              <w:rPr>
                <w:sz w:val="20"/>
                <w:szCs w:val="20"/>
              </w:rPr>
            </w:pPr>
            <w:r w:rsidRPr="00F40AC3">
              <w:rPr>
                <w:sz w:val="20"/>
                <w:szCs w:val="20"/>
              </w:rPr>
              <w:t>40</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0D8BB6E" w14:textId="77777777">
            <w:pPr>
              <w:widowControl/>
              <w:autoSpaceDE/>
              <w:autoSpaceDN/>
              <w:adjustRightInd/>
              <w:jc w:val="center"/>
              <w:rPr>
                <w:sz w:val="20"/>
                <w:szCs w:val="20"/>
              </w:rPr>
            </w:pPr>
            <w:r w:rsidRPr="00F40AC3">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59B5270" w14:textId="77777777">
            <w:pPr>
              <w:widowControl/>
              <w:autoSpaceDE/>
              <w:autoSpaceDN/>
              <w:adjustRightInd/>
              <w:jc w:val="center"/>
              <w:rPr>
                <w:sz w:val="20"/>
                <w:szCs w:val="20"/>
              </w:rPr>
            </w:pPr>
            <w:r w:rsidRPr="00F40AC3">
              <w:rPr>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2B6669B" w14:textId="77777777">
            <w:pPr>
              <w:widowControl/>
              <w:autoSpaceDE/>
              <w:autoSpaceDN/>
              <w:adjustRightInd/>
              <w:jc w:val="center"/>
              <w:rPr>
                <w:sz w:val="20"/>
                <w:szCs w:val="20"/>
              </w:rPr>
            </w:pPr>
            <w:r w:rsidRPr="00F40AC3">
              <w:rPr>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A8B32EF" w14:textId="77777777">
            <w:pPr>
              <w:widowControl/>
              <w:autoSpaceDE/>
              <w:autoSpaceDN/>
              <w:adjustRightInd/>
              <w:jc w:val="center"/>
              <w:rPr>
                <w:sz w:val="20"/>
                <w:szCs w:val="20"/>
              </w:rPr>
            </w:pPr>
            <w:r w:rsidRPr="00F40AC3">
              <w:rPr>
                <w:sz w:val="20"/>
                <w:szCs w:val="20"/>
              </w:rPr>
              <w:t>80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92DC083" w14:textId="77777777">
            <w:pPr>
              <w:widowControl/>
              <w:autoSpaceDE/>
              <w:autoSpaceDN/>
              <w:adjustRightInd/>
              <w:jc w:val="center"/>
              <w:rPr>
                <w:sz w:val="20"/>
                <w:szCs w:val="20"/>
              </w:rPr>
            </w:pPr>
            <w:r w:rsidRPr="00F40AC3">
              <w:rPr>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B3F1238" w14:textId="77777777">
            <w:pPr>
              <w:widowControl/>
              <w:autoSpaceDE/>
              <w:autoSpaceDN/>
              <w:adjustRightInd/>
              <w:jc w:val="center"/>
              <w:rPr>
                <w:sz w:val="20"/>
                <w:szCs w:val="20"/>
              </w:rPr>
            </w:pPr>
            <w:r w:rsidRPr="00F40AC3">
              <w:rPr>
                <w:sz w:val="20"/>
                <w:szCs w:val="20"/>
              </w:rPr>
              <w:t>8.0</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DAAC3C2" w14:textId="77777777">
            <w:pPr>
              <w:widowControl/>
              <w:autoSpaceDE/>
              <w:autoSpaceDN/>
              <w:adjustRightInd/>
              <w:jc w:val="right"/>
              <w:rPr>
                <w:sz w:val="20"/>
                <w:szCs w:val="20"/>
              </w:rPr>
            </w:pPr>
            <w:r w:rsidRPr="00F40AC3">
              <w:rPr>
                <w:sz w:val="20"/>
                <w:szCs w:val="20"/>
              </w:rPr>
              <w:t xml:space="preserve">$10,579 </w:t>
            </w:r>
          </w:p>
        </w:tc>
      </w:tr>
      <w:tr w14:paraId="6DBBCF1D"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728D054D" w14:textId="3AD5BF7B">
            <w:pPr>
              <w:widowControl/>
              <w:autoSpaceDE/>
              <w:autoSpaceDN/>
              <w:adjustRightInd/>
              <w:ind w:left="288"/>
              <w:rPr>
                <w:sz w:val="20"/>
                <w:szCs w:val="20"/>
              </w:rPr>
            </w:pPr>
            <w:r w:rsidRPr="00F40AC3">
              <w:rPr>
                <w:sz w:val="20"/>
                <w:szCs w:val="20"/>
              </w:rPr>
              <w:t>1) Adjustments to existing system for PCWP mills</w:t>
            </w:r>
            <w:r w:rsidRPr="00F40AC3">
              <w:rPr>
                <w:sz w:val="20"/>
                <w:szCs w:val="20"/>
                <w:vertAlign w:val="superscript"/>
              </w:rPr>
              <w:t xml:space="preserve"> d</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711406D" w14:textId="381FF031">
            <w:pPr>
              <w:widowControl/>
              <w:autoSpaceDE/>
              <w:autoSpaceDN/>
              <w:adjustRightInd/>
              <w:jc w:val="center"/>
              <w:rPr>
                <w:sz w:val="20"/>
                <w:szCs w:val="20"/>
              </w:rPr>
            </w:pPr>
            <w:r w:rsidRPr="00F40AC3">
              <w:rPr>
                <w:sz w:val="20"/>
                <w:szCs w:val="20"/>
              </w:rPr>
              <w:t>80</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BE16D56" w14:textId="77777777">
            <w:pPr>
              <w:widowControl/>
              <w:autoSpaceDE/>
              <w:autoSpaceDN/>
              <w:adjustRightInd/>
              <w:jc w:val="center"/>
              <w:rPr>
                <w:sz w:val="20"/>
                <w:szCs w:val="20"/>
              </w:rPr>
            </w:pPr>
            <w:r w:rsidRPr="00F40AC3">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22C70FA" w14:textId="77777777">
            <w:pPr>
              <w:widowControl/>
              <w:autoSpaceDE/>
              <w:autoSpaceDN/>
              <w:adjustRightInd/>
              <w:jc w:val="center"/>
              <w:rPr>
                <w:sz w:val="20"/>
                <w:szCs w:val="20"/>
              </w:rPr>
            </w:pPr>
            <w:r w:rsidRPr="00F40AC3">
              <w:rPr>
                <w:sz w:val="20"/>
                <w:szCs w:val="20"/>
              </w:rPr>
              <w:t>200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DF726E0" w14:textId="77777777">
            <w:pPr>
              <w:widowControl/>
              <w:autoSpaceDE/>
              <w:autoSpaceDN/>
              <w:adjustRightInd/>
              <w:jc w:val="center"/>
              <w:rPr>
                <w:sz w:val="20"/>
                <w:szCs w:val="20"/>
              </w:rPr>
            </w:pPr>
            <w:r w:rsidRPr="00F40AC3">
              <w:rPr>
                <w:sz w:val="20"/>
                <w:szCs w:val="20"/>
              </w:rPr>
              <w:t>38</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D9B232F" w14:textId="66EB3572">
            <w:pPr>
              <w:widowControl/>
              <w:autoSpaceDE/>
              <w:autoSpaceDN/>
              <w:adjustRightInd/>
              <w:jc w:val="center"/>
              <w:rPr>
                <w:sz w:val="20"/>
                <w:szCs w:val="20"/>
              </w:rPr>
            </w:pPr>
            <w:r w:rsidRPr="00F40AC3">
              <w:rPr>
                <w:sz w:val="20"/>
                <w:szCs w:val="20"/>
              </w:rPr>
              <w:t>6080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3A1AAAD" w14:textId="4A1AD480">
            <w:pPr>
              <w:widowControl/>
              <w:autoSpaceDE/>
              <w:autoSpaceDN/>
              <w:adjustRightInd/>
              <w:jc w:val="center"/>
              <w:rPr>
                <w:sz w:val="20"/>
                <w:szCs w:val="20"/>
              </w:rPr>
            </w:pPr>
            <w:r w:rsidRPr="00F40AC3">
              <w:rPr>
                <w:sz w:val="20"/>
                <w:szCs w:val="20"/>
              </w:rPr>
              <w:t>304</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C1D7834" w14:textId="6D7F1302">
            <w:pPr>
              <w:widowControl/>
              <w:autoSpaceDE/>
              <w:autoSpaceDN/>
              <w:adjustRightInd/>
              <w:jc w:val="center"/>
              <w:rPr>
                <w:sz w:val="20"/>
                <w:szCs w:val="20"/>
              </w:rPr>
            </w:pPr>
            <w:r w:rsidRPr="00F40AC3">
              <w:rPr>
                <w:sz w:val="20"/>
                <w:szCs w:val="20"/>
              </w:rPr>
              <w:t>608</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1993611" w14:textId="2FEAAA68">
            <w:pPr>
              <w:widowControl/>
              <w:autoSpaceDE/>
              <w:autoSpaceDN/>
              <w:adjustRightInd/>
              <w:jc w:val="right"/>
              <w:rPr>
                <w:sz w:val="20"/>
                <w:szCs w:val="20"/>
              </w:rPr>
            </w:pPr>
            <w:r w:rsidRPr="00F40AC3">
              <w:rPr>
                <w:sz w:val="20"/>
                <w:szCs w:val="20"/>
              </w:rPr>
              <w:t xml:space="preserve">$804,022 </w:t>
            </w:r>
          </w:p>
        </w:tc>
      </w:tr>
      <w:tr w14:paraId="21378302"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59057A6E" w14:textId="351F9725">
            <w:pPr>
              <w:widowControl/>
              <w:autoSpaceDE/>
              <w:autoSpaceDN/>
              <w:adjustRightInd/>
              <w:ind w:left="288"/>
              <w:rPr>
                <w:sz w:val="20"/>
                <w:szCs w:val="20"/>
              </w:rPr>
            </w:pPr>
            <w:r w:rsidRPr="00F40AC3">
              <w:rPr>
                <w:sz w:val="20"/>
                <w:szCs w:val="20"/>
              </w:rPr>
              <w:t>2) Adjustments to existing system for lumber mills</w:t>
            </w:r>
            <w:r w:rsidRPr="00F40AC3">
              <w:rPr>
                <w:sz w:val="20"/>
                <w:szCs w:val="20"/>
                <w:vertAlign w:val="superscript"/>
              </w:rPr>
              <w:t xml:space="preserve"> e</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236ACBF" w14:textId="77777777">
            <w:pPr>
              <w:widowControl/>
              <w:autoSpaceDE/>
              <w:autoSpaceDN/>
              <w:adjustRightInd/>
              <w:jc w:val="center"/>
              <w:rPr>
                <w:sz w:val="20"/>
                <w:szCs w:val="20"/>
              </w:rPr>
            </w:pPr>
            <w:r w:rsidRPr="00F40AC3">
              <w:rPr>
                <w:sz w:val="20"/>
                <w:szCs w:val="20"/>
              </w:rPr>
              <w:t>0</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68DEC9C" w14:textId="77777777">
            <w:pPr>
              <w:widowControl/>
              <w:autoSpaceDE/>
              <w:autoSpaceDN/>
              <w:adjustRightInd/>
              <w:jc w:val="center"/>
              <w:rPr>
                <w:sz w:val="20"/>
                <w:szCs w:val="20"/>
              </w:rPr>
            </w:pPr>
            <w:r w:rsidRPr="00F40AC3">
              <w:rPr>
                <w:sz w:val="20"/>
                <w:szCs w:val="20"/>
              </w:rPr>
              <w:t>3</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DBAF29D" w14:textId="77777777">
            <w:pPr>
              <w:widowControl/>
              <w:autoSpaceDE/>
              <w:autoSpaceDN/>
              <w:adjustRightInd/>
              <w:jc w:val="center"/>
              <w:rPr>
                <w:sz w:val="20"/>
                <w:szCs w:val="20"/>
              </w:rPr>
            </w:pPr>
            <w:r w:rsidRPr="00F40AC3">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7FA57FD" w14:textId="77777777">
            <w:pPr>
              <w:widowControl/>
              <w:autoSpaceDE/>
              <w:autoSpaceDN/>
              <w:adjustRightInd/>
              <w:jc w:val="center"/>
              <w:rPr>
                <w:sz w:val="20"/>
                <w:szCs w:val="20"/>
              </w:rPr>
            </w:pPr>
            <w:r w:rsidRPr="00F40AC3">
              <w:rPr>
                <w:sz w:val="20"/>
                <w:szCs w:val="20"/>
              </w:rPr>
              <w:t>43</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A0E4E69" w14:textId="77777777">
            <w:pPr>
              <w:widowControl/>
              <w:autoSpaceDE/>
              <w:autoSpaceDN/>
              <w:adjustRightInd/>
              <w:jc w:val="center"/>
              <w:rPr>
                <w:sz w:val="20"/>
                <w:szCs w:val="20"/>
              </w:rPr>
            </w:pPr>
            <w:r w:rsidRPr="00F40AC3">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1E3199E" w14:textId="77777777">
            <w:pPr>
              <w:widowControl/>
              <w:autoSpaceDE/>
              <w:autoSpaceDN/>
              <w:adjustRightInd/>
              <w:jc w:val="center"/>
              <w:rPr>
                <w:sz w:val="20"/>
                <w:szCs w:val="20"/>
              </w:rPr>
            </w:pPr>
            <w:r w:rsidRPr="00F40AC3">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05A8575" w14:textId="77777777">
            <w:pPr>
              <w:widowControl/>
              <w:autoSpaceDE/>
              <w:autoSpaceDN/>
              <w:adjustRightInd/>
              <w:jc w:val="center"/>
              <w:rPr>
                <w:sz w:val="20"/>
                <w:szCs w:val="20"/>
              </w:rPr>
            </w:pPr>
            <w:r w:rsidRPr="00F40AC3">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BBEC926" w14:textId="77777777">
            <w:pPr>
              <w:widowControl/>
              <w:autoSpaceDE/>
              <w:autoSpaceDN/>
              <w:adjustRightInd/>
              <w:jc w:val="right"/>
              <w:rPr>
                <w:sz w:val="20"/>
                <w:szCs w:val="20"/>
              </w:rPr>
            </w:pPr>
            <w:r w:rsidRPr="00F40AC3">
              <w:rPr>
                <w:sz w:val="20"/>
                <w:szCs w:val="20"/>
              </w:rPr>
              <w:t xml:space="preserve">$0 </w:t>
            </w:r>
          </w:p>
        </w:tc>
      </w:tr>
      <w:tr w14:paraId="2751ADDA"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69A9B326" w14:textId="17F62888">
            <w:pPr>
              <w:widowControl/>
              <w:autoSpaceDE/>
              <w:autoSpaceDN/>
              <w:adjustRightInd/>
              <w:ind w:left="144"/>
              <w:rPr>
                <w:sz w:val="20"/>
                <w:szCs w:val="20"/>
              </w:rPr>
            </w:pPr>
            <w:r w:rsidRPr="00F40AC3">
              <w:rPr>
                <w:sz w:val="20"/>
                <w:szCs w:val="20"/>
              </w:rPr>
              <w:t>E. Time to enter information</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E4AA753"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101F1EC"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2AAAB3F"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87878CA" w14:textId="77777777">
            <w:pPr>
              <w:widowControl/>
              <w:autoSpaceDE/>
              <w:autoSpaceDN/>
              <w:adjustRightInd/>
              <w:jc w:val="center"/>
              <w:rPr>
                <w:sz w:val="20"/>
                <w:szCs w:val="20"/>
              </w:rPr>
            </w:pPr>
            <w:r w:rsidRPr="00F40AC3">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0BEA7B7"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D34D227" w14:textId="77777777">
            <w:pPr>
              <w:widowControl/>
              <w:autoSpaceDE/>
              <w:autoSpaceDN/>
              <w:adjustRightInd/>
              <w:jc w:val="center"/>
              <w:rPr>
                <w:sz w:val="20"/>
                <w:szCs w:val="20"/>
              </w:rPr>
            </w:pPr>
            <w:r w:rsidRPr="00F40AC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E6EDE44" w14:textId="77777777">
            <w:pPr>
              <w:widowControl/>
              <w:autoSpaceDE/>
              <w:autoSpaceDN/>
              <w:adjustRightInd/>
              <w:jc w:val="center"/>
              <w:rPr>
                <w:sz w:val="20"/>
                <w:szCs w:val="20"/>
              </w:rPr>
            </w:pPr>
            <w:r w:rsidRPr="00F40AC3">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E517DBD" w14:textId="77777777">
            <w:pPr>
              <w:widowControl/>
              <w:autoSpaceDE/>
              <w:autoSpaceDN/>
              <w:adjustRightInd/>
              <w:jc w:val="right"/>
              <w:rPr>
                <w:sz w:val="20"/>
                <w:szCs w:val="20"/>
              </w:rPr>
            </w:pPr>
            <w:r w:rsidRPr="00F40AC3">
              <w:rPr>
                <w:sz w:val="20"/>
                <w:szCs w:val="20"/>
              </w:rPr>
              <w:t> </w:t>
            </w:r>
          </w:p>
        </w:tc>
      </w:tr>
      <w:tr w14:paraId="7146DB7C"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03875725" w14:textId="597DA4D3">
            <w:pPr>
              <w:widowControl/>
              <w:autoSpaceDE/>
              <w:autoSpaceDN/>
              <w:adjustRightInd/>
              <w:ind w:left="432"/>
              <w:rPr>
                <w:sz w:val="20"/>
                <w:szCs w:val="20"/>
              </w:rPr>
            </w:pPr>
            <w:r w:rsidRPr="00F40AC3">
              <w:rPr>
                <w:sz w:val="20"/>
                <w:szCs w:val="20"/>
              </w:rPr>
              <w:t xml:space="preserve">1) Records of continuous compliance for PCWP facilities </w:t>
            </w:r>
            <w:r w:rsidRPr="00F40AC3">
              <w:rPr>
                <w:sz w:val="20"/>
                <w:szCs w:val="20"/>
                <w:vertAlign w:val="superscript"/>
              </w:rPr>
              <w:t>r</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A26DCD6"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FF2F900" w14:textId="77777777">
            <w:pPr>
              <w:widowControl/>
              <w:autoSpaceDE/>
              <w:autoSpaceDN/>
              <w:adjustRightInd/>
              <w:jc w:val="center"/>
              <w:rPr>
                <w:sz w:val="20"/>
                <w:szCs w:val="20"/>
              </w:rPr>
            </w:pPr>
            <w:r w:rsidRPr="00F40AC3">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7474732"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4832CF8" w14:textId="77777777">
            <w:pPr>
              <w:widowControl/>
              <w:autoSpaceDE/>
              <w:autoSpaceDN/>
              <w:adjustRightInd/>
              <w:jc w:val="center"/>
              <w:rPr>
                <w:sz w:val="20"/>
                <w:szCs w:val="20"/>
              </w:rPr>
            </w:pPr>
            <w:r w:rsidRPr="00F40AC3">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760FDD6" w14:textId="77777777">
            <w:pPr>
              <w:widowControl/>
              <w:autoSpaceDE/>
              <w:autoSpaceDN/>
              <w:adjustRightInd/>
              <w:jc w:val="center"/>
              <w:rPr>
                <w:sz w:val="20"/>
                <w:szCs w:val="20"/>
              </w:rPr>
            </w:pPr>
            <w:r w:rsidRPr="00F40AC3">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EF6C91E" w14:textId="77777777">
            <w:pPr>
              <w:widowControl/>
              <w:autoSpaceDE/>
              <w:autoSpaceDN/>
              <w:adjustRightInd/>
              <w:jc w:val="center"/>
              <w:rPr>
                <w:sz w:val="20"/>
                <w:szCs w:val="20"/>
              </w:rPr>
            </w:pPr>
            <w:r w:rsidRPr="00F40AC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C8E5D96" w14:textId="77777777">
            <w:pPr>
              <w:widowControl/>
              <w:autoSpaceDE/>
              <w:autoSpaceDN/>
              <w:adjustRightInd/>
              <w:jc w:val="center"/>
              <w:rPr>
                <w:sz w:val="20"/>
                <w:szCs w:val="20"/>
              </w:rPr>
            </w:pPr>
            <w:r w:rsidRPr="00F40AC3">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CA92D98" w14:textId="77777777">
            <w:pPr>
              <w:widowControl/>
              <w:autoSpaceDE/>
              <w:autoSpaceDN/>
              <w:adjustRightInd/>
              <w:jc w:val="right"/>
              <w:rPr>
                <w:sz w:val="20"/>
                <w:szCs w:val="20"/>
              </w:rPr>
            </w:pPr>
            <w:r w:rsidRPr="00F40AC3">
              <w:rPr>
                <w:sz w:val="20"/>
                <w:szCs w:val="20"/>
              </w:rPr>
              <w:t> </w:t>
            </w:r>
          </w:p>
        </w:tc>
      </w:tr>
      <w:tr w14:paraId="1AE80915"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465F17E3" w14:textId="44290E11">
            <w:pPr>
              <w:widowControl/>
              <w:autoSpaceDE/>
              <w:autoSpaceDN/>
              <w:adjustRightInd/>
              <w:ind w:left="576"/>
              <w:rPr>
                <w:sz w:val="20"/>
                <w:szCs w:val="20"/>
              </w:rPr>
            </w:pPr>
            <w:r w:rsidRPr="00F40AC3">
              <w:rPr>
                <w:sz w:val="20"/>
                <w:szCs w:val="20"/>
              </w:rPr>
              <w:t>a. Record parameters/information</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9243269" w14:textId="77777777">
            <w:pPr>
              <w:widowControl/>
              <w:autoSpaceDE/>
              <w:autoSpaceDN/>
              <w:adjustRightInd/>
              <w:jc w:val="center"/>
              <w:rPr>
                <w:sz w:val="20"/>
                <w:szCs w:val="20"/>
              </w:rPr>
            </w:pPr>
            <w:r w:rsidRPr="00F40AC3">
              <w:rPr>
                <w:sz w:val="20"/>
                <w:szCs w:val="20"/>
              </w:rPr>
              <w:t>0.25</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CAEC2E9" w14:textId="77777777">
            <w:pPr>
              <w:widowControl/>
              <w:autoSpaceDE/>
              <w:autoSpaceDN/>
              <w:adjustRightInd/>
              <w:jc w:val="center"/>
              <w:rPr>
                <w:sz w:val="20"/>
                <w:szCs w:val="20"/>
              </w:rPr>
            </w:pPr>
            <w:r w:rsidRPr="00F40AC3">
              <w:rPr>
                <w:sz w:val="20"/>
                <w:szCs w:val="20"/>
              </w:rPr>
              <w:t>365</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778132D" w14:textId="77777777">
            <w:pPr>
              <w:widowControl/>
              <w:autoSpaceDE/>
              <w:autoSpaceDN/>
              <w:adjustRightInd/>
              <w:jc w:val="center"/>
              <w:rPr>
                <w:sz w:val="20"/>
                <w:szCs w:val="20"/>
              </w:rPr>
            </w:pPr>
            <w:r w:rsidRPr="00F40AC3">
              <w:rPr>
                <w:sz w:val="20"/>
                <w:szCs w:val="20"/>
              </w:rPr>
              <w:t>91.25</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4847778" w14:textId="77777777">
            <w:pPr>
              <w:widowControl/>
              <w:autoSpaceDE/>
              <w:autoSpaceDN/>
              <w:adjustRightInd/>
              <w:jc w:val="center"/>
              <w:rPr>
                <w:sz w:val="20"/>
                <w:szCs w:val="20"/>
              </w:rPr>
            </w:pPr>
            <w:r w:rsidRPr="00F40AC3">
              <w:rPr>
                <w:sz w:val="20"/>
                <w:szCs w:val="20"/>
              </w:rPr>
              <w:t>114</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8E8136E" w14:textId="20C58AAB">
            <w:pPr>
              <w:widowControl/>
              <w:autoSpaceDE/>
              <w:autoSpaceDN/>
              <w:adjustRightInd/>
              <w:jc w:val="center"/>
              <w:rPr>
                <w:sz w:val="20"/>
                <w:szCs w:val="20"/>
              </w:rPr>
            </w:pPr>
            <w:r w:rsidRPr="00F40AC3">
              <w:rPr>
                <w:sz w:val="20"/>
                <w:szCs w:val="20"/>
              </w:rPr>
              <w:t>10403</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A3E3ED2" w14:textId="4B40DB39">
            <w:pPr>
              <w:widowControl/>
              <w:autoSpaceDE/>
              <w:autoSpaceDN/>
              <w:adjustRightInd/>
              <w:jc w:val="center"/>
              <w:rPr>
                <w:sz w:val="20"/>
                <w:szCs w:val="20"/>
              </w:rPr>
            </w:pPr>
            <w:r w:rsidRPr="00F40AC3">
              <w:rPr>
                <w:sz w:val="20"/>
                <w:szCs w:val="20"/>
              </w:rPr>
              <w:t>520</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0FCF2A6" w14:textId="04303900">
            <w:pPr>
              <w:widowControl/>
              <w:autoSpaceDE/>
              <w:autoSpaceDN/>
              <w:adjustRightInd/>
              <w:jc w:val="center"/>
              <w:rPr>
                <w:sz w:val="20"/>
                <w:szCs w:val="20"/>
              </w:rPr>
            </w:pPr>
            <w:r w:rsidRPr="00F40AC3">
              <w:rPr>
                <w:sz w:val="20"/>
                <w:szCs w:val="20"/>
              </w:rPr>
              <w:t>1040</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2F5CDE1" w14:textId="77777777">
            <w:pPr>
              <w:widowControl/>
              <w:autoSpaceDE/>
              <w:autoSpaceDN/>
              <w:adjustRightInd/>
              <w:jc w:val="right"/>
              <w:rPr>
                <w:sz w:val="20"/>
                <w:szCs w:val="20"/>
              </w:rPr>
            </w:pPr>
            <w:r w:rsidRPr="00F40AC3">
              <w:rPr>
                <w:sz w:val="20"/>
                <w:szCs w:val="20"/>
              </w:rPr>
              <w:t xml:space="preserve">$1,375,632 </w:t>
            </w:r>
          </w:p>
        </w:tc>
      </w:tr>
      <w:tr w14:paraId="38F8D828"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52B12406" w14:textId="760D6CBA">
            <w:pPr>
              <w:widowControl/>
              <w:autoSpaceDE/>
              <w:autoSpaceDN/>
              <w:adjustRightInd/>
              <w:ind w:left="576"/>
              <w:rPr>
                <w:sz w:val="20"/>
                <w:szCs w:val="20"/>
              </w:rPr>
            </w:pPr>
            <w:r w:rsidRPr="00F40AC3">
              <w:rPr>
                <w:sz w:val="20"/>
                <w:szCs w:val="20"/>
              </w:rPr>
              <w:t>b. Compile data</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0BFD943" w14:textId="77777777">
            <w:pPr>
              <w:widowControl/>
              <w:autoSpaceDE/>
              <w:autoSpaceDN/>
              <w:adjustRightInd/>
              <w:jc w:val="center"/>
              <w:rPr>
                <w:sz w:val="20"/>
                <w:szCs w:val="20"/>
              </w:rPr>
            </w:pPr>
            <w:r w:rsidRPr="00F40AC3">
              <w:rPr>
                <w:sz w:val="20"/>
                <w:szCs w:val="20"/>
              </w:rPr>
              <w:t>24</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0AFECC70" w14:textId="77777777">
            <w:pPr>
              <w:widowControl/>
              <w:autoSpaceDE/>
              <w:autoSpaceDN/>
              <w:adjustRightInd/>
              <w:jc w:val="center"/>
              <w:rPr>
                <w:sz w:val="20"/>
                <w:szCs w:val="20"/>
              </w:rPr>
            </w:pPr>
            <w:r w:rsidRPr="00F40AC3">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BF5AA25" w14:textId="77777777">
            <w:pPr>
              <w:widowControl/>
              <w:autoSpaceDE/>
              <w:autoSpaceDN/>
              <w:adjustRightInd/>
              <w:jc w:val="center"/>
              <w:rPr>
                <w:sz w:val="20"/>
                <w:szCs w:val="20"/>
              </w:rPr>
            </w:pPr>
            <w:r w:rsidRPr="00F40AC3">
              <w:rPr>
                <w:sz w:val="20"/>
                <w:szCs w:val="20"/>
              </w:rPr>
              <w:t>48</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A8D35E4" w14:textId="77777777">
            <w:pPr>
              <w:widowControl/>
              <w:autoSpaceDE/>
              <w:autoSpaceDN/>
              <w:adjustRightInd/>
              <w:jc w:val="center"/>
              <w:rPr>
                <w:sz w:val="20"/>
                <w:szCs w:val="20"/>
              </w:rPr>
            </w:pPr>
            <w:r w:rsidRPr="00F40AC3">
              <w:rPr>
                <w:sz w:val="20"/>
                <w:szCs w:val="20"/>
              </w:rPr>
              <w:t>114</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6594DC3" w14:textId="77777777">
            <w:pPr>
              <w:widowControl/>
              <w:autoSpaceDE/>
              <w:autoSpaceDN/>
              <w:adjustRightInd/>
              <w:jc w:val="center"/>
              <w:rPr>
                <w:sz w:val="20"/>
                <w:szCs w:val="20"/>
              </w:rPr>
            </w:pPr>
            <w:r w:rsidRPr="00F40AC3">
              <w:rPr>
                <w:sz w:val="20"/>
                <w:szCs w:val="20"/>
              </w:rPr>
              <w:t>5472</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B08F4D3" w14:textId="228DA782">
            <w:pPr>
              <w:widowControl/>
              <w:autoSpaceDE/>
              <w:autoSpaceDN/>
              <w:adjustRightInd/>
              <w:jc w:val="center"/>
              <w:rPr>
                <w:sz w:val="20"/>
                <w:szCs w:val="20"/>
              </w:rPr>
            </w:pPr>
            <w:r w:rsidRPr="00F40AC3">
              <w:rPr>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31A52B54" w14:textId="4A0976F4">
            <w:pPr>
              <w:widowControl/>
              <w:autoSpaceDE/>
              <w:autoSpaceDN/>
              <w:adjustRightInd/>
              <w:jc w:val="center"/>
              <w:rPr>
                <w:sz w:val="20"/>
                <w:szCs w:val="20"/>
              </w:rPr>
            </w:pPr>
            <w:r w:rsidRPr="00F40AC3">
              <w:rPr>
                <w:sz w:val="20"/>
                <w:szCs w:val="20"/>
              </w:rPr>
              <w:t>547</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287C05D7" w14:textId="77777777">
            <w:pPr>
              <w:widowControl/>
              <w:autoSpaceDE/>
              <w:autoSpaceDN/>
              <w:adjustRightInd/>
              <w:jc w:val="right"/>
              <w:rPr>
                <w:sz w:val="20"/>
                <w:szCs w:val="20"/>
              </w:rPr>
            </w:pPr>
            <w:r w:rsidRPr="00F40AC3">
              <w:rPr>
                <w:sz w:val="20"/>
                <w:szCs w:val="20"/>
              </w:rPr>
              <w:t xml:space="preserve">$723,620 </w:t>
            </w:r>
          </w:p>
        </w:tc>
      </w:tr>
      <w:tr w14:paraId="619EB201"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F40AC3" w:rsidP="00A85037" w14:paraId="3D894236" w14:textId="7C111181">
            <w:pPr>
              <w:widowControl/>
              <w:autoSpaceDE/>
              <w:autoSpaceDN/>
              <w:adjustRightInd/>
              <w:ind w:left="576"/>
              <w:rPr>
                <w:sz w:val="20"/>
                <w:szCs w:val="20"/>
              </w:rPr>
            </w:pPr>
            <w:r w:rsidRPr="00F40AC3">
              <w:rPr>
                <w:sz w:val="20"/>
                <w:szCs w:val="20"/>
              </w:rPr>
              <w:t>c. Enter/verify information for semiannual reports</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5BDD6A0" w14:textId="77777777">
            <w:pPr>
              <w:widowControl/>
              <w:autoSpaceDE/>
              <w:autoSpaceDN/>
              <w:adjustRightInd/>
              <w:jc w:val="center"/>
              <w:rPr>
                <w:sz w:val="20"/>
                <w:szCs w:val="20"/>
              </w:rPr>
            </w:pPr>
            <w:r w:rsidRPr="00F40AC3">
              <w:rPr>
                <w:sz w:val="20"/>
                <w:szCs w:val="20"/>
              </w:rPr>
              <w:t>16</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6EDF9D20" w14:textId="77777777">
            <w:pPr>
              <w:widowControl/>
              <w:autoSpaceDE/>
              <w:autoSpaceDN/>
              <w:adjustRightInd/>
              <w:jc w:val="center"/>
              <w:rPr>
                <w:sz w:val="20"/>
                <w:szCs w:val="20"/>
              </w:rPr>
            </w:pPr>
            <w:r w:rsidRPr="00F40AC3">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139BCF23" w14:textId="77777777">
            <w:pPr>
              <w:widowControl/>
              <w:autoSpaceDE/>
              <w:autoSpaceDN/>
              <w:adjustRightInd/>
              <w:jc w:val="center"/>
              <w:rPr>
                <w:sz w:val="20"/>
                <w:szCs w:val="20"/>
              </w:rPr>
            </w:pPr>
            <w:r w:rsidRPr="00F40AC3">
              <w:rPr>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5B662497" w14:textId="77777777">
            <w:pPr>
              <w:widowControl/>
              <w:autoSpaceDE/>
              <w:autoSpaceDN/>
              <w:adjustRightInd/>
              <w:jc w:val="center"/>
              <w:rPr>
                <w:sz w:val="20"/>
                <w:szCs w:val="20"/>
              </w:rPr>
            </w:pPr>
            <w:r w:rsidRPr="00F40AC3">
              <w:rPr>
                <w:sz w:val="20"/>
                <w:szCs w:val="20"/>
              </w:rPr>
              <w:t>114</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8969B81" w14:textId="77777777">
            <w:pPr>
              <w:widowControl/>
              <w:autoSpaceDE/>
              <w:autoSpaceDN/>
              <w:adjustRightInd/>
              <w:jc w:val="center"/>
              <w:rPr>
                <w:sz w:val="20"/>
                <w:szCs w:val="20"/>
              </w:rPr>
            </w:pPr>
            <w:r w:rsidRPr="00F40AC3">
              <w:rPr>
                <w:sz w:val="20"/>
                <w:szCs w:val="20"/>
              </w:rPr>
              <w:t>3648</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4D89E39" w14:textId="19698BE0">
            <w:pPr>
              <w:widowControl/>
              <w:autoSpaceDE/>
              <w:autoSpaceDN/>
              <w:adjustRightInd/>
              <w:jc w:val="center"/>
              <w:rPr>
                <w:sz w:val="20"/>
                <w:szCs w:val="20"/>
              </w:rPr>
            </w:pPr>
            <w:r w:rsidRPr="00F40AC3">
              <w:rPr>
                <w:sz w:val="20"/>
                <w:szCs w:val="20"/>
              </w:rPr>
              <w:t>182</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453ABC03" w14:textId="5A6A32CC">
            <w:pPr>
              <w:widowControl/>
              <w:autoSpaceDE/>
              <w:autoSpaceDN/>
              <w:adjustRightInd/>
              <w:jc w:val="center"/>
              <w:rPr>
                <w:sz w:val="20"/>
                <w:szCs w:val="20"/>
              </w:rPr>
            </w:pPr>
            <w:r w:rsidRPr="00F40AC3">
              <w:rPr>
                <w:sz w:val="20"/>
                <w:szCs w:val="20"/>
              </w:rPr>
              <w:t>365</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F40AC3" w:rsidP="00A85037" w14:paraId="794B879E" w14:textId="77777777">
            <w:pPr>
              <w:widowControl/>
              <w:autoSpaceDE/>
              <w:autoSpaceDN/>
              <w:adjustRightInd/>
              <w:jc w:val="right"/>
              <w:rPr>
                <w:sz w:val="20"/>
                <w:szCs w:val="20"/>
              </w:rPr>
            </w:pPr>
            <w:r w:rsidRPr="00F40AC3">
              <w:rPr>
                <w:sz w:val="20"/>
                <w:szCs w:val="20"/>
              </w:rPr>
              <w:t xml:space="preserve">$482,413 </w:t>
            </w:r>
          </w:p>
        </w:tc>
      </w:tr>
      <w:tr w14:paraId="25222087"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201FC913" w14:textId="35D97E78">
            <w:pPr>
              <w:widowControl/>
              <w:autoSpaceDE/>
              <w:autoSpaceDN/>
              <w:adjustRightInd/>
              <w:ind w:left="432"/>
              <w:rPr>
                <w:sz w:val="20"/>
                <w:szCs w:val="20"/>
              </w:rPr>
            </w:pPr>
            <w:r w:rsidRPr="006F268A">
              <w:rPr>
                <w:sz w:val="20"/>
                <w:szCs w:val="20"/>
              </w:rPr>
              <w:t>2) Records of control system maintenance</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E71A947" w14:textId="77777777">
            <w:pPr>
              <w:widowControl/>
              <w:autoSpaceDE/>
              <w:autoSpaceDN/>
              <w:adjustRightInd/>
              <w:jc w:val="center"/>
              <w:rPr>
                <w:sz w:val="20"/>
                <w:szCs w:val="20"/>
              </w:rPr>
            </w:pPr>
            <w:r w:rsidRPr="006F268A">
              <w:rPr>
                <w:sz w:val="20"/>
                <w:szCs w:val="20"/>
              </w:rPr>
              <w:t>See 3E</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977FEA7" w14:textId="77777777">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B71423B" w14:textId="77777777">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306AB0D" w14:textId="77777777">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1DCCE7E" w14:textId="77777777">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EEA7729" w14:textId="77777777">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3EA6A5E" w14:textId="77777777">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52FF3F09" w14:textId="77777777">
            <w:pPr>
              <w:widowControl/>
              <w:autoSpaceDE/>
              <w:autoSpaceDN/>
              <w:adjustRightInd/>
              <w:jc w:val="right"/>
              <w:rPr>
                <w:sz w:val="20"/>
                <w:szCs w:val="20"/>
              </w:rPr>
            </w:pPr>
            <w:r w:rsidRPr="006F268A">
              <w:rPr>
                <w:sz w:val="20"/>
                <w:szCs w:val="20"/>
              </w:rPr>
              <w:t> </w:t>
            </w:r>
          </w:p>
        </w:tc>
      </w:tr>
      <w:tr w14:paraId="601C442C"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29468FDE" w14:textId="73D59E21">
            <w:pPr>
              <w:widowControl/>
              <w:autoSpaceDE/>
              <w:autoSpaceDN/>
              <w:adjustRightInd/>
              <w:ind w:left="432"/>
              <w:rPr>
                <w:sz w:val="20"/>
                <w:szCs w:val="20"/>
              </w:rPr>
            </w:pPr>
            <w:r w:rsidRPr="006F268A">
              <w:rPr>
                <w:sz w:val="20"/>
                <w:szCs w:val="20"/>
              </w:rPr>
              <w:t>3) Records of emissions averaging credit/debts</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30A13AA" w14:textId="77777777">
            <w:pPr>
              <w:widowControl/>
              <w:autoSpaceDE/>
              <w:autoSpaceDN/>
              <w:adjustRightInd/>
              <w:jc w:val="center"/>
              <w:rPr>
                <w:sz w:val="20"/>
                <w:szCs w:val="20"/>
              </w:rPr>
            </w:pPr>
            <w:r w:rsidRPr="006F268A">
              <w:rPr>
                <w:sz w:val="20"/>
                <w:szCs w:val="20"/>
              </w:rPr>
              <w:t>See 3E</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4A11656" w14:textId="77777777">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2E28FD9" w14:textId="77777777">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8B550EC" w14:textId="77777777">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EEE4674" w14:textId="77777777">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6118604" w14:textId="77777777">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594F11EE" w14:textId="77777777">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96FC66E" w14:textId="77777777">
            <w:pPr>
              <w:widowControl/>
              <w:autoSpaceDE/>
              <w:autoSpaceDN/>
              <w:adjustRightInd/>
              <w:jc w:val="right"/>
              <w:rPr>
                <w:sz w:val="20"/>
                <w:szCs w:val="20"/>
              </w:rPr>
            </w:pPr>
            <w:r w:rsidRPr="006F268A">
              <w:rPr>
                <w:sz w:val="20"/>
                <w:szCs w:val="20"/>
              </w:rPr>
              <w:t> </w:t>
            </w:r>
          </w:p>
        </w:tc>
      </w:tr>
      <w:tr w14:paraId="30C1E63F"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37704080" w14:textId="65203E57">
            <w:pPr>
              <w:widowControl/>
              <w:autoSpaceDE/>
              <w:autoSpaceDN/>
              <w:adjustRightInd/>
              <w:ind w:left="144"/>
              <w:rPr>
                <w:sz w:val="20"/>
                <w:szCs w:val="20"/>
              </w:rPr>
            </w:pPr>
            <w:r>
              <w:rPr>
                <w:sz w:val="20"/>
                <w:szCs w:val="20"/>
              </w:rPr>
              <w:t>F</w:t>
            </w:r>
            <w:r w:rsidRPr="006F268A">
              <w:rPr>
                <w:sz w:val="20"/>
                <w:szCs w:val="20"/>
              </w:rPr>
              <w:t xml:space="preserve">. Calibration of CMS </w:t>
            </w:r>
            <w:r w:rsidRPr="006F268A">
              <w:rPr>
                <w:sz w:val="20"/>
                <w:szCs w:val="20"/>
                <w:vertAlign w:val="superscript"/>
              </w:rPr>
              <w:t>s</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8673348" w14:textId="77777777">
            <w:pPr>
              <w:widowControl/>
              <w:autoSpaceDE/>
              <w:autoSpaceDN/>
              <w:adjustRightInd/>
              <w:jc w:val="center"/>
              <w:rPr>
                <w:sz w:val="20"/>
                <w:szCs w:val="20"/>
              </w:rPr>
            </w:pPr>
            <w:r w:rsidRPr="006F268A">
              <w:rPr>
                <w:sz w:val="20"/>
                <w:szCs w:val="20"/>
              </w:rPr>
              <w:t>16</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5A27479E" w14:textId="77777777">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FF358E8" w14:textId="77777777">
            <w:pPr>
              <w:widowControl/>
              <w:autoSpaceDE/>
              <w:autoSpaceDN/>
              <w:adjustRightInd/>
              <w:jc w:val="center"/>
              <w:rPr>
                <w:sz w:val="20"/>
                <w:szCs w:val="20"/>
              </w:rPr>
            </w:pPr>
            <w:r w:rsidRPr="006F268A">
              <w:rPr>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5A69453" w14:textId="77777777">
            <w:pPr>
              <w:widowControl/>
              <w:autoSpaceDE/>
              <w:autoSpaceDN/>
              <w:adjustRightInd/>
              <w:jc w:val="center"/>
              <w:rPr>
                <w:sz w:val="20"/>
                <w:szCs w:val="20"/>
              </w:rPr>
            </w:pPr>
            <w:r w:rsidRPr="006F268A">
              <w:rPr>
                <w:sz w:val="20"/>
                <w:szCs w:val="20"/>
              </w:rPr>
              <w:t>114</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294F80B" w14:textId="77777777">
            <w:pPr>
              <w:widowControl/>
              <w:autoSpaceDE/>
              <w:autoSpaceDN/>
              <w:adjustRightInd/>
              <w:jc w:val="center"/>
              <w:rPr>
                <w:sz w:val="20"/>
                <w:szCs w:val="20"/>
              </w:rPr>
            </w:pPr>
            <w:r w:rsidRPr="006F268A">
              <w:rPr>
                <w:sz w:val="20"/>
                <w:szCs w:val="20"/>
              </w:rPr>
              <w:t>1824</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7FC60D7" w14:textId="77777777">
            <w:pPr>
              <w:widowControl/>
              <w:autoSpaceDE/>
              <w:autoSpaceDN/>
              <w:adjustRightInd/>
              <w:jc w:val="center"/>
              <w:rPr>
                <w:sz w:val="20"/>
                <w:szCs w:val="20"/>
              </w:rPr>
            </w:pPr>
            <w:r w:rsidRPr="006F268A">
              <w:rPr>
                <w:sz w:val="20"/>
                <w:szCs w:val="20"/>
              </w:rPr>
              <w:t>91.2</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81BDD58" w14:textId="104CF6A8">
            <w:pPr>
              <w:widowControl/>
              <w:autoSpaceDE/>
              <w:autoSpaceDN/>
              <w:adjustRightInd/>
              <w:jc w:val="center"/>
              <w:rPr>
                <w:sz w:val="20"/>
                <w:szCs w:val="20"/>
              </w:rPr>
            </w:pPr>
            <w:r w:rsidRPr="006F268A">
              <w:rPr>
                <w:sz w:val="20"/>
                <w:szCs w:val="20"/>
              </w:rPr>
              <w:t>182</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0073D28" w14:textId="77777777">
            <w:pPr>
              <w:widowControl/>
              <w:autoSpaceDE/>
              <w:autoSpaceDN/>
              <w:adjustRightInd/>
              <w:jc w:val="right"/>
              <w:rPr>
                <w:sz w:val="20"/>
                <w:szCs w:val="20"/>
              </w:rPr>
            </w:pPr>
            <w:r w:rsidRPr="006F268A">
              <w:rPr>
                <w:sz w:val="20"/>
                <w:szCs w:val="20"/>
              </w:rPr>
              <w:t xml:space="preserve">$241,207 </w:t>
            </w:r>
          </w:p>
        </w:tc>
      </w:tr>
      <w:tr w14:paraId="23A6DAFD"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19AADA01" w14:textId="21046E3E">
            <w:pPr>
              <w:widowControl/>
              <w:autoSpaceDE/>
              <w:autoSpaceDN/>
              <w:adjustRightInd/>
              <w:ind w:left="144"/>
              <w:rPr>
                <w:sz w:val="20"/>
                <w:szCs w:val="20"/>
              </w:rPr>
            </w:pPr>
            <w:r>
              <w:rPr>
                <w:sz w:val="20"/>
                <w:szCs w:val="20"/>
              </w:rPr>
              <w:t>G</w:t>
            </w:r>
            <w:r w:rsidRPr="006F268A">
              <w:rPr>
                <w:sz w:val="20"/>
                <w:szCs w:val="20"/>
              </w:rPr>
              <w:t xml:space="preserve">. Time to train personnel </w:t>
            </w:r>
            <w:r w:rsidRPr="006F268A">
              <w:rPr>
                <w:sz w:val="20"/>
                <w:szCs w:val="20"/>
                <w:vertAlign w:val="superscript"/>
              </w:rPr>
              <w:t>t</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A7A14AE" w14:textId="77777777">
            <w:pPr>
              <w:widowControl/>
              <w:autoSpaceDE/>
              <w:autoSpaceDN/>
              <w:adjustRightInd/>
              <w:jc w:val="center"/>
              <w:rPr>
                <w:sz w:val="20"/>
                <w:szCs w:val="20"/>
              </w:rPr>
            </w:pPr>
            <w:r w:rsidRPr="006F268A">
              <w:rPr>
                <w:sz w:val="20"/>
                <w:szCs w:val="20"/>
              </w:rPr>
              <w:t>40</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8783984" w14:textId="77777777">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74362C8" w14:textId="77777777">
            <w:pPr>
              <w:widowControl/>
              <w:autoSpaceDE/>
              <w:autoSpaceDN/>
              <w:adjustRightInd/>
              <w:jc w:val="center"/>
              <w:rPr>
                <w:sz w:val="20"/>
                <w:szCs w:val="20"/>
              </w:rPr>
            </w:pPr>
            <w:r w:rsidRPr="006F268A">
              <w:rPr>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F3166B9" w14:textId="77777777">
            <w:pPr>
              <w:widowControl/>
              <w:autoSpaceDE/>
              <w:autoSpaceDN/>
              <w:adjustRightInd/>
              <w:jc w:val="center"/>
              <w:rPr>
                <w:sz w:val="20"/>
                <w:szCs w:val="20"/>
              </w:rPr>
            </w:pPr>
            <w:r w:rsidRPr="006F268A">
              <w:rPr>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53EBFC5" w14:textId="77777777">
            <w:pPr>
              <w:widowControl/>
              <w:autoSpaceDE/>
              <w:autoSpaceDN/>
              <w:adjustRightInd/>
              <w:jc w:val="center"/>
              <w:rPr>
                <w:sz w:val="20"/>
                <w:szCs w:val="20"/>
              </w:rPr>
            </w:pPr>
            <w:r w:rsidRPr="006F268A">
              <w:rPr>
                <w:sz w:val="20"/>
                <w:szCs w:val="20"/>
              </w:rPr>
              <w:t>80</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34FA614" w14:textId="77777777">
            <w:pPr>
              <w:widowControl/>
              <w:autoSpaceDE/>
              <w:autoSpaceDN/>
              <w:adjustRightInd/>
              <w:jc w:val="center"/>
              <w:rPr>
                <w:sz w:val="20"/>
                <w:szCs w:val="20"/>
              </w:rPr>
            </w:pPr>
            <w:r w:rsidRPr="006F268A">
              <w:rPr>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51A35256" w14:textId="77777777">
            <w:pPr>
              <w:widowControl/>
              <w:autoSpaceDE/>
              <w:autoSpaceDN/>
              <w:adjustRightInd/>
              <w:jc w:val="center"/>
              <w:rPr>
                <w:sz w:val="20"/>
                <w:szCs w:val="20"/>
              </w:rPr>
            </w:pPr>
            <w:r w:rsidRPr="006F268A">
              <w:rPr>
                <w:sz w:val="20"/>
                <w:szCs w:val="20"/>
              </w:rPr>
              <w:t>8</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19A9DDD" w14:textId="77777777">
            <w:pPr>
              <w:widowControl/>
              <w:autoSpaceDE/>
              <w:autoSpaceDN/>
              <w:adjustRightInd/>
              <w:jc w:val="right"/>
              <w:rPr>
                <w:sz w:val="20"/>
                <w:szCs w:val="20"/>
              </w:rPr>
            </w:pPr>
            <w:r w:rsidRPr="006F268A">
              <w:rPr>
                <w:sz w:val="20"/>
                <w:szCs w:val="20"/>
              </w:rPr>
              <w:t xml:space="preserve">$10,579 </w:t>
            </w:r>
          </w:p>
        </w:tc>
      </w:tr>
      <w:tr w14:paraId="43DAD66F"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532BDC20" w14:textId="420603CF">
            <w:pPr>
              <w:widowControl/>
              <w:autoSpaceDE/>
              <w:autoSpaceDN/>
              <w:adjustRightInd/>
              <w:ind w:left="144"/>
              <w:rPr>
                <w:sz w:val="20"/>
                <w:szCs w:val="20"/>
              </w:rPr>
            </w:pPr>
            <w:r>
              <w:rPr>
                <w:sz w:val="20"/>
                <w:szCs w:val="20"/>
              </w:rPr>
              <w:t>H</w:t>
            </w:r>
            <w:r w:rsidRPr="006F268A">
              <w:rPr>
                <w:sz w:val="20"/>
                <w:szCs w:val="20"/>
              </w:rPr>
              <w:t xml:space="preserve">. Time to refresher training for personnel </w:t>
            </w:r>
            <w:r w:rsidRPr="006F268A">
              <w:rPr>
                <w:sz w:val="20"/>
                <w:szCs w:val="20"/>
                <w:vertAlign w:val="superscript"/>
              </w:rPr>
              <w:t>u</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54A89027" w14:textId="77777777">
            <w:pPr>
              <w:widowControl/>
              <w:autoSpaceDE/>
              <w:autoSpaceDN/>
              <w:adjustRightInd/>
              <w:jc w:val="center"/>
              <w:rPr>
                <w:sz w:val="20"/>
                <w:szCs w:val="20"/>
              </w:rPr>
            </w:pPr>
            <w:r w:rsidRPr="006F268A">
              <w:rPr>
                <w:sz w:val="20"/>
                <w:szCs w:val="20"/>
              </w:rPr>
              <w:t>16</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1AF0620" w14:textId="77777777">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28AF14A" w14:textId="77777777">
            <w:pPr>
              <w:widowControl/>
              <w:autoSpaceDE/>
              <w:autoSpaceDN/>
              <w:adjustRightInd/>
              <w:jc w:val="center"/>
              <w:rPr>
                <w:sz w:val="20"/>
                <w:szCs w:val="20"/>
              </w:rPr>
            </w:pPr>
            <w:r w:rsidRPr="006F268A">
              <w:rPr>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7575A6D" w14:textId="77777777">
            <w:pPr>
              <w:widowControl/>
              <w:autoSpaceDE/>
              <w:autoSpaceDN/>
              <w:adjustRightInd/>
              <w:jc w:val="center"/>
              <w:rPr>
                <w:sz w:val="20"/>
                <w:szCs w:val="20"/>
              </w:rPr>
            </w:pPr>
            <w:r w:rsidRPr="006F268A">
              <w:rPr>
                <w:sz w:val="20"/>
                <w:szCs w:val="20"/>
              </w:rPr>
              <w:t>23</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D3510CA" w14:textId="77777777">
            <w:pPr>
              <w:widowControl/>
              <w:autoSpaceDE/>
              <w:autoSpaceDN/>
              <w:adjustRightInd/>
              <w:jc w:val="center"/>
              <w:rPr>
                <w:sz w:val="20"/>
                <w:szCs w:val="20"/>
              </w:rPr>
            </w:pPr>
            <w:r w:rsidRPr="006F268A">
              <w:rPr>
                <w:sz w:val="20"/>
                <w:szCs w:val="20"/>
              </w:rPr>
              <w:t>368</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7D205B4" w14:textId="77777777">
            <w:pPr>
              <w:widowControl/>
              <w:autoSpaceDE/>
              <w:autoSpaceDN/>
              <w:adjustRightInd/>
              <w:jc w:val="center"/>
              <w:rPr>
                <w:sz w:val="20"/>
                <w:szCs w:val="20"/>
              </w:rPr>
            </w:pPr>
            <w:r w:rsidRPr="006F268A">
              <w:rPr>
                <w:sz w:val="20"/>
                <w:szCs w:val="20"/>
              </w:rPr>
              <w:t>18.4</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F3188A8" w14:textId="77777777">
            <w:pPr>
              <w:widowControl/>
              <w:autoSpaceDE/>
              <w:autoSpaceDN/>
              <w:adjustRightInd/>
              <w:jc w:val="center"/>
              <w:rPr>
                <w:sz w:val="20"/>
                <w:szCs w:val="20"/>
              </w:rPr>
            </w:pPr>
            <w:r w:rsidRPr="006F268A">
              <w:rPr>
                <w:sz w:val="20"/>
                <w:szCs w:val="20"/>
              </w:rPr>
              <w:t>36.8</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A546CB2" w14:textId="77777777">
            <w:pPr>
              <w:widowControl/>
              <w:autoSpaceDE/>
              <w:autoSpaceDN/>
              <w:adjustRightInd/>
              <w:jc w:val="right"/>
              <w:rPr>
                <w:sz w:val="20"/>
                <w:szCs w:val="20"/>
              </w:rPr>
            </w:pPr>
            <w:r w:rsidRPr="006F268A">
              <w:rPr>
                <w:sz w:val="20"/>
                <w:szCs w:val="20"/>
              </w:rPr>
              <w:t xml:space="preserve">$48,665 </w:t>
            </w:r>
          </w:p>
        </w:tc>
      </w:tr>
      <w:tr w14:paraId="46F00061"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3D613E23" w14:textId="7BCCFA61">
            <w:pPr>
              <w:widowControl/>
              <w:autoSpaceDE/>
              <w:autoSpaceDN/>
              <w:adjustRightInd/>
              <w:ind w:left="144"/>
              <w:rPr>
                <w:sz w:val="20"/>
                <w:szCs w:val="20"/>
              </w:rPr>
            </w:pPr>
            <w:r>
              <w:rPr>
                <w:sz w:val="20"/>
                <w:szCs w:val="20"/>
              </w:rPr>
              <w:t>I</w:t>
            </w:r>
            <w:r w:rsidRPr="006F268A">
              <w:rPr>
                <w:sz w:val="20"/>
                <w:szCs w:val="20"/>
              </w:rPr>
              <w:t>. Time for audits</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56998813" w14:textId="77777777">
            <w:pPr>
              <w:widowControl/>
              <w:autoSpaceDE/>
              <w:autoSpaceDN/>
              <w:adjustRightInd/>
              <w:jc w:val="center"/>
              <w:rPr>
                <w:sz w:val="20"/>
                <w:szCs w:val="20"/>
              </w:rPr>
            </w:pPr>
            <w:r w:rsidRPr="006F268A">
              <w:rPr>
                <w:sz w:val="20"/>
                <w:szCs w:val="20"/>
              </w:rPr>
              <w:t>N/A</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5B06260E" w14:textId="77777777">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5EEC92C" w14:textId="77777777">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4A8478C" w14:textId="77777777">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6CD7FEE" w14:textId="77777777">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54B19E88" w14:textId="77777777">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D1BB5C7" w14:textId="77777777">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B195C1F" w14:textId="77777777">
            <w:pPr>
              <w:widowControl/>
              <w:autoSpaceDE/>
              <w:autoSpaceDN/>
              <w:adjustRightInd/>
              <w:jc w:val="right"/>
              <w:rPr>
                <w:sz w:val="20"/>
                <w:szCs w:val="20"/>
              </w:rPr>
            </w:pPr>
            <w:r w:rsidRPr="006F268A">
              <w:rPr>
                <w:sz w:val="20"/>
                <w:szCs w:val="20"/>
              </w:rPr>
              <w:t> </w:t>
            </w:r>
          </w:p>
        </w:tc>
      </w:tr>
      <w:tr w14:paraId="261B71F3" w14:textId="77777777" w:rsidTr="00946C54">
        <w:tblPrEx>
          <w:tblW w:w="13387" w:type="dxa"/>
          <w:tblInd w:w="-72" w:type="dxa"/>
          <w:tblLayout w:type="fixed"/>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004B7178" w14:textId="7254B24C">
            <w:pPr>
              <w:widowControl/>
              <w:autoSpaceDE/>
              <w:autoSpaceDN/>
              <w:adjustRightInd/>
              <w:rPr>
                <w:b/>
                <w:bCs/>
                <w:sz w:val="20"/>
                <w:szCs w:val="20"/>
              </w:rPr>
            </w:pPr>
            <w:r w:rsidRPr="006F268A">
              <w:rPr>
                <w:b/>
                <w:bCs/>
                <w:sz w:val="20"/>
                <w:szCs w:val="20"/>
              </w:rPr>
              <w:t xml:space="preserve">Subtotal for Recordkeeping Requirements  </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94CAF1B" w14:textId="77777777">
            <w:pPr>
              <w:widowControl/>
              <w:autoSpaceDE/>
              <w:autoSpaceDN/>
              <w:adjustRightInd/>
              <w:jc w:val="center"/>
              <w:rPr>
                <w:b/>
                <w:bCs/>
                <w:sz w:val="20"/>
                <w:szCs w:val="20"/>
              </w:rPr>
            </w:pPr>
            <w:r w:rsidRPr="006F268A">
              <w:rPr>
                <w:b/>
                <w:bCs/>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DE68696" w14:textId="77777777">
            <w:pPr>
              <w:widowControl/>
              <w:autoSpaceDE/>
              <w:autoSpaceDN/>
              <w:adjustRightInd/>
              <w:jc w:val="center"/>
              <w:rPr>
                <w:b/>
                <w:bCs/>
                <w:sz w:val="20"/>
                <w:szCs w:val="20"/>
              </w:rPr>
            </w:pPr>
            <w:r w:rsidRPr="006F268A">
              <w:rPr>
                <w:b/>
                <w:bCs/>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FC6004F" w14:textId="77777777">
            <w:pPr>
              <w:widowControl/>
              <w:autoSpaceDE/>
              <w:autoSpaceDN/>
              <w:adjustRightInd/>
              <w:jc w:val="center"/>
              <w:rPr>
                <w:b/>
                <w:bCs/>
                <w:sz w:val="20"/>
                <w:szCs w:val="20"/>
              </w:rPr>
            </w:pPr>
            <w:r w:rsidRPr="006F268A">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A06AC0A" w14:textId="77777777">
            <w:pPr>
              <w:widowControl/>
              <w:autoSpaceDE/>
              <w:autoSpaceDN/>
              <w:adjustRightInd/>
              <w:jc w:val="center"/>
              <w:rPr>
                <w:b/>
                <w:bCs/>
                <w:sz w:val="20"/>
                <w:szCs w:val="20"/>
              </w:rPr>
            </w:pPr>
            <w:r w:rsidRPr="006F268A">
              <w:rPr>
                <w:b/>
                <w:bCs/>
                <w:sz w:val="20"/>
                <w:szCs w:val="20"/>
              </w:rPr>
              <w:t> </w:t>
            </w:r>
          </w:p>
        </w:tc>
        <w:tc>
          <w:tcPr>
            <w:tcW w:w="3690" w:type="dxa"/>
            <w:gridSpan w:val="3"/>
            <w:tcBorders>
              <w:top w:val="single" w:sz="4" w:space="0" w:color="auto"/>
              <w:left w:val="nil"/>
              <w:bottom w:val="single" w:sz="4" w:space="0" w:color="auto"/>
              <w:right w:val="single" w:sz="4" w:space="0" w:color="auto"/>
            </w:tcBorders>
            <w:shd w:val="clear" w:color="auto" w:fill="auto"/>
            <w:noWrap/>
            <w:vAlign w:val="center"/>
            <w:hideMark/>
          </w:tcPr>
          <w:p w:rsidR="00A85037" w:rsidRPr="006F268A" w:rsidP="00A85037" w14:paraId="6D02F790" w14:textId="64C6539F">
            <w:pPr>
              <w:widowControl/>
              <w:autoSpaceDE/>
              <w:autoSpaceDN/>
              <w:adjustRightInd/>
              <w:jc w:val="center"/>
              <w:rPr>
                <w:b/>
                <w:bCs/>
                <w:sz w:val="20"/>
                <w:szCs w:val="20"/>
              </w:rPr>
            </w:pPr>
            <w:r w:rsidRPr="006F268A">
              <w:rPr>
                <w:b/>
                <w:bCs/>
                <w:sz w:val="20"/>
                <w:szCs w:val="20"/>
              </w:rPr>
              <w:t>3</w:t>
            </w:r>
            <w:r>
              <w:rPr>
                <w:b/>
                <w:bCs/>
                <w:sz w:val="20"/>
                <w:szCs w:val="20"/>
              </w:rPr>
              <w:t>2,148</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5E039F0" w14:textId="4F65626F">
            <w:pPr>
              <w:widowControl/>
              <w:autoSpaceDE/>
              <w:autoSpaceDN/>
              <w:adjustRightInd/>
              <w:jc w:val="right"/>
              <w:rPr>
                <w:b/>
                <w:bCs/>
                <w:sz w:val="20"/>
                <w:szCs w:val="20"/>
              </w:rPr>
            </w:pPr>
            <w:r w:rsidRPr="006F268A">
              <w:rPr>
                <w:b/>
                <w:bCs/>
                <w:sz w:val="20"/>
                <w:szCs w:val="20"/>
              </w:rPr>
              <w:t>$3,</w:t>
            </w:r>
            <w:r>
              <w:rPr>
                <w:b/>
                <w:bCs/>
                <w:sz w:val="20"/>
                <w:szCs w:val="20"/>
              </w:rPr>
              <w:t>696</w:t>
            </w:r>
            <w:r w:rsidRPr="006F268A">
              <w:rPr>
                <w:b/>
                <w:bCs/>
                <w:sz w:val="20"/>
                <w:szCs w:val="20"/>
              </w:rPr>
              <w:t>,</w:t>
            </w:r>
            <w:r>
              <w:rPr>
                <w:b/>
                <w:bCs/>
                <w:sz w:val="20"/>
                <w:szCs w:val="20"/>
              </w:rPr>
              <w:t>717</w:t>
            </w:r>
            <w:r w:rsidRPr="006F268A">
              <w:rPr>
                <w:b/>
                <w:bCs/>
                <w:sz w:val="20"/>
                <w:szCs w:val="20"/>
              </w:rPr>
              <w:t xml:space="preserve"> </w:t>
            </w:r>
          </w:p>
        </w:tc>
      </w:tr>
      <w:tr w14:paraId="11F074F5"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05EF2EE1" w14:textId="77777777">
            <w:pPr>
              <w:widowControl/>
              <w:autoSpaceDE/>
              <w:autoSpaceDN/>
              <w:adjustRightInd/>
              <w:rPr>
                <w:b/>
                <w:bCs/>
                <w:sz w:val="20"/>
                <w:szCs w:val="20"/>
              </w:rPr>
            </w:pPr>
            <w:r w:rsidRPr="006F268A">
              <w:rPr>
                <w:b/>
                <w:bCs/>
                <w:sz w:val="20"/>
                <w:szCs w:val="20"/>
              </w:rPr>
              <w:t xml:space="preserve">TOTAL LABOR BURDEN AND COST (rounded) </w:t>
            </w:r>
            <w:r w:rsidRPr="006F268A">
              <w:rPr>
                <w:b/>
                <w:bCs/>
                <w:sz w:val="20"/>
                <w:szCs w:val="20"/>
                <w:vertAlign w:val="superscript"/>
              </w:rPr>
              <w:t>v</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3E618AC" w14:textId="77777777">
            <w:pPr>
              <w:widowControl/>
              <w:autoSpaceDE/>
              <w:autoSpaceDN/>
              <w:adjustRightInd/>
              <w:rPr>
                <w:b/>
                <w:bCs/>
                <w:sz w:val="20"/>
                <w:szCs w:val="20"/>
              </w:rPr>
            </w:pPr>
            <w:r w:rsidRPr="006F268A">
              <w:rPr>
                <w:b/>
                <w:bCs/>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D4D5B65" w14:textId="77777777">
            <w:pPr>
              <w:widowControl/>
              <w:autoSpaceDE/>
              <w:autoSpaceDN/>
              <w:adjustRightInd/>
              <w:rPr>
                <w:b/>
                <w:bCs/>
                <w:sz w:val="20"/>
                <w:szCs w:val="20"/>
              </w:rPr>
            </w:pPr>
            <w:r w:rsidRPr="006F268A">
              <w:rPr>
                <w:b/>
                <w:bCs/>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BB81485" w14:textId="77777777">
            <w:pPr>
              <w:widowControl/>
              <w:autoSpaceDE/>
              <w:autoSpaceDN/>
              <w:adjustRightInd/>
              <w:rPr>
                <w:b/>
                <w:bCs/>
                <w:sz w:val="20"/>
                <w:szCs w:val="20"/>
              </w:rPr>
            </w:pPr>
            <w:r w:rsidRPr="006F268A">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FF822A2" w14:textId="77777777">
            <w:pPr>
              <w:widowControl/>
              <w:autoSpaceDE/>
              <w:autoSpaceDN/>
              <w:adjustRightInd/>
              <w:rPr>
                <w:b/>
                <w:bCs/>
                <w:sz w:val="20"/>
                <w:szCs w:val="20"/>
              </w:rPr>
            </w:pPr>
            <w:r w:rsidRPr="006F268A">
              <w:rPr>
                <w:b/>
                <w:bCs/>
                <w:sz w:val="20"/>
                <w:szCs w:val="20"/>
              </w:rPr>
              <w:t> </w:t>
            </w:r>
          </w:p>
        </w:tc>
        <w:tc>
          <w:tcPr>
            <w:tcW w:w="3690" w:type="dxa"/>
            <w:gridSpan w:val="3"/>
            <w:tcBorders>
              <w:top w:val="single" w:sz="4" w:space="0" w:color="auto"/>
              <w:left w:val="nil"/>
              <w:bottom w:val="single" w:sz="4" w:space="0" w:color="auto"/>
              <w:right w:val="single" w:sz="4" w:space="0" w:color="auto"/>
            </w:tcBorders>
            <w:shd w:val="clear" w:color="auto" w:fill="auto"/>
            <w:noWrap/>
            <w:vAlign w:val="center"/>
            <w:hideMark/>
          </w:tcPr>
          <w:p w:rsidR="00A85037" w:rsidRPr="006F268A" w:rsidP="00A85037" w14:paraId="1D558568" w14:textId="3C752EFE">
            <w:pPr>
              <w:widowControl/>
              <w:autoSpaceDE/>
              <w:autoSpaceDN/>
              <w:adjustRightInd/>
              <w:jc w:val="center"/>
              <w:rPr>
                <w:b/>
                <w:bCs/>
                <w:sz w:val="20"/>
                <w:szCs w:val="20"/>
              </w:rPr>
            </w:pPr>
            <w:r>
              <w:rPr>
                <w:b/>
                <w:bCs/>
                <w:sz w:val="20"/>
                <w:szCs w:val="20"/>
              </w:rPr>
              <w:t>39,700</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4EBB7A0" w14:textId="1B6D0909">
            <w:pPr>
              <w:widowControl/>
              <w:autoSpaceDE/>
              <w:autoSpaceDN/>
              <w:adjustRightInd/>
              <w:jc w:val="right"/>
              <w:rPr>
                <w:b/>
                <w:bCs/>
                <w:sz w:val="20"/>
                <w:szCs w:val="20"/>
              </w:rPr>
            </w:pPr>
            <w:r w:rsidRPr="006F268A">
              <w:rPr>
                <w:b/>
                <w:bCs/>
                <w:sz w:val="20"/>
                <w:szCs w:val="20"/>
              </w:rPr>
              <w:t>$4,</w:t>
            </w:r>
            <w:r>
              <w:rPr>
                <w:b/>
                <w:bCs/>
                <w:sz w:val="20"/>
                <w:szCs w:val="20"/>
              </w:rPr>
              <w:t>560</w:t>
            </w:r>
            <w:r w:rsidRPr="006F268A">
              <w:rPr>
                <w:b/>
                <w:bCs/>
                <w:sz w:val="20"/>
                <w:szCs w:val="20"/>
              </w:rPr>
              <w:t xml:space="preserve">,000 </w:t>
            </w:r>
          </w:p>
        </w:tc>
      </w:tr>
      <w:tr w14:paraId="74B40545"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50C389FC" w14:textId="77777777">
            <w:pPr>
              <w:widowControl/>
              <w:autoSpaceDE/>
              <w:autoSpaceDN/>
              <w:adjustRightInd/>
              <w:rPr>
                <w:b/>
                <w:bCs/>
                <w:sz w:val="20"/>
                <w:szCs w:val="20"/>
              </w:rPr>
            </w:pPr>
            <w:r w:rsidRPr="006F268A">
              <w:rPr>
                <w:b/>
                <w:bCs/>
                <w:sz w:val="20"/>
                <w:szCs w:val="20"/>
              </w:rPr>
              <w:t xml:space="preserve">CAPITAL AND O&amp;M COST (rounded) </w:t>
            </w:r>
            <w:r w:rsidRPr="006F268A">
              <w:rPr>
                <w:b/>
                <w:bCs/>
                <w:sz w:val="20"/>
                <w:szCs w:val="20"/>
                <w:vertAlign w:val="superscript"/>
              </w:rPr>
              <w:t>v</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8915E1D" w14:textId="77777777">
            <w:pPr>
              <w:widowControl/>
              <w:autoSpaceDE/>
              <w:autoSpaceDN/>
              <w:adjustRightInd/>
              <w:rPr>
                <w:b/>
                <w:bCs/>
                <w:sz w:val="20"/>
                <w:szCs w:val="20"/>
              </w:rPr>
            </w:pPr>
            <w:r w:rsidRPr="006F268A">
              <w:rPr>
                <w:b/>
                <w:bCs/>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7BD46901" w14:textId="77777777">
            <w:pPr>
              <w:widowControl/>
              <w:autoSpaceDE/>
              <w:autoSpaceDN/>
              <w:adjustRightInd/>
              <w:rPr>
                <w:b/>
                <w:bCs/>
                <w:sz w:val="20"/>
                <w:szCs w:val="20"/>
              </w:rPr>
            </w:pPr>
            <w:r w:rsidRPr="006F268A">
              <w:rPr>
                <w:b/>
                <w:bCs/>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ECD4FEA" w14:textId="77777777">
            <w:pPr>
              <w:widowControl/>
              <w:autoSpaceDE/>
              <w:autoSpaceDN/>
              <w:adjustRightInd/>
              <w:rPr>
                <w:b/>
                <w:bCs/>
                <w:sz w:val="20"/>
                <w:szCs w:val="20"/>
              </w:rPr>
            </w:pPr>
            <w:r w:rsidRPr="006F268A">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57F83EC" w14:textId="77777777">
            <w:pPr>
              <w:widowControl/>
              <w:autoSpaceDE/>
              <w:autoSpaceDN/>
              <w:adjustRightInd/>
              <w:rPr>
                <w:b/>
                <w:bCs/>
                <w:sz w:val="20"/>
                <w:szCs w:val="20"/>
              </w:rPr>
            </w:pPr>
            <w:r w:rsidRPr="006F268A">
              <w:rPr>
                <w:b/>
                <w:bCs/>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7F4CC40" w14:textId="77777777">
            <w:pPr>
              <w:widowControl/>
              <w:autoSpaceDE/>
              <w:autoSpaceDN/>
              <w:adjustRightInd/>
              <w:jc w:val="center"/>
              <w:rPr>
                <w:b/>
                <w:bCs/>
                <w:sz w:val="20"/>
                <w:szCs w:val="20"/>
              </w:rPr>
            </w:pPr>
            <w:r w:rsidRPr="006F268A">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154C9316" w14:textId="77777777">
            <w:pPr>
              <w:widowControl/>
              <w:autoSpaceDE/>
              <w:autoSpaceDN/>
              <w:adjustRightInd/>
              <w:jc w:val="center"/>
              <w:rPr>
                <w:b/>
                <w:bCs/>
                <w:sz w:val="20"/>
                <w:szCs w:val="20"/>
              </w:rPr>
            </w:pPr>
            <w:r w:rsidRPr="006F268A">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5B372AF" w14:textId="77777777">
            <w:pPr>
              <w:widowControl/>
              <w:autoSpaceDE/>
              <w:autoSpaceDN/>
              <w:adjustRightInd/>
              <w:jc w:val="center"/>
              <w:rPr>
                <w:b/>
                <w:bCs/>
                <w:sz w:val="20"/>
                <w:szCs w:val="20"/>
              </w:rPr>
            </w:pPr>
            <w:r w:rsidRPr="006F268A">
              <w:rPr>
                <w:b/>
                <w:bCs/>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0436630" w14:textId="77777777">
            <w:pPr>
              <w:widowControl/>
              <w:autoSpaceDE/>
              <w:autoSpaceDN/>
              <w:adjustRightInd/>
              <w:jc w:val="right"/>
              <w:rPr>
                <w:b/>
                <w:bCs/>
                <w:sz w:val="20"/>
                <w:szCs w:val="20"/>
              </w:rPr>
            </w:pPr>
            <w:r w:rsidRPr="006F268A">
              <w:rPr>
                <w:b/>
                <w:bCs/>
                <w:sz w:val="20"/>
                <w:szCs w:val="20"/>
              </w:rPr>
              <w:t xml:space="preserve">$2,365,000 </w:t>
            </w:r>
          </w:p>
        </w:tc>
      </w:tr>
      <w:tr w14:paraId="2777361F" w14:textId="77777777" w:rsidTr="00946C54">
        <w:tblPrEx>
          <w:tblW w:w="13387" w:type="dxa"/>
          <w:tblInd w:w="-72"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A85037" w:rsidRPr="006F268A" w:rsidP="00A85037" w14:paraId="393B0CFF" w14:textId="77777777">
            <w:pPr>
              <w:widowControl/>
              <w:autoSpaceDE/>
              <w:autoSpaceDN/>
              <w:adjustRightInd/>
              <w:rPr>
                <w:b/>
                <w:bCs/>
                <w:sz w:val="20"/>
                <w:szCs w:val="20"/>
              </w:rPr>
            </w:pPr>
            <w:r w:rsidRPr="006F268A">
              <w:rPr>
                <w:b/>
                <w:bCs/>
                <w:sz w:val="20"/>
                <w:szCs w:val="20"/>
              </w:rPr>
              <w:t xml:space="preserve">GRAND TOTAL (rounded) </w:t>
            </w:r>
            <w:r w:rsidRPr="006F268A">
              <w:rPr>
                <w:b/>
                <w:bCs/>
                <w:sz w:val="20"/>
                <w:szCs w:val="20"/>
                <w:vertAlign w:val="superscript"/>
              </w:rPr>
              <w:t>v</w:t>
            </w:r>
          </w:p>
        </w:tc>
        <w:tc>
          <w:tcPr>
            <w:tcW w:w="123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296E5FE4" w14:textId="77777777">
            <w:pPr>
              <w:widowControl/>
              <w:autoSpaceDE/>
              <w:autoSpaceDN/>
              <w:adjustRightInd/>
              <w:rPr>
                <w:b/>
                <w:bCs/>
                <w:sz w:val="20"/>
                <w:szCs w:val="20"/>
              </w:rPr>
            </w:pPr>
            <w:r w:rsidRPr="006F268A">
              <w:rPr>
                <w:b/>
                <w:bCs/>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A616BB9" w14:textId="77777777">
            <w:pPr>
              <w:widowControl/>
              <w:autoSpaceDE/>
              <w:autoSpaceDN/>
              <w:adjustRightInd/>
              <w:rPr>
                <w:b/>
                <w:bCs/>
                <w:sz w:val="20"/>
                <w:szCs w:val="20"/>
              </w:rPr>
            </w:pPr>
            <w:r w:rsidRPr="006F268A">
              <w:rPr>
                <w:b/>
                <w:bCs/>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566E4D08" w14:textId="77777777">
            <w:pPr>
              <w:widowControl/>
              <w:autoSpaceDE/>
              <w:autoSpaceDN/>
              <w:adjustRightInd/>
              <w:rPr>
                <w:b/>
                <w:bCs/>
                <w:sz w:val="20"/>
                <w:szCs w:val="20"/>
              </w:rPr>
            </w:pPr>
            <w:r w:rsidRPr="006F268A">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608E07EB" w14:textId="77777777">
            <w:pPr>
              <w:widowControl/>
              <w:autoSpaceDE/>
              <w:autoSpaceDN/>
              <w:adjustRightInd/>
              <w:rPr>
                <w:b/>
                <w:bCs/>
                <w:sz w:val="20"/>
                <w:szCs w:val="20"/>
              </w:rPr>
            </w:pPr>
            <w:r w:rsidRPr="006F268A">
              <w:rPr>
                <w:b/>
                <w:bCs/>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43D29E4F" w14:textId="77777777">
            <w:pPr>
              <w:widowControl/>
              <w:autoSpaceDE/>
              <w:autoSpaceDN/>
              <w:adjustRightInd/>
              <w:jc w:val="center"/>
              <w:rPr>
                <w:b/>
                <w:bCs/>
                <w:sz w:val="20"/>
                <w:szCs w:val="20"/>
              </w:rPr>
            </w:pPr>
            <w:r w:rsidRPr="006F268A">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021011AC" w14:textId="77777777">
            <w:pPr>
              <w:widowControl/>
              <w:autoSpaceDE/>
              <w:autoSpaceDN/>
              <w:adjustRightInd/>
              <w:jc w:val="center"/>
              <w:rPr>
                <w:b/>
                <w:bCs/>
                <w:sz w:val="20"/>
                <w:szCs w:val="20"/>
              </w:rPr>
            </w:pPr>
            <w:r w:rsidRPr="006F268A">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3D82A636" w14:textId="77777777">
            <w:pPr>
              <w:widowControl/>
              <w:autoSpaceDE/>
              <w:autoSpaceDN/>
              <w:adjustRightInd/>
              <w:jc w:val="center"/>
              <w:rPr>
                <w:b/>
                <w:bCs/>
                <w:sz w:val="20"/>
                <w:szCs w:val="20"/>
              </w:rPr>
            </w:pPr>
            <w:r w:rsidRPr="006F268A">
              <w:rPr>
                <w:b/>
                <w:bCs/>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A85037" w:rsidRPr="006F268A" w:rsidP="00A85037" w14:paraId="582F3E55" w14:textId="68F76F6D">
            <w:pPr>
              <w:widowControl/>
              <w:autoSpaceDE/>
              <w:autoSpaceDN/>
              <w:adjustRightInd/>
              <w:jc w:val="right"/>
              <w:rPr>
                <w:b/>
                <w:bCs/>
                <w:sz w:val="20"/>
                <w:szCs w:val="20"/>
              </w:rPr>
            </w:pPr>
            <w:r w:rsidRPr="006F268A">
              <w:rPr>
                <w:b/>
                <w:bCs/>
                <w:sz w:val="20"/>
                <w:szCs w:val="20"/>
              </w:rPr>
              <w:t>$</w:t>
            </w:r>
            <w:r>
              <w:rPr>
                <w:b/>
                <w:bCs/>
                <w:sz w:val="20"/>
                <w:szCs w:val="20"/>
              </w:rPr>
              <w:t>6</w:t>
            </w:r>
            <w:r w:rsidRPr="006F268A">
              <w:rPr>
                <w:b/>
                <w:bCs/>
                <w:sz w:val="20"/>
                <w:szCs w:val="20"/>
              </w:rPr>
              <w:t>,</w:t>
            </w:r>
            <w:r>
              <w:rPr>
                <w:b/>
                <w:bCs/>
                <w:sz w:val="20"/>
                <w:szCs w:val="20"/>
              </w:rPr>
              <w:t>930</w:t>
            </w:r>
            <w:r w:rsidRPr="006F268A">
              <w:rPr>
                <w:b/>
                <w:bCs/>
                <w:sz w:val="20"/>
                <w:szCs w:val="20"/>
              </w:rPr>
              <w:t xml:space="preserve">,000 </w:t>
            </w:r>
          </w:p>
        </w:tc>
      </w:tr>
    </w:tbl>
    <w:p w:rsidR="00410D14" w:rsidP="00410D14" w14:paraId="297A92D6" w14:textId="5D6DD8ED">
      <w:pPr>
        <w:rPr>
          <w:b/>
          <w:sz w:val="20"/>
          <w:szCs w:val="20"/>
        </w:rPr>
      </w:pPr>
      <w:r w:rsidRPr="00410D14">
        <w:rPr>
          <w:b/>
          <w:sz w:val="20"/>
          <w:szCs w:val="20"/>
        </w:rPr>
        <w:t>Assumptions:</w:t>
      </w:r>
    </w:p>
    <w:p w:rsidR="00A65F54" w:rsidRPr="00A65F54" w:rsidP="00A65F54" w14:paraId="349C485A" w14:textId="01250835">
      <w:pPr>
        <w:ind w:left="288" w:hanging="288"/>
        <w:rPr>
          <w:sz w:val="20"/>
          <w:szCs w:val="20"/>
        </w:rPr>
      </w:pPr>
      <w:r w:rsidRPr="00A65F54">
        <w:rPr>
          <w:sz w:val="20"/>
          <w:szCs w:val="20"/>
        </w:rPr>
        <w:t>a</w:t>
      </w:r>
      <w:r>
        <w:rPr>
          <w:sz w:val="20"/>
          <w:szCs w:val="20"/>
        </w:rPr>
        <w:t>.</w:t>
      </w:r>
      <w:r w:rsidRPr="00A65F54">
        <w:rPr>
          <w:sz w:val="20"/>
          <w:szCs w:val="20"/>
        </w:rPr>
        <w:t xml:space="preserve"> The average number of respondents that will be subject to this rule over the next 3 years of this ICR is 244, including 243 existing respondents in years 1-3, plus 2 new respondents projected to become subject to the rule in year 3 for and average of 244 = [243 (yr 1)</w:t>
      </w:r>
      <w:r w:rsidR="0077050E">
        <w:rPr>
          <w:sz w:val="20"/>
          <w:szCs w:val="20"/>
        </w:rPr>
        <w:t xml:space="preserve"> </w:t>
      </w:r>
      <w:r w:rsidRPr="00A65F54">
        <w:rPr>
          <w:sz w:val="20"/>
          <w:szCs w:val="20"/>
        </w:rPr>
        <w:t>+ 243 (yr 2) + 245 (yr 3)]/3.  Although subject to the rule, lumber mills are only required to submit an initial notification.</w:t>
      </w:r>
      <w:r w:rsidRPr="00A65F54">
        <w:rPr>
          <w:sz w:val="20"/>
          <w:szCs w:val="20"/>
        </w:rPr>
        <w:tab/>
      </w:r>
    </w:p>
    <w:p w:rsidR="00A65F54" w:rsidRPr="00A65F54" w:rsidP="00A65F54" w14:paraId="6A906EDF" w14:textId="05CBFB94">
      <w:pPr>
        <w:ind w:left="288" w:hanging="288"/>
        <w:rPr>
          <w:sz w:val="20"/>
          <w:szCs w:val="20"/>
        </w:rPr>
      </w:pPr>
      <w:r w:rsidRPr="00A65F54">
        <w:rPr>
          <w:sz w:val="20"/>
          <w:szCs w:val="20"/>
        </w:rPr>
        <w:t>b</w:t>
      </w:r>
      <w:r>
        <w:rPr>
          <w:sz w:val="20"/>
          <w:szCs w:val="20"/>
        </w:rPr>
        <w:t>.</w:t>
      </w:r>
      <w:r w:rsidRPr="00A65F54">
        <w:rPr>
          <w:sz w:val="20"/>
          <w:szCs w:val="20"/>
        </w:rPr>
        <w:t xml:space="preserve"> This ICR uses the following labor rates:  $148.97 per hour for managerial labor; $119.03 per hour for technical labor, and $57.62 per hour for Clerical labor.  These rates are from the United States Department of Labor, Bureau of Labor Statistics, September 2018, Table 2. Civilian Workers, by Occupational and </w:t>
      </w:r>
      <w:r w:rsidRPr="00A65F54">
        <w:rPr>
          <w:sz w:val="20"/>
          <w:szCs w:val="20"/>
        </w:rPr>
        <w:t>Industry group.  The rates are from column 1, Total Compensation.  The rates have been increased by 110 percent to account for the benefit packages available to those employed by private industry.</w:t>
      </w:r>
    </w:p>
    <w:p w:rsidR="00A65F54" w:rsidRPr="00A65F54" w:rsidP="00A65F54" w14:paraId="41FA5A78" w14:textId="06225043">
      <w:pPr>
        <w:ind w:left="288" w:hanging="288"/>
        <w:rPr>
          <w:sz w:val="20"/>
          <w:szCs w:val="20"/>
        </w:rPr>
      </w:pPr>
      <w:r w:rsidRPr="00A65F54">
        <w:rPr>
          <w:sz w:val="20"/>
          <w:szCs w:val="20"/>
        </w:rPr>
        <w:t>c</w:t>
      </w:r>
      <w:r>
        <w:rPr>
          <w:sz w:val="20"/>
          <w:szCs w:val="20"/>
        </w:rPr>
        <w:t>.</w:t>
      </w:r>
      <w:r w:rsidRPr="00A65F54">
        <w:rPr>
          <w:sz w:val="20"/>
          <w:szCs w:val="20"/>
        </w:rPr>
        <w:t xml:space="preserve"> We have assumed that all respondents will have to familiarize with the regulatory requirements each year.</w:t>
      </w:r>
    </w:p>
    <w:p w:rsidR="00A65F54" w:rsidRPr="00A65F54" w:rsidP="00A65F54" w14:paraId="3C6D984B" w14:textId="6D6DD66E">
      <w:pPr>
        <w:ind w:left="288" w:hanging="288"/>
        <w:rPr>
          <w:sz w:val="20"/>
          <w:szCs w:val="20"/>
        </w:rPr>
      </w:pPr>
      <w:r w:rsidRPr="00A65F54">
        <w:rPr>
          <w:sz w:val="20"/>
          <w:szCs w:val="20"/>
        </w:rPr>
        <w:t>d</w:t>
      </w:r>
      <w:r>
        <w:rPr>
          <w:sz w:val="20"/>
          <w:szCs w:val="20"/>
        </w:rPr>
        <w:t>.</w:t>
      </w:r>
      <w:r w:rsidRPr="00A65F54">
        <w:rPr>
          <w:sz w:val="20"/>
          <w:szCs w:val="20"/>
        </w:rPr>
        <w:t xml:space="preserve"> Includes time for PCWP mills to become familiar with the amended rule for an average of 38 mills per year over the ICR period [38 = 113 existing + 2 new / 3]. (This one-time activity will discontinue in the next ICR renewal period.)</w:t>
      </w:r>
    </w:p>
    <w:p w:rsidR="00A65F54" w:rsidRPr="00A65F54" w:rsidP="00A65F54" w14:paraId="537841E6" w14:textId="29C82DBA">
      <w:pPr>
        <w:ind w:left="288" w:hanging="288"/>
        <w:rPr>
          <w:sz w:val="20"/>
          <w:szCs w:val="20"/>
        </w:rPr>
      </w:pPr>
      <w:r w:rsidRPr="00A65F54">
        <w:rPr>
          <w:sz w:val="20"/>
          <w:szCs w:val="20"/>
        </w:rPr>
        <w:t>e</w:t>
      </w:r>
      <w:r>
        <w:rPr>
          <w:sz w:val="20"/>
          <w:szCs w:val="20"/>
        </w:rPr>
        <w:t>.</w:t>
      </w:r>
      <w:r w:rsidRPr="00A65F54">
        <w:rPr>
          <w:sz w:val="20"/>
          <w:szCs w:val="20"/>
        </w:rPr>
        <w:t xml:space="preserve"> Zero hours are included for this one-time activity because lumber facilities do not have any new requirements in the amended rule. The average number of lumber mills per year over the ICR period is 43 mills [43 = 130 / 3]</w:t>
      </w:r>
      <w:r w:rsidRPr="00A65F54">
        <w:rPr>
          <w:sz w:val="20"/>
          <w:szCs w:val="20"/>
        </w:rPr>
        <w:tab/>
      </w:r>
    </w:p>
    <w:p w:rsidR="00A65F54" w:rsidRPr="00A65F54" w:rsidP="00A65F54" w14:paraId="4784E76D" w14:textId="7F8F0478">
      <w:pPr>
        <w:ind w:left="288" w:hanging="288"/>
        <w:rPr>
          <w:sz w:val="20"/>
          <w:szCs w:val="20"/>
        </w:rPr>
      </w:pPr>
      <w:r w:rsidRPr="00A65F54">
        <w:rPr>
          <w:sz w:val="20"/>
          <w:szCs w:val="20"/>
        </w:rPr>
        <w:t>f</w:t>
      </w:r>
      <w:r>
        <w:rPr>
          <w:sz w:val="20"/>
          <w:szCs w:val="20"/>
        </w:rPr>
        <w:t>.</w:t>
      </w:r>
      <w:r w:rsidRPr="00A65F54">
        <w:rPr>
          <w:sz w:val="20"/>
          <w:szCs w:val="20"/>
        </w:rPr>
        <w:t xml:space="preserve"> One-time activity for new sources projected to commence construction over the 3-year ICR period, including new PCWP mills (2), new PCWP process lines (5), and new lumber kilns (39) for an average of 15 affected sources per year. [(2 + 5 + 39) /3 = 15]</w:t>
      </w:r>
    </w:p>
    <w:p w:rsidR="00A65F54" w:rsidRPr="00A65F54" w:rsidP="00A65F54" w14:paraId="50AF1664" w14:textId="2CAB6FDF">
      <w:pPr>
        <w:ind w:left="288" w:hanging="288"/>
        <w:rPr>
          <w:sz w:val="20"/>
          <w:szCs w:val="20"/>
        </w:rPr>
      </w:pPr>
      <w:r w:rsidRPr="00A65F54">
        <w:rPr>
          <w:sz w:val="20"/>
          <w:szCs w:val="20"/>
        </w:rPr>
        <w:t>g</w:t>
      </w:r>
      <w:r>
        <w:rPr>
          <w:sz w:val="20"/>
          <w:szCs w:val="20"/>
        </w:rPr>
        <w:t>.</w:t>
      </w:r>
      <w:r w:rsidRPr="00A65F54">
        <w:rPr>
          <w:sz w:val="20"/>
          <w:szCs w:val="20"/>
        </w:rPr>
        <w:t xml:space="preserve"> We have assumed that no additional existing facilities will choose to change to the emission averaging compliance option in the future. New facilities are not allowed to use emissions averaging.</w:t>
      </w:r>
    </w:p>
    <w:p w:rsidR="00A65F54" w:rsidRPr="00A65F54" w:rsidP="00A65F54" w14:paraId="67FAD357" w14:textId="47EF96A7">
      <w:pPr>
        <w:ind w:left="288" w:hanging="288"/>
        <w:rPr>
          <w:sz w:val="20"/>
          <w:szCs w:val="20"/>
        </w:rPr>
      </w:pPr>
      <w:r w:rsidRPr="00A65F54">
        <w:rPr>
          <w:sz w:val="20"/>
          <w:szCs w:val="20"/>
        </w:rPr>
        <w:t>h</w:t>
      </w:r>
      <w:r>
        <w:rPr>
          <w:sz w:val="20"/>
          <w:szCs w:val="20"/>
        </w:rPr>
        <w:t>.</w:t>
      </w:r>
      <w:r w:rsidRPr="00A65F54">
        <w:rPr>
          <w:sz w:val="20"/>
          <w:szCs w:val="20"/>
        </w:rPr>
        <w:t xml:space="preserve"> We have assumed that each new PCWP mill respondent will submit a request for routine control device maintenance exemption. Note, this is a one-time activity for each respondent. Two new PCWP mills and 5 new process lines are projected over the 3-year ICR period for an average of (2 + 5) / 3 = 2 new PCWP respondents per year. </w:t>
      </w:r>
    </w:p>
    <w:p w:rsidR="00A65F54" w:rsidRPr="00A65F54" w:rsidP="00A65F54" w14:paraId="1C8AA8B8" w14:textId="4D7359F0">
      <w:pPr>
        <w:ind w:left="288" w:hanging="288"/>
        <w:rPr>
          <w:sz w:val="20"/>
          <w:szCs w:val="20"/>
        </w:rPr>
      </w:pPr>
      <w:r w:rsidRPr="00A65F54">
        <w:rPr>
          <w:sz w:val="20"/>
          <w:szCs w:val="20"/>
        </w:rPr>
        <w:t>i</w:t>
      </w:r>
      <w:r>
        <w:rPr>
          <w:sz w:val="20"/>
          <w:szCs w:val="20"/>
        </w:rPr>
        <w:t>.</w:t>
      </w:r>
      <w:r w:rsidRPr="00A65F54">
        <w:rPr>
          <w:sz w:val="20"/>
          <w:szCs w:val="20"/>
        </w:rPr>
        <w:t xml:space="preserve"> We have assumed that each new and existing PCWP respondent will conduct initial or repeat performance test(s) during the 3-year period.  The notification of compliance status includes the report of the performance test(s). Lumber mills are not required to conduct performance tests.</w:t>
      </w:r>
    </w:p>
    <w:p w:rsidR="00A65F54" w:rsidRPr="00A65F54" w:rsidP="00A65F54" w14:paraId="0E7754D7" w14:textId="5D4E1AC9">
      <w:pPr>
        <w:ind w:left="288" w:hanging="288"/>
        <w:rPr>
          <w:sz w:val="20"/>
          <w:szCs w:val="20"/>
        </w:rPr>
      </w:pPr>
      <w:r w:rsidRPr="00A65F54">
        <w:rPr>
          <w:sz w:val="20"/>
          <w:szCs w:val="20"/>
        </w:rPr>
        <w:t>j</w:t>
      </w:r>
      <w:r>
        <w:rPr>
          <w:sz w:val="20"/>
          <w:szCs w:val="20"/>
        </w:rPr>
        <w:t>.</w:t>
      </w:r>
      <w:r w:rsidRPr="00A65F54">
        <w:rPr>
          <w:sz w:val="20"/>
          <w:szCs w:val="20"/>
        </w:rPr>
        <w:t xml:space="preserve"> We have assumed that it will take new PCWP respondents 60 hours to submit a notification of compliance status without performance test(s).</w:t>
      </w:r>
      <w:r w:rsidRPr="00A65F54">
        <w:rPr>
          <w:sz w:val="20"/>
          <w:szCs w:val="20"/>
        </w:rPr>
        <w:tab/>
      </w:r>
    </w:p>
    <w:p w:rsidR="00A65F54" w:rsidRPr="00A65F54" w:rsidP="00A65F54" w14:paraId="12FE8636" w14:textId="18667F9E">
      <w:pPr>
        <w:ind w:left="288" w:hanging="288"/>
        <w:rPr>
          <w:sz w:val="20"/>
          <w:szCs w:val="20"/>
        </w:rPr>
      </w:pPr>
      <w:r w:rsidRPr="00A65F54">
        <w:rPr>
          <w:sz w:val="20"/>
          <w:szCs w:val="20"/>
        </w:rPr>
        <w:t>k</w:t>
      </w:r>
      <w:r>
        <w:rPr>
          <w:sz w:val="20"/>
          <w:szCs w:val="20"/>
        </w:rPr>
        <w:t>.</w:t>
      </w:r>
      <w:r w:rsidRPr="00A65F54">
        <w:rPr>
          <w:sz w:val="20"/>
          <w:szCs w:val="20"/>
        </w:rPr>
        <w:t xml:space="preserve"> We have assumed that the respondents’ compliance date is in the first half of the year, so respondents will submit one compliance report the first year that they start complying with the rule and two compliance reports the following year.</w:t>
      </w:r>
      <w:r w:rsidRPr="00A65F54">
        <w:rPr>
          <w:sz w:val="20"/>
          <w:szCs w:val="20"/>
        </w:rPr>
        <w:tab/>
      </w:r>
    </w:p>
    <w:p w:rsidR="00A65F54" w:rsidRPr="00A65F54" w:rsidP="00A65F54" w14:paraId="496F91BE" w14:textId="2F3A87C6">
      <w:pPr>
        <w:ind w:left="288" w:hanging="288"/>
        <w:rPr>
          <w:sz w:val="20"/>
          <w:szCs w:val="20"/>
        </w:rPr>
      </w:pPr>
      <w:r w:rsidRPr="00A65F54">
        <w:rPr>
          <w:sz w:val="20"/>
          <w:szCs w:val="20"/>
        </w:rPr>
        <w:t>l</w:t>
      </w:r>
      <w:r>
        <w:rPr>
          <w:sz w:val="20"/>
          <w:szCs w:val="20"/>
        </w:rPr>
        <w:t>.</w:t>
      </w:r>
      <w:r w:rsidRPr="00A65F54">
        <w:rPr>
          <w:sz w:val="20"/>
          <w:szCs w:val="20"/>
        </w:rPr>
        <w:t xml:space="preserve"> We have assumed that 90 percent of new PCWP facilities submitting their initial compliance report will have no deviation, and 10 percent will have deviation. [0.9 x 2 new PCWP mills = 1] and [0.1 x 2 new PCWP mills = 0]</w:t>
      </w:r>
    </w:p>
    <w:p w:rsidR="00A65F54" w:rsidRPr="00A65F54" w:rsidP="00A65F54" w14:paraId="583714D7" w14:textId="56791998">
      <w:pPr>
        <w:ind w:left="288" w:hanging="288"/>
        <w:rPr>
          <w:sz w:val="20"/>
          <w:szCs w:val="20"/>
        </w:rPr>
      </w:pPr>
      <w:r w:rsidRPr="00A65F54">
        <w:rPr>
          <w:sz w:val="20"/>
          <w:szCs w:val="20"/>
        </w:rPr>
        <w:t>m</w:t>
      </w:r>
      <w:r>
        <w:rPr>
          <w:sz w:val="20"/>
          <w:szCs w:val="20"/>
        </w:rPr>
        <w:t>.</w:t>
      </w:r>
      <w:r w:rsidRPr="00A65F54">
        <w:rPr>
          <w:sz w:val="20"/>
          <w:szCs w:val="20"/>
        </w:rPr>
        <w:t xml:space="preserve"> We have assumed that 10 percent of the new PCWP facilities will submit control device maintenance report.</w:t>
      </w:r>
    </w:p>
    <w:p w:rsidR="00A65F54" w:rsidRPr="00A65F54" w:rsidP="00A65F54" w14:paraId="54276EBF" w14:textId="7ED7B7A1">
      <w:pPr>
        <w:ind w:left="288" w:hanging="288"/>
        <w:rPr>
          <w:sz w:val="20"/>
          <w:szCs w:val="20"/>
        </w:rPr>
      </w:pPr>
      <w:r w:rsidRPr="00A65F54">
        <w:rPr>
          <w:sz w:val="20"/>
          <w:szCs w:val="20"/>
        </w:rPr>
        <w:t>n</w:t>
      </w:r>
      <w:r>
        <w:rPr>
          <w:sz w:val="20"/>
          <w:szCs w:val="20"/>
        </w:rPr>
        <w:t>.</w:t>
      </w:r>
      <w:r w:rsidRPr="00A65F54">
        <w:rPr>
          <w:sz w:val="20"/>
          <w:szCs w:val="20"/>
        </w:rPr>
        <w:t xml:space="preserve"> We have assumed that 90 percent of PCWP facilities submitting their semiannual compliance report will have no deviation, and 10 percent will have deviation. [0.9 x 113 existing PCWP mills = 102] and [0.1 x 113 existing PCWP mills = 11]</w:t>
      </w:r>
    </w:p>
    <w:p w:rsidR="00A65F54" w:rsidRPr="00A65F54" w:rsidP="00A65F54" w14:paraId="07D06BC8" w14:textId="34AC8C68">
      <w:pPr>
        <w:ind w:left="288" w:hanging="288"/>
        <w:rPr>
          <w:sz w:val="20"/>
          <w:szCs w:val="20"/>
        </w:rPr>
      </w:pPr>
      <w:r w:rsidRPr="00A65F54">
        <w:rPr>
          <w:sz w:val="20"/>
          <w:szCs w:val="20"/>
        </w:rPr>
        <w:t>o</w:t>
      </w:r>
      <w:r>
        <w:rPr>
          <w:sz w:val="20"/>
          <w:szCs w:val="20"/>
        </w:rPr>
        <w:t>.</w:t>
      </w:r>
      <w:r w:rsidRPr="00A65F54">
        <w:rPr>
          <w:sz w:val="20"/>
          <w:szCs w:val="20"/>
        </w:rPr>
        <w:t xml:space="preserve"> We have assumed that 10 percent of the existing PCWP facilities will submit control device maintenance report. [0.1 x 113 PCWP mills = 11]</w:t>
      </w:r>
    </w:p>
    <w:p w:rsidR="00A65F54" w:rsidRPr="00A65F54" w:rsidP="00A65F54" w14:paraId="61C39BB0" w14:textId="5A93416E">
      <w:pPr>
        <w:ind w:left="288" w:hanging="288"/>
        <w:rPr>
          <w:sz w:val="20"/>
          <w:szCs w:val="20"/>
        </w:rPr>
      </w:pPr>
      <w:r w:rsidRPr="00A65F54">
        <w:rPr>
          <w:sz w:val="20"/>
          <w:szCs w:val="20"/>
        </w:rPr>
        <w:t>p</w:t>
      </w:r>
      <w:r>
        <w:rPr>
          <w:sz w:val="20"/>
          <w:szCs w:val="20"/>
        </w:rPr>
        <w:t>.</w:t>
      </w:r>
      <w:r w:rsidRPr="00A65F54">
        <w:rPr>
          <w:sz w:val="20"/>
          <w:szCs w:val="20"/>
        </w:rPr>
        <w:t xml:space="preserve"> One existing PCWP facility uses the emissions averaging compliance option.</w:t>
      </w:r>
      <w:r w:rsidRPr="00A65F54">
        <w:rPr>
          <w:sz w:val="20"/>
          <w:szCs w:val="20"/>
        </w:rPr>
        <w:tab/>
      </w:r>
    </w:p>
    <w:p w:rsidR="00A65F54" w:rsidRPr="00A65F54" w:rsidP="00A65F54" w14:paraId="2838AC72" w14:textId="5E41F605">
      <w:pPr>
        <w:ind w:left="288" w:hanging="288"/>
        <w:rPr>
          <w:sz w:val="20"/>
          <w:szCs w:val="20"/>
        </w:rPr>
      </w:pPr>
      <w:r w:rsidRPr="00A65F54">
        <w:rPr>
          <w:sz w:val="20"/>
          <w:szCs w:val="20"/>
        </w:rPr>
        <w:t>q</w:t>
      </w:r>
      <w:r>
        <w:rPr>
          <w:sz w:val="20"/>
          <w:szCs w:val="20"/>
        </w:rPr>
        <w:t>.</w:t>
      </w:r>
      <w:r w:rsidRPr="00A65F54">
        <w:rPr>
          <w:sz w:val="20"/>
          <w:szCs w:val="20"/>
        </w:rPr>
        <w:t xml:space="preserve"> We have assumed that it will take each new PCWP respondent 40 hours to develop a record system for recording parameter monitoring information. [(2 new mills + 5 new process lines) / 3 = 2]</w:t>
      </w:r>
    </w:p>
    <w:p w:rsidR="00A65F54" w:rsidRPr="00A65F54" w:rsidP="00A65F54" w14:paraId="213C4E68" w14:textId="23880E96">
      <w:pPr>
        <w:ind w:left="288" w:hanging="288"/>
        <w:rPr>
          <w:sz w:val="20"/>
          <w:szCs w:val="20"/>
        </w:rPr>
      </w:pPr>
      <w:r w:rsidRPr="00A65F54">
        <w:rPr>
          <w:sz w:val="20"/>
          <w:szCs w:val="20"/>
        </w:rPr>
        <w:t>r</w:t>
      </w:r>
      <w:r>
        <w:rPr>
          <w:sz w:val="20"/>
          <w:szCs w:val="20"/>
        </w:rPr>
        <w:t>.</w:t>
      </w:r>
      <w:r w:rsidRPr="00A65F54">
        <w:rPr>
          <w:sz w:val="20"/>
          <w:szCs w:val="20"/>
        </w:rPr>
        <w:t xml:space="preserve"> Records of continuous compliance </w:t>
      </w:r>
      <w:r w:rsidRPr="00A65F54">
        <w:rPr>
          <w:sz w:val="20"/>
          <w:szCs w:val="20"/>
        </w:rPr>
        <w:t>includes,</w:t>
      </w:r>
      <w:r w:rsidRPr="00A65F54">
        <w:rPr>
          <w:sz w:val="20"/>
          <w:szCs w:val="20"/>
        </w:rPr>
        <w:t xml:space="preserve"> records of CMS data for emission limitations and various records for work practice standards.</w:t>
      </w:r>
    </w:p>
    <w:p w:rsidR="00A65F54" w:rsidRPr="00A65F54" w:rsidP="00A65F54" w14:paraId="2198C014" w14:textId="35A45221">
      <w:pPr>
        <w:ind w:left="288" w:hanging="288"/>
        <w:rPr>
          <w:sz w:val="20"/>
          <w:szCs w:val="20"/>
        </w:rPr>
      </w:pPr>
      <w:r w:rsidRPr="00A65F54">
        <w:rPr>
          <w:sz w:val="20"/>
          <w:szCs w:val="20"/>
        </w:rPr>
        <w:t>s</w:t>
      </w:r>
      <w:r>
        <w:rPr>
          <w:sz w:val="20"/>
          <w:szCs w:val="20"/>
        </w:rPr>
        <w:t>.</w:t>
      </w:r>
      <w:r w:rsidRPr="00A65F54">
        <w:rPr>
          <w:sz w:val="20"/>
          <w:szCs w:val="20"/>
        </w:rPr>
        <w:t xml:space="preserve"> We have assumed that calibration of the CMS will require eight hours per year for each monitor, assuming two CMS per facility for a total of 16 hours per year.</w:t>
      </w:r>
    </w:p>
    <w:p w:rsidR="00A65F54" w:rsidRPr="00A65F54" w:rsidP="00A65F54" w14:paraId="7C0D8000" w14:textId="32002FEE">
      <w:pPr>
        <w:ind w:left="288" w:hanging="288"/>
        <w:rPr>
          <w:sz w:val="20"/>
          <w:szCs w:val="20"/>
        </w:rPr>
      </w:pPr>
      <w:r w:rsidRPr="00A65F54">
        <w:rPr>
          <w:sz w:val="20"/>
          <w:szCs w:val="20"/>
        </w:rPr>
        <w:t>t</w:t>
      </w:r>
      <w:r>
        <w:rPr>
          <w:sz w:val="20"/>
          <w:szCs w:val="20"/>
        </w:rPr>
        <w:t>.</w:t>
      </w:r>
      <w:r w:rsidRPr="00A65F54">
        <w:rPr>
          <w:sz w:val="20"/>
          <w:szCs w:val="20"/>
        </w:rPr>
        <w:t xml:space="preserve"> We have assumed that it will take 40 hours for personnel at newly affected PCWP facilities to be trained. [(2 new mills + 5 new process lines) / 3 = 2]</w:t>
      </w:r>
      <w:r w:rsidRPr="00A65F54">
        <w:rPr>
          <w:sz w:val="20"/>
          <w:szCs w:val="20"/>
        </w:rPr>
        <w:tab/>
      </w:r>
    </w:p>
    <w:p w:rsidR="00A65F54" w:rsidRPr="00A65F54" w:rsidP="00A65F54" w14:paraId="2CF47DCE" w14:textId="4C3B85EB">
      <w:pPr>
        <w:ind w:left="288" w:hanging="288"/>
        <w:rPr>
          <w:sz w:val="20"/>
          <w:szCs w:val="20"/>
        </w:rPr>
      </w:pPr>
      <w:r w:rsidRPr="00A65F54">
        <w:rPr>
          <w:sz w:val="20"/>
          <w:szCs w:val="20"/>
        </w:rPr>
        <w:t>u</w:t>
      </w:r>
      <w:r>
        <w:rPr>
          <w:sz w:val="20"/>
          <w:szCs w:val="20"/>
        </w:rPr>
        <w:t>.</w:t>
      </w:r>
      <w:r w:rsidRPr="00A65F54">
        <w:rPr>
          <w:sz w:val="20"/>
          <w:szCs w:val="20"/>
        </w:rPr>
        <w:t xml:space="preserve"> We have assumed that it will take 16 hours for personnel to complete refresher training and that 20 percent of the existing PCWP facilities will participate [113 x 20% = 23].</w:t>
      </w:r>
      <w:r w:rsidRPr="00A65F54">
        <w:rPr>
          <w:sz w:val="20"/>
          <w:szCs w:val="20"/>
        </w:rPr>
        <w:tab/>
      </w:r>
    </w:p>
    <w:p w:rsidR="00A65F54" w:rsidP="00A65F54" w14:paraId="5A27D3D6" w14:textId="440715BC">
      <w:pPr>
        <w:ind w:left="288" w:hanging="288"/>
        <w:rPr>
          <w:sz w:val="20"/>
          <w:szCs w:val="20"/>
        </w:rPr>
      </w:pPr>
      <w:r w:rsidRPr="00A65F54">
        <w:rPr>
          <w:sz w:val="20"/>
          <w:szCs w:val="20"/>
        </w:rPr>
        <w:t>v</w:t>
      </w:r>
      <w:r>
        <w:rPr>
          <w:sz w:val="20"/>
          <w:szCs w:val="20"/>
        </w:rPr>
        <w:t>.</w:t>
      </w:r>
      <w:r w:rsidRPr="00A65F54">
        <w:rPr>
          <w:sz w:val="20"/>
          <w:szCs w:val="20"/>
        </w:rPr>
        <w:t xml:space="preserve"> Totals have been rounded to 3 significant figures. Figures may not add exactly due to rounding.</w:t>
      </w:r>
      <w:r w:rsidRPr="00A65F54">
        <w:rPr>
          <w:sz w:val="20"/>
          <w:szCs w:val="20"/>
        </w:rPr>
        <w:tab/>
      </w:r>
    </w:p>
    <w:p w:rsidR="00A65F54" w:rsidP="00410D14" w14:paraId="466A215F" w14:textId="708F239C">
      <w:pPr>
        <w:rPr>
          <w:sz w:val="20"/>
          <w:szCs w:val="20"/>
        </w:rPr>
      </w:pPr>
    </w:p>
    <w:p w:rsidR="00A65F54" w:rsidRPr="00A65F54" w:rsidP="00410D14" w14:paraId="3E55F94E" w14:textId="77777777">
      <w:pPr>
        <w:rPr>
          <w:sz w:val="20"/>
          <w:szCs w:val="20"/>
        </w:rPr>
      </w:pPr>
    </w:p>
    <w:p w:rsidR="00144F35" w:rsidP="00410D14" w14:paraId="3AD4E875" w14:textId="2FE4A7CD">
      <w:pPr>
        <w:outlineLvl w:val="0"/>
        <w:rPr>
          <w:b/>
          <w:bCs/>
        </w:rPr>
      </w:pPr>
      <w:r>
        <w:rPr>
          <w:b/>
          <w:bCs/>
          <w:color w:val="000000"/>
        </w:rPr>
        <w:br w:type="page"/>
      </w:r>
      <w:r w:rsidRPr="00C4183F">
        <w:rPr>
          <w:b/>
          <w:bCs/>
          <w:color w:val="000000"/>
        </w:rPr>
        <w:t>Table 2:</w:t>
      </w:r>
      <w:r>
        <w:rPr>
          <w:b/>
          <w:bCs/>
          <w:color w:val="000000"/>
        </w:rPr>
        <w:t xml:space="preserve"> Average Annual EPA Burden and Cos</w:t>
      </w:r>
      <w:r w:rsidRPr="00410D14">
        <w:rPr>
          <w:b/>
          <w:bCs/>
        </w:rPr>
        <w:t xml:space="preserve">t – </w:t>
      </w:r>
      <w:r w:rsidRPr="00410D14" w:rsidR="00410D14">
        <w:rPr>
          <w:b/>
          <w:bCs/>
        </w:rPr>
        <w:t xml:space="preserve">NESHAP for Plywood and Composite Products (40 CFR Part 63, Subpart DDDD) </w:t>
      </w:r>
      <w:r w:rsidR="00F71A51">
        <w:rPr>
          <w:b/>
          <w:bCs/>
        </w:rPr>
        <w:t>(Final</w:t>
      </w:r>
      <w:r w:rsidR="00001B52">
        <w:rPr>
          <w:b/>
          <w:bCs/>
        </w:rPr>
        <w:t xml:space="preserve"> Amendments</w:t>
      </w:r>
      <w:r w:rsidRPr="00696F91" w:rsidR="00001B52">
        <w:rPr>
          <w:b/>
          <w:bCs/>
        </w:rPr>
        <w:t>)</w:t>
      </w:r>
    </w:p>
    <w:tbl>
      <w:tblPr>
        <w:tblW w:w="13261" w:type="dxa"/>
        <w:jc w:val="center"/>
        <w:tblLook w:val="04A0"/>
      </w:tblPr>
      <w:tblGrid>
        <w:gridCol w:w="4008"/>
        <w:gridCol w:w="1178"/>
        <w:gridCol w:w="1247"/>
        <w:gridCol w:w="993"/>
        <w:gridCol w:w="1073"/>
        <w:gridCol w:w="1050"/>
        <w:gridCol w:w="76"/>
        <w:gridCol w:w="1262"/>
        <w:gridCol w:w="1177"/>
        <w:gridCol w:w="1197"/>
      </w:tblGrid>
      <w:tr w14:paraId="1D97E999" w14:textId="77777777" w:rsidTr="00A65F54">
        <w:tblPrEx>
          <w:tblW w:w="13261" w:type="dxa"/>
          <w:jc w:val="center"/>
          <w:tblLook w:val="04A0"/>
        </w:tblPrEx>
        <w:trPr>
          <w:trHeight w:val="1905"/>
          <w:tblHeader/>
          <w:jc w:val="center"/>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123" w:rsidRPr="00DB6123" w:rsidP="00DB6123" w14:paraId="6B8B622F" w14:textId="77777777">
            <w:pPr>
              <w:widowControl/>
              <w:autoSpaceDE/>
              <w:autoSpaceDN/>
              <w:adjustRightInd/>
              <w:jc w:val="center"/>
              <w:rPr>
                <w:b/>
                <w:bCs/>
                <w:color w:val="000000"/>
                <w:sz w:val="20"/>
                <w:szCs w:val="20"/>
              </w:rPr>
            </w:pPr>
            <w:r w:rsidRPr="00DB6123">
              <w:rPr>
                <w:b/>
                <w:bCs/>
                <w:color w:val="000000"/>
                <w:sz w:val="20"/>
                <w:szCs w:val="20"/>
              </w:rPr>
              <w:t>Activity</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DB6123" w:rsidRPr="00DB6123" w:rsidP="00DB6123" w14:paraId="5D428595" w14:textId="77777777">
            <w:pPr>
              <w:widowControl/>
              <w:autoSpaceDE/>
              <w:autoSpaceDN/>
              <w:adjustRightInd/>
              <w:jc w:val="center"/>
              <w:rPr>
                <w:b/>
                <w:bCs/>
                <w:color w:val="000000"/>
                <w:sz w:val="20"/>
                <w:szCs w:val="20"/>
              </w:rPr>
            </w:pPr>
            <w:r w:rsidRPr="00DB6123">
              <w:rPr>
                <w:b/>
                <w:bCs/>
                <w:color w:val="000000"/>
                <w:sz w:val="20"/>
                <w:szCs w:val="20"/>
              </w:rPr>
              <w:t>(A)</w:t>
            </w:r>
            <w:r w:rsidRPr="00DB6123">
              <w:rPr>
                <w:b/>
                <w:bCs/>
                <w:color w:val="000000"/>
                <w:sz w:val="20"/>
                <w:szCs w:val="20"/>
              </w:rPr>
              <w:br/>
              <w:t>EPA person- hours per occurrence</w:t>
            </w:r>
            <w:r w:rsidRPr="00DB6123">
              <w:rPr>
                <w:b/>
                <w:bCs/>
                <w:color w:val="000000"/>
                <w:sz w:val="20"/>
                <w:szCs w:val="20"/>
              </w:rPr>
              <w:br/>
              <w:t xml:space="preserve"> </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DB6123" w:rsidRPr="00DB6123" w:rsidP="00DB6123" w14:paraId="5C0B7D2B" w14:textId="77777777">
            <w:pPr>
              <w:widowControl/>
              <w:autoSpaceDE/>
              <w:autoSpaceDN/>
              <w:adjustRightInd/>
              <w:jc w:val="center"/>
              <w:rPr>
                <w:b/>
                <w:bCs/>
                <w:color w:val="000000"/>
                <w:sz w:val="20"/>
                <w:szCs w:val="20"/>
              </w:rPr>
            </w:pPr>
            <w:r w:rsidRPr="00DB6123">
              <w:rPr>
                <w:b/>
                <w:bCs/>
                <w:color w:val="000000"/>
                <w:sz w:val="20"/>
                <w:szCs w:val="20"/>
              </w:rPr>
              <w:t>(B)</w:t>
            </w:r>
            <w:r w:rsidRPr="00DB6123">
              <w:rPr>
                <w:b/>
                <w:bCs/>
                <w:color w:val="000000"/>
                <w:sz w:val="20"/>
                <w:szCs w:val="20"/>
              </w:rPr>
              <w:br/>
              <w:t>No. of occurrences per plant per year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B6123" w:rsidRPr="00DB6123" w:rsidP="00DB6123" w14:paraId="3FCDC4DF" w14:textId="77777777">
            <w:pPr>
              <w:widowControl/>
              <w:autoSpaceDE/>
              <w:autoSpaceDN/>
              <w:adjustRightInd/>
              <w:jc w:val="center"/>
              <w:rPr>
                <w:b/>
                <w:bCs/>
                <w:color w:val="000000"/>
                <w:sz w:val="20"/>
                <w:szCs w:val="20"/>
              </w:rPr>
            </w:pPr>
            <w:r w:rsidRPr="00DB6123">
              <w:rPr>
                <w:b/>
                <w:bCs/>
                <w:color w:val="000000"/>
                <w:sz w:val="20"/>
                <w:szCs w:val="20"/>
              </w:rPr>
              <w:t>(C)</w:t>
            </w:r>
            <w:r w:rsidRPr="00DB6123">
              <w:rPr>
                <w:b/>
                <w:bCs/>
                <w:color w:val="000000"/>
                <w:sz w:val="20"/>
                <w:szCs w:val="20"/>
              </w:rPr>
              <w:br/>
              <w:t>EPA person- hours per plant per year</w:t>
            </w:r>
            <w:r w:rsidRPr="00DB6123">
              <w:rPr>
                <w:b/>
                <w:bCs/>
                <w:color w:val="000000"/>
                <w:sz w:val="20"/>
                <w:szCs w:val="20"/>
              </w:rPr>
              <w:br/>
              <w:t>(C=</w:t>
            </w:r>
            <w:r w:rsidRPr="00DB6123">
              <w:rPr>
                <w:b/>
                <w:bCs/>
                <w:color w:val="000000"/>
                <w:sz w:val="20"/>
                <w:szCs w:val="20"/>
              </w:rPr>
              <w:t>AxB</w:t>
            </w:r>
            <w:r w:rsidRPr="00DB6123">
              <w:rPr>
                <w:b/>
                <w:bCs/>
                <w:color w:val="000000"/>
                <w:sz w:val="20"/>
                <w:szCs w:val="20"/>
              </w:rPr>
              <w:t>)</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DB6123" w:rsidRPr="00DB6123" w:rsidP="00DB6123" w14:paraId="54066837" w14:textId="3F8E521A">
            <w:pPr>
              <w:widowControl/>
              <w:autoSpaceDE/>
              <w:autoSpaceDN/>
              <w:adjustRightInd/>
              <w:jc w:val="center"/>
              <w:rPr>
                <w:b/>
                <w:bCs/>
                <w:color w:val="000000"/>
                <w:sz w:val="20"/>
                <w:szCs w:val="20"/>
              </w:rPr>
            </w:pPr>
            <w:r w:rsidRPr="00DB6123">
              <w:rPr>
                <w:b/>
                <w:bCs/>
                <w:color w:val="000000"/>
                <w:sz w:val="20"/>
                <w:szCs w:val="20"/>
              </w:rPr>
              <w:t>(D)</w:t>
            </w:r>
            <w:r w:rsidRPr="00DB6123">
              <w:rPr>
                <w:b/>
                <w:bCs/>
                <w:color w:val="000000"/>
                <w:sz w:val="20"/>
                <w:szCs w:val="20"/>
              </w:rPr>
              <w:br/>
              <w:t xml:space="preserve">Plants per year </w:t>
            </w:r>
            <w:r w:rsidRPr="00DB6123">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DB6123" w:rsidRPr="00DB6123" w:rsidP="00DB6123" w14:paraId="14D8F195" w14:textId="77777777">
            <w:pPr>
              <w:widowControl/>
              <w:autoSpaceDE/>
              <w:autoSpaceDN/>
              <w:adjustRightInd/>
              <w:jc w:val="center"/>
              <w:rPr>
                <w:b/>
                <w:bCs/>
                <w:color w:val="000000"/>
                <w:sz w:val="20"/>
                <w:szCs w:val="20"/>
              </w:rPr>
            </w:pPr>
            <w:r w:rsidRPr="00DB6123">
              <w:rPr>
                <w:b/>
                <w:bCs/>
                <w:color w:val="000000"/>
                <w:sz w:val="20"/>
                <w:szCs w:val="20"/>
              </w:rPr>
              <w:t xml:space="preserve">(E) </w:t>
            </w:r>
            <w:r w:rsidRPr="00DB6123">
              <w:rPr>
                <w:b/>
                <w:bCs/>
                <w:color w:val="000000"/>
                <w:sz w:val="20"/>
                <w:szCs w:val="20"/>
              </w:rPr>
              <w:br/>
              <w:t xml:space="preserve">Technical person- hours per year </w:t>
            </w:r>
            <w:r w:rsidRPr="00DB6123">
              <w:rPr>
                <w:b/>
                <w:bCs/>
                <w:color w:val="000000"/>
                <w:sz w:val="20"/>
                <w:szCs w:val="20"/>
              </w:rPr>
              <w:br/>
              <w:t>(E=</w:t>
            </w:r>
            <w:r w:rsidRPr="00DB6123">
              <w:rPr>
                <w:b/>
                <w:bCs/>
                <w:color w:val="000000"/>
                <w:sz w:val="20"/>
                <w:szCs w:val="20"/>
              </w:rPr>
              <w:t>CxD</w:t>
            </w:r>
            <w:r w:rsidRPr="00DB6123">
              <w:rPr>
                <w:b/>
                <w:bCs/>
                <w:color w:val="000000"/>
                <w:sz w:val="20"/>
                <w:szCs w:val="20"/>
              </w:rPr>
              <w:t>)</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rsidR="00DB6123" w:rsidRPr="00DB6123" w:rsidP="00DB6123" w14:paraId="61B88E4F" w14:textId="77777777">
            <w:pPr>
              <w:widowControl/>
              <w:autoSpaceDE/>
              <w:autoSpaceDN/>
              <w:adjustRightInd/>
              <w:jc w:val="center"/>
              <w:rPr>
                <w:b/>
                <w:bCs/>
                <w:color w:val="000000"/>
                <w:sz w:val="20"/>
                <w:szCs w:val="20"/>
              </w:rPr>
            </w:pPr>
            <w:r w:rsidRPr="00DB6123">
              <w:rPr>
                <w:b/>
                <w:bCs/>
                <w:color w:val="000000"/>
                <w:sz w:val="20"/>
                <w:szCs w:val="20"/>
              </w:rPr>
              <w:t>(F)</w:t>
            </w:r>
            <w:r w:rsidRPr="00DB6123">
              <w:rPr>
                <w:b/>
                <w:bCs/>
                <w:color w:val="000000"/>
                <w:sz w:val="20"/>
                <w:szCs w:val="20"/>
              </w:rPr>
              <w:br/>
              <w:t xml:space="preserve">Management person-hours per year </w:t>
            </w:r>
            <w:r w:rsidRPr="00DB6123">
              <w:rPr>
                <w:b/>
                <w:bCs/>
                <w:color w:val="000000"/>
                <w:sz w:val="20"/>
                <w:szCs w:val="20"/>
              </w:rPr>
              <w:br/>
              <w:t>(F=Ex0.05)</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DB6123" w:rsidRPr="00DB6123" w:rsidP="00DB6123" w14:paraId="00385AD9" w14:textId="77777777">
            <w:pPr>
              <w:widowControl/>
              <w:autoSpaceDE/>
              <w:autoSpaceDN/>
              <w:adjustRightInd/>
              <w:jc w:val="center"/>
              <w:rPr>
                <w:b/>
                <w:bCs/>
                <w:color w:val="000000"/>
                <w:sz w:val="20"/>
                <w:szCs w:val="20"/>
              </w:rPr>
            </w:pPr>
            <w:r w:rsidRPr="00DB6123">
              <w:rPr>
                <w:b/>
                <w:bCs/>
                <w:color w:val="000000"/>
                <w:sz w:val="20"/>
                <w:szCs w:val="20"/>
              </w:rPr>
              <w:t xml:space="preserve">(G) </w:t>
            </w:r>
            <w:r w:rsidRPr="00DB6123">
              <w:rPr>
                <w:b/>
                <w:bCs/>
                <w:color w:val="000000"/>
                <w:sz w:val="20"/>
                <w:szCs w:val="20"/>
              </w:rPr>
              <w:br/>
              <w:t xml:space="preserve">Clerical person-hours per year </w:t>
            </w:r>
            <w:r w:rsidRPr="00DB6123">
              <w:rPr>
                <w:b/>
                <w:bCs/>
                <w:color w:val="000000"/>
                <w:sz w:val="20"/>
                <w:szCs w:val="20"/>
              </w:rPr>
              <w:br/>
              <w:t>(G=Ex0.1)</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DB6123" w:rsidRPr="00DB6123" w:rsidP="00DB6123" w14:paraId="0D01EAC3" w14:textId="77777777">
            <w:pPr>
              <w:widowControl/>
              <w:autoSpaceDE/>
              <w:autoSpaceDN/>
              <w:adjustRightInd/>
              <w:jc w:val="center"/>
              <w:rPr>
                <w:b/>
                <w:bCs/>
                <w:color w:val="000000"/>
                <w:sz w:val="20"/>
                <w:szCs w:val="20"/>
              </w:rPr>
            </w:pPr>
            <w:r w:rsidRPr="00DB6123">
              <w:rPr>
                <w:b/>
                <w:bCs/>
                <w:color w:val="000000"/>
                <w:sz w:val="20"/>
                <w:szCs w:val="20"/>
              </w:rPr>
              <w:t>(H)</w:t>
            </w:r>
            <w:r w:rsidRPr="00DB6123">
              <w:rPr>
                <w:b/>
                <w:bCs/>
                <w:color w:val="000000"/>
                <w:sz w:val="20"/>
                <w:szCs w:val="20"/>
              </w:rPr>
              <w:br/>
              <w:t xml:space="preserve">Total Cost per year, $ </w:t>
            </w:r>
            <w:r w:rsidRPr="00DB6123">
              <w:rPr>
                <w:b/>
                <w:bCs/>
                <w:color w:val="000000"/>
                <w:sz w:val="20"/>
                <w:szCs w:val="20"/>
                <w:vertAlign w:val="superscript"/>
              </w:rPr>
              <w:t>b</w:t>
            </w:r>
          </w:p>
        </w:tc>
      </w:tr>
      <w:tr w14:paraId="5E24AAEC" w14:textId="77777777" w:rsidTr="00DA7243">
        <w:tblPrEx>
          <w:tblW w:w="13261" w:type="dxa"/>
          <w:jc w:val="left"/>
          <w:tblLook w:val="04A0"/>
        </w:tblPrEx>
        <w:trPr>
          <w:trHeight w:val="375"/>
          <w:jc w:val="left"/>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7243" w14:paraId="04BFA211" w14:textId="77777777">
            <w:pPr>
              <w:widowControl/>
              <w:autoSpaceDE/>
              <w:autoSpaceDN/>
              <w:adjustRightInd/>
              <w:rPr>
                <w:color w:val="000000"/>
                <w:sz w:val="20"/>
                <w:szCs w:val="20"/>
              </w:rPr>
            </w:pPr>
            <w:r>
              <w:rPr>
                <w:color w:val="000000"/>
                <w:sz w:val="20"/>
                <w:szCs w:val="20"/>
              </w:rPr>
              <w:t xml:space="preserve">1. Attend performance test </w:t>
            </w:r>
            <w:r>
              <w:rPr>
                <w:color w:val="000000"/>
                <w:sz w:val="20"/>
                <w:szCs w:val="20"/>
                <w:vertAlign w:val="superscript"/>
              </w:rPr>
              <w:t>c</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DA7243" w14:paraId="46B90738" w14:textId="77777777">
            <w:pPr>
              <w:jc w:val="center"/>
              <w:rPr>
                <w:color w:val="000000"/>
                <w:sz w:val="20"/>
                <w:szCs w:val="20"/>
              </w:rPr>
            </w:pPr>
            <w:r>
              <w:rPr>
                <w:color w:val="000000"/>
                <w:sz w:val="20"/>
                <w:szCs w:val="20"/>
              </w:rPr>
              <w:t>24</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DA7243" w14:paraId="4356CD27" w14:textId="77777777">
            <w:pPr>
              <w:jc w:val="center"/>
              <w:rPr>
                <w:color w:val="000000"/>
                <w:sz w:val="20"/>
                <w:szCs w:val="20"/>
              </w:rPr>
            </w:pPr>
            <w:r>
              <w:rPr>
                <w:color w:val="000000"/>
                <w:sz w:val="20"/>
                <w:szCs w:val="20"/>
              </w:rPr>
              <w:t>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A7243" w14:paraId="74093AE4" w14:textId="77777777">
            <w:pPr>
              <w:jc w:val="center"/>
              <w:rPr>
                <w:color w:val="000000"/>
                <w:sz w:val="20"/>
                <w:szCs w:val="20"/>
              </w:rPr>
            </w:pPr>
            <w:r>
              <w:rPr>
                <w:color w:val="000000"/>
                <w:sz w:val="20"/>
                <w:szCs w:val="20"/>
              </w:rPr>
              <w:t>24</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DA7243" w14:paraId="212521FC" w14:textId="77777777">
            <w:pPr>
              <w:jc w:val="center"/>
              <w:rPr>
                <w:color w:val="000000"/>
                <w:sz w:val="20"/>
                <w:szCs w:val="20"/>
              </w:rPr>
            </w:pPr>
            <w:r>
              <w:rPr>
                <w:color w:val="000000"/>
                <w:sz w:val="20"/>
                <w:szCs w:val="20"/>
              </w:rPr>
              <w:t>4</w:t>
            </w: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A7243" w14:paraId="28957C6B" w14:textId="77777777">
            <w:pPr>
              <w:jc w:val="center"/>
              <w:rPr>
                <w:color w:val="000000"/>
                <w:sz w:val="20"/>
                <w:szCs w:val="20"/>
              </w:rPr>
            </w:pPr>
            <w:r>
              <w:rPr>
                <w:color w:val="000000"/>
                <w:sz w:val="20"/>
                <w:szCs w:val="20"/>
              </w:rPr>
              <w:t>96</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DA7243" w14:paraId="09D2CD5F" w14:textId="77777777">
            <w:pPr>
              <w:jc w:val="center"/>
              <w:rPr>
                <w:color w:val="000000"/>
                <w:sz w:val="20"/>
                <w:szCs w:val="20"/>
              </w:rPr>
            </w:pPr>
            <w:r>
              <w:rPr>
                <w:color w:val="000000"/>
                <w:sz w:val="20"/>
                <w:szCs w:val="20"/>
              </w:rPr>
              <w:t>4.8</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DA7243" w14:paraId="771D6756" w14:textId="77777777">
            <w:pPr>
              <w:jc w:val="center"/>
              <w:rPr>
                <w:color w:val="000000"/>
                <w:sz w:val="20"/>
                <w:szCs w:val="20"/>
              </w:rPr>
            </w:pPr>
            <w:r>
              <w:rPr>
                <w:color w:val="000000"/>
                <w:sz w:val="20"/>
                <w:szCs w:val="20"/>
              </w:rPr>
              <w:t>9.6</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DA7243" w14:paraId="3E12466D" w14:textId="77777777">
            <w:pPr>
              <w:jc w:val="right"/>
              <w:rPr>
                <w:color w:val="000000"/>
                <w:sz w:val="20"/>
                <w:szCs w:val="20"/>
              </w:rPr>
            </w:pPr>
            <w:r>
              <w:rPr>
                <w:color w:val="000000"/>
                <w:sz w:val="20"/>
                <w:szCs w:val="20"/>
              </w:rPr>
              <w:t xml:space="preserve">$5,249 </w:t>
            </w:r>
          </w:p>
        </w:tc>
      </w:tr>
      <w:tr w14:paraId="55B3C307" w14:textId="77777777" w:rsidTr="00DA7243">
        <w:tblPrEx>
          <w:tblW w:w="13261" w:type="dxa"/>
          <w:jc w:val="left"/>
          <w:tblLook w:val="04A0"/>
        </w:tblPrEx>
        <w:trPr>
          <w:trHeight w:val="300"/>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3FBE0C15" w14:textId="77777777">
            <w:pPr>
              <w:rPr>
                <w:color w:val="000000"/>
                <w:sz w:val="20"/>
                <w:szCs w:val="20"/>
              </w:rPr>
            </w:pPr>
            <w:r>
              <w:rPr>
                <w:color w:val="000000"/>
                <w:sz w:val="20"/>
                <w:szCs w:val="20"/>
              </w:rPr>
              <w:t>2.  Report review</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78E24E21" w14:textId="77777777">
            <w:pPr>
              <w:jc w:val="center"/>
              <w:rPr>
                <w:color w:val="000000"/>
                <w:sz w:val="20"/>
                <w:szCs w:val="20"/>
              </w:rPr>
            </w:pPr>
            <w:r>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1CDC334A" w14:textId="77777777">
            <w:pPr>
              <w:jc w:val="cente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46A8558E" w14:textId="77777777">
            <w:pPr>
              <w:jc w:val="center"/>
              <w:rPr>
                <w:color w:val="000000"/>
                <w:sz w:val="20"/>
                <w:szCs w:val="20"/>
              </w:rPr>
            </w:pPr>
            <w:r>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42E700DA" w14:textId="77777777">
            <w:pPr>
              <w:jc w:val="center"/>
              <w:rPr>
                <w:color w:val="000000"/>
                <w:sz w:val="20"/>
                <w:szCs w:val="20"/>
              </w:rPr>
            </w:pPr>
            <w:r>
              <w:rPr>
                <w:color w:val="000000"/>
                <w:sz w:val="20"/>
                <w:szCs w:val="20"/>
              </w:rPr>
              <w:t> </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331883FD" w14:textId="77777777">
            <w:pPr>
              <w:jc w:val="center"/>
              <w:rPr>
                <w:color w:val="000000"/>
                <w:sz w:val="20"/>
                <w:szCs w:val="20"/>
              </w:rPr>
            </w:pPr>
            <w:r>
              <w:rPr>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4E8C3DC0" w14:textId="77777777">
            <w:pPr>
              <w:jc w:val="center"/>
              <w:rPr>
                <w:color w:val="000000"/>
                <w:sz w:val="20"/>
                <w:szCs w:val="20"/>
              </w:rPr>
            </w:pPr>
            <w:r>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7529DB78" w14:textId="77777777">
            <w:pPr>
              <w:jc w:val="center"/>
              <w:rPr>
                <w:color w:val="000000"/>
                <w:sz w:val="20"/>
                <w:szCs w:val="20"/>
              </w:rPr>
            </w:pPr>
            <w:r>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61D579EF" w14:textId="77777777">
            <w:pPr>
              <w:jc w:val="right"/>
              <w:rPr>
                <w:color w:val="000000"/>
                <w:sz w:val="20"/>
                <w:szCs w:val="20"/>
              </w:rPr>
            </w:pPr>
            <w:r>
              <w:rPr>
                <w:color w:val="000000"/>
                <w:sz w:val="20"/>
                <w:szCs w:val="20"/>
              </w:rPr>
              <w:t> </w:t>
            </w:r>
          </w:p>
        </w:tc>
      </w:tr>
      <w:tr w14:paraId="353C1B6C" w14:textId="77777777" w:rsidTr="00DA7243">
        <w:tblPrEx>
          <w:tblW w:w="13261" w:type="dxa"/>
          <w:jc w:val="left"/>
          <w:tblLook w:val="04A0"/>
        </w:tblPrEx>
        <w:trPr>
          <w:trHeight w:val="315"/>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6C4DD163" w14:textId="77777777">
            <w:pPr>
              <w:ind w:firstLine="200" w:firstLineChars="100"/>
              <w:rPr>
                <w:color w:val="000000"/>
                <w:sz w:val="20"/>
                <w:szCs w:val="20"/>
              </w:rPr>
            </w:pPr>
            <w:r>
              <w:rPr>
                <w:color w:val="000000"/>
                <w:sz w:val="20"/>
                <w:szCs w:val="20"/>
              </w:rPr>
              <w:t xml:space="preserve">A.  Notification of construction/reconstruction </w:t>
            </w:r>
            <w:r>
              <w:rPr>
                <w:color w:val="000000"/>
                <w:sz w:val="20"/>
                <w:szCs w:val="20"/>
                <w:vertAlign w:val="superscript"/>
              </w:rPr>
              <w:t>d</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0066A7BF" w14:textId="77777777">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7D3E09B3" w14:textId="77777777">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50070486" w14:textId="77777777">
            <w:pPr>
              <w:jc w:val="center"/>
              <w:rPr>
                <w:color w:val="000000"/>
                <w:sz w:val="20"/>
                <w:szCs w:val="20"/>
              </w:rPr>
            </w:pPr>
            <w:r>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38457181" w14:textId="77777777">
            <w:pPr>
              <w:jc w:val="center"/>
              <w:rPr>
                <w:color w:val="000000"/>
                <w:sz w:val="20"/>
                <w:szCs w:val="20"/>
              </w:rPr>
            </w:pPr>
            <w:r>
              <w:rPr>
                <w:color w:val="000000"/>
                <w:sz w:val="20"/>
                <w:szCs w:val="20"/>
              </w:rPr>
              <w:t>15</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5B20401F" w14:textId="77777777">
            <w:pPr>
              <w:jc w:val="center"/>
              <w:rPr>
                <w:color w:val="000000"/>
                <w:sz w:val="20"/>
                <w:szCs w:val="20"/>
              </w:rPr>
            </w:pPr>
            <w:r>
              <w:rPr>
                <w:color w:val="000000"/>
                <w:sz w:val="20"/>
                <w:szCs w:val="20"/>
              </w:rPr>
              <w:t>30</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7F48D26E" w14:textId="77777777">
            <w:pPr>
              <w:jc w:val="center"/>
              <w:rPr>
                <w:color w:val="000000"/>
                <w:sz w:val="20"/>
                <w:szCs w:val="20"/>
              </w:rPr>
            </w:pPr>
            <w:r>
              <w:rPr>
                <w:color w:val="000000"/>
                <w:sz w:val="20"/>
                <w:szCs w:val="20"/>
              </w:rPr>
              <w:t>1.5</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27BDB8C1" w14:textId="77777777">
            <w:pPr>
              <w:jc w:val="center"/>
              <w:rPr>
                <w:color w:val="000000"/>
                <w:sz w:val="20"/>
                <w:szCs w:val="20"/>
              </w:rPr>
            </w:pPr>
            <w:r>
              <w:rPr>
                <w:color w:val="000000"/>
                <w:sz w:val="20"/>
                <w:szCs w:val="20"/>
              </w:rPr>
              <w:t>3</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34658214" w14:textId="77777777">
            <w:pPr>
              <w:jc w:val="right"/>
              <w:rPr>
                <w:color w:val="000000"/>
                <w:sz w:val="20"/>
                <w:szCs w:val="20"/>
              </w:rPr>
            </w:pPr>
            <w:r>
              <w:rPr>
                <w:color w:val="000000"/>
                <w:sz w:val="20"/>
                <w:szCs w:val="20"/>
              </w:rPr>
              <w:t xml:space="preserve">$1,640 </w:t>
            </w:r>
          </w:p>
        </w:tc>
      </w:tr>
      <w:tr w14:paraId="4AFBC37C" w14:textId="77777777" w:rsidTr="00DA7243">
        <w:tblPrEx>
          <w:tblW w:w="13261" w:type="dxa"/>
          <w:jc w:val="left"/>
          <w:tblLook w:val="04A0"/>
        </w:tblPrEx>
        <w:trPr>
          <w:trHeight w:val="315"/>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5DF4D620" w14:textId="77777777">
            <w:pPr>
              <w:ind w:firstLine="200" w:firstLineChars="100"/>
              <w:rPr>
                <w:color w:val="000000"/>
                <w:sz w:val="20"/>
                <w:szCs w:val="20"/>
              </w:rPr>
            </w:pPr>
            <w:r>
              <w:rPr>
                <w:color w:val="000000"/>
                <w:sz w:val="20"/>
                <w:szCs w:val="20"/>
              </w:rPr>
              <w:t xml:space="preserve">B.  Notification of anticipated startup </w:t>
            </w:r>
            <w:r>
              <w:rPr>
                <w:color w:val="000000"/>
                <w:sz w:val="20"/>
                <w:szCs w:val="20"/>
                <w:vertAlign w:val="superscript"/>
              </w:rPr>
              <w:t>d</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14C765F1" w14:textId="77777777">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409E79A3" w14:textId="77777777">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1AAD26B4" w14:textId="77777777">
            <w:pPr>
              <w:jc w:val="center"/>
              <w:rPr>
                <w:color w:val="000000"/>
                <w:sz w:val="20"/>
                <w:szCs w:val="20"/>
              </w:rPr>
            </w:pPr>
            <w:r>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7FB27B9D" w14:textId="77777777">
            <w:pPr>
              <w:jc w:val="center"/>
              <w:rPr>
                <w:color w:val="000000"/>
                <w:sz w:val="20"/>
                <w:szCs w:val="20"/>
              </w:rPr>
            </w:pPr>
            <w:r>
              <w:rPr>
                <w:color w:val="000000"/>
                <w:sz w:val="20"/>
                <w:szCs w:val="20"/>
              </w:rPr>
              <w:t>15</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7D3D2706" w14:textId="77777777">
            <w:pPr>
              <w:jc w:val="center"/>
              <w:rPr>
                <w:color w:val="000000"/>
                <w:sz w:val="20"/>
                <w:szCs w:val="20"/>
              </w:rPr>
            </w:pPr>
            <w:r>
              <w:rPr>
                <w:color w:val="000000"/>
                <w:sz w:val="20"/>
                <w:szCs w:val="20"/>
              </w:rPr>
              <w:t>30</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2E0F0E16" w14:textId="77777777">
            <w:pPr>
              <w:jc w:val="center"/>
              <w:rPr>
                <w:color w:val="000000"/>
                <w:sz w:val="20"/>
                <w:szCs w:val="20"/>
              </w:rPr>
            </w:pPr>
            <w:r>
              <w:rPr>
                <w:color w:val="000000"/>
                <w:sz w:val="20"/>
                <w:szCs w:val="20"/>
              </w:rPr>
              <w:t>1.5</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129C340B" w14:textId="77777777">
            <w:pPr>
              <w:jc w:val="center"/>
              <w:rPr>
                <w:color w:val="000000"/>
                <w:sz w:val="20"/>
                <w:szCs w:val="20"/>
              </w:rPr>
            </w:pPr>
            <w:r>
              <w:rPr>
                <w:color w:val="000000"/>
                <w:sz w:val="20"/>
                <w:szCs w:val="20"/>
              </w:rPr>
              <w:t>3</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0D853981" w14:textId="77777777">
            <w:pPr>
              <w:jc w:val="right"/>
              <w:rPr>
                <w:color w:val="000000"/>
                <w:sz w:val="20"/>
                <w:szCs w:val="20"/>
              </w:rPr>
            </w:pPr>
            <w:r>
              <w:rPr>
                <w:color w:val="000000"/>
                <w:sz w:val="20"/>
                <w:szCs w:val="20"/>
              </w:rPr>
              <w:t xml:space="preserve">$1,640 </w:t>
            </w:r>
          </w:p>
        </w:tc>
      </w:tr>
      <w:tr w14:paraId="3DB80B06" w14:textId="77777777" w:rsidTr="00DA7243">
        <w:tblPrEx>
          <w:tblW w:w="13261" w:type="dxa"/>
          <w:jc w:val="left"/>
          <w:tblLook w:val="04A0"/>
        </w:tblPrEx>
        <w:trPr>
          <w:trHeight w:val="315"/>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378739AC" w14:textId="77777777">
            <w:pPr>
              <w:ind w:firstLine="200" w:firstLineChars="100"/>
              <w:rPr>
                <w:color w:val="000000"/>
                <w:sz w:val="20"/>
                <w:szCs w:val="20"/>
              </w:rPr>
            </w:pPr>
            <w:r>
              <w:rPr>
                <w:color w:val="000000"/>
                <w:sz w:val="20"/>
                <w:szCs w:val="20"/>
              </w:rPr>
              <w:t>C.  Notification of actual startup</w:t>
            </w:r>
            <w:r>
              <w:rPr>
                <w:color w:val="000000"/>
                <w:sz w:val="20"/>
                <w:szCs w:val="20"/>
                <w:vertAlign w:val="superscript"/>
              </w:rPr>
              <w:t xml:space="preserve"> d</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59BC5C37" w14:textId="77777777">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2A2A96EE" w14:textId="77777777">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3EECDFFC" w14:textId="77777777">
            <w:pPr>
              <w:jc w:val="center"/>
              <w:rPr>
                <w:color w:val="000000"/>
                <w:sz w:val="20"/>
                <w:szCs w:val="20"/>
              </w:rPr>
            </w:pPr>
            <w:r>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205990E1" w14:textId="77777777">
            <w:pPr>
              <w:jc w:val="center"/>
              <w:rPr>
                <w:color w:val="000000"/>
                <w:sz w:val="20"/>
                <w:szCs w:val="20"/>
              </w:rPr>
            </w:pPr>
            <w:r>
              <w:rPr>
                <w:color w:val="000000"/>
                <w:sz w:val="20"/>
                <w:szCs w:val="20"/>
              </w:rPr>
              <w:t>15</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2717C269" w14:textId="77777777">
            <w:pPr>
              <w:jc w:val="center"/>
              <w:rPr>
                <w:color w:val="000000"/>
                <w:sz w:val="20"/>
                <w:szCs w:val="20"/>
              </w:rPr>
            </w:pPr>
            <w:r>
              <w:rPr>
                <w:color w:val="000000"/>
                <w:sz w:val="20"/>
                <w:szCs w:val="20"/>
              </w:rPr>
              <w:t>30</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5589F23C" w14:textId="77777777">
            <w:pPr>
              <w:jc w:val="center"/>
              <w:rPr>
                <w:color w:val="000000"/>
                <w:sz w:val="20"/>
                <w:szCs w:val="20"/>
              </w:rPr>
            </w:pPr>
            <w:r>
              <w:rPr>
                <w:color w:val="000000"/>
                <w:sz w:val="20"/>
                <w:szCs w:val="20"/>
              </w:rPr>
              <w:t>1.5</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281EDB90" w14:textId="77777777">
            <w:pPr>
              <w:jc w:val="center"/>
              <w:rPr>
                <w:color w:val="000000"/>
                <w:sz w:val="20"/>
                <w:szCs w:val="20"/>
              </w:rPr>
            </w:pPr>
            <w:r>
              <w:rPr>
                <w:color w:val="000000"/>
                <w:sz w:val="20"/>
                <w:szCs w:val="20"/>
              </w:rPr>
              <w:t>3</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42D9EF24" w14:textId="77777777">
            <w:pPr>
              <w:jc w:val="right"/>
              <w:rPr>
                <w:color w:val="000000"/>
                <w:sz w:val="20"/>
                <w:szCs w:val="20"/>
              </w:rPr>
            </w:pPr>
            <w:r>
              <w:rPr>
                <w:color w:val="000000"/>
                <w:sz w:val="20"/>
                <w:szCs w:val="20"/>
              </w:rPr>
              <w:t xml:space="preserve">$1,640 </w:t>
            </w:r>
          </w:p>
        </w:tc>
      </w:tr>
      <w:tr w14:paraId="7DB0CF70" w14:textId="77777777" w:rsidTr="00DA7243">
        <w:tblPrEx>
          <w:tblW w:w="13261" w:type="dxa"/>
          <w:jc w:val="left"/>
          <w:tblLook w:val="04A0"/>
        </w:tblPrEx>
        <w:trPr>
          <w:trHeight w:val="570"/>
          <w:jc w:val="left"/>
        </w:trPr>
        <w:tc>
          <w:tcPr>
            <w:tcW w:w="4008" w:type="dxa"/>
            <w:tcBorders>
              <w:top w:val="nil"/>
              <w:left w:val="single" w:sz="4" w:space="0" w:color="auto"/>
              <w:bottom w:val="single" w:sz="4" w:space="0" w:color="auto"/>
              <w:right w:val="single" w:sz="4" w:space="0" w:color="auto"/>
            </w:tcBorders>
            <w:shd w:val="clear" w:color="auto" w:fill="auto"/>
            <w:vAlign w:val="center"/>
            <w:hideMark/>
          </w:tcPr>
          <w:p w:rsidR="00DA7243" w14:paraId="588BC1F1" w14:textId="77777777">
            <w:pPr>
              <w:ind w:firstLine="200" w:firstLineChars="100"/>
              <w:rPr>
                <w:color w:val="000000"/>
                <w:sz w:val="20"/>
                <w:szCs w:val="20"/>
              </w:rPr>
            </w:pPr>
            <w:r>
              <w:rPr>
                <w:color w:val="000000"/>
                <w:sz w:val="20"/>
                <w:szCs w:val="20"/>
              </w:rPr>
              <w:t xml:space="preserve">D. Notification of applicability of standard (initial notification) </w:t>
            </w:r>
            <w:r>
              <w:rPr>
                <w:color w:val="000000"/>
                <w:sz w:val="20"/>
                <w:szCs w:val="20"/>
                <w:vertAlign w:val="superscript"/>
              </w:rPr>
              <w:t>d</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049C0F73" w14:textId="77777777">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72095A88" w14:textId="77777777">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6BE3169A" w14:textId="77777777">
            <w:pPr>
              <w:jc w:val="center"/>
              <w:rPr>
                <w:color w:val="000000"/>
                <w:sz w:val="20"/>
                <w:szCs w:val="20"/>
              </w:rPr>
            </w:pPr>
            <w:r>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01E71440" w14:textId="77777777">
            <w:pPr>
              <w:jc w:val="center"/>
              <w:rPr>
                <w:color w:val="000000"/>
                <w:sz w:val="20"/>
                <w:szCs w:val="20"/>
              </w:rPr>
            </w:pPr>
            <w:r>
              <w:rPr>
                <w:color w:val="000000"/>
                <w:sz w:val="20"/>
                <w:szCs w:val="20"/>
              </w:rPr>
              <w:t>15</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190089EF" w14:textId="77777777">
            <w:pPr>
              <w:jc w:val="center"/>
              <w:rPr>
                <w:color w:val="000000"/>
                <w:sz w:val="20"/>
                <w:szCs w:val="20"/>
              </w:rPr>
            </w:pPr>
            <w:r>
              <w:rPr>
                <w:color w:val="000000"/>
                <w:sz w:val="20"/>
                <w:szCs w:val="20"/>
              </w:rPr>
              <w:t>30</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44B84F85" w14:textId="77777777">
            <w:pPr>
              <w:jc w:val="center"/>
              <w:rPr>
                <w:color w:val="000000"/>
                <w:sz w:val="20"/>
                <w:szCs w:val="20"/>
              </w:rPr>
            </w:pPr>
            <w:r>
              <w:rPr>
                <w:color w:val="000000"/>
                <w:sz w:val="20"/>
                <w:szCs w:val="20"/>
              </w:rPr>
              <w:t>1.5</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6DCF8CE9" w14:textId="77777777">
            <w:pPr>
              <w:jc w:val="center"/>
              <w:rPr>
                <w:color w:val="000000"/>
                <w:sz w:val="20"/>
                <w:szCs w:val="20"/>
              </w:rPr>
            </w:pPr>
            <w:r>
              <w:rPr>
                <w:color w:val="000000"/>
                <w:sz w:val="20"/>
                <w:szCs w:val="20"/>
              </w:rPr>
              <w:t>3</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4E5DC08D" w14:textId="77777777">
            <w:pPr>
              <w:jc w:val="right"/>
              <w:rPr>
                <w:color w:val="000000"/>
                <w:sz w:val="20"/>
                <w:szCs w:val="20"/>
              </w:rPr>
            </w:pPr>
            <w:r>
              <w:rPr>
                <w:color w:val="000000"/>
                <w:sz w:val="20"/>
                <w:szCs w:val="20"/>
              </w:rPr>
              <w:t xml:space="preserve">$1,640 </w:t>
            </w:r>
          </w:p>
        </w:tc>
      </w:tr>
      <w:tr w14:paraId="421879DD" w14:textId="77777777" w:rsidTr="00DA7243">
        <w:tblPrEx>
          <w:tblW w:w="13261" w:type="dxa"/>
          <w:jc w:val="left"/>
          <w:tblLook w:val="04A0"/>
        </w:tblPrEx>
        <w:trPr>
          <w:trHeight w:val="315"/>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03130350" w14:textId="77777777">
            <w:pPr>
              <w:ind w:firstLine="200" w:firstLineChars="100"/>
              <w:rPr>
                <w:color w:val="000000"/>
                <w:sz w:val="20"/>
                <w:szCs w:val="20"/>
              </w:rPr>
            </w:pPr>
            <w:r>
              <w:rPr>
                <w:color w:val="000000"/>
                <w:sz w:val="20"/>
                <w:szCs w:val="20"/>
              </w:rPr>
              <w:t xml:space="preserve">E.  Review of emissions averaging plan </w:t>
            </w:r>
            <w:r>
              <w:rPr>
                <w:color w:val="000000"/>
                <w:sz w:val="20"/>
                <w:szCs w:val="20"/>
                <w:vertAlign w:val="superscript"/>
              </w:rPr>
              <w:t>e</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0B72BEDA" w14:textId="77777777">
            <w:pPr>
              <w:jc w:val="center"/>
              <w:rPr>
                <w:color w:val="000000"/>
                <w:sz w:val="20"/>
                <w:szCs w:val="20"/>
              </w:rPr>
            </w:pPr>
            <w:r>
              <w:rPr>
                <w:color w:val="000000"/>
                <w:sz w:val="20"/>
                <w:szCs w:val="20"/>
              </w:rPr>
              <w:t>40</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4C1059CF" w14:textId="77777777">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2A5235E7" w14:textId="77777777">
            <w:pPr>
              <w:jc w:val="center"/>
              <w:rPr>
                <w:color w:val="000000"/>
                <w:sz w:val="20"/>
                <w:szCs w:val="20"/>
              </w:rPr>
            </w:pPr>
            <w:r>
              <w:rPr>
                <w:color w:val="000000"/>
                <w:sz w:val="20"/>
                <w:szCs w:val="20"/>
              </w:rPr>
              <w:t>40</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2EEAB610" w14:textId="77777777">
            <w:pPr>
              <w:jc w:val="center"/>
              <w:rPr>
                <w:color w:val="000000"/>
                <w:sz w:val="20"/>
                <w:szCs w:val="20"/>
              </w:rPr>
            </w:pPr>
            <w:r>
              <w:rPr>
                <w:color w:val="000000"/>
                <w:sz w:val="20"/>
                <w:szCs w:val="20"/>
              </w:rPr>
              <w:t>0</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7D5740CD" w14:textId="77777777">
            <w:pPr>
              <w:jc w:val="center"/>
              <w:rPr>
                <w:color w:val="000000"/>
                <w:sz w:val="20"/>
                <w:szCs w:val="20"/>
              </w:rPr>
            </w:pPr>
            <w:r>
              <w:rPr>
                <w:color w:val="000000"/>
                <w:sz w:val="20"/>
                <w:szCs w:val="20"/>
              </w:rPr>
              <w:t>0</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175DF322" w14:textId="77777777">
            <w:pPr>
              <w:jc w:val="center"/>
              <w:rPr>
                <w:color w:val="000000"/>
                <w:sz w:val="20"/>
                <w:szCs w:val="20"/>
              </w:rPr>
            </w:pPr>
            <w:r>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0A45202B" w14:textId="77777777">
            <w:pPr>
              <w:jc w:val="center"/>
              <w:rPr>
                <w:color w:val="000000"/>
                <w:sz w:val="20"/>
                <w:szCs w:val="20"/>
              </w:rPr>
            </w:pPr>
            <w:r>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18EFC9AC" w14:textId="77777777">
            <w:pPr>
              <w:jc w:val="right"/>
              <w:rPr>
                <w:color w:val="000000"/>
                <w:sz w:val="20"/>
                <w:szCs w:val="20"/>
              </w:rPr>
            </w:pPr>
            <w:r>
              <w:rPr>
                <w:color w:val="000000"/>
                <w:sz w:val="20"/>
                <w:szCs w:val="20"/>
              </w:rPr>
              <w:t xml:space="preserve">$0 </w:t>
            </w:r>
          </w:p>
        </w:tc>
      </w:tr>
      <w:tr w14:paraId="0B9F3B52" w14:textId="77777777" w:rsidTr="00DA7243">
        <w:tblPrEx>
          <w:tblW w:w="13261" w:type="dxa"/>
          <w:jc w:val="left"/>
          <w:tblLook w:val="04A0"/>
        </w:tblPrEx>
        <w:trPr>
          <w:trHeight w:val="570"/>
          <w:jc w:val="left"/>
        </w:trPr>
        <w:tc>
          <w:tcPr>
            <w:tcW w:w="4008" w:type="dxa"/>
            <w:tcBorders>
              <w:top w:val="nil"/>
              <w:left w:val="single" w:sz="4" w:space="0" w:color="auto"/>
              <w:bottom w:val="single" w:sz="4" w:space="0" w:color="auto"/>
              <w:right w:val="single" w:sz="4" w:space="0" w:color="auto"/>
            </w:tcBorders>
            <w:shd w:val="clear" w:color="auto" w:fill="auto"/>
            <w:vAlign w:val="center"/>
            <w:hideMark/>
          </w:tcPr>
          <w:p w:rsidR="00DA7243" w14:paraId="4007FDD5" w14:textId="77777777">
            <w:pPr>
              <w:ind w:firstLine="200" w:firstLineChars="100"/>
              <w:rPr>
                <w:color w:val="000000"/>
                <w:sz w:val="20"/>
                <w:szCs w:val="20"/>
              </w:rPr>
            </w:pPr>
            <w:r>
              <w:rPr>
                <w:color w:val="000000"/>
                <w:sz w:val="20"/>
                <w:szCs w:val="20"/>
              </w:rPr>
              <w:t xml:space="preserve">F.  Review of request for routine control system maintenance exemption </w:t>
            </w:r>
            <w:r>
              <w:rPr>
                <w:color w:val="000000"/>
                <w:sz w:val="20"/>
                <w:szCs w:val="20"/>
                <w:vertAlign w:val="superscript"/>
              </w:rPr>
              <w:t>f</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0DA1B976" w14:textId="77777777">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1054989F" w14:textId="77777777">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186FBA72" w14:textId="77777777">
            <w:pPr>
              <w:jc w:val="center"/>
              <w:rPr>
                <w:color w:val="000000"/>
                <w:sz w:val="20"/>
                <w:szCs w:val="20"/>
              </w:rPr>
            </w:pPr>
            <w:r>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1150611D" w14:textId="77777777">
            <w:pPr>
              <w:jc w:val="center"/>
              <w:rPr>
                <w:color w:val="000000"/>
                <w:sz w:val="20"/>
                <w:szCs w:val="20"/>
              </w:rPr>
            </w:pPr>
            <w:r>
              <w:rPr>
                <w:color w:val="000000"/>
                <w:sz w:val="20"/>
                <w:szCs w:val="20"/>
              </w:rPr>
              <w:t>2</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53AA43C4" w14:textId="77777777">
            <w:pPr>
              <w:jc w:val="center"/>
              <w:rPr>
                <w:color w:val="000000"/>
                <w:sz w:val="20"/>
                <w:szCs w:val="20"/>
              </w:rPr>
            </w:pPr>
            <w:r>
              <w:rPr>
                <w:color w:val="000000"/>
                <w:sz w:val="20"/>
                <w:szCs w:val="20"/>
              </w:rPr>
              <w:t>4</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45F692D1" w14:textId="77777777">
            <w:pPr>
              <w:jc w:val="center"/>
              <w:rPr>
                <w:color w:val="000000"/>
                <w:sz w:val="20"/>
                <w:szCs w:val="20"/>
              </w:rPr>
            </w:pPr>
            <w:r>
              <w:rPr>
                <w:color w:val="000000"/>
                <w:sz w:val="20"/>
                <w:szCs w:val="20"/>
              </w:rPr>
              <w:t>0.2</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1F6B22E3" w14:textId="77777777">
            <w:pPr>
              <w:jc w:val="center"/>
              <w:rPr>
                <w:color w:val="000000"/>
                <w:sz w:val="20"/>
                <w:szCs w:val="20"/>
              </w:rPr>
            </w:pPr>
            <w:r>
              <w:rPr>
                <w:color w:val="000000"/>
                <w:sz w:val="20"/>
                <w:szCs w:val="20"/>
              </w:rPr>
              <w:t>0.4</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6C261276" w14:textId="77777777">
            <w:pPr>
              <w:jc w:val="right"/>
              <w:rPr>
                <w:color w:val="000000"/>
                <w:sz w:val="20"/>
                <w:szCs w:val="20"/>
              </w:rPr>
            </w:pPr>
            <w:r>
              <w:rPr>
                <w:color w:val="000000"/>
                <w:sz w:val="20"/>
                <w:szCs w:val="20"/>
              </w:rPr>
              <w:t xml:space="preserve">$219 </w:t>
            </w:r>
          </w:p>
        </w:tc>
      </w:tr>
      <w:tr w14:paraId="40AE03E1" w14:textId="77777777" w:rsidTr="00DA7243">
        <w:tblPrEx>
          <w:tblW w:w="13261" w:type="dxa"/>
          <w:jc w:val="left"/>
          <w:tblLook w:val="04A0"/>
        </w:tblPrEx>
        <w:trPr>
          <w:trHeight w:val="315"/>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76B37567" w14:textId="77777777">
            <w:pPr>
              <w:ind w:firstLine="200" w:firstLineChars="100"/>
              <w:rPr>
                <w:color w:val="000000"/>
                <w:sz w:val="20"/>
                <w:szCs w:val="20"/>
              </w:rPr>
            </w:pPr>
            <w:r>
              <w:rPr>
                <w:color w:val="000000"/>
                <w:sz w:val="20"/>
                <w:szCs w:val="20"/>
              </w:rPr>
              <w:t xml:space="preserve">G. Notification of performance test </w:t>
            </w:r>
            <w:r>
              <w:rPr>
                <w:color w:val="000000"/>
                <w:sz w:val="20"/>
                <w:szCs w:val="20"/>
                <w:vertAlign w:val="superscript"/>
              </w:rPr>
              <w:t>g</w:t>
            </w:r>
          </w:p>
        </w:tc>
        <w:tc>
          <w:tcPr>
            <w:tcW w:w="1178" w:type="dxa"/>
            <w:tcBorders>
              <w:top w:val="nil"/>
              <w:left w:val="nil"/>
              <w:bottom w:val="single" w:sz="4" w:space="0" w:color="auto"/>
              <w:right w:val="single" w:sz="4" w:space="0" w:color="auto"/>
            </w:tcBorders>
            <w:shd w:val="clear" w:color="auto" w:fill="auto"/>
            <w:noWrap/>
            <w:vAlign w:val="center"/>
            <w:hideMark/>
          </w:tcPr>
          <w:p w:rsidR="00DA7243" w:rsidRPr="00BB1B8D" w14:paraId="5DABEE99" w14:textId="77777777">
            <w:pPr>
              <w:jc w:val="center"/>
              <w:rPr>
                <w:sz w:val="20"/>
                <w:szCs w:val="20"/>
              </w:rPr>
            </w:pPr>
            <w:r w:rsidRPr="00BB1B8D">
              <w:rPr>
                <w:sz w:val="20"/>
                <w:szCs w:val="20"/>
              </w:rPr>
              <w:t>1</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27ED38ED" w14:textId="77777777">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52ADB1AA" w14:textId="77777777">
            <w:pPr>
              <w:jc w:val="center"/>
              <w:rPr>
                <w:color w:val="000000"/>
                <w:sz w:val="20"/>
                <w:szCs w:val="20"/>
              </w:rPr>
            </w:pPr>
            <w:r>
              <w:rPr>
                <w:color w:val="000000"/>
                <w:sz w:val="20"/>
                <w:szCs w:val="20"/>
              </w:rPr>
              <w:t>1</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6C85B13B" w14:textId="77777777">
            <w:pPr>
              <w:jc w:val="center"/>
              <w:rPr>
                <w:color w:val="000000"/>
                <w:sz w:val="20"/>
                <w:szCs w:val="20"/>
              </w:rPr>
            </w:pPr>
            <w:r>
              <w:rPr>
                <w:color w:val="000000"/>
                <w:sz w:val="20"/>
                <w:szCs w:val="20"/>
              </w:rPr>
              <w:t>40</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5FED028B" w14:textId="77777777">
            <w:pPr>
              <w:jc w:val="center"/>
              <w:rPr>
                <w:color w:val="000000"/>
                <w:sz w:val="20"/>
                <w:szCs w:val="20"/>
              </w:rPr>
            </w:pPr>
            <w:r>
              <w:rPr>
                <w:color w:val="000000"/>
                <w:sz w:val="20"/>
                <w:szCs w:val="20"/>
              </w:rPr>
              <w:t>40</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22876DBB" w14:textId="77777777">
            <w:pPr>
              <w:jc w:val="center"/>
              <w:rPr>
                <w:color w:val="000000"/>
                <w:sz w:val="20"/>
                <w:szCs w:val="20"/>
              </w:rPr>
            </w:pPr>
            <w:r>
              <w:rPr>
                <w:color w:val="000000"/>
                <w:sz w:val="20"/>
                <w:szCs w:val="20"/>
              </w:rPr>
              <w:t>2</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4089739A" w14:textId="77777777">
            <w:pPr>
              <w:jc w:val="center"/>
              <w:rPr>
                <w:color w:val="000000"/>
                <w:sz w:val="20"/>
                <w:szCs w:val="20"/>
              </w:rPr>
            </w:pPr>
            <w:r>
              <w:rPr>
                <w:color w:val="000000"/>
                <w:sz w:val="20"/>
                <w:szCs w:val="20"/>
              </w:rPr>
              <w:t>4</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7424BE86" w14:textId="77777777">
            <w:pPr>
              <w:jc w:val="right"/>
              <w:rPr>
                <w:color w:val="000000"/>
                <w:sz w:val="20"/>
                <w:szCs w:val="20"/>
              </w:rPr>
            </w:pPr>
            <w:r>
              <w:rPr>
                <w:color w:val="000000"/>
                <w:sz w:val="20"/>
                <w:szCs w:val="20"/>
              </w:rPr>
              <w:t xml:space="preserve">$2,187 </w:t>
            </w:r>
          </w:p>
        </w:tc>
      </w:tr>
      <w:tr w14:paraId="2D92DE62" w14:textId="77777777" w:rsidTr="00DA7243">
        <w:tblPrEx>
          <w:tblW w:w="13261" w:type="dxa"/>
          <w:jc w:val="left"/>
          <w:tblLook w:val="04A0"/>
        </w:tblPrEx>
        <w:trPr>
          <w:trHeight w:val="300"/>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6ED7A979" w14:textId="77777777">
            <w:pPr>
              <w:ind w:firstLine="200" w:firstLineChars="100"/>
              <w:rPr>
                <w:color w:val="000000"/>
                <w:sz w:val="20"/>
                <w:szCs w:val="20"/>
              </w:rPr>
            </w:pPr>
            <w:r>
              <w:rPr>
                <w:color w:val="000000"/>
                <w:sz w:val="20"/>
                <w:szCs w:val="20"/>
              </w:rPr>
              <w:t>H. Notification of compliance status</w:t>
            </w:r>
          </w:p>
        </w:tc>
        <w:tc>
          <w:tcPr>
            <w:tcW w:w="1178" w:type="dxa"/>
            <w:tcBorders>
              <w:top w:val="nil"/>
              <w:left w:val="nil"/>
              <w:bottom w:val="single" w:sz="4" w:space="0" w:color="auto"/>
              <w:right w:val="single" w:sz="4" w:space="0" w:color="auto"/>
            </w:tcBorders>
            <w:shd w:val="clear" w:color="auto" w:fill="auto"/>
            <w:noWrap/>
            <w:vAlign w:val="center"/>
            <w:hideMark/>
          </w:tcPr>
          <w:p w:rsidR="00DA7243" w:rsidRPr="00BB1B8D" w14:paraId="628D85E2" w14:textId="77777777">
            <w:pPr>
              <w:jc w:val="center"/>
              <w:rPr>
                <w:sz w:val="20"/>
                <w:szCs w:val="20"/>
              </w:rPr>
            </w:pPr>
            <w:r w:rsidRPr="00BB1B8D">
              <w:rPr>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6A5623EA" w14:textId="77777777">
            <w:pPr>
              <w:jc w:val="cente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05ACA8AB" w14:textId="77777777">
            <w:pPr>
              <w:jc w:val="center"/>
              <w:rPr>
                <w:color w:val="000000"/>
                <w:sz w:val="20"/>
                <w:szCs w:val="20"/>
              </w:rPr>
            </w:pPr>
            <w:r>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4BCF67BC" w14:textId="77777777">
            <w:pPr>
              <w:jc w:val="center"/>
              <w:rPr>
                <w:color w:val="000000"/>
                <w:sz w:val="20"/>
                <w:szCs w:val="20"/>
              </w:rPr>
            </w:pPr>
            <w:r>
              <w:rPr>
                <w:color w:val="000000"/>
                <w:sz w:val="20"/>
                <w:szCs w:val="20"/>
              </w:rPr>
              <w:t> </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6ECB794D" w14:textId="77777777">
            <w:pPr>
              <w:jc w:val="center"/>
              <w:rPr>
                <w:color w:val="000000"/>
                <w:sz w:val="20"/>
                <w:szCs w:val="20"/>
              </w:rPr>
            </w:pPr>
            <w:r>
              <w:rPr>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0EF96F4B" w14:textId="77777777">
            <w:pPr>
              <w:jc w:val="center"/>
              <w:rPr>
                <w:color w:val="000000"/>
                <w:sz w:val="20"/>
                <w:szCs w:val="20"/>
              </w:rPr>
            </w:pPr>
            <w:r>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122F4E84" w14:textId="77777777">
            <w:pPr>
              <w:jc w:val="center"/>
              <w:rPr>
                <w:color w:val="000000"/>
                <w:sz w:val="20"/>
                <w:szCs w:val="20"/>
              </w:rPr>
            </w:pPr>
            <w:r>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3BE3CF42" w14:textId="77777777">
            <w:pPr>
              <w:jc w:val="right"/>
              <w:rPr>
                <w:color w:val="000000"/>
                <w:sz w:val="20"/>
                <w:szCs w:val="20"/>
              </w:rPr>
            </w:pPr>
            <w:r>
              <w:rPr>
                <w:color w:val="000000"/>
                <w:sz w:val="20"/>
                <w:szCs w:val="20"/>
              </w:rPr>
              <w:t> </w:t>
            </w:r>
          </w:p>
        </w:tc>
      </w:tr>
      <w:tr w14:paraId="0B4E990D" w14:textId="77777777" w:rsidTr="00DA7243">
        <w:tblPrEx>
          <w:tblW w:w="13261" w:type="dxa"/>
          <w:jc w:val="left"/>
          <w:tblLook w:val="04A0"/>
        </w:tblPrEx>
        <w:trPr>
          <w:trHeight w:val="315"/>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766A3369" w14:textId="77777777">
            <w:pPr>
              <w:ind w:firstLine="400" w:firstLineChars="200"/>
              <w:rPr>
                <w:color w:val="000000"/>
                <w:sz w:val="20"/>
                <w:szCs w:val="20"/>
              </w:rPr>
            </w:pPr>
            <w:r>
              <w:rPr>
                <w:color w:val="000000"/>
                <w:sz w:val="20"/>
                <w:szCs w:val="20"/>
              </w:rPr>
              <w:t xml:space="preserve">1)  With performance test </w:t>
            </w:r>
            <w:r>
              <w:rPr>
                <w:color w:val="000000"/>
                <w:sz w:val="20"/>
                <w:szCs w:val="20"/>
                <w:vertAlign w:val="superscript"/>
              </w:rPr>
              <w:t>h</w:t>
            </w:r>
          </w:p>
        </w:tc>
        <w:tc>
          <w:tcPr>
            <w:tcW w:w="1178" w:type="dxa"/>
            <w:tcBorders>
              <w:top w:val="nil"/>
              <w:left w:val="nil"/>
              <w:bottom w:val="single" w:sz="4" w:space="0" w:color="auto"/>
              <w:right w:val="single" w:sz="4" w:space="0" w:color="auto"/>
            </w:tcBorders>
            <w:shd w:val="clear" w:color="auto" w:fill="auto"/>
            <w:noWrap/>
            <w:vAlign w:val="center"/>
            <w:hideMark/>
          </w:tcPr>
          <w:p w:rsidR="00DA7243" w:rsidRPr="00BB1B8D" w14:paraId="63432CDE" w14:textId="77777777">
            <w:pPr>
              <w:jc w:val="center"/>
              <w:rPr>
                <w:sz w:val="20"/>
                <w:szCs w:val="20"/>
              </w:rPr>
            </w:pPr>
            <w:r w:rsidRPr="00BB1B8D">
              <w:rPr>
                <w:sz w:val="20"/>
                <w:szCs w:val="20"/>
              </w:rPr>
              <w:t>8</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231D25E1" w14:textId="77777777">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3042EB6D" w14:textId="77777777">
            <w:pPr>
              <w:jc w:val="center"/>
              <w:rPr>
                <w:color w:val="000000"/>
                <w:sz w:val="20"/>
                <w:szCs w:val="20"/>
              </w:rPr>
            </w:pPr>
            <w:r>
              <w:rPr>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124E8167" w14:textId="77777777">
            <w:pPr>
              <w:jc w:val="center"/>
              <w:rPr>
                <w:color w:val="000000"/>
                <w:sz w:val="20"/>
                <w:szCs w:val="20"/>
              </w:rPr>
            </w:pPr>
            <w:r>
              <w:rPr>
                <w:color w:val="000000"/>
                <w:sz w:val="20"/>
                <w:szCs w:val="20"/>
              </w:rPr>
              <w:t>40</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68C706DC" w14:textId="77777777">
            <w:pPr>
              <w:jc w:val="center"/>
              <w:rPr>
                <w:color w:val="000000"/>
                <w:sz w:val="20"/>
                <w:szCs w:val="20"/>
              </w:rPr>
            </w:pPr>
            <w:r>
              <w:rPr>
                <w:color w:val="000000"/>
                <w:sz w:val="20"/>
                <w:szCs w:val="20"/>
              </w:rPr>
              <w:t>320</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365F19D6" w14:textId="77777777">
            <w:pPr>
              <w:jc w:val="center"/>
              <w:rPr>
                <w:color w:val="000000"/>
                <w:sz w:val="20"/>
                <w:szCs w:val="20"/>
              </w:rPr>
            </w:pPr>
            <w:r>
              <w:rPr>
                <w:color w:val="000000"/>
                <w:sz w:val="20"/>
                <w:szCs w:val="20"/>
              </w:rPr>
              <w:t>16</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796F0081" w14:textId="77777777">
            <w:pPr>
              <w:jc w:val="center"/>
              <w:rPr>
                <w:color w:val="000000"/>
                <w:sz w:val="20"/>
                <w:szCs w:val="20"/>
              </w:rPr>
            </w:pPr>
            <w:r>
              <w:rPr>
                <w:color w:val="000000"/>
                <w:sz w:val="20"/>
                <w:szCs w:val="20"/>
              </w:rPr>
              <w:t>32</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327345EE" w14:textId="77777777">
            <w:pPr>
              <w:jc w:val="right"/>
              <w:rPr>
                <w:color w:val="000000"/>
                <w:sz w:val="20"/>
                <w:szCs w:val="20"/>
              </w:rPr>
            </w:pPr>
            <w:r>
              <w:rPr>
                <w:color w:val="000000"/>
                <w:sz w:val="20"/>
                <w:szCs w:val="20"/>
              </w:rPr>
              <w:t xml:space="preserve">$17,496 </w:t>
            </w:r>
          </w:p>
        </w:tc>
      </w:tr>
      <w:tr w14:paraId="705600B9" w14:textId="77777777" w:rsidTr="00DA7243">
        <w:tblPrEx>
          <w:tblW w:w="13261" w:type="dxa"/>
          <w:jc w:val="left"/>
          <w:tblLook w:val="04A0"/>
        </w:tblPrEx>
        <w:trPr>
          <w:trHeight w:val="315"/>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6152362D" w14:textId="77777777">
            <w:pPr>
              <w:ind w:firstLine="400" w:firstLineChars="200"/>
              <w:rPr>
                <w:color w:val="000000"/>
                <w:sz w:val="20"/>
                <w:szCs w:val="20"/>
              </w:rPr>
            </w:pPr>
            <w:r>
              <w:rPr>
                <w:color w:val="000000"/>
                <w:sz w:val="20"/>
                <w:szCs w:val="20"/>
              </w:rPr>
              <w:t xml:space="preserve">2)  Without performance test </w:t>
            </w:r>
            <w:r>
              <w:rPr>
                <w:color w:val="000000"/>
                <w:sz w:val="20"/>
                <w:szCs w:val="20"/>
                <w:vertAlign w:val="superscript"/>
              </w:rPr>
              <w:t>i</w:t>
            </w:r>
          </w:p>
        </w:tc>
        <w:tc>
          <w:tcPr>
            <w:tcW w:w="1178" w:type="dxa"/>
            <w:tcBorders>
              <w:top w:val="nil"/>
              <w:left w:val="nil"/>
              <w:bottom w:val="single" w:sz="4" w:space="0" w:color="auto"/>
              <w:right w:val="single" w:sz="4" w:space="0" w:color="auto"/>
            </w:tcBorders>
            <w:shd w:val="clear" w:color="auto" w:fill="auto"/>
            <w:noWrap/>
            <w:vAlign w:val="center"/>
            <w:hideMark/>
          </w:tcPr>
          <w:p w:rsidR="00DA7243" w:rsidRPr="00BB1B8D" w14:paraId="29F54DDE" w14:textId="77777777">
            <w:pPr>
              <w:jc w:val="center"/>
              <w:rPr>
                <w:sz w:val="20"/>
                <w:szCs w:val="20"/>
              </w:rPr>
            </w:pPr>
            <w:r w:rsidRPr="00BB1B8D">
              <w:rPr>
                <w:sz w:val="20"/>
                <w:szCs w:val="20"/>
              </w:rPr>
              <w:t>4</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42B8F83E" w14:textId="77777777">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4D183E03" w14:textId="77777777">
            <w:pPr>
              <w:jc w:val="center"/>
              <w:rPr>
                <w:color w:val="000000"/>
                <w:sz w:val="20"/>
                <w:szCs w:val="20"/>
              </w:rPr>
            </w:pPr>
            <w:r>
              <w:rPr>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360FCA9D" w14:textId="77777777">
            <w:pPr>
              <w:jc w:val="center"/>
              <w:rPr>
                <w:color w:val="000000"/>
                <w:sz w:val="20"/>
                <w:szCs w:val="20"/>
              </w:rPr>
            </w:pPr>
            <w:r>
              <w:rPr>
                <w:color w:val="000000"/>
                <w:sz w:val="20"/>
                <w:szCs w:val="20"/>
              </w:rPr>
              <w:t>2</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16DCB47E" w14:textId="77777777">
            <w:pPr>
              <w:jc w:val="center"/>
              <w:rPr>
                <w:color w:val="000000"/>
                <w:sz w:val="20"/>
                <w:szCs w:val="20"/>
              </w:rPr>
            </w:pPr>
            <w:r>
              <w:rPr>
                <w:color w:val="000000"/>
                <w:sz w:val="20"/>
                <w:szCs w:val="20"/>
              </w:rPr>
              <w:t>8</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2C04F5E1" w14:textId="77777777">
            <w:pPr>
              <w:jc w:val="center"/>
              <w:rPr>
                <w:color w:val="000000"/>
                <w:sz w:val="20"/>
                <w:szCs w:val="20"/>
              </w:rPr>
            </w:pPr>
            <w:r>
              <w:rPr>
                <w:color w:val="000000"/>
                <w:sz w:val="20"/>
                <w:szCs w:val="20"/>
              </w:rPr>
              <w:t>0.4</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555983BE" w14:textId="77777777">
            <w:pPr>
              <w:jc w:val="center"/>
              <w:rPr>
                <w:color w:val="000000"/>
                <w:sz w:val="20"/>
                <w:szCs w:val="20"/>
              </w:rPr>
            </w:pPr>
            <w:r>
              <w:rPr>
                <w:color w:val="000000"/>
                <w:sz w:val="20"/>
                <w:szCs w:val="20"/>
              </w:rPr>
              <w:t>0.8</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661FE30B" w14:textId="77777777">
            <w:pPr>
              <w:jc w:val="right"/>
              <w:rPr>
                <w:color w:val="000000"/>
                <w:sz w:val="20"/>
                <w:szCs w:val="20"/>
              </w:rPr>
            </w:pPr>
            <w:r>
              <w:rPr>
                <w:color w:val="000000"/>
                <w:sz w:val="20"/>
                <w:szCs w:val="20"/>
              </w:rPr>
              <w:t xml:space="preserve">$437 </w:t>
            </w:r>
          </w:p>
        </w:tc>
      </w:tr>
      <w:tr w14:paraId="7CC2AB37" w14:textId="77777777" w:rsidTr="00DA7243">
        <w:tblPrEx>
          <w:tblW w:w="13261" w:type="dxa"/>
          <w:jc w:val="left"/>
          <w:tblLook w:val="04A0"/>
        </w:tblPrEx>
        <w:trPr>
          <w:trHeight w:val="315"/>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2E66B058" w14:textId="77777777">
            <w:pPr>
              <w:ind w:firstLine="200" w:firstLineChars="100"/>
              <w:rPr>
                <w:color w:val="000000"/>
                <w:sz w:val="20"/>
                <w:szCs w:val="20"/>
              </w:rPr>
            </w:pPr>
            <w:r>
              <w:rPr>
                <w:color w:val="000000"/>
                <w:sz w:val="20"/>
                <w:szCs w:val="20"/>
              </w:rPr>
              <w:t xml:space="preserve">I.  Review of initial compliance report </w:t>
            </w:r>
            <w:r>
              <w:rPr>
                <w:color w:val="000000"/>
                <w:sz w:val="20"/>
                <w:szCs w:val="20"/>
                <w:vertAlign w:val="superscript"/>
              </w:rPr>
              <w:t>j</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3487F29E" w14:textId="77777777">
            <w:pPr>
              <w:jc w:val="center"/>
              <w:rPr>
                <w:color w:val="000000"/>
                <w:sz w:val="20"/>
                <w:szCs w:val="20"/>
              </w:rPr>
            </w:pPr>
            <w:r>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5E735849" w14:textId="77777777">
            <w:pPr>
              <w:jc w:val="cente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0A0ECDE7" w14:textId="77777777">
            <w:pPr>
              <w:jc w:val="center"/>
              <w:rPr>
                <w:color w:val="000000"/>
                <w:sz w:val="20"/>
                <w:szCs w:val="20"/>
              </w:rPr>
            </w:pPr>
            <w:r>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74FDC12D" w14:textId="77777777">
            <w:pPr>
              <w:jc w:val="center"/>
              <w:rPr>
                <w:color w:val="000000"/>
                <w:sz w:val="20"/>
                <w:szCs w:val="20"/>
              </w:rPr>
            </w:pPr>
            <w:r>
              <w:rPr>
                <w:color w:val="000000"/>
                <w:sz w:val="20"/>
                <w:szCs w:val="20"/>
              </w:rPr>
              <w:t> </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45E8C645" w14:textId="77777777">
            <w:pPr>
              <w:jc w:val="center"/>
              <w:rPr>
                <w:color w:val="000000"/>
                <w:sz w:val="20"/>
                <w:szCs w:val="20"/>
              </w:rPr>
            </w:pPr>
            <w:r>
              <w:rPr>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0E0B26B4" w14:textId="77777777">
            <w:pPr>
              <w:jc w:val="center"/>
              <w:rPr>
                <w:color w:val="000000"/>
                <w:sz w:val="20"/>
                <w:szCs w:val="20"/>
              </w:rPr>
            </w:pPr>
            <w:r>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5CD86E80" w14:textId="77777777">
            <w:pPr>
              <w:jc w:val="center"/>
              <w:rPr>
                <w:color w:val="000000"/>
                <w:sz w:val="20"/>
                <w:szCs w:val="20"/>
              </w:rPr>
            </w:pPr>
            <w:r>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76141DA8" w14:textId="77777777">
            <w:pPr>
              <w:jc w:val="right"/>
              <w:rPr>
                <w:color w:val="000000"/>
                <w:sz w:val="20"/>
                <w:szCs w:val="20"/>
              </w:rPr>
            </w:pPr>
            <w:r>
              <w:rPr>
                <w:color w:val="000000"/>
                <w:sz w:val="20"/>
                <w:szCs w:val="20"/>
              </w:rPr>
              <w:t> </w:t>
            </w:r>
          </w:p>
        </w:tc>
      </w:tr>
      <w:tr w14:paraId="027EE4FF" w14:textId="77777777" w:rsidTr="00DA7243">
        <w:tblPrEx>
          <w:tblW w:w="13261" w:type="dxa"/>
          <w:jc w:val="left"/>
          <w:tblLook w:val="04A0"/>
        </w:tblPrEx>
        <w:trPr>
          <w:trHeight w:val="315"/>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532F607B" w14:textId="77777777">
            <w:pPr>
              <w:ind w:firstLine="400" w:firstLineChars="200"/>
              <w:rPr>
                <w:color w:val="000000"/>
                <w:sz w:val="20"/>
                <w:szCs w:val="20"/>
              </w:rPr>
            </w:pPr>
            <w:r>
              <w:rPr>
                <w:color w:val="000000"/>
                <w:sz w:val="20"/>
                <w:szCs w:val="20"/>
              </w:rPr>
              <w:t xml:space="preserve">1)  No deviations </w:t>
            </w:r>
            <w:r>
              <w:rPr>
                <w:color w:val="000000"/>
                <w:sz w:val="20"/>
                <w:szCs w:val="20"/>
                <w:vertAlign w:val="superscript"/>
              </w:rPr>
              <w:t>k</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5B952021" w14:textId="77777777">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02FE7CD7" w14:textId="77777777">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7807F854" w14:textId="77777777">
            <w:pPr>
              <w:jc w:val="center"/>
              <w:rPr>
                <w:color w:val="000000"/>
                <w:sz w:val="20"/>
                <w:szCs w:val="20"/>
              </w:rPr>
            </w:pPr>
            <w:r>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64CE9F82" w14:textId="77777777">
            <w:pPr>
              <w:jc w:val="center"/>
              <w:rPr>
                <w:color w:val="000000"/>
                <w:sz w:val="20"/>
                <w:szCs w:val="20"/>
              </w:rPr>
            </w:pPr>
            <w:r>
              <w:rPr>
                <w:color w:val="000000"/>
                <w:sz w:val="20"/>
                <w:szCs w:val="20"/>
              </w:rPr>
              <w:t>2</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65CA2BD8" w14:textId="77777777">
            <w:pPr>
              <w:jc w:val="center"/>
              <w:rPr>
                <w:color w:val="000000"/>
                <w:sz w:val="20"/>
                <w:szCs w:val="20"/>
              </w:rPr>
            </w:pPr>
            <w:r>
              <w:rPr>
                <w:color w:val="000000"/>
                <w:sz w:val="20"/>
                <w:szCs w:val="20"/>
              </w:rPr>
              <w:t>4</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1800F3B5" w14:textId="77777777">
            <w:pPr>
              <w:jc w:val="center"/>
              <w:rPr>
                <w:color w:val="000000"/>
                <w:sz w:val="20"/>
                <w:szCs w:val="20"/>
              </w:rPr>
            </w:pPr>
            <w:r>
              <w:rPr>
                <w:color w:val="000000"/>
                <w:sz w:val="20"/>
                <w:szCs w:val="20"/>
              </w:rPr>
              <w:t>0.2</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7792325A" w14:textId="77777777">
            <w:pPr>
              <w:jc w:val="center"/>
              <w:rPr>
                <w:color w:val="000000"/>
                <w:sz w:val="20"/>
                <w:szCs w:val="20"/>
              </w:rPr>
            </w:pPr>
            <w:r>
              <w:rPr>
                <w:color w:val="000000"/>
                <w:sz w:val="20"/>
                <w:szCs w:val="20"/>
              </w:rPr>
              <w:t>0.4</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3EA2B177" w14:textId="77777777">
            <w:pPr>
              <w:jc w:val="right"/>
              <w:rPr>
                <w:color w:val="000000"/>
                <w:sz w:val="20"/>
                <w:szCs w:val="20"/>
              </w:rPr>
            </w:pPr>
            <w:r>
              <w:rPr>
                <w:color w:val="000000"/>
                <w:sz w:val="20"/>
                <w:szCs w:val="20"/>
              </w:rPr>
              <w:t xml:space="preserve">$219 </w:t>
            </w:r>
          </w:p>
        </w:tc>
      </w:tr>
      <w:tr w14:paraId="4EB30DCB" w14:textId="77777777" w:rsidTr="00DA7243">
        <w:tblPrEx>
          <w:tblW w:w="13261" w:type="dxa"/>
          <w:jc w:val="left"/>
          <w:tblLook w:val="04A0"/>
        </w:tblPrEx>
        <w:trPr>
          <w:trHeight w:val="315"/>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5923B80B" w14:textId="77777777">
            <w:pPr>
              <w:ind w:firstLine="400" w:firstLineChars="200"/>
              <w:rPr>
                <w:color w:val="000000"/>
                <w:sz w:val="20"/>
                <w:szCs w:val="20"/>
              </w:rPr>
            </w:pPr>
            <w:r>
              <w:rPr>
                <w:color w:val="000000"/>
                <w:sz w:val="20"/>
                <w:szCs w:val="20"/>
              </w:rPr>
              <w:t xml:space="preserve">2)  Deviations </w:t>
            </w:r>
            <w:r>
              <w:rPr>
                <w:color w:val="000000"/>
                <w:sz w:val="20"/>
                <w:szCs w:val="20"/>
                <w:vertAlign w:val="superscript"/>
              </w:rPr>
              <w:t>k</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4A585AAF" w14:textId="77777777">
            <w:pPr>
              <w:jc w:val="center"/>
              <w:rPr>
                <w:color w:val="000000"/>
                <w:sz w:val="20"/>
                <w:szCs w:val="20"/>
              </w:rPr>
            </w:pPr>
            <w:r>
              <w:rPr>
                <w:color w:val="000000"/>
                <w:sz w:val="20"/>
                <w:szCs w:val="20"/>
              </w:rPr>
              <w:t>8</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3A9BD081" w14:textId="77777777">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069AB20B" w14:textId="77777777">
            <w:pPr>
              <w:jc w:val="center"/>
              <w:rPr>
                <w:color w:val="000000"/>
                <w:sz w:val="20"/>
                <w:szCs w:val="20"/>
              </w:rPr>
            </w:pPr>
            <w:r>
              <w:rPr>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77AD06EA" w14:textId="77777777">
            <w:pPr>
              <w:jc w:val="center"/>
              <w:rPr>
                <w:color w:val="000000"/>
                <w:sz w:val="20"/>
                <w:szCs w:val="20"/>
              </w:rPr>
            </w:pPr>
            <w:r>
              <w:rPr>
                <w:color w:val="000000"/>
                <w:sz w:val="20"/>
                <w:szCs w:val="20"/>
              </w:rPr>
              <w:t>0</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43EF44AE" w14:textId="77777777">
            <w:pPr>
              <w:jc w:val="center"/>
              <w:rPr>
                <w:color w:val="000000"/>
                <w:sz w:val="20"/>
                <w:szCs w:val="20"/>
              </w:rPr>
            </w:pPr>
            <w:r>
              <w:rPr>
                <w:color w:val="000000"/>
                <w:sz w:val="20"/>
                <w:szCs w:val="20"/>
              </w:rPr>
              <w:t>0</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4D2AA2D9" w14:textId="77777777">
            <w:pPr>
              <w:jc w:val="center"/>
              <w:rPr>
                <w:color w:val="000000"/>
                <w:sz w:val="20"/>
                <w:szCs w:val="20"/>
              </w:rPr>
            </w:pPr>
            <w:r>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77B63E4A" w14:textId="77777777">
            <w:pPr>
              <w:jc w:val="center"/>
              <w:rPr>
                <w:color w:val="000000"/>
                <w:sz w:val="20"/>
                <w:szCs w:val="20"/>
              </w:rPr>
            </w:pPr>
            <w:r>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25808675" w14:textId="77777777">
            <w:pPr>
              <w:jc w:val="right"/>
              <w:rPr>
                <w:color w:val="000000"/>
                <w:sz w:val="20"/>
                <w:szCs w:val="20"/>
              </w:rPr>
            </w:pPr>
            <w:r>
              <w:rPr>
                <w:color w:val="000000"/>
                <w:sz w:val="20"/>
                <w:szCs w:val="20"/>
              </w:rPr>
              <w:t xml:space="preserve">$0 </w:t>
            </w:r>
          </w:p>
        </w:tc>
      </w:tr>
      <w:tr w14:paraId="40F125E1" w14:textId="77777777" w:rsidTr="00DA7243">
        <w:tblPrEx>
          <w:tblW w:w="13261" w:type="dxa"/>
          <w:jc w:val="left"/>
          <w:tblLook w:val="04A0"/>
        </w:tblPrEx>
        <w:trPr>
          <w:trHeight w:val="315"/>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4625160A" w14:textId="77777777">
            <w:pPr>
              <w:ind w:firstLine="400" w:firstLineChars="200"/>
              <w:rPr>
                <w:color w:val="000000"/>
                <w:sz w:val="20"/>
                <w:szCs w:val="20"/>
              </w:rPr>
            </w:pPr>
            <w:r>
              <w:rPr>
                <w:color w:val="000000"/>
                <w:sz w:val="20"/>
                <w:szCs w:val="20"/>
              </w:rPr>
              <w:t xml:space="preserve">3)  Control system maintenance report </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17CB49B0" w14:textId="77777777">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6CD6A66C" w14:textId="77777777">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01BB7400" w14:textId="77777777">
            <w:pPr>
              <w:jc w:val="center"/>
              <w:rPr>
                <w:color w:val="000000"/>
                <w:sz w:val="20"/>
                <w:szCs w:val="20"/>
              </w:rPr>
            </w:pPr>
            <w:r>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0F5DD3BC" w14:textId="77777777">
            <w:pPr>
              <w:jc w:val="center"/>
              <w:rPr>
                <w:color w:val="000000"/>
                <w:sz w:val="20"/>
                <w:szCs w:val="20"/>
              </w:rPr>
            </w:pPr>
            <w:r>
              <w:rPr>
                <w:color w:val="000000"/>
                <w:sz w:val="20"/>
                <w:szCs w:val="20"/>
              </w:rPr>
              <w:t>0</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1D907B77" w14:textId="77777777">
            <w:pPr>
              <w:jc w:val="center"/>
              <w:rPr>
                <w:color w:val="000000"/>
                <w:sz w:val="20"/>
                <w:szCs w:val="20"/>
              </w:rPr>
            </w:pPr>
            <w:r>
              <w:rPr>
                <w:color w:val="000000"/>
                <w:sz w:val="20"/>
                <w:szCs w:val="20"/>
              </w:rPr>
              <w:t>0</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4ADD3622" w14:textId="77777777">
            <w:pPr>
              <w:jc w:val="center"/>
              <w:rPr>
                <w:color w:val="000000"/>
                <w:sz w:val="20"/>
                <w:szCs w:val="20"/>
              </w:rPr>
            </w:pPr>
            <w:r>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23728F25" w14:textId="77777777">
            <w:pPr>
              <w:jc w:val="center"/>
              <w:rPr>
                <w:color w:val="000000"/>
                <w:sz w:val="20"/>
                <w:szCs w:val="20"/>
              </w:rPr>
            </w:pPr>
            <w:r>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7CEA3B48" w14:textId="77777777">
            <w:pPr>
              <w:jc w:val="right"/>
              <w:rPr>
                <w:color w:val="000000"/>
                <w:sz w:val="20"/>
                <w:szCs w:val="20"/>
              </w:rPr>
            </w:pPr>
            <w:r>
              <w:rPr>
                <w:color w:val="000000"/>
                <w:sz w:val="20"/>
                <w:szCs w:val="20"/>
              </w:rPr>
              <w:t xml:space="preserve">$0 </w:t>
            </w:r>
          </w:p>
        </w:tc>
      </w:tr>
      <w:tr w14:paraId="64A9F681" w14:textId="77777777" w:rsidTr="00DA7243">
        <w:tblPrEx>
          <w:tblW w:w="13261" w:type="dxa"/>
          <w:jc w:val="left"/>
          <w:tblLook w:val="04A0"/>
        </w:tblPrEx>
        <w:trPr>
          <w:trHeight w:val="503"/>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7E46F1CA" w14:textId="77777777">
            <w:pPr>
              <w:ind w:firstLine="400" w:firstLineChars="200"/>
              <w:rPr>
                <w:color w:val="000000"/>
                <w:sz w:val="20"/>
                <w:szCs w:val="20"/>
              </w:rPr>
            </w:pPr>
            <w:r>
              <w:rPr>
                <w:color w:val="000000"/>
                <w:sz w:val="20"/>
                <w:szCs w:val="20"/>
              </w:rPr>
              <w:t xml:space="preserve">4)  Emissions averaging report </w:t>
            </w:r>
            <w:r>
              <w:rPr>
                <w:color w:val="000000"/>
                <w:sz w:val="20"/>
                <w:szCs w:val="20"/>
                <w:vertAlign w:val="superscript"/>
              </w:rPr>
              <w:t>e</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02B6D669" w14:textId="77777777">
            <w:pPr>
              <w:jc w:val="center"/>
              <w:rPr>
                <w:color w:val="000000"/>
                <w:sz w:val="20"/>
                <w:szCs w:val="20"/>
              </w:rPr>
            </w:pPr>
            <w:r>
              <w:rPr>
                <w:color w:val="000000"/>
                <w:sz w:val="20"/>
                <w:szCs w:val="20"/>
              </w:rPr>
              <w:t>8</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3B4C2FB8" w14:textId="77777777">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74CF7AD0" w14:textId="77777777">
            <w:pPr>
              <w:jc w:val="center"/>
              <w:rPr>
                <w:color w:val="000000"/>
                <w:sz w:val="20"/>
                <w:szCs w:val="20"/>
              </w:rPr>
            </w:pPr>
            <w:r>
              <w:rPr>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56A76DA7" w14:textId="77777777">
            <w:pPr>
              <w:jc w:val="center"/>
              <w:rPr>
                <w:color w:val="000000"/>
                <w:sz w:val="20"/>
                <w:szCs w:val="20"/>
              </w:rPr>
            </w:pPr>
            <w:r>
              <w:rPr>
                <w:color w:val="000000"/>
                <w:sz w:val="20"/>
                <w:szCs w:val="20"/>
              </w:rPr>
              <w:t>0</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702695AD" w14:textId="77777777">
            <w:pPr>
              <w:jc w:val="center"/>
              <w:rPr>
                <w:color w:val="000000"/>
                <w:sz w:val="20"/>
                <w:szCs w:val="20"/>
              </w:rPr>
            </w:pPr>
            <w:r>
              <w:rPr>
                <w:color w:val="000000"/>
                <w:sz w:val="20"/>
                <w:szCs w:val="20"/>
              </w:rPr>
              <w:t>0</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13491146" w14:textId="77777777">
            <w:pPr>
              <w:jc w:val="center"/>
              <w:rPr>
                <w:color w:val="000000"/>
                <w:sz w:val="20"/>
                <w:szCs w:val="20"/>
              </w:rPr>
            </w:pPr>
            <w:r>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752874FB" w14:textId="77777777">
            <w:pPr>
              <w:jc w:val="center"/>
              <w:rPr>
                <w:color w:val="000000"/>
                <w:sz w:val="20"/>
                <w:szCs w:val="20"/>
              </w:rPr>
            </w:pPr>
            <w:r>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2C1CB71F" w14:textId="77777777">
            <w:pPr>
              <w:jc w:val="right"/>
              <w:rPr>
                <w:color w:val="000000"/>
                <w:sz w:val="20"/>
                <w:szCs w:val="20"/>
              </w:rPr>
            </w:pPr>
            <w:r>
              <w:rPr>
                <w:color w:val="000000"/>
                <w:sz w:val="20"/>
                <w:szCs w:val="20"/>
              </w:rPr>
              <w:t xml:space="preserve">$0 </w:t>
            </w:r>
          </w:p>
        </w:tc>
      </w:tr>
      <w:tr w14:paraId="3A90DD35" w14:textId="77777777" w:rsidTr="00DA7243">
        <w:tblPrEx>
          <w:tblW w:w="13261" w:type="dxa"/>
          <w:jc w:val="left"/>
          <w:tblLook w:val="04A0"/>
        </w:tblPrEx>
        <w:trPr>
          <w:trHeight w:val="300"/>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67628F53" w14:textId="77777777">
            <w:pPr>
              <w:ind w:firstLine="200" w:firstLineChars="100"/>
              <w:rPr>
                <w:color w:val="000000"/>
                <w:sz w:val="20"/>
                <w:szCs w:val="20"/>
              </w:rPr>
            </w:pPr>
            <w:r>
              <w:rPr>
                <w:color w:val="000000"/>
                <w:sz w:val="20"/>
                <w:szCs w:val="20"/>
              </w:rPr>
              <w:t>J.  Review of semiannual compliance report</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4B214289" w14:textId="77777777">
            <w:pPr>
              <w:jc w:val="center"/>
              <w:rPr>
                <w:color w:val="000000"/>
                <w:sz w:val="20"/>
                <w:szCs w:val="20"/>
              </w:rPr>
            </w:pPr>
            <w:r>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56026460" w14:textId="77777777">
            <w:pPr>
              <w:jc w:val="cente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34D19237" w14:textId="77777777">
            <w:pPr>
              <w:jc w:val="center"/>
              <w:rPr>
                <w:color w:val="000000"/>
                <w:sz w:val="20"/>
                <w:szCs w:val="20"/>
              </w:rPr>
            </w:pPr>
            <w:r>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66E30B90" w14:textId="77777777">
            <w:pPr>
              <w:jc w:val="center"/>
              <w:rPr>
                <w:color w:val="000000"/>
                <w:sz w:val="20"/>
                <w:szCs w:val="20"/>
              </w:rPr>
            </w:pPr>
            <w:r>
              <w:rPr>
                <w:color w:val="000000"/>
                <w:sz w:val="20"/>
                <w:szCs w:val="20"/>
              </w:rPr>
              <w:t> </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2F3F8D5F" w14:textId="77777777">
            <w:pPr>
              <w:jc w:val="center"/>
              <w:rPr>
                <w:color w:val="000000"/>
                <w:sz w:val="20"/>
                <w:szCs w:val="20"/>
              </w:rPr>
            </w:pPr>
            <w:r>
              <w:rPr>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341F4B3B" w14:textId="77777777">
            <w:pPr>
              <w:jc w:val="center"/>
              <w:rPr>
                <w:color w:val="000000"/>
                <w:sz w:val="20"/>
                <w:szCs w:val="20"/>
              </w:rPr>
            </w:pPr>
            <w:r>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2F95E87B" w14:textId="77777777">
            <w:pPr>
              <w:jc w:val="center"/>
              <w:rPr>
                <w:color w:val="000000"/>
                <w:sz w:val="20"/>
                <w:szCs w:val="20"/>
              </w:rPr>
            </w:pPr>
            <w:r>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25048C8E" w14:textId="77777777">
            <w:pPr>
              <w:jc w:val="right"/>
              <w:rPr>
                <w:color w:val="000000"/>
                <w:sz w:val="20"/>
                <w:szCs w:val="20"/>
              </w:rPr>
            </w:pPr>
            <w:r>
              <w:rPr>
                <w:color w:val="000000"/>
                <w:sz w:val="20"/>
                <w:szCs w:val="20"/>
              </w:rPr>
              <w:t> </w:t>
            </w:r>
          </w:p>
        </w:tc>
      </w:tr>
      <w:tr w14:paraId="6AB1E6A1" w14:textId="77777777" w:rsidTr="00DA7243">
        <w:tblPrEx>
          <w:tblW w:w="13261" w:type="dxa"/>
          <w:jc w:val="left"/>
          <w:tblLook w:val="04A0"/>
        </w:tblPrEx>
        <w:trPr>
          <w:trHeight w:val="315"/>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628307E1" w14:textId="77777777">
            <w:pPr>
              <w:ind w:firstLine="400" w:firstLineChars="200"/>
              <w:rPr>
                <w:color w:val="000000"/>
                <w:sz w:val="20"/>
                <w:szCs w:val="20"/>
              </w:rPr>
            </w:pPr>
            <w:r>
              <w:rPr>
                <w:color w:val="000000"/>
                <w:sz w:val="20"/>
                <w:szCs w:val="20"/>
              </w:rPr>
              <w:t xml:space="preserve">1)  No deviations </w:t>
            </w:r>
            <w:r>
              <w:rPr>
                <w:color w:val="000000"/>
                <w:sz w:val="20"/>
                <w:szCs w:val="20"/>
                <w:vertAlign w:val="superscript"/>
              </w:rPr>
              <w:t>k</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57D22378" w14:textId="77777777">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33A79F8A" w14:textId="77777777">
            <w:pPr>
              <w:jc w:val="center"/>
              <w:rPr>
                <w:color w:val="000000"/>
                <w:sz w:val="20"/>
                <w:szCs w:val="20"/>
              </w:rPr>
            </w:pPr>
            <w:r>
              <w:rPr>
                <w:color w:val="000000"/>
                <w:sz w:val="2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40A04F05" w14:textId="77777777">
            <w:pPr>
              <w:jc w:val="center"/>
              <w:rPr>
                <w:color w:val="000000"/>
                <w:sz w:val="20"/>
                <w:szCs w:val="20"/>
              </w:rPr>
            </w:pPr>
            <w:r>
              <w:rPr>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61043D25" w14:textId="77777777">
            <w:pPr>
              <w:jc w:val="center"/>
              <w:rPr>
                <w:color w:val="000000"/>
                <w:sz w:val="20"/>
                <w:szCs w:val="20"/>
              </w:rPr>
            </w:pPr>
            <w:r>
              <w:rPr>
                <w:color w:val="000000"/>
                <w:sz w:val="20"/>
                <w:szCs w:val="20"/>
              </w:rPr>
              <w:t>102</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7AAA9578" w14:textId="77777777">
            <w:pPr>
              <w:jc w:val="center"/>
              <w:rPr>
                <w:color w:val="000000"/>
                <w:sz w:val="20"/>
                <w:szCs w:val="20"/>
              </w:rPr>
            </w:pPr>
            <w:r>
              <w:rPr>
                <w:color w:val="000000"/>
                <w:sz w:val="20"/>
                <w:szCs w:val="20"/>
              </w:rPr>
              <w:t>408</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7D352569" w14:textId="77777777">
            <w:pPr>
              <w:jc w:val="center"/>
              <w:rPr>
                <w:color w:val="000000"/>
                <w:sz w:val="20"/>
                <w:szCs w:val="20"/>
              </w:rPr>
            </w:pPr>
            <w:r>
              <w:rPr>
                <w:color w:val="000000"/>
                <w:sz w:val="20"/>
                <w:szCs w:val="20"/>
              </w:rPr>
              <w:t>20.4</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7AE9210E" w14:textId="77777777">
            <w:pPr>
              <w:jc w:val="center"/>
              <w:rPr>
                <w:color w:val="000000"/>
                <w:sz w:val="20"/>
                <w:szCs w:val="20"/>
              </w:rPr>
            </w:pPr>
            <w:r>
              <w:rPr>
                <w:color w:val="000000"/>
                <w:sz w:val="20"/>
                <w:szCs w:val="20"/>
              </w:rPr>
              <w:t>40.8</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5CA61649" w14:textId="085FF939">
            <w:pPr>
              <w:jc w:val="right"/>
              <w:rPr>
                <w:color w:val="000000"/>
                <w:sz w:val="20"/>
                <w:szCs w:val="20"/>
              </w:rPr>
            </w:pPr>
            <w:r>
              <w:rPr>
                <w:color w:val="000000"/>
                <w:sz w:val="20"/>
                <w:szCs w:val="20"/>
              </w:rPr>
              <w:t xml:space="preserve">$22,307 </w:t>
            </w:r>
          </w:p>
        </w:tc>
      </w:tr>
      <w:tr w14:paraId="4765265D" w14:textId="77777777" w:rsidTr="00DA7243">
        <w:tblPrEx>
          <w:tblW w:w="13261" w:type="dxa"/>
          <w:jc w:val="left"/>
          <w:tblLook w:val="04A0"/>
        </w:tblPrEx>
        <w:trPr>
          <w:trHeight w:val="315"/>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45E98ED9" w14:textId="77777777">
            <w:pPr>
              <w:ind w:firstLine="400" w:firstLineChars="200"/>
              <w:rPr>
                <w:color w:val="000000"/>
                <w:sz w:val="20"/>
                <w:szCs w:val="20"/>
              </w:rPr>
            </w:pPr>
            <w:r>
              <w:rPr>
                <w:color w:val="000000"/>
                <w:sz w:val="20"/>
                <w:szCs w:val="20"/>
              </w:rPr>
              <w:t xml:space="preserve">2)  Deviations </w:t>
            </w:r>
            <w:r>
              <w:rPr>
                <w:color w:val="000000"/>
                <w:sz w:val="20"/>
                <w:szCs w:val="20"/>
                <w:vertAlign w:val="superscript"/>
              </w:rPr>
              <w:t>k</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2C19E4F0" w14:textId="77777777">
            <w:pPr>
              <w:jc w:val="center"/>
              <w:rPr>
                <w:color w:val="000000"/>
                <w:sz w:val="20"/>
                <w:szCs w:val="20"/>
              </w:rPr>
            </w:pPr>
            <w:r>
              <w:rPr>
                <w:color w:val="000000"/>
                <w:sz w:val="20"/>
                <w:szCs w:val="20"/>
              </w:rPr>
              <w:t>8</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78709750" w14:textId="77777777">
            <w:pPr>
              <w:jc w:val="center"/>
              <w:rPr>
                <w:color w:val="000000"/>
                <w:sz w:val="20"/>
                <w:szCs w:val="20"/>
              </w:rPr>
            </w:pPr>
            <w:r>
              <w:rPr>
                <w:color w:val="000000"/>
                <w:sz w:val="2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1269C6E2" w14:textId="77777777">
            <w:pPr>
              <w:jc w:val="center"/>
              <w:rPr>
                <w:color w:val="000000"/>
                <w:sz w:val="20"/>
                <w:szCs w:val="20"/>
              </w:rPr>
            </w:pPr>
            <w:r>
              <w:rPr>
                <w:color w:val="000000"/>
                <w:sz w:val="20"/>
                <w:szCs w:val="20"/>
              </w:rPr>
              <w:t>16</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7EFF9873" w14:textId="77777777">
            <w:pPr>
              <w:jc w:val="center"/>
              <w:rPr>
                <w:color w:val="000000"/>
                <w:sz w:val="20"/>
                <w:szCs w:val="20"/>
              </w:rPr>
            </w:pPr>
            <w:r>
              <w:rPr>
                <w:color w:val="000000"/>
                <w:sz w:val="20"/>
                <w:szCs w:val="20"/>
              </w:rPr>
              <w:t>11</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2E887781" w14:textId="77777777">
            <w:pPr>
              <w:jc w:val="center"/>
              <w:rPr>
                <w:color w:val="000000"/>
                <w:sz w:val="20"/>
                <w:szCs w:val="20"/>
              </w:rPr>
            </w:pPr>
            <w:r>
              <w:rPr>
                <w:color w:val="000000"/>
                <w:sz w:val="20"/>
                <w:szCs w:val="20"/>
              </w:rPr>
              <w:t>176</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445D4FED" w14:textId="77777777">
            <w:pPr>
              <w:jc w:val="center"/>
              <w:rPr>
                <w:color w:val="000000"/>
                <w:sz w:val="20"/>
                <w:szCs w:val="20"/>
              </w:rPr>
            </w:pPr>
            <w:r>
              <w:rPr>
                <w:color w:val="000000"/>
                <w:sz w:val="20"/>
                <w:szCs w:val="20"/>
              </w:rPr>
              <w:t>8.8</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4AD01C8D" w14:textId="77777777">
            <w:pPr>
              <w:jc w:val="center"/>
              <w:rPr>
                <w:color w:val="000000"/>
                <w:sz w:val="20"/>
                <w:szCs w:val="20"/>
              </w:rPr>
            </w:pPr>
            <w:r>
              <w:rPr>
                <w:color w:val="000000"/>
                <w:sz w:val="20"/>
                <w:szCs w:val="20"/>
              </w:rPr>
              <w:t>17.6</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2CE424D1" w14:textId="3B0A0E6A">
            <w:pPr>
              <w:jc w:val="right"/>
              <w:rPr>
                <w:color w:val="000000"/>
                <w:sz w:val="20"/>
                <w:szCs w:val="20"/>
              </w:rPr>
            </w:pPr>
            <w:r>
              <w:rPr>
                <w:color w:val="000000"/>
                <w:sz w:val="20"/>
                <w:szCs w:val="20"/>
              </w:rPr>
              <w:t xml:space="preserve">$9,623 </w:t>
            </w:r>
          </w:p>
        </w:tc>
      </w:tr>
      <w:tr w14:paraId="5012A125" w14:textId="77777777" w:rsidTr="00DA7243">
        <w:tblPrEx>
          <w:tblW w:w="13261" w:type="dxa"/>
          <w:jc w:val="left"/>
          <w:tblLook w:val="04A0"/>
        </w:tblPrEx>
        <w:trPr>
          <w:trHeight w:val="315"/>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0E7D9FB8" w14:textId="77777777">
            <w:pPr>
              <w:ind w:firstLine="400" w:firstLineChars="200"/>
              <w:rPr>
                <w:color w:val="000000"/>
                <w:sz w:val="20"/>
                <w:szCs w:val="20"/>
              </w:rPr>
            </w:pPr>
            <w:r>
              <w:rPr>
                <w:color w:val="000000"/>
                <w:sz w:val="20"/>
                <w:szCs w:val="20"/>
              </w:rPr>
              <w:t>3)  Control system maintenance report</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046518D5" w14:textId="77777777">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357665B1" w14:textId="77777777">
            <w:pPr>
              <w:jc w:val="center"/>
              <w:rPr>
                <w:color w:val="000000"/>
                <w:sz w:val="20"/>
                <w:szCs w:val="20"/>
              </w:rPr>
            </w:pPr>
            <w:r>
              <w:rPr>
                <w:color w:val="000000"/>
                <w:sz w:val="2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1A2807A0" w14:textId="77777777">
            <w:pPr>
              <w:jc w:val="center"/>
              <w:rPr>
                <w:color w:val="000000"/>
                <w:sz w:val="20"/>
                <w:szCs w:val="20"/>
              </w:rPr>
            </w:pPr>
            <w:r>
              <w:rPr>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0CB9542E" w14:textId="77777777">
            <w:pPr>
              <w:jc w:val="center"/>
              <w:rPr>
                <w:color w:val="000000"/>
                <w:sz w:val="20"/>
                <w:szCs w:val="20"/>
              </w:rPr>
            </w:pPr>
            <w:r>
              <w:rPr>
                <w:color w:val="000000"/>
                <w:sz w:val="20"/>
                <w:szCs w:val="20"/>
              </w:rPr>
              <w:t>11</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3CDF0E07" w14:textId="77777777">
            <w:pPr>
              <w:jc w:val="center"/>
              <w:rPr>
                <w:color w:val="000000"/>
                <w:sz w:val="20"/>
                <w:szCs w:val="20"/>
              </w:rPr>
            </w:pPr>
            <w:r>
              <w:rPr>
                <w:color w:val="000000"/>
                <w:sz w:val="20"/>
                <w:szCs w:val="20"/>
              </w:rPr>
              <w:t>44</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5429E78D" w14:textId="77777777">
            <w:pPr>
              <w:jc w:val="center"/>
              <w:rPr>
                <w:color w:val="000000"/>
                <w:sz w:val="20"/>
                <w:szCs w:val="20"/>
              </w:rPr>
            </w:pPr>
            <w:r>
              <w:rPr>
                <w:color w:val="000000"/>
                <w:sz w:val="20"/>
                <w:szCs w:val="20"/>
              </w:rPr>
              <w:t>2.2</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66A4F139" w14:textId="77777777">
            <w:pPr>
              <w:jc w:val="center"/>
              <w:rPr>
                <w:color w:val="000000"/>
                <w:sz w:val="20"/>
                <w:szCs w:val="20"/>
              </w:rPr>
            </w:pPr>
            <w:r>
              <w:rPr>
                <w:color w:val="000000"/>
                <w:sz w:val="20"/>
                <w:szCs w:val="20"/>
              </w:rPr>
              <w:t>4.4</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60C71237" w14:textId="4B13D022">
            <w:pPr>
              <w:jc w:val="right"/>
              <w:rPr>
                <w:color w:val="000000"/>
                <w:sz w:val="20"/>
                <w:szCs w:val="20"/>
              </w:rPr>
            </w:pPr>
            <w:r>
              <w:rPr>
                <w:color w:val="000000"/>
                <w:sz w:val="20"/>
                <w:szCs w:val="20"/>
              </w:rPr>
              <w:t xml:space="preserve">$2,406 </w:t>
            </w:r>
          </w:p>
        </w:tc>
      </w:tr>
      <w:tr w14:paraId="3424EF46" w14:textId="77777777" w:rsidTr="00DA7243">
        <w:tblPrEx>
          <w:tblW w:w="13261" w:type="dxa"/>
          <w:jc w:val="left"/>
          <w:tblLook w:val="04A0"/>
        </w:tblPrEx>
        <w:trPr>
          <w:trHeight w:val="315"/>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75BCE81F" w14:textId="77777777">
            <w:pPr>
              <w:ind w:firstLine="400" w:firstLineChars="200"/>
              <w:rPr>
                <w:color w:val="000000"/>
                <w:sz w:val="20"/>
                <w:szCs w:val="20"/>
              </w:rPr>
            </w:pPr>
            <w:r>
              <w:rPr>
                <w:color w:val="000000"/>
                <w:sz w:val="20"/>
                <w:szCs w:val="20"/>
              </w:rPr>
              <w:t xml:space="preserve">4)  Emissions averaging report </w:t>
            </w:r>
            <w:r>
              <w:rPr>
                <w:color w:val="000000"/>
                <w:sz w:val="20"/>
                <w:szCs w:val="20"/>
                <w:vertAlign w:val="superscript"/>
              </w:rPr>
              <w:t>e</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6B21EBBD" w14:textId="77777777">
            <w:pPr>
              <w:jc w:val="center"/>
              <w:rPr>
                <w:color w:val="000000"/>
                <w:sz w:val="20"/>
                <w:szCs w:val="20"/>
              </w:rPr>
            </w:pPr>
            <w:r>
              <w:rPr>
                <w:color w:val="000000"/>
                <w:sz w:val="20"/>
                <w:szCs w:val="20"/>
              </w:rPr>
              <w:t>8</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0F5DA2E1" w14:textId="77777777">
            <w:pPr>
              <w:jc w:val="center"/>
              <w:rPr>
                <w:color w:val="000000"/>
                <w:sz w:val="20"/>
                <w:szCs w:val="20"/>
              </w:rPr>
            </w:pPr>
            <w:r>
              <w:rPr>
                <w:color w:val="000000"/>
                <w:sz w:val="2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163E56E6" w14:textId="77777777">
            <w:pPr>
              <w:jc w:val="center"/>
              <w:rPr>
                <w:color w:val="000000"/>
                <w:sz w:val="20"/>
                <w:szCs w:val="20"/>
              </w:rPr>
            </w:pPr>
            <w:r>
              <w:rPr>
                <w:color w:val="000000"/>
                <w:sz w:val="20"/>
                <w:szCs w:val="20"/>
              </w:rPr>
              <w:t>16</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70988221" w14:textId="77777777">
            <w:pPr>
              <w:jc w:val="center"/>
              <w:rPr>
                <w:color w:val="000000"/>
                <w:sz w:val="20"/>
                <w:szCs w:val="20"/>
              </w:rPr>
            </w:pPr>
            <w:r>
              <w:rPr>
                <w:color w:val="000000"/>
                <w:sz w:val="20"/>
                <w:szCs w:val="20"/>
              </w:rPr>
              <w:t>1</w:t>
            </w:r>
          </w:p>
        </w:tc>
        <w:tc>
          <w:tcPr>
            <w:tcW w:w="1126" w:type="dxa"/>
            <w:gridSpan w:val="2"/>
            <w:tcBorders>
              <w:top w:val="nil"/>
              <w:left w:val="nil"/>
              <w:bottom w:val="single" w:sz="4" w:space="0" w:color="auto"/>
              <w:right w:val="single" w:sz="4" w:space="0" w:color="auto"/>
            </w:tcBorders>
            <w:shd w:val="clear" w:color="auto" w:fill="auto"/>
            <w:noWrap/>
            <w:vAlign w:val="center"/>
            <w:hideMark/>
          </w:tcPr>
          <w:p w:rsidR="00DA7243" w14:paraId="25C51E41" w14:textId="77777777">
            <w:pPr>
              <w:jc w:val="center"/>
              <w:rPr>
                <w:color w:val="000000"/>
                <w:sz w:val="20"/>
                <w:szCs w:val="20"/>
              </w:rPr>
            </w:pPr>
            <w:r>
              <w:rPr>
                <w:color w:val="000000"/>
                <w:sz w:val="20"/>
                <w:szCs w:val="20"/>
              </w:rPr>
              <w:t>16</w:t>
            </w:r>
          </w:p>
        </w:tc>
        <w:tc>
          <w:tcPr>
            <w:tcW w:w="1262" w:type="dxa"/>
            <w:tcBorders>
              <w:top w:val="nil"/>
              <w:left w:val="nil"/>
              <w:bottom w:val="single" w:sz="4" w:space="0" w:color="auto"/>
              <w:right w:val="single" w:sz="4" w:space="0" w:color="auto"/>
            </w:tcBorders>
            <w:shd w:val="clear" w:color="auto" w:fill="auto"/>
            <w:noWrap/>
            <w:vAlign w:val="center"/>
            <w:hideMark/>
          </w:tcPr>
          <w:p w:rsidR="00DA7243" w14:paraId="16267D9B" w14:textId="77777777">
            <w:pPr>
              <w:jc w:val="center"/>
              <w:rPr>
                <w:color w:val="000000"/>
                <w:sz w:val="20"/>
                <w:szCs w:val="20"/>
              </w:rPr>
            </w:pPr>
            <w:r>
              <w:rPr>
                <w:color w:val="000000"/>
                <w:sz w:val="20"/>
                <w:szCs w:val="20"/>
              </w:rPr>
              <w:t>0.8</w:t>
            </w:r>
          </w:p>
        </w:tc>
        <w:tc>
          <w:tcPr>
            <w:tcW w:w="1177" w:type="dxa"/>
            <w:tcBorders>
              <w:top w:val="nil"/>
              <w:left w:val="nil"/>
              <w:bottom w:val="single" w:sz="4" w:space="0" w:color="auto"/>
              <w:right w:val="single" w:sz="4" w:space="0" w:color="auto"/>
            </w:tcBorders>
            <w:shd w:val="clear" w:color="auto" w:fill="auto"/>
            <w:noWrap/>
            <w:vAlign w:val="center"/>
            <w:hideMark/>
          </w:tcPr>
          <w:p w:rsidR="00DA7243" w14:paraId="5DAD5C8D" w14:textId="77777777">
            <w:pPr>
              <w:jc w:val="center"/>
              <w:rPr>
                <w:color w:val="000000"/>
                <w:sz w:val="20"/>
                <w:szCs w:val="20"/>
              </w:rPr>
            </w:pPr>
            <w:r>
              <w:rPr>
                <w:color w:val="000000"/>
                <w:sz w:val="20"/>
                <w:szCs w:val="20"/>
              </w:rPr>
              <w:t>1.6</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5EC484BB" w14:textId="77777777">
            <w:pPr>
              <w:jc w:val="right"/>
              <w:rPr>
                <w:color w:val="000000"/>
                <w:sz w:val="20"/>
                <w:szCs w:val="20"/>
              </w:rPr>
            </w:pPr>
            <w:r>
              <w:rPr>
                <w:color w:val="000000"/>
                <w:sz w:val="20"/>
                <w:szCs w:val="20"/>
              </w:rPr>
              <w:t xml:space="preserve">$875 </w:t>
            </w:r>
          </w:p>
        </w:tc>
      </w:tr>
      <w:tr w14:paraId="36141EE7" w14:textId="77777777" w:rsidTr="00DA7243">
        <w:tblPrEx>
          <w:tblW w:w="13261" w:type="dxa"/>
          <w:jc w:val="left"/>
          <w:tblLook w:val="04A0"/>
        </w:tblPrEx>
        <w:trPr>
          <w:trHeight w:val="315"/>
          <w:jc w:val="left"/>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rsidR="00DA7243" w14:paraId="07FC1525" w14:textId="4E3678D0">
            <w:pPr>
              <w:rPr>
                <w:b/>
                <w:bCs/>
                <w:color w:val="000000"/>
                <w:sz w:val="20"/>
                <w:szCs w:val="20"/>
              </w:rPr>
            </w:pPr>
            <w:r>
              <w:rPr>
                <w:b/>
                <w:bCs/>
                <w:color w:val="000000"/>
                <w:sz w:val="20"/>
                <w:szCs w:val="20"/>
              </w:rPr>
              <w:t xml:space="preserve">TOTAL ANNUAL BURDEN AND COST (rounded) </w:t>
            </w:r>
            <w:r>
              <w:rPr>
                <w:b/>
                <w:bCs/>
                <w:color w:val="000000"/>
                <w:sz w:val="20"/>
                <w:szCs w:val="20"/>
                <w:vertAlign w:val="superscript"/>
              </w:rPr>
              <w:t>l</w:t>
            </w:r>
          </w:p>
        </w:tc>
        <w:tc>
          <w:tcPr>
            <w:tcW w:w="1178" w:type="dxa"/>
            <w:tcBorders>
              <w:top w:val="nil"/>
              <w:left w:val="nil"/>
              <w:bottom w:val="single" w:sz="4" w:space="0" w:color="auto"/>
              <w:right w:val="single" w:sz="4" w:space="0" w:color="auto"/>
            </w:tcBorders>
            <w:shd w:val="clear" w:color="auto" w:fill="auto"/>
            <w:noWrap/>
            <w:vAlign w:val="center"/>
            <w:hideMark/>
          </w:tcPr>
          <w:p w:rsidR="00DA7243" w14:paraId="6CC3CF35" w14:textId="77777777">
            <w:pPr>
              <w:jc w:val="center"/>
              <w:rPr>
                <w:b/>
                <w:bCs/>
                <w:color w:val="000000"/>
                <w:sz w:val="20"/>
                <w:szCs w:val="20"/>
              </w:rPr>
            </w:pPr>
            <w:r>
              <w:rPr>
                <w:b/>
                <w:bCs/>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rsidR="00DA7243" w14:paraId="2EF108E2" w14:textId="77777777">
            <w:pPr>
              <w:jc w:val="center"/>
              <w:rPr>
                <w:b/>
                <w:bCs/>
                <w:color w:val="000000"/>
                <w:sz w:val="20"/>
                <w:szCs w:val="20"/>
              </w:rPr>
            </w:pPr>
            <w:r>
              <w:rPr>
                <w:b/>
                <w:bCs/>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DA7243" w14:paraId="6FEE9DD7" w14:textId="77777777">
            <w:pPr>
              <w:jc w:val="center"/>
              <w:rPr>
                <w:b/>
                <w:bCs/>
                <w:color w:val="000000"/>
                <w:sz w:val="20"/>
                <w:szCs w:val="20"/>
              </w:rPr>
            </w:pPr>
            <w:r>
              <w:rPr>
                <w:b/>
                <w:bCs/>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DA7243" w14:paraId="302A35D8" w14:textId="77777777">
            <w:pPr>
              <w:jc w:val="center"/>
              <w:rPr>
                <w:b/>
                <w:bCs/>
                <w:color w:val="000000"/>
                <w:sz w:val="20"/>
                <w:szCs w:val="20"/>
              </w:rPr>
            </w:pPr>
            <w:r>
              <w:rPr>
                <w:b/>
                <w:bCs/>
                <w:color w:val="000000"/>
                <w:sz w:val="20"/>
                <w:szCs w:val="20"/>
              </w:rPr>
              <w:t> </w:t>
            </w:r>
          </w:p>
        </w:tc>
        <w:tc>
          <w:tcPr>
            <w:tcW w:w="3565" w:type="dxa"/>
            <w:gridSpan w:val="4"/>
            <w:tcBorders>
              <w:top w:val="single" w:sz="4" w:space="0" w:color="auto"/>
              <w:left w:val="nil"/>
              <w:bottom w:val="single" w:sz="4" w:space="0" w:color="auto"/>
              <w:right w:val="single" w:sz="4" w:space="0" w:color="auto"/>
            </w:tcBorders>
            <w:shd w:val="clear" w:color="auto" w:fill="auto"/>
            <w:noWrap/>
            <w:vAlign w:val="center"/>
            <w:hideMark/>
          </w:tcPr>
          <w:p w:rsidR="00DA7243" w14:paraId="5E60794E" w14:textId="77777777">
            <w:pPr>
              <w:jc w:val="center"/>
              <w:rPr>
                <w:b/>
                <w:bCs/>
                <w:color w:val="000000"/>
                <w:sz w:val="20"/>
                <w:szCs w:val="20"/>
              </w:rPr>
            </w:pPr>
            <w:r>
              <w:rPr>
                <w:b/>
                <w:bCs/>
                <w:color w:val="000000"/>
                <w:sz w:val="20"/>
                <w:szCs w:val="20"/>
              </w:rPr>
              <w:t>1310</w:t>
            </w:r>
          </w:p>
        </w:tc>
        <w:tc>
          <w:tcPr>
            <w:tcW w:w="1197" w:type="dxa"/>
            <w:tcBorders>
              <w:top w:val="nil"/>
              <w:left w:val="nil"/>
              <w:bottom w:val="single" w:sz="4" w:space="0" w:color="auto"/>
              <w:right w:val="single" w:sz="4" w:space="0" w:color="auto"/>
            </w:tcBorders>
            <w:shd w:val="clear" w:color="auto" w:fill="auto"/>
            <w:noWrap/>
            <w:vAlign w:val="center"/>
            <w:hideMark/>
          </w:tcPr>
          <w:p w:rsidR="00DA7243" w14:paraId="361A9D5F" w14:textId="77777777">
            <w:pPr>
              <w:jc w:val="right"/>
              <w:rPr>
                <w:b/>
                <w:bCs/>
                <w:color w:val="000000"/>
                <w:sz w:val="20"/>
                <w:szCs w:val="20"/>
              </w:rPr>
            </w:pPr>
            <w:r>
              <w:rPr>
                <w:b/>
                <w:bCs/>
                <w:color w:val="000000"/>
                <w:sz w:val="20"/>
                <w:szCs w:val="20"/>
              </w:rPr>
              <w:t xml:space="preserve">$62,300 </w:t>
            </w:r>
          </w:p>
        </w:tc>
      </w:tr>
    </w:tbl>
    <w:p w:rsidR="00196CD6" w:rsidRPr="00502779" w:rsidP="00196CD6" w14:paraId="00C3B364" w14:textId="77777777">
      <w:pPr>
        <w:rPr>
          <w:b/>
          <w:color w:val="000000"/>
          <w:sz w:val="20"/>
          <w:szCs w:val="20"/>
        </w:rPr>
      </w:pPr>
      <w:r w:rsidRPr="00502779">
        <w:rPr>
          <w:b/>
          <w:color w:val="000000"/>
          <w:sz w:val="20"/>
          <w:szCs w:val="20"/>
        </w:rPr>
        <w:t>Assumptions:</w:t>
      </w:r>
    </w:p>
    <w:p w:rsidR="000B2263" w:rsidRPr="000B2263" w:rsidP="00A921E8" w14:paraId="2EDA27F7" w14:textId="7D776108">
      <w:pPr>
        <w:ind w:left="288" w:hanging="288"/>
        <w:rPr>
          <w:color w:val="000000"/>
          <w:sz w:val="20"/>
          <w:szCs w:val="20"/>
        </w:rPr>
      </w:pPr>
      <w:r w:rsidRPr="000B2263">
        <w:rPr>
          <w:color w:val="000000"/>
          <w:sz w:val="20"/>
          <w:szCs w:val="20"/>
        </w:rPr>
        <w:t>a</w:t>
      </w:r>
      <w:r>
        <w:rPr>
          <w:color w:val="000000"/>
          <w:sz w:val="20"/>
          <w:szCs w:val="20"/>
        </w:rPr>
        <w:t>.</w:t>
      </w:r>
      <w:r w:rsidRPr="000B2263">
        <w:rPr>
          <w:color w:val="000000"/>
          <w:sz w:val="20"/>
          <w:szCs w:val="20"/>
        </w:rPr>
        <w:t xml:space="preserve"> The average number of respondents that will be subject to this rule over the next 3 years of this ICR is 244, including 243 existing respondents in years 1-3, plus 2 new respondents projected to become subject to the rule in year 3 for and average of 244 = [243 (yr </w:t>
      </w:r>
      <w:r w:rsidRPr="000B2263">
        <w:rPr>
          <w:color w:val="000000"/>
          <w:sz w:val="20"/>
          <w:szCs w:val="20"/>
        </w:rPr>
        <w:t>1)+</w:t>
      </w:r>
      <w:r w:rsidRPr="000B2263">
        <w:rPr>
          <w:color w:val="000000"/>
          <w:sz w:val="20"/>
          <w:szCs w:val="20"/>
        </w:rPr>
        <w:t xml:space="preserve"> 243 (yr 2) + 245 (yr 3)]/3.  Although subject to the rule, lumber mills are only required to submit an initial notification.</w:t>
      </w:r>
      <w:r w:rsidRPr="000B2263">
        <w:rPr>
          <w:color w:val="000000"/>
          <w:sz w:val="20"/>
          <w:szCs w:val="20"/>
        </w:rPr>
        <w:tab/>
      </w:r>
    </w:p>
    <w:p w:rsidR="000B2263" w:rsidRPr="000B2263" w:rsidP="00A921E8" w14:paraId="023C0AAC" w14:textId="67D25834">
      <w:pPr>
        <w:ind w:left="288" w:hanging="288"/>
        <w:rPr>
          <w:color w:val="000000"/>
          <w:sz w:val="20"/>
          <w:szCs w:val="20"/>
        </w:rPr>
      </w:pPr>
      <w:r w:rsidRPr="000B2263">
        <w:rPr>
          <w:color w:val="000000"/>
          <w:sz w:val="20"/>
          <w:szCs w:val="20"/>
        </w:rPr>
        <w:t>b</w:t>
      </w:r>
      <w:r>
        <w:rPr>
          <w:color w:val="000000"/>
          <w:sz w:val="20"/>
          <w:szCs w:val="20"/>
        </w:rPr>
        <w:t>.</w:t>
      </w:r>
      <w:r w:rsidRPr="000B2263">
        <w:rPr>
          <w:color w:val="000000"/>
          <w:sz w:val="20"/>
          <w:szCs w:val="20"/>
        </w:rPr>
        <w:t xml:space="preserve"> This cost is based on the following labor rates which incorporates a 1.6 benefits multiplication factor to account for government overhead expenses: $65.71 Managerial rate (GS-13, Step 5, $41.07 x 1.6), $48.75 Technical rate (GS-12, Step 1, $30.47 x 1.6), and $26.38 Clerical rate (GS-6, Step 3, $16.49 x 1.6).  These rates are from the Office of Personnel Management (OPM) 2018 General Schedule which excludes locality rates of pay.</w:t>
      </w:r>
    </w:p>
    <w:p w:rsidR="000B2263" w:rsidRPr="000B2263" w:rsidP="00A921E8" w14:paraId="54721717" w14:textId="0B8EBD1A">
      <w:pPr>
        <w:ind w:left="288" w:hanging="288"/>
        <w:rPr>
          <w:color w:val="000000"/>
          <w:sz w:val="20"/>
          <w:szCs w:val="20"/>
        </w:rPr>
      </w:pPr>
      <w:r w:rsidRPr="000B2263">
        <w:rPr>
          <w:color w:val="000000"/>
          <w:sz w:val="20"/>
          <w:szCs w:val="20"/>
        </w:rPr>
        <w:t>c</w:t>
      </w:r>
      <w:r>
        <w:rPr>
          <w:color w:val="000000"/>
          <w:sz w:val="20"/>
          <w:szCs w:val="20"/>
        </w:rPr>
        <w:t>.</w:t>
      </w:r>
      <w:r w:rsidRPr="000B2263">
        <w:rPr>
          <w:color w:val="000000"/>
          <w:sz w:val="20"/>
          <w:szCs w:val="20"/>
        </w:rPr>
        <w:t xml:space="preserve"> We estimate that it will take EPA personnel 24 hours to attend performance tests at 10% of facilities required to test (0.1 x 117 facilities/3 years = 4).</w:t>
      </w:r>
    </w:p>
    <w:p w:rsidR="000B2263" w:rsidRPr="000B2263" w:rsidP="00A921E8" w14:paraId="37ECA673" w14:textId="7DF94BBC">
      <w:pPr>
        <w:ind w:left="288" w:hanging="288"/>
        <w:rPr>
          <w:color w:val="000000"/>
          <w:sz w:val="20"/>
          <w:szCs w:val="20"/>
        </w:rPr>
      </w:pPr>
      <w:r w:rsidRPr="000B2263">
        <w:rPr>
          <w:color w:val="000000"/>
          <w:sz w:val="20"/>
          <w:szCs w:val="20"/>
        </w:rPr>
        <w:t>d</w:t>
      </w:r>
      <w:r>
        <w:rPr>
          <w:color w:val="000000"/>
          <w:sz w:val="20"/>
          <w:szCs w:val="20"/>
        </w:rPr>
        <w:t>.</w:t>
      </w:r>
      <w:r w:rsidRPr="000B2263">
        <w:rPr>
          <w:color w:val="000000"/>
          <w:sz w:val="20"/>
          <w:szCs w:val="20"/>
        </w:rPr>
        <w:t xml:space="preserve"> One-time activity for new sources projected to commence construction over the 3-year ICR period, including new PCWP mills (2), new PCWP process lines (5), and new lumber kilns (39) for an average of 15 affected sources per year. [(2 + 5 + 39) /3 = 15]</w:t>
      </w:r>
    </w:p>
    <w:p w:rsidR="000B2263" w:rsidRPr="000B2263" w:rsidP="00A921E8" w14:paraId="0CBA5323" w14:textId="5FDB5B77">
      <w:pPr>
        <w:ind w:left="288" w:hanging="288"/>
        <w:rPr>
          <w:color w:val="000000"/>
          <w:sz w:val="20"/>
          <w:szCs w:val="20"/>
        </w:rPr>
      </w:pPr>
      <w:r w:rsidRPr="000B2263">
        <w:rPr>
          <w:color w:val="000000"/>
          <w:sz w:val="20"/>
          <w:szCs w:val="20"/>
        </w:rPr>
        <w:t>e</w:t>
      </w:r>
      <w:r>
        <w:rPr>
          <w:color w:val="000000"/>
          <w:sz w:val="20"/>
          <w:szCs w:val="20"/>
        </w:rPr>
        <w:t>.</w:t>
      </w:r>
      <w:r w:rsidRPr="000B2263">
        <w:rPr>
          <w:color w:val="000000"/>
          <w:sz w:val="20"/>
          <w:szCs w:val="20"/>
        </w:rPr>
        <w:t xml:space="preserve"> We have assumed that no additional existing facilities will choose to change to the emission averaging compliance option in the future. New facilities are not allowed to use emissions averaging.</w:t>
      </w:r>
    </w:p>
    <w:p w:rsidR="000B2263" w:rsidRPr="000B2263" w:rsidP="00A921E8" w14:paraId="63141285" w14:textId="7D50BAEB">
      <w:pPr>
        <w:ind w:left="288" w:hanging="288"/>
        <w:rPr>
          <w:color w:val="000000"/>
          <w:sz w:val="20"/>
          <w:szCs w:val="20"/>
        </w:rPr>
      </w:pPr>
      <w:r w:rsidRPr="000B2263">
        <w:rPr>
          <w:color w:val="000000"/>
          <w:sz w:val="20"/>
          <w:szCs w:val="20"/>
        </w:rPr>
        <w:t>f</w:t>
      </w:r>
      <w:r>
        <w:rPr>
          <w:color w:val="000000"/>
          <w:sz w:val="20"/>
          <w:szCs w:val="20"/>
        </w:rPr>
        <w:t>.</w:t>
      </w:r>
      <w:r w:rsidRPr="000B2263">
        <w:rPr>
          <w:color w:val="000000"/>
          <w:sz w:val="20"/>
          <w:szCs w:val="20"/>
        </w:rPr>
        <w:t xml:space="preserve"> We have assumed that all new facilities will have submitted a request for routine control system maintenance exemption.</w:t>
      </w:r>
    </w:p>
    <w:p w:rsidR="000B2263" w:rsidRPr="000B2263" w:rsidP="00A921E8" w14:paraId="141769FC" w14:textId="1D1FCFA5">
      <w:pPr>
        <w:ind w:left="288" w:hanging="288"/>
        <w:rPr>
          <w:color w:val="000000"/>
          <w:sz w:val="20"/>
          <w:szCs w:val="20"/>
        </w:rPr>
      </w:pPr>
      <w:r w:rsidRPr="000B2263">
        <w:rPr>
          <w:color w:val="000000"/>
          <w:sz w:val="20"/>
          <w:szCs w:val="20"/>
        </w:rPr>
        <w:t>g</w:t>
      </w:r>
      <w:r>
        <w:rPr>
          <w:color w:val="000000"/>
          <w:sz w:val="20"/>
          <w:szCs w:val="20"/>
        </w:rPr>
        <w:t>.</w:t>
      </w:r>
      <w:r w:rsidRPr="000B2263">
        <w:rPr>
          <w:color w:val="000000"/>
          <w:sz w:val="20"/>
          <w:szCs w:val="20"/>
        </w:rPr>
        <w:t xml:space="preserve"> We have assumed that it will take 1 hour to review the notification of performance test.</w:t>
      </w:r>
      <w:r w:rsidRPr="000B2263">
        <w:rPr>
          <w:color w:val="000000"/>
          <w:sz w:val="20"/>
          <w:szCs w:val="20"/>
        </w:rPr>
        <w:tab/>
      </w:r>
    </w:p>
    <w:p w:rsidR="000B2263" w:rsidRPr="000B2263" w:rsidP="00A921E8" w14:paraId="6149B113" w14:textId="686DB399">
      <w:pPr>
        <w:ind w:left="288" w:hanging="288"/>
        <w:rPr>
          <w:color w:val="000000"/>
          <w:sz w:val="20"/>
          <w:szCs w:val="20"/>
        </w:rPr>
      </w:pPr>
      <w:r w:rsidRPr="000B2263">
        <w:rPr>
          <w:color w:val="000000"/>
          <w:sz w:val="20"/>
          <w:szCs w:val="20"/>
        </w:rPr>
        <w:t>h</w:t>
      </w:r>
      <w:r>
        <w:rPr>
          <w:color w:val="000000"/>
          <w:sz w:val="20"/>
          <w:szCs w:val="20"/>
        </w:rPr>
        <w:t>.</w:t>
      </w:r>
      <w:r w:rsidRPr="000B2263">
        <w:rPr>
          <w:color w:val="000000"/>
          <w:sz w:val="20"/>
          <w:szCs w:val="20"/>
        </w:rPr>
        <w:t xml:space="preserve"> We have assumed that each new and existing PCWP respondent will conduct initial or repeat performance test(s) during the 3-year period and submit a notification of compliance status that includes the report of the performance test(s). Lumber mills are not required to conduct performance tests.</w:t>
      </w:r>
      <w:r w:rsidRPr="000B2263">
        <w:rPr>
          <w:color w:val="000000"/>
          <w:sz w:val="20"/>
          <w:szCs w:val="20"/>
        </w:rPr>
        <w:tab/>
      </w:r>
    </w:p>
    <w:p w:rsidR="000B2263" w:rsidRPr="000B2263" w:rsidP="00A921E8" w14:paraId="631B1F82" w14:textId="538FD96F">
      <w:pPr>
        <w:ind w:left="288" w:hanging="288"/>
        <w:rPr>
          <w:color w:val="000000"/>
          <w:sz w:val="20"/>
          <w:szCs w:val="20"/>
        </w:rPr>
      </w:pPr>
      <w:r w:rsidRPr="000B2263">
        <w:rPr>
          <w:color w:val="000000"/>
          <w:sz w:val="20"/>
          <w:szCs w:val="20"/>
        </w:rPr>
        <w:t>i</w:t>
      </w:r>
      <w:r>
        <w:rPr>
          <w:color w:val="000000"/>
          <w:sz w:val="20"/>
          <w:szCs w:val="20"/>
        </w:rPr>
        <w:t>.</w:t>
      </w:r>
      <w:r w:rsidRPr="000B2263">
        <w:rPr>
          <w:color w:val="000000"/>
          <w:sz w:val="20"/>
          <w:szCs w:val="20"/>
        </w:rPr>
        <w:t xml:space="preserve"> We have assumed that the ave</w:t>
      </w:r>
      <w:r w:rsidR="00BB1B8D">
        <w:rPr>
          <w:color w:val="000000"/>
          <w:sz w:val="20"/>
          <w:szCs w:val="20"/>
        </w:rPr>
        <w:t>rage</w:t>
      </w:r>
      <w:r w:rsidRPr="000B2263">
        <w:rPr>
          <w:color w:val="000000"/>
          <w:sz w:val="20"/>
          <w:szCs w:val="20"/>
        </w:rPr>
        <w:t xml:space="preserve"> number of new affected sources per year will submit a notification of compliance status without performance test</w:t>
      </w:r>
    </w:p>
    <w:p w:rsidR="000B2263" w:rsidRPr="000B2263" w:rsidP="00A921E8" w14:paraId="2294B6DD" w14:textId="509563E5">
      <w:pPr>
        <w:ind w:left="288" w:hanging="288"/>
        <w:rPr>
          <w:color w:val="000000"/>
          <w:sz w:val="20"/>
          <w:szCs w:val="20"/>
        </w:rPr>
      </w:pPr>
      <w:r w:rsidRPr="000B2263">
        <w:rPr>
          <w:color w:val="000000"/>
          <w:sz w:val="20"/>
          <w:szCs w:val="20"/>
        </w:rPr>
        <w:t>j</w:t>
      </w:r>
      <w:r>
        <w:rPr>
          <w:color w:val="000000"/>
          <w:sz w:val="20"/>
          <w:szCs w:val="20"/>
        </w:rPr>
        <w:t>.</w:t>
      </w:r>
      <w:r w:rsidRPr="000B2263">
        <w:rPr>
          <w:color w:val="000000"/>
          <w:sz w:val="20"/>
          <w:szCs w:val="20"/>
        </w:rPr>
        <w:t xml:space="preserve"> We have assumed that the facilities compliance date is in the first half of the year, so facilities will submit one compliance report the first year that they start complying with the rule and two compliance reports the years that follow.</w:t>
      </w:r>
    </w:p>
    <w:p w:rsidR="000B2263" w:rsidRPr="000B2263" w:rsidP="00A921E8" w14:paraId="3E3800B2" w14:textId="0E26299A">
      <w:pPr>
        <w:ind w:left="288" w:hanging="288"/>
        <w:rPr>
          <w:color w:val="000000"/>
          <w:sz w:val="20"/>
          <w:szCs w:val="20"/>
        </w:rPr>
      </w:pPr>
      <w:r w:rsidRPr="000B2263">
        <w:rPr>
          <w:color w:val="000000"/>
          <w:sz w:val="20"/>
          <w:szCs w:val="20"/>
        </w:rPr>
        <w:t>k</w:t>
      </w:r>
      <w:r>
        <w:rPr>
          <w:color w:val="000000"/>
          <w:sz w:val="20"/>
          <w:szCs w:val="20"/>
        </w:rPr>
        <w:t>.</w:t>
      </w:r>
      <w:r w:rsidRPr="000B2263">
        <w:rPr>
          <w:color w:val="000000"/>
          <w:sz w:val="20"/>
          <w:szCs w:val="20"/>
        </w:rPr>
        <w:t xml:space="preserve"> We have assumed that 90 percent of facilities will have no deviations, and 10 percent will have deviations</w:t>
      </w:r>
    </w:p>
    <w:p w:rsidR="000B2263" w:rsidRPr="00196CD6" w:rsidP="00A921E8" w14:paraId="19062040" w14:textId="6916B184">
      <w:pPr>
        <w:ind w:left="288" w:hanging="288"/>
        <w:rPr>
          <w:color w:val="000000"/>
          <w:sz w:val="20"/>
          <w:szCs w:val="20"/>
        </w:rPr>
      </w:pPr>
      <w:r w:rsidRPr="000B2263">
        <w:rPr>
          <w:color w:val="000000"/>
          <w:sz w:val="20"/>
          <w:szCs w:val="20"/>
        </w:rPr>
        <w:t>l</w:t>
      </w:r>
      <w:r>
        <w:rPr>
          <w:color w:val="000000"/>
          <w:sz w:val="20"/>
          <w:szCs w:val="20"/>
        </w:rPr>
        <w:t>.</w:t>
      </w:r>
      <w:r w:rsidRPr="000B2263">
        <w:rPr>
          <w:color w:val="000000"/>
          <w:sz w:val="20"/>
          <w:szCs w:val="20"/>
        </w:rPr>
        <w:t xml:space="preserve"> Totals have been rounded to 3 significant figures. Figures may not add exactly due to rounding.</w:t>
      </w:r>
    </w:p>
    <w:sectPr w:rsidSect="00144F35">
      <w:pgSz w:w="15840" w:h="12240" w:orient="landscape"/>
      <w:pgMar w:top="1440" w:right="1350" w:bottom="1440" w:left="1440" w:header="135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0285" w14:paraId="656E912F" w14:textId="77777777">
      <w:r>
        <w:separator/>
      </w:r>
    </w:p>
  </w:footnote>
  <w:footnote w:type="continuationSeparator" w:id="1">
    <w:p w:rsidR="00560285" w14:paraId="5E4BCB10" w14:textId="77777777">
      <w:r>
        <w:continuationSeparator/>
      </w:r>
    </w:p>
  </w:footnote>
  <w:footnote w:id="2">
    <w:p w:rsidR="00F71A51" w:rsidP="00DD3895" w14:paraId="3BAF3775" w14:textId="2D3601F1">
      <w:pPr>
        <w:pStyle w:val="FootnoteText"/>
      </w:pPr>
      <w:r>
        <w:rPr>
          <w:rStyle w:val="FootnoteReference"/>
          <w:vertAlign w:val="superscript"/>
        </w:rPr>
        <w:footnoteRef/>
      </w:r>
      <w:r>
        <w:t xml:space="preserve"> As of 2018, Methods 1-5, 25A, and 0011 are the test methods referenced in subpart DDDD that are included in the ERT. Method 320 and the NCASI methods incorporated into the PCWP rule are not yet supported by the ERT.</w:t>
      </w:r>
    </w:p>
  </w:footnote>
  <w:footnote w:id="3">
    <w:p w:rsidR="00F71A51" w14:paraId="10A99663" w14:textId="7CA6FE44">
      <w:pPr>
        <w:pStyle w:val="FootnoteText"/>
      </w:pPr>
      <w:r w:rsidRPr="00621281">
        <w:rPr>
          <w:rStyle w:val="FootnoteReference"/>
          <w:vertAlign w:val="superscript"/>
        </w:rPr>
        <w:footnoteRef/>
      </w:r>
      <w:r w:rsidRPr="00621281">
        <w:rPr>
          <w:vertAlign w:val="superscript"/>
        </w:rPr>
        <w:t xml:space="preserve"> </w:t>
      </w:r>
      <w:r>
        <w:t xml:space="preserve">These totals include 109 PCWP and 121 lumber facilities identified in the EPA’s 2017/2018 ICR as being subject to the PCWP NESHAP, as well as 13 additional mills that were recently constructed (4 PCWP mills and 9 lumber mills) that are subject to the NESHAP.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9108299"/>
      <w:docPartObj>
        <w:docPartGallery w:val="Page Numbers (Top of Page)"/>
        <w:docPartUnique/>
      </w:docPartObj>
    </w:sdtPr>
    <w:sdtEndPr>
      <w:rPr>
        <w:noProof/>
      </w:rPr>
    </w:sdtEndPr>
    <w:sdtContent>
      <w:p w:rsidR="00A945C9" w14:paraId="3AEF62F7" w14:textId="01001D5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F71A51"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775860923">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0273491">
    <w:abstractNumId w:val="12"/>
  </w:num>
  <w:num w:numId="3" w16cid:durableId="886650580">
    <w:abstractNumId w:val="10"/>
  </w:num>
  <w:num w:numId="4" w16cid:durableId="883524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6"/>
    <w:rsid w:val="00001B52"/>
    <w:rsid w:val="00001FF8"/>
    <w:rsid w:val="0000687D"/>
    <w:rsid w:val="0001210E"/>
    <w:rsid w:val="00014FC6"/>
    <w:rsid w:val="00023936"/>
    <w:rsid w:val="00031ADF"/>
    <w:rsid w:val="0003619B"/>
    <w:rsid w:val="0004106E"/>
    <w:rsid w:val="00042BD5"/>
    <w:rsid w:val="00043F29"/>
    <w:rsid w:val="000459E1"/>
    <w:rsid w:val="00055BDF"/>
    <w:rsid w:val="00055DC5"/>
    <w:rsid w:val="00073DCF"/>
    <w:rsid w:val="000753DC"/>
    <w:rsid w:val="000A1FBB"/>
    <w:rsid w:val="000A687C"/>
    <w:rsid w:val="000B2263"/>
    <w:rsid w:val="000B2E1C"/>
    <w:rsid w:val="000D2272"/>
    <w:rsid w:val="000D4FA6"/>
    <w:rsid w:val="000E0CD6"/>
    <w:rsid w:val="000E187E"/>
    <w:rsid w:val="000F0773"/>
    <w:rsid w:val="000F1EE2"/>
    <w:rsid w:val="000F772C"/>
    <w:rsid w:val="00101B40"/>
    <w:rsid w:val="00102AAA"/>
    <w:rsid w:val="00102B52"/>
    <w:rsid w:val="0010697C"/>
    <w:rsid w:val="00122CF4"/>
    <w:rsid w:val="00123889"/>
    <w:rsid w:val="00126A7C"/>
    <w:rsid w:val="001356D4"/>
    <w:rsid w:val="001363BA"/>
    <w:rsid w:val="0013761F"/>
    <w:rsid w:val="0014079D"/>
    <w:rsid w:val="00144978"/>
    <w:rsid w:val="00144A82"/>
    <w:rsid w:val="00144F35"/>
    <w:rsid w:val="001540C3"/>
    <w:rsid w:val="0015433E"/>
    <w:rsid w:val="00156DE9"/>
    <w:rsid w:val="00162ECC"/>
    <w:rsid w:val="00163FB8"/>
    <w:rsid w:val="00165DCF"/>
    <w:rsid w:val="00175FAB"/>
    <w:rsid w:val="0017628D"/>
    <w:rsid w:val="00177C3C"/>
    <w:rsid w:val="00186DA3"/>
    <w:rsid w:val="00195753"/>
    <w:rsid w:val="00196CD6"/>
    <w:rsid w:val="001A019D"/>
    <w:rsid w:val="001A0B41"/>
    <w:rsid w:val="001B0B9A"/>
    <w:rsid w:val="001B35F2"/>
    <w:rsid w:val="001C5991"/>
    <w:rsid w:val="001D6969"/>
    <w:rsid w:val="001D762C"/>
    <w:rsid w:val="001E5B8B"/>
    <w:rsid w:val="001E7E36"/>
    <w:rsid w:val="001F19FF"/>
    <w:rsid w:val="002041C5"/>
    <w:rsid w:val="002063FE"/>
    <w:rsid w:val="00206932"/>
    <w:rsid w:val="00215263"/>
    <w:rsid w:val="00215314"/>
    <w:rsid w:val="0021722B"/>
    <w:rsid w:val="0022738C"/>
    <w:rsid w:val="00227D04"/>
    <w:rsid w:val="00233F0F"/>
    <w:rsid w:val="00234A28"/>
    <w:rsid w:val="00236DB3"/>
    <w:rsid w:val="002431D9"/>
    <w:rsid w:val="002638A0"/>
    <w:rsid w:val="002679E5"/>
    <w:rsid w:val="002712EB"/>
    <w:rsid w:val="0027222A"/>
    <w:rsid w:val="00272D68"/>
    <w:rsid w:val="002743D2"/>
    <w:rsid w:val="00277F42"/>
    <w:rsid w:val="00281CAE"/>
    <w:rsid w:val="00287943"/>
    <w:rsid w:val="0029006A"/>
    <w:rsid w:val="002904E7"/>
    <w:rsid w:val="002976E9"/>
    <w:rsid w:val="002A7D9C"/>
    <w:rsid w:val="002B29A5"/>
    <w:rsid w:val="002B29A7"/>
    <w:rsid w:val="002B517F"/>
    <w:rsid w:val="002B6993"/>
    <w:rsid w:val="002C1F95"/>
    <w:rsid w:val="002C416A"/>
    <w:rsid w:val="002C77DF"/>
    <w:rsid w:val="002D7683"/>
    <w:rsid w:val="002E124C"/>
    <w:rsid w:val="002F0952"/>
    <w:rsid w:val="002F674B"/>
    <w:rsid w:val="002F6DB3"/>
    <w:rsid w:val="00302C01"/>
    <w:rsid w:val="003139FC"/>
    <w:rsid w:val="00313E92"/>
    <w:rsid w:val="00341540"/>
    <w:rsid w:val="00343715"/>
    <w:rsid w:val="003511C6"/>
    <w:rsid w:val="0035325B"/>
    <w:rsid w:val="00354C15"/>
    <w:rsid w:val="00371071"/>
    <w:rsid w:val="00377D7F"/>
    <w:rsid w:val="0038594F"/>
    <w:rsid w:val="003A5B47"/>
    <w:rsid w:val="003A6ACB"/>
    <w:rsid w:val="003B1E92"/>
    <w:rsid w:val="003B384B"/>
    <w:rsid w:val="003C4B46"/>
    <w:rsid w:val="003C5023"/>
    <w:rsid w:val="003C69B2"/>
    <w:rsid w:val="003D6951"/>
    <w:rsid w:val="003E28CF"/>
    <w:rsid w:val="003E30B5"/>
    <w:rsid w:val="003E3BD0"/>
    <w:rsid w:val="003E47DB"/>
    <w:rsid w:val="003E4C18"/>
    <w:rsid w:val="003F1AFC"/>
    <w:rsid w:val="00400F43"/>
    <w:rsid w:val="0040391F"/>
    <w:rsid w:val="004049A9"/>
    <w:rsid w:val="00410D14"/>
    <w:rsid w:val="00423E63"/>
    <w:rsid w:val="00436148"/>
    <w:rsid w:val="00437E05"/>
    <w:rsid w:val="0044115B"/>
    <w:rsid w:val="0044133C"/>
    <w:rsid w:val="00442218"/>
    <w:rsid w:val="004425F7"/>
    <w:rsid w:val="004448C0"/>
    <w:rsid w:val="00445719"/>
    <w:rsid w:val="00455557"/>
    <w:rsid w:val="00461EA6"/>
    <w:rsid w:val="00481DEB"/>
    <w:rsid w:val="0048389C"/>
    <w:rsid w:val="00484A45"/>
    <w:rsid w:val="0049327D"/>
    <w:rsid w:val="004A084D"/>
    <w:rsid w:val="004A4B25"/>
    <w:rsid w:val="004B3408"/>
    <w:rsid w:val="004B67E0"/>
    <w:rsid w:val="004C0F79"/>
    <w:rsid w:val="004C1122"/>
    <w:rsid w:val="004C4DFA"/>
    <w:rsid w:val="004C5E95"/>
    <w:rsid w:val="004C701D"/>
    <w:rsid w:val="004D778E"/>
    <w:rsid w:val="004E79B5"/>
    <w:rsid w:val="004F1469"/>
    <w:rsid w:val="004F6FCD"/>
    <w:rsid w:val="00502542"/>
    <w:rsid w:val="00502779"/>
    <w:rsid w:val="00504745"/>
    <w:rsid w:val="00507EC5"/>
    <w:rsid w:val="00513D82"/>
    <w:rsid w:val="0051439C"/>
    <w:rsid w:val="00516952"/>
    <w:rsid w:val="00522DF3"/>
    <w:rsid w:val="00522FA1"/>
    <w:rsid w:val="00523156"/>
    <w:rsid w:val="005253D4"/>
    <w:rsid w:val="00526271"/>
    <w:rsid w:val="00527BE4"/>
    <w:rsid w:val="00546194"/>
    <w:rsid w:val="00551815"/>
    <w:rsid w:val="00552ECE"/>
    <w:rsid w:val="00556535"/>
    <w:rsid w:val="00557BE9"/>
    <w:rsid w:val="00560285"/>
    <w:rsid w:val="00560AD2"/>
    <w:rsid w:val="00565A51"/>
    <w:rsid w:val="00567B48"/>
    <w:rsid w:val="005707AD"/>
    <w:rsid w:val="00571260"/>
    <w:rsid w:val="00583626"/>
    <w:rsid w:val="005A1986"/>
    <w:rsid w:val="005B5DE8"/>
    <w:rsid w:val="005C3665"/>
    <w:rsid w:val="005C42AC"/>
    <w:rsid w:val="005C5A2E"/>
    <w:rsid w:val="005D385C"/>
    <w:rsid w:val="005E194B"/>
    <w:rsid w:val="005E4F68"/>
    <w:rsid w:val="005F42F8"/>
    <w:rsid w:val="005F4BB0"/>
    <w:rsid w:val="005F7CB0"/>
    <w:rsid w:val="00600BA4"/>
    <w:rsid w:val="00601205"/>
    <w:rsid w:val="00605B5F"/>
    <w:rsid w:val="00606DEF"/>
    <w:rsid w:val="00621281"/>
    <w:rsid w:val="00623F56"/>
    <w:rsid w:val="00631517"/>
    <w:rsid w:val="00635DBD"/>
    <w:rsid w:val="006500EB"/>
    <w:rsid w:val="00663E4A"/>
    <w:rsid w:val="006667AE"/>
    <w:rsid w:val="006741F7"/>
    <w:rsid w:val="006810C3"/>
    <w:rsid w:val="006830DB"/>
    <w:rsid w:val="00694B55"/>
    <w:rsid w:val="00696F91"/>
    <w:rsid w:val="00697B20"/>
    <w:rsid w:val="006A0F5A"/>
    <w:rsid w:val="006B4F92"/>
    <w:rsid w:val="006C76C6"/>
    <w:rsid w:val="006D1B12"/>
    <w:rsid w:val="006D1B50"/>
    <w:rsid w:val="006D4402"/>
    <w:rsid w:val="006E4A6E"/>
    <w:rsid w:val="006E642B"/>
    <w:rsid w:val="006E771B"/>
    <w:rsid w:val="006F10B2"/>
    <w:rsid w:val="006F268A"/>
    <w:rsid w:val="0071623A"/>
    <w:rsid w:val="00724BC7"/>
    <w:rsid w:val="007301EA"/>
    <w:rsid w:val="00750522"/>
    <w:rsid w:val="00763160"/>
    <w:rsid w:val="00764E51"/>
    <w:rsid w:val="0077035E"/>
    <w:rsid w:val="0077050E"/>
    <w:rsid w:val="00777960"/>
    <w:rsid w:val="00780612"/>
    <w:rsid w:val="00786A20"/>
    <w:rsid w:val="0079715F"/>
    <w:rsid w:val="007A0634"/>
    <w:rsid w:val="007A16F4"/>
    <w:rsid w:val="007A458D"/>
    <w:rsid w:val="007B07B7"/>
    <w:rsid w:val="007B7303"/>
    <w:rsid w:val="007C0FAA"/>
    <w:rsid w:val="007C2BEF"/>
    <w:rsid w:val="007C5604"/>
    <w:rsid w:val="007E2910"/>
    <w:rsid w:val="007E2EB7"/>
    <w:rsid w:val="007E6FF4"/>
    <w:rsid w:val="007F07FB"/>
    <w:rsid w:val="007F15F2"/>
    <w:rsid w:val="007F72B5"/>
    <w:rsid w:val="00803A1F"/>
    <w:rsid w:val="00805FCD"/>
    <w:rsid w:val="008063CE"/>
    <w:rsid w:val="00806CC3"/>
    <w:rsid w:val="00810507"/>
    <w:rsid w:val="00810D4A"/>
    <w:rsid w:val="00811EA5"/>
    <w:rsid w:val="00813E69"/>
    <w:rsid w:val="008140F6"/>
    <w:rsid w:val="00817E8B"/>
    <w:rsid w:val="008210AE"/>
    <w:rsid w:val="00830714"/>
    <w:rsid w:val="008338D4"/>
    <w:rsid w:val="00833ECE"/>
    <w:rsid w:val="00836811"/>
    <w:rsid w:val="00836D90"/>
    <w:rsid w:val="00837043"/>
    <w:rsid w:val="00837642"/>
    <w:rsid w:val="0084255D"/>
    <w:rsid w:val="00850ACF"/>
    <w:rsid w:val="00852038"/>
    <w:rsid w:val="00861489"/>
    <w:rsid w:val="0088639E"/>
    <w:rsid w:val="008A46EB"/>
    <w:rsid w:val="008B3D43"/>
    <w:rsid w:val="008B407C"/>
    <w:rsid w:val="008B5E95"/>
    <w:rsid w:val="008C1276"/>
    <w:rsid w:val="008D415B"/>
    <w:rsid w:val="008E65E6"/>
    <w:rsid w:val="008F1761"/>
    <w:rsid w:val="008F285B"/>
    <w:rsid w:val="008F4564"/>
    <w:rsid w:val="00900184"/>
    <w:rsid w:val="009018EC"/>
    <w:rsid w:val="0090483A"/>
    <w:rsid w:val="00906EDB"/>
    <w:rsid w:val="00912E00"/>
    <w:rsid w:val="00923C46"/>
    <w:rsid w:val="0092425C"/>
    <w:rsid w:val="00946C54"/>
    <w:rsid w:val="009711DB"/>
    <w:rsid w:val="009737C0"/>
    <w:rsid w:val="00981C20"/>
    <w:rsid w:val="009903E5"/>
    <w:rsid w:val="009A0F50"/>
    <w:rsid w:val="009A16CD"/>
    <w:rsid w:val="009B1588"/>
    <w:rsid w:val="009B428A"/>
    <w:rsid w:val="009C06F5"/>
    <w:rsid w:val="009C7E97"/>
    <w:rsid w:val="009D307E"/>
    <w:rsid w:val="009D3E0F"/>
    <w:rsid w:val="009D6567"/>
    <w:rsid w:val="009E0F31"/>
    <w:rsid w:val="00A007F5"/>
    <w:rsid w:val="00A0257A"/>
    <w:rsid w:val="00A038EC"/>
    <w:rsid w:val="00A10DBD"/>
    <w:rsid w:val="00A145B0"/>
    <w:rsid w:val="00A15172"/>
    <w:rsid w:val="00A26EF7"/>
    <w:rsid w:val="00A277D6"/>
    <w:rsid w:val="00A34EA4"/>
    <w:rsid w:val="00A379F8"/>
    <w:rsid w:val="00A46D81"/>
    <w:rsid w:val="00A51A9E"/>
    <w:rsid w:val="00A528F0"/>
    <w:rsid w:val="00A54EEA"/>
    <w:rsid w:val="00A56BFF"/>
    <w:rsid w:val="00A65F54"/>
    <w:rsid w:val="00A73600"/>
    <w:rsid w:val="00A74C1E"/>
    <w:rsid w:val="00A7661C"/>
    <w:rsid w:val="00A85037"/>
    <w:rsid w:val="00A921E8"/>
    <w:rsid w:val="00A945C9"/>
    <w:rsid w:val="00A949F7"/>
    <w:rsid w:val="00A95BC7"/>
    <w:rsid w:val="00A962DF"/>
    <w:rsid w:val="00AA281A"/>
    <w:rsid w:val="00AA4008"/>
    <w:rsid w:val="00AA6A83"/>
    <w:rsid w:val="00AE2BD9"/>
    <w:rsid w:val="00AE4F2B"/>
    <w:rsid w:val="00AF70A1"/>
    <w:rsid w:val="00B01A33"/>
    <w:rsid w:val="00B03B5D"/>
    <w:rsid w:val="00B06EF6"/>
    <w:rsid w:val="00B07F79"/>
    <w:rsid w:val="00B122ED"/>
    <w:rsid w:val="00B16C07"/>
    <w:rsid w:val="00B34762"/>
    <w:rsid w:val="00B34D4E"/>
    <w:rsid w:val="00B41FFF"/>
    <w:rsid w:val="00B45B7B"/>
    <w:rsid w:val="00B46A57"/>
    <w:rsid w:val="00B57B80"/>
    <w:rsid w:val="00B65754"/>
    <w:rsid w:val="00B65E8C"/>
    <w:rsid w:val="00B66231"/>
    <w:rsid w:val="00B72697"/>
    <w:rsid w:val="00B769F1"/>
    <w:rsid w:val="00B82025"/>
    <w:rsid w:val="00BA0A91"/>
    <w:rsid w:val="00BA4887"/>
    <w:rsid w:val="00BA5456"/>
    <w:rsid w:val="00BB1597"/>
    <w:rsid w:val="00BB1B8D"/>
    <w:rsid w:val="00BB3390"/>
    <w:rsid w:val="00BB3C1A"/>
    <w:rsid w:val="00BC6DEF"/>
    <w:rsid w:val="00BD0CD3"/>
    <w:rsid w:val="00BD7CAE"/>
    <w:rsid w:val="00BE2989"/>
    <w:rsid w:val="00BE7A11"/>
    <w:rsid w:val="00BF722F"/>
    <w:rsid w:val="00C13FE8"/>
    <w:rsid w:val="00C24C95"/>
    <w:rsid w:val="00C30A60"/>
    <w:rsid w:val="00C32512"/>
    <w:rsid w:val="00C33ABA"/>
    <w:rsid w:val="00C37BB6"/>
    <w:rsid w:val="00C4183F"/>
    <w:rsid w:val="00C41E3F"/>
    <w:rsid w:val="00C47CA3"/>
    <w:rsid w:val="00C52EFD"/>
    <w:rsid w:val="00C60A0A"/>
    <w:rsid w:val="00C635AE"/>
    <w:rsid w:val="00C64378"/>
    <w:rsid w:val="00C671BA"/>
    <w:rsid w:val="00C7027F"/>
    <w:rsid w:val="00C75CF0"/>
    <w:rsid w:val="00C808B5"/>
    <w:rsid w:val="00C82DB6"/>
    <w:rsid w:val="00C87221"/>
    <w:rsid w:val="00CA4CD6"/>
    <w:rsid w:val="00CA7DA0"/>
    <w:rsid w:val="00CB42E2"/>
    <w:rsid w:val="00CC48AB"/>
    <w:rsid w:val="00CC58F6"/>
    <w:rsid w:val="00CC5B39"/>
    <w:rsid w:val="00CD2069"/>
    <w:rsid w:val="00CD280D"/>
    <w:rsid w:val="00CE7A5D"/>
    <w:rsid w:val="00CF2B37"/>
    <w:rsid w:val="00D13D9A"/>
    <w:rsid w:val="00D14A8D"/>
    <w:rsid w:val="00D1656D"/>
    <w:rsid w:val="00D21198"/>
    <w:rsid w:val="00D21635"/>
    <w:rsid w:val="00D2273E"/>
    <w:rsid w:val="00D37803"/>
    <w:rsid w:val="00D42D52"/>
    <w:rsid w:val="00D46FA2"/>
    <w:rsid w:val="00D5080D"/>
    <w:rsid w:val="00D55C07"/>
    <w:rsid w:val="00D56F5F"/>
    <w:rsid w:val="00D61125"/>
    <w:rsid w:val="00D61B37"/>
    <w:rsid w:val="00D63B96"/>
    <w:rsid w:val="00D64031"/>
    <w:rsid w:val="00D80579"/>
    <w:rsid w:val="00D91C34"/>
    <w:rsid w:val="00D92F66"/>
    <w:rsid w:val="00D95819"/>
    <w:rsid w:val="00DA3023"/>
    <w:rsid w:val="00DA7021"/>
    <w:rsid w:val="00DA7243"/>
    <w:rsid w:val="00DA7285"/>
    <w:rsid w:val="00DB59E1"/>
    <w:rsid w:val="00DB6123"/>
    <w:rsid w:val="00DB786E"/>
    <w:rsid w:val="00DD0312"/>
    <w:rsid w:val="00DD1AC1"/>
    <w:rsid w:val="00DD3895"/>
    <w:rsid w:val="00DD764D"/>
    <w:rsid w:val="00DD7D49"/>
    <w:rsid w:val="00DF1FE2"/>
    <w:rsid w:val="00DF5C4E"/>
    <w:rsid w:val="00E10DA7"/>
    <w:rsid w:val="00E110E3"/>
    <w:rsid w:val="00E1538C"/>
    <w:rsid w:val="00E167CA"/>
    <w:rsid w:val="00E216EC"/>
    <w:rsid w:val="00E25DB6"/>
    <w:rsid w:val="00E276CD"/>
    <w:rsid w:val="00E322F2"/>
    <w:rsid w:val="00E32EDA"/>
    <w:rsid w:val="00E42A5B"/>
    <w:rsid w:val="00E47060"/>
    <w:rsid w:val="00E47B8F"/>
    <w:rsid w:val="00E53137"/>
    <w:rsid w:val="00E55C80"/>
    <w:rsid w:val="00E702F6"/>
    <w:rsid w:val="00E7056A"/>
    <w:rsid w:val="00E72D70"/>
    <w:rsid w:val="00E76BD9"/>
    <w:rsid w:val="00E77D5E"/>
    <w:rsid w:val="00E868BB"/>
    <w:rsid w:val="00E90E82"/>
    <w:rsid w:val="00EA37A9"/>
    <w:rsid w:val="00EA7026"/>
    <w:rsid w:val="00EA775D"/>
    <w:rsid w:val="00EB42D2"/>
    <w:rsid w:val="00EB62F1"/>
    <w:rsid w:val="00EC1E2E"/>
    <w:rsid w:val="00EC4074"/>
    <w:rsid w:val="00EC75A3"/>
    <w:rsid w:val="00ED6057"/>
    <w:rsid w:val="00ED6FA8"/>
    <w:rsid w:val="00ED741E"/>
    <w:rsid w:val="00EE5394"/>
    <w:rsid w:val="00EF08BC"/>
    <w:rsid w:val="00EF113F"/>
    <w:rsid w:val="00F02EB3"/>
    <w:rsid w:val="00F033F0"/>
    <w:rsid w:val="00F03803"/>
    <w:rsid w:val="00F0649E"/>
    <w:rsid w:val="00F066C9"/>
    <w:rsid w:val="00F17898"/>
    <w:rsid w:val="00F20822"/>
    <w:rsid w:val="00F256DD"/>
    <w:rsid w:val="00F340DF"/>
    <w:rsid w:val="00F40AC3"/>
    <w:rsid w:val="00F5262C"/>
    <w:rsid w:val="00F538BC"/>
    <w:rsid w:val="00F665F8"/>
    <w:rsid w:val="00F71A51"/>
    <w:rsid w:val="00F72ABC"/>
    <w:rsid w:val="00F832C5"/>
    <w:rsid w:val="00F87E6A"/>
    <w:rsid w:val="00F9092B"/>
    <w:rsid w:val="00F92D22"/>
    <w:rsid w:val="00F93350"/>
    <w:rsid w:val="00F9726F"/>
    <w:rsid w:val="00FA2696"/>
    <w:rsid w:val="00FB0650"/>
    <w:rsid w:val="00FB2AD1"/>
    <w:rsid w:val="00FB4D98"/>
    <w:rsid w:val="00FB6378"/>
    <w:rsid w:val="00FB7636"/>
    <w:rsid w:val="00FB7BCE"/>
    <w:rsid w:val="00FC4E09"/>
    <w:rsid w:val="00FC7E2C"/>
    <w:rsid w:val="00FD72B2"/>
    <w:rsid w:val="00FE2099"/>
    <w:rsid w:val="00FE33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063D423-F30D-4625-BE2C-F8328774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CE7A5D"/>
    <w:rPr>
      <w:sz w:val="24"/>
      <w:szCs w:val="24"/>
    </w:rPr>
  </w:style>
  <w:style w:type="paragraph" w:styleId="FootnoteText">
    <w:name w:val="footnote text"/>
    <w:basedOn w:val="Normal"/>
    <w:link w:val="FootnoteTextChar"/>
    <w:semiHidden/>
    <w:unhideWhenUsed/>
    <w:rsid w:val="00DD3895"/>
    <w:pPr>
      <w:suppressAutoHyphens/>
      <w:autoSpaceDN/>
      <w:adjustRightInd/>
    </w:pPr>
    <w:rPr>
      <w:sz w:val="20"/>
      <w:szCs w:val="20"/>
      <w:lang w:eastAsia="ar-SA"/>
    </w:rPr>
  </w:style>
  <w:style w:type="character" w:customStyle="1" w:styleId="FootnoteTextChar">
    <w:name w:val="Footnote Text Char"/>
    <w:basedOn w:val="DefaultParagraphFont"/>
    <w:link w:val="FootnoteText"/>
    <w:semiHidden/>
    <w:rsid w:val="00DD3895"/>
    <w:rPr>
      <w:lang w:eastAsia="ar-SA"/>
    </w:rPr>
  </w:style>
  <w:style w:type="character" w:styleId="FollowedHyperlink">
    <w:name w:val="FollowedHyperlink"/>
    <w:basedOn w:val="DefaultParagraphFont"/>
    <w:semiHidden/>
    <w:unhideWhenUsed/>
    <w:rsid w:val="007779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ulations.gov/"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37F60-FE4A-4745-A4D1-D1DB4737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7734</Words>
  <Characters>42615</Characters>
  <Application>Microsoft Office Word</Application>
  <DocSecurity>0</DocSecurity>
  <Lines>1217</Lines>
  <Paragraphs>524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Schultz, Eric</cp:lastModifiedBy>
  <cp:revision>2</cp:revision>
  <cp:lastPrinted>2016-09-01T14:59:00Z</cp:lastPrinted>
  <dcterms:created xsi:type="dcterms:W3CDTF">2023-01-31T01:12:00Z</dcterms:created>
  <dcterms:modified xsi:type="dcterms:W3CDTF">2023-01-31T01:12:00Z</dcterms:modified>
</cp:coreProperties>
</file>