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E432CA">
        <w:trPr>
          <w:divId w:val="1641299965"/>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E432CA" w:rsidRDefault="00446E59">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E432CA">
        <w:trPr>
          <w:divId w:val="328337564"/>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E432CA" w:rsidRDefault="00446E59">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E432CA" w:rsidRDefault="00446E59">
      <w:pPr>
        <w:jc w:val="center"/>
        <w:divId w:val="1838766119"/>
        <w:rPr>
          <w:rFonts w:ascii="Arial" w:eastAsia="Times New Roman" w:hAnsi="Arial" w:cs="Arial"/>
          <w:sz w:val="20"/>
          <w:szCs w:val="20"/>
        </w:rPr>
      </w:pPr>
      <w:r>
        <w:rPr>
          <w:rFonts w:ascii="Arial" w:eastAsia="Times New Roman" w:hAnsi="Arial" w:cs="Arial"/>
          <w:b/>
          <w:bCs/>
          <w:sz w:val="48"/>
          <w:szCs w:val="48"/>
        </w:rPr>
        <w:t>Quarter 1 (Oct - Dec), FY 2019 Milestone Progress Report</w:t>
      </w:r>
    </w:p>
    <w:p w:rsidR="00E432CA" w:rsidRDefault="00E432CA">
      <w:pPr>
        <w:spacing w:after="240"/>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94"/>
        <w:gridCol w:w="3631"/>
      </w:tblGrid>
      <w:tr w:rsidR="00E432CA">
        <w:trPr>
          <w:divId w:val="1822383002"/>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Federal Award Identification Number (FAIN)</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FL-2017-015-01</w:t>
            </w:r>
          </w:p>
        </w:tc>
      </w:tr>
      <w:tr w:rsidR="00E432CA">
        <w:trPr>
          <w:divId w:val="1822383002"/>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Temporary Application Number</w:t>
            </w: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1080-2016-2</w:t>
            </w:r>
          </w:p>
        </w:tc>
      </w:tr>
      <w:tr w:rsidR="00E432CA">
        <w:trPr>
          <w:divId w:val="1822383002"/>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Award Name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Section 5339 Formula Grant</w:t>
            </w:r>
          </w:p>
        </w:tc>
      </w:tr>
      <w:tr w:rsidR="00E432CA">
        <w:trPr>
          <w:divId w:val="1822383002"/>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Award Status</w:t>
            </w: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Closed</w:t>
            </w:r>
          </w:p>
        </w:tc>
      </w:tr>
      <w:tr w:rsidR="00E432CA">
        <w:trPr>
          <w:divId w:val="1822383002"/>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Award Budget Number</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w:t>
            </w:r>
          </w:p>
        </w:tc>
      </w:tr>
    </w:tbl>
    <w:p w:rsidR="00E432CA" w:rsidRDefault="00E432CA">
      <w:pPr>
        <w:spacing w:after="240"/>
        <w:divId w:val="1838766119"/>
        <w:rPr>
          <w:rFonts w:ascii="Arial" w:eastAsia="Times New Roman" w:hAnsi="Arial" w:cs="Arial"/>
          <w:sz w:val="20"/>
          <w:szCs w:val="20"/>
        </w:rPr>
      </w:pPr>
    </w:p>
    <w:p w:rsidR="00E432CA" w:rsidRDefault="00446E59">
      <w:pPr>
        <w:divId w:val="1218738988"/>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432CA">
        <w:trPr>
          <w:divId w:val="1838766119"/>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432CA" w:rsidRDefault="00446E59">
            <w:pPr>
              <w:divId w:val="2051105470"/>
              <w:rPr>
                <w:rFonts w:ascii="Arial" w:eastAsia="Times New Roman" w:hAnsi="Arial" w:cs="Arial"/>
                <w:b/>
                <w:bCs/>
                <w:sz w:val="28"/>
                <w:szCs w:val="28"/>
              </w:rPr>
            </w:pPr>
            <w:r>
              <w:rPr>
                <w:rFonts w:ascii="Arial" w:eastAsia="Times New Roman" w:hAnsi="Arial" w:cs="Arial"/>
                <w:b/>
                <w:bCs/>
                <w:sz w:val="28"/>
                <w:szCs w:val="28"/>
              </w:rPr>
              <w:t>Name: Pinellas Suncoast Transit Authority, Inc.</w:t>
            </w: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23"/>
              <w:gridCol w:w="2049"/>
              <w:gridCol w:w="4187"/>
              <w:gridCol w:w="1776"/>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Recipient ID</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Recipient OST Type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Recipient Alias</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Recipient DUNS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1080</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Transit Authority</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PINELLAS SUNCOAST TRANSIT AUTHORITY</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069675825</w:t>
                  </w:r>
                </w:p>
              </w:tc>
            </w:tr>
          </w:tbl>
          <w:p w:rsidR="00E432CA" w:rsidRDefault="00E432CA">
            <w:pPr>
              <w:rPr>
                <w:rFonts w:ascii="Arial" w:eastAsia="Times New Roman" w:hAnsi="Arial" w:cs="Arial"/>
              </w:rPr>
            </w:pPr>
          </w:p>
        </w:tc>
      </w:tr>
    </w:tbl>
    <w:p w:rsidR="00E432CA" w:rsidRDefault="00E432CA">
      <w:pPr>
        <w:spacing w:after="240"/>
        <w:divId w:val="1838766119"/>
        <w:rPr>
          <w:rFonts w:ascii="Arial" w:eastAsia="Times New Roman" w:hAnsi="Arial" w:cs="Arial"/>
          <w:sz w:val="20"/>
          <w:szCs w:val="20"/>
        </w:rPr>
      </w:pPr>
    </w:p>
    <w:p w:rsidR="00E432CA" w:rsidRDefault="00446E59">
      <w:pPr>
        <w:divId w:val="748380979"/>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432CA">
        <w:trPr>
          <w:divId w:val="1838766119"/>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432CA" w:rsidRDefault="00446E59">
            <w:pPr>
              <w:divId w:val="1108280197"/>
              <w:rPr>
                <w:rFonts w:ascii="Arial" w:eastAsia="Times New Roman" w:hAnsi="Arial" w:cs="Arial"/>
                <w:b/>
                <w:bCs/>
                <w:sz w:val="28"/>
                <w:szCs w:val="28"/>
              </w:rPr>
            </w:pPr>
            <w:r>
              <w:rPr>
                <w:rFonts w:ascii="Arial" w:eastAsia="Times New Roman" w:hAnsi="Arial" w:cs="Arial"/>
                <w:b/>
                <w:bCs/>
                <w:sz w:val="28"/>
                <w:szCs w:val="28"/>
              </w:rPr>
              <w:t>Title: Section 5339 Formula Grant</w:t>
            </w: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7"/>
              <w:gridCol w:w="1487"/>
              <w:gridCol w:w="1345"/>
              <w:gridCol w:w="1480"/>
              <w:gridCol w:w="2011"/>
              <w:gridCol w:w="1485"/>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FAIN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Award Status</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Award Type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Date Created</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Last Updated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From TEAM?</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FL-2017-015-01</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Closed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8/7/2017</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9/25/2017</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No</w:t>
                  </w:r>
                </w:p>
              </w:tc>
            </w:tr>
          </w:tbl>
          <w:p w:rsidR="00E432CA" w:rsidRDefault="00E432CA">
            <w:pPr>
              <w:spacing w:after="240"/>
              <w:rPr>
                <w:rFonts w:ascii="Arial" w:eastAsia="Times New Roman" w:hAnsi="Arial" w:cs="Arial"/>
              </w:rPr>
            </w:pPr>
          </w:p>
        </w:tc>
      </w:tr>
    </w:tbl>
    <w:p w:rsidR="00E432CA" w:rsidRDefault="00E432CA">
      <w:pPr>
        <w:spacing w:after="240"/>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4"/>
        <w:gridCol w:w="1618"/>
        <w:gridCol w:w="1416"/>
        <w:gridCol w:w="1337"/>
      </w:tblGrid>
      <w:tr w:rsidR="00E432CA">
        <w:trPr>
          <w:divId w:val="1838766119"/>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Amount</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49 USC 5339 - (MAP 21) Bus and Bus Facilities Formula (FY2013 &amp; Fwd)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5339-1</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20526</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$4,134,320</w:t>
            </w:r>
          </w:p>
        </w:tc>
      </w:tr>
      <w:tr w:rsidR="00E432CA">
        <w:trPr>
          <w:divId w:val="1838766119"/>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lastRenderedPageBreak/>
              <w:t>Local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Transportation Development Credit</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$1,033,580</w:t>
            </w:r>
          </w:p>
        </w:tc>
      </w:tr>
      <w:tr w:rsidR="00E432CA">
        <w:trPr>
          <w:divId w:val="1838766119"/>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Adjustment</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divId w:val="183876611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$4,134,320</w:t>
            </w:r>
          </w:p>
        </w:tc>
      </w:tr>
    </w:tbl>
    <w:p w:rsidR="00E432CA" w:rsidRDefault="00E432CA">
      <w:pPr>
        <w:spacing w:after="240"/>
        <w:divId w:val="1838766119"/>
        <w:rPr>
          <w:rFonts w:ascii="Arial" w:eastAsia="Times New Roman" w:hAnsi="Arial" w:cs="Arial"/>
          <w:sz w:val="20"/>
          <w:szCs w:val="20"/>
        </w:rPr>
      </w:pPr>
    </w:p>
    <w:p w:rsidR="00E432CA" w:rsidRDefault="00446E59">
      <w:pPr>
        <w:divId w:val="348607975"/>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2"/>
        <w:gridCol w:w="1313"/>
        <w:gridCol w:w="1125"/>
        <w:gridCol w:w="1465"/>
        <w:gridCol w:w="1544"/>
        <w:gridCol w:w="1302"/>
        <w:gridCol w:w="1574"/>
      </w:tblGrid>
      <w:tr w:rsidR="00E432CA">
        <w:trPr>
          <w:divId w:val="1838766119"/>
          <w:tblCellSpacing w:w="15" w:type="dxa"/>
        </w:trPr>
        <w:tc>
          <w:tcPr>
            <w:tcW w:w="0" w:type="auto"/>
            <w:gridSpan w:val="7"/>
            <w:tcMar>
              <w:top w:w="300" w:type="dxa"/>
              <w:left w:w="15" w:type="dxa"/>
              <w:bottom w:w="30" w:type="dxa"/>
              <w:right w:w="60" w:type="dxa"/>
            </w:tcMar>
            <w:vAlign w:val="center"/>
            <w:hideMark/>
          </w:tcPr>
          <w:p w:rsidR="00E432CA" w:rsidRDefault="00446E59">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E432CA">
        <w:trPr>
          <w:divId w:val="1838766119"/>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Report Type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Report Period</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Final Report?</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Report Period Begin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Report Period End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Report Due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Submission Date</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Quarterly</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Quarter 1 (Oct - Dec), FY 2019</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10/1/2018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12/31/2018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1/30/2019</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1/18/2019</w:t>
            </w:r>
          </w:p>
        </w:tc>
      </w:tr>
    </w:tbl>
    <w:p w:rsidR="00E432CA" w:rsidRDefault="00E432CA">
      <w:pPr>
        <w:spacing w:after="240"/>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2"/>
        <w:gridCol w:w="2366"/>
        <w:gridCol w:w="2366"/>
        <w:gridCol w:w="2381"/>
      </w:tblGrid>
      <w:tr w:rsidR="00E432CA">
        <w:trPr>
          <w:divId w:val="1838766119"/>
          <w:tblCellSpacing w:w="15" w:type="dxa"/>
        </w:trPr>
        <w:tc>
          <w:tcPr>
            <w:tcW w:w="0" w:type="auto"/>
            <w:gridSpan w:val="4"/>
            <w:tcMar>
              <w:top w:w="300" w:type="dxa"/>
              <w:left w:w="15" w:type="dxa"/>
              <w:bottom w:w="30" w:type="dxa"/>
              <w:right w:w="60" w:type="dxa"/>
            </w:tcMar>
            <w:vAlign w:val="center"/>
            <w:hideMark/>
          </w:tcPr>
          <w:p w:rsidR="00E432CA" w:rsidRDefault="00446E59">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E432CA">
        <w:trPr>
          <w:divId w:val="1838766119"/>
          <w:tblCellSpacing w:w="15" w:type="dxa"/>
        </w:trPr>
        <w:tc>
          <w:tcPr>
            <w:tcW w:w="1250" w:type="pct"/>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Previous Status</w:t>
            </w:r>
          </w:p>
        </w:tc>
        <w:tc>
          <w:tcPr>
            <w:tcW w:w="1250" w:type="pct"/>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New Status</w:t>
            </w:r>
          </w:p>
        </w:tc>
        <w:tc>
          <w:tcPr>
            <w:tcW w:w="1250" w:type="pct"/>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Updated Date</w:t>
            </w:r>
          </w:p>
        </w:tc>
        <w:tc>
          <w:tcPr>
            <w:tcW w:w="1250" w:type="pct"/>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Updated By</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FTA Review Complete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2/22/2019</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1/18/2019</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Pam Reitz</w:t>
            </w:r>
          </w:p>
        </w:tc>
      </w:tr>
    </w:tbl>
    <w:p w:rsidR="00E432CA" w:rsidRDefault="00E432CA">
      <w:pPr>
        <w:spacing w:after="240"/>
        <w:divId w:val="1838766119"/>
        <w:rPr>
          <w:rFonts w:ascii="Arial" w:eastAsia="Times New Roman" w:hAnsi="Arial" w:cs="Arial"/>
          <w:sz w:val="20"/>
          <w:szCs w:val="20"/>
        </w:rPr>
      </w:pPr>
    </w:p>
    <w:p w:rsidR="00E432CA" w:rsidRDefault="00446E59">
      <w:pPr>
        <w:divId w:val="644551780"/>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Pam Reitz</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Award Overview</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2/20/2019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All expenditures and ECHO draw have been completed.</w:t>
            </w:r>
          </w:p>
        </w:tc>
      </w:tr>
    </w:tbl>
    <w:p w:rsidR="00E432CA" w:rsidRDefault="00E432CA">
      <w:pPr>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Pam Reitz</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Award Overview</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1/18/2019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Grant information submitted is complete and accurate. Final draw will be submitted when ECHO is open.</w:t>
            </w:r>
          </w:p>
        </w:tc>
      </w:tr>
    </w:tbl>
    <w:p w:rsidR="00E432CA" w:rsidRDefault="00E432CA">
      <w:pPr>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Pam Reitz</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Award Overview</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10/24/2018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Grant is active waiting on buses to be delivered.</w:t>
            </w:r>
          </w:p>
        </w:tc>
      </w:tr>
    </w:tbl>
    <w:p w:rsidR="00E432CA" w:rsidRDefault="00E432CA">
      <w:pPr>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Pam Reitz</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Award Overview</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7/30/2018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Project is ongoing and vehicles are on order</w:t>
            </w:r>
          </w:p>
        </w:tc>
      </w:tr>
    </w:tbl>
    <w:p w:rsidR="00E432CA" w:rsidRDefault="00E432CA">
      <w:pPr>
        <w:divId w:val="1838766119"/>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Pam Reitz</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Award Overview</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4/16/2018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Grant is active and project is ongoing</w:t>
            </w:r>
          </w:p>
        </w:tc>
      </w:tr>
    </w:tbl>
    <w:p w:rsidR="00E432CA" w:rsidRDefault="00E432CA">
      <w:pPr>
        <w:spacing w:after="240"/>
        <w:divId w:val="1838766119"/>
        <w:rPr>
          <w:rFonts w:ascii="Arial" w:eastAsia="Times New Roman" w:hAnsi="Arial" w:cs="Arial"/>
          <w:sz w:val="20"/>
          <w:szCs w:val="20"/>
        </w:rPr>
      </w:pPr>
    </w:p>
    <w:p w:rsidR="00E432CA" w:rsidRDefault="00446E59">
      <w:pPr>
        <w:divId w:val="927618295"/>
        <w:rPr>
          <w:rFonts w:ascii="Arial" w:eastAsia="Times New Roman" w:hAnsi="Arial" w:cs="Arial"/>
          <w:b/>
          <w:bCs/>
          <w:sz w:val="28"/>
          <w:szCs w:val="28"/>
        </w:rPr>
      </w:pPr>
      <w:r>
        <w:rPr>
          <w:rFonts w:ascii="Arial" w:eastAsia="Times New Roman" w:hAnsi="Arial" w:cs="Arial"/>
          <w:b/>
          <w:bCs/>
          <w:sz w:val="28"/>
          <w:szCs w:val="28"/>
        </w:rPr>
        <w:t xml:space="preserve">Milestone Progress FTA Review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E432CA">
        <w:trPr>
          <w:divId w:val="1838766119"/>
          <w:tblCellSpacing w:w="15" w:type="dxa"/>
        </w:trPr>
        <w:tc>
          <w:tcPr>
            <w:tcW w:w="7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Linda Segovia</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FTA Remarks</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2/22/2019 </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FTA reviewed FFR and MPR on 2/22/2019.</w:t>
            </w:r>
          </w:p>
        </w:tc>
      </w:tr>
    </w:tbl>
    <w:p w:rsidR="00E432CA" w:rsidRDefault="00446E59">
      <w:pPr>
        <w:spacing w:after="240"/>
        <w:divId w:val="1838766119"/>
        <w:rPr>
          <w:rFonts w:ascii="Arial" w:eastAsia="Times New Roman" w:hAnsi="Arial" w:cs="Arial"/>
          <w:sz w:val="20"/>
          <w:szCs w:val="20"/>
        </w:rPr>
      </w:pPr>
      <w:r>
        <w:rPr>
          <w:rFonts w:ascii="Arial" w:eastAsia="Times New Roman" w:hAnsi="Arial" w:cs="Arial"/>
          <w:sz w:val="20"/>
          <w:szCs w:val="20"/>
        </w:rPr>
        <w:br/>
      </w:r>
    </w:p>
    <w:p w:rsidR="00E432CA" w:rsidRDefault="00446E59">
      <w:pPr>
        <w:divId w:val="1157653206"/>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432CA">
        <w:trPr>
          <w:divId w:val="1838766119"/>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432CA" w:rsidRDefault="00446E59">
            <w:pPr>
              <w:divId w:val="1520853629"/>
              <w:rPr>
                <w:rFonts w:ascii="Arial" w:eastAsia="Times New Roman" w:hAnsi="Arial" w:cs="Arial"/>
                <w:b/>
                <w:bCs/>
              </w:rPr>
            </w:pPr>
            <w:r>
              <w:rPr>
                <w:rFonts w:ascii="Arial" w:eastAsia="Times New Roman" w:hAnsi="Arial" w:cs="Arial"/>
                <w:b/>
                <w:bCs/>
              </w:rPr>
              <w:t>Budget Activity Line Item: 11.12.02 - BUY REPLACEMENT 35-FT BUS</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The funds in ALI 11.12.01 will be used by PSTA to purchase 3 - 35` Gillig hybrid buses. If PSTA is awarded funding under the Section 5339 Discretionary grant, the new vehicle will replace a selection of 2003 vehicles that are currently out of useful life. The replacement vehicle list is attached to the grant. The vehicle that will be replaced will be determined based on their condition when the new vehicles arrive at PSTA. The buses are 35` heavy duty vehicles with a useful life of 12 years or 500,000 miles. The vehicles will be a low floor design for easy accessibility, interior/exterior cameras, real time Bus information (RTBI) for Security, LED lighting, fareboxes, vapor photo sensor, and bike racks to facilitate intermodal travel opportunities. Each bus is estimated to be $752,000 for an estimated total cost of $2,256,000. Additional funds in this ALI will be used to cover expenses related to the purchase of replacement buses, which will include but not limited to: buses, inspections, travel, training and any additional equipment that is needed. If the vehicle price is lower PSTA may be able to purchase an additional vehicle with the grant funding available. If any funds are remaining they will be applied to future bus purchases. ======================= PSTA is a member of a bus buy consortium and we will purchase using the Lynx (Orlando) contract through the consortium. Because of the purchase through the Lynx contract the RFP and award dates will not match the dates for the STIP or the start date of the grant. </w:t>
            </w: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3"/>
              <w:gridCol w:w="1942"/>
              <w:gridCol w:w="2462"/>
              <w:gridCol w:w="2784"/>
              <w:gridCol w:w="1094"/>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Quantity</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11.12.02</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BUS - ROLLING STOCK (111-00)</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BUY REPLACEMENT 35-FT BUS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BUY REPLACEMENTS - CAPITOL BUS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73"/>
              <w:gridCol w:w="1603"/>
              <w:gridCol w:w="1406"/>
              <w:gridCol w:w="1337"/>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Amount</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49 USC 5339 - (MAP 21) Bus and Bus Facilities Formula (FY2013 &amp; Fwd)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5339-1</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20526</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$4,129,326</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Transportation Development Credit</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$1,033,580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Adjustment</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$4,129,326</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 Date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 Date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9/1/2013</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9/1/2013</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 Date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 Date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12/12/2013</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12/12/2013</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Delivery Date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Delivery Date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12/1/2018</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10/3/2018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First bus delivered</w:t>
                        </w: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Delivery Date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Delivery Date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817"/>
                    <w:gridCol w:w="1647"/>
                    <w:gridCol w:w="1621"/>
                    <w:gridCol w:w="2840"/>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12/30/2018</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10/30/2018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12/31/2018 - The last bus was delivered on 10/30/2018 and final draw will be submitted after ECHO is reopened.</w:t>
                        </w: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Completion Date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Completion Date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73"/>
                    <w:gridCol w:w="1906"/>
                    <w:gridCol w:w="1849"/>
                    <w:gridCol w:w="1896"/>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4/1/2019</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432CA">
        <w:trPr>
          <w:divId w:val="1838766119"/>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432CA" w:rsidRDefault="00446E59">
            <w:pPr>
              <w:divId w:val="109015893"/>
              <w:rPr>
                <w:rFonts w:ascii="Arial" w:eastAsia="Times New Roman" w:hAnsi="Arial" w:cs="Arial"/>
                <w:b/>
                <w:bCs/>
              </w:rPr>
            </w:pPr>
            <w:r>
              <w:rPr>
                <w:rFonts w:ascii="Arial" w:eastAsia="Times New Roman" w:hAnsi="Arial" w:cs="Arial"/>
                <w:b/>
                <w:bCs/>
              </w:rPr>
              <w:t>Budget Activity Line Item: 11.79.00 - PROJECT ADMINISTRATION</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Normally PSTA includes 3% of FTA funds for Project Admin. However, this year PSTA has programmed .18% of FTA funds in ALI 11.79.00 and we feel that this will be sufficient to cover expenses for this ALI. </w:t>
            </w: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1"/>
              <w:gridCol w:w="2458"/>
              <w:gridCol w:w="2631"/>
              <w:gridCol w:w="2071"/>
              <w:gridCol w:w="1094"/>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Quantity</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11.79.00</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PROJECT ADMINISTRATION</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CAPITAL ITEMS (BUS)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99"/>
              <w:gridCol w:w="1645"/>
              <w:gridCol w:w="1433"/>
              <w:gridCol w:w="1042"/>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Amount</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49 USC 5339 - (MAP 21) Bus and Bus Facilities Formula (FY2013 &amp; Fwd)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5339-1</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20526</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$4,994</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Transportation Development Credit</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Adjustment</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$4,994</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Initial Expediture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Initial Expediture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5/2/2016</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7/31/2016</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Final Expenditure</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Final Expenditure</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859"/>
                    <w:gridCol w:w="1671"/>
                    <w:gridCol w:w="1642"/>
                    <w:gridCol w:w="2753"/>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12/31/2018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12/31/2018 - All project administration funds have been drawn and ALI is complete</w:t>
                        </w: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divId w:val="1838766119"/>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432CA">
        <w:trPr>
          <w:divId w:val="1838766119"/>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432CA" w:rsidRDefault="00446E59">
            <w:pPr>
              <w:divId w:val="997540212"/>
              <w:rPr>
                <w:rFonts w:ascii="Arial" w:eastAsia="Times New Roman" w:hAnsi="Arial" w:cs="Arial"/>
                <w:b/>
                <w:bCs/>
              </w:rPr>
            </w:pPr>
            <w:r>
              <w:rPr>
                <w:rFonts w:ascii="Arial" w:eastAsia="Times New Roman" w:hAnsi="Arial" w:cs="Arial"/>
                <w:b/>
                <w:bCs/>
              </w:rPr>
              <w:t>Budget Activity Line Item: 11.12.02 - BUY REPLACEMENT 35-FT BUS</w:t>
            </w:r>
          </w:p>
        </w:tc>
      </w:tr>
      <w:tr w:rsidR="00E432CA">
        <w:trPr>
          <w:divId w:val="1838766119"/>
          <w:tblCellSpacing w:w="15" w:type="dxa"/>
        </w:trPr>
        <w:tc>
          <w:tcPr>
            <w:tcW w:w="0" w:type="auto"/>
            <w:tcMar>
              <w:top w:w="30" w:type="dxa"/>
              <w:left w:w="15" w:type="dxa"/>
              <w:bottom w:w="30" w:type="dxa"/>
              <w:right w:w="60" w:type="dxa"/>
            </w:tcMar>
            <w:vAlign w:val="center"/>
            <w:hideMark/>
          </w:tcPr>
          <w:p w:rsidR="00E432CA" w:rsidRDefault="00446E59">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The funds in ALI 11.12.01 will be used by PSTA to purchase 3 - 35` Gillig hybrid buses. If PSTA is awarded funding under the Section 5339 Discretionary grant, the new vehicle will replace a selection of 2003 vehicles that are currently out of useful life. The replacement vehicle list is attached to the grant. The vehicle that will be replaced will be determined based on their condition when the new vehicles arrive at PSTA. The buses are 35` heavy duty vehicles with a useful life of 12 years or 500,000 miles. The vehicles will be a low floor design for easy accessibility, interior/exterior cameras, real time Bus information (RTBI) for Security, LED lighting, fareboxes, vapor photo sensor, and bike racks to facilitate intermodal travel opportunities. Each bus is estimated to be $752,000 for an estimated total cost of $2,256,000. Additional funds in this ALI will be used to cover expenses related to the purchase of replacement buses, which will include but not limited to: buses, inspections, travel, training and any additional equipment that is needed. If the vehicle price is lower PSTA may be able to purchase an additional vehicle with the grant funding available. If any funds are remaining they will be applied to future bus purchases. ======================= PSTA is a member of a bus buy consortium and we will purchase using the Lynx (Orlando) contract through the consortium. Because of the purchase through the Lynx contract the RFP and award dates will not match the dates for the STIP or the start date of the grant. </w:t>
            </w: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3"/>
              <w:gridCol w:w="1942"/>
              <w:gridCol w:w="2462"/>
              <w:gridCol w:w="2784"/>
              <w:gridCol w:w="1094"/>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Quantity</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11.12.02</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BUS - ROLLING STOCK (111-00)</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BUY REPLACEMENT 35-FT BUS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BUY REPLACEMENTS - CAPITOL BUS</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73"/>
              <w:gridCol w:w="1603"/>
              <w:gridCol w:w="1406"/>
              <w:gridCol w:w="1337"/>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Amount</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49 USC 5339 - (MAP 21) Bus and Bus Facilities Formula (FY2013 &amp; Fwd)</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5339-1</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20526</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$4,129,326</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Local/In-Kind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State/In-Kind</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Transportation Development Credit</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$1,033,580</w:t>
                  </w:r>
                </w:p>
              </w:tc>
            </w:tr>
            <w:tr w:rsidR="00E432CA">
              <w:trPr>
                <w:tblCellSpacing w:w="15" w:type="dxa"/>
              </w:trPr>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Adjustment</w:t>
                  </w:r>
                </w:p>
              </w:tc>
              <w:tc>
                <w:tcPr>
                  <w:tcW w:w="0" w:type="auto"/>
                  <w:shd w:val="clear" w:color="auto" w:fill="E4E2E3"/>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E432CA" w:rsidRDefault="00E432CA">
                  <w:pPr>
                    <w:rPr>
                      <w:rFonts w:eastAsia="Times New Roman"/>
                      <w:sz w:val="20"/>
                      <w:szCs w:val="20"/>
                    </w:rPr>
                  </w:pPr>
                </w:p>
              </w:tc>
              <w:tc>
                <w:tcPr>
                  <w:tcW w:w="0" w:type="auto"/>
                  <w:shd w:val="clear" w:color="auto" w:fill="E4E2E3"/>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$0</w:t>
                  </w:r>
                </w:p>
              </w:tc>
            </w:tr>
            <w:tr w:rsidR="00E432C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$4,129,326</w:t>
                  </w:r>
                </w:p>
              </w:tc>
            </w:tr>
          </w:tbl>
          <w:p w:rsidR="00E432CA" w:rsidRDefault="00E432CA">
            <w:pPr>
              <w:spacing w:after="240"/>
              <w:rPr>
                <w:rFonts w:ascii="Arial" w:eastAsia="Times New Roman" w:hAnsi="Arial" w:cs="Arial"/>
              </w:rPr>
            </w:pPr>
          </w:p>
        </w:tc>
      </w:tr>
      <w:tr w:rsidR="00E432CA">
        <w:trPr>
          <w:divId w:val="1838766119"/>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PSTA Contract Award</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PSTA Contract Award</w:t>
                  </w:r>
                </w:p>
              </w:tc>
            </w:tr>
            <w:tr w:rsidR="00E432CA">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300"/>
                    <w:gridCol w:w="1921"/>
                    <w:gridCol w:w="1862"/>
                    <w:gridCol w:w="1917"/>
                  </w:tblGrid>
                  <w:tr w:rsidR="00E432C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Original Estimated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E432CA" w:rsidRDefault="00446E59">
                        <w:pPr>
                          <w:rPr>
                            <w:rFonts w:ascii="Arial" w:eastAsia="Times New Roman" w:hAnsi="Arial" w:cs="Arial"/>
                            <w:b/>
                            <w:bCs/>
                          </w:rPr>
                        </w:pPr>
                        <w:r>
                          <w:rPr>
                            <w:rFonts w:ascii="Arial" w:eastAsia="Times New Roman" w:hAnsi="Arial" w:cs="Arial"/>
                            <w:b/>
                            <w:bCs/>
                          </w:rPr>
                          <w:t>Milestone Progress Remarks</w:t>
                        </w:r>
                      </w:p>
                    </w:tc>
                  </w:tr>
                  <w:tr w:rsidR="00E432CA">
                    <w:trPr>
                      <w:tblCellSpacing w:w="15" w:type="dxa"/>
                    </w:trPr>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10/25/2017</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c>
                      <w:tcPr>
                        <w:tcW w:w="0" w:type="auto"/>
                        <w:tcMar>
                          <w:top w:w="30" w:type="dxa"/>
                          <w:left w:w="15" w:type="dxa"/>
                          <w:bottom w:w="30" w:type="dxa"/>
                          <w:right w:w="60" w:type="dxa"/>
                        </w:tcMar>
                        <w:vAlign w:val="center"/>
                        <w:hideMark/>
                      </w:tcPr>
                      <w:p w:rsidR="00E432CA" w:rsidRDefault="00446E59">
                        <w:pPr>
                          <w:rPr>
                            <w:rFonts w:ascii="Arial" w:eastAsia="Times New Roman" w:hAnsi="Arial" w:cs="Arial"/>
                          </w:rPr>
                        </w:pPr>
                        <w:r>
                          <w:rPr>
                            <w:rFonts w:ascii="Arial" w:eastAsia="Times New Roman" w:hAnsi="Arial" w:cs="Arial"/>
                          </w:rPr>
                          <w:t>11/13/2017</w:t>
                        </w:r>
                      </w:p>
                    </w:tc>
                    <w:tc>
                      <w:tcPr>
                        <w:tcW w:w="0" w:type="auto"/>
                        <w:tcMar>
                          <w:top w:w="30" w:type="dxa"/>
                          <w:left w:w="15" w:type="dxa"/>
                          <w:bottom w:w="30" w:type="dxa"/>
                          <w:right w:w="60" w:type="dxa"/>
                        </w:tcMar>
                        <w:vAlign w:val="center"/>
                        <w:hideMark/>
                      </w:tcPr>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rPr>
                <w:rFonts w:ascii="Arial" w:eastAsia="Times New Roman" w:hAnsi="Arial" w:cs="Arial"/>
              </w:rPr>
            </w:pPr>
          </w:p>
        </w:tc>
      </w:tr>
    </w:tbl>
    <w:p w:rsidR="00E432CA" w:rsidRDefault="00E432CA">
      <w:pPr>
        <w:spacing w:after="240"/>
        <w:divId w:val="1838766119"/>
        <w:rPr>
          <w:rFonts w:ascii="Arial" w:eastAsia="Times New Roman" w:hAnsi="Arial" w:cs="Arial"/>
          <w:sz w:val="20"/>
          <w:szCs w:val="20"/>
        </w:rPr>
      </w:pPr>
    </w:p>
    <w:sectPr w:rsidR="00E43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46E59"/>
    <w:rsid w:val="003C4B5C"/>
    <w:rsid w:val="00446E59"/>
    <w:rsid w:val="00E4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37564">
      <w:marLeft w:val="0"/>
      <w:marRight w:val="0"/>
      <w:marTop w:val="100"/>
      <w:marBottom w:val="100"/>
      <w:divBdr>
        <w:top w:val="none" w:sz="0" w:space="0" w:color="auto"/>
        <w:left w:val="none" w:sz="0" w:space="0" w:color="auto"/>
        <w:bottom w:val="none" w:sz="0" w:space="0" w:color="auto"/>
        <w:right w:val="none" w:sz="0" w:space="0" w:color="auto"/>
      </w:divBdr>
      <w:divsChild>
        <w:div w:id="1641299965">
          <w:marLeft w:val="0"/>
          <w:marRight w:val="0"/>
          <w:marTop w:val="0"/>
          <w:marBottom w:val="0"/>
          <w:divBdr>
            <w:top w:val="none" w:sz="0" w:space="0" w:color="auto"/>
            <w:left w:val="none" w:sz="0" w:space="0" w:color="auto"/>
            <w:bottom w:val="single" w:sz="6" w:space="0" w:color="000000"/>
            <w:right w:val="none" w:sz="0" w:space="0" w:color="auto"/>
          </w:divBdr>
        </w:div>
      </w:divsChild>
    </w:div>
    <w:div w:id="1838766119">
      <w:marLeft w:val="0"/>
      <w:marRight w:val="0"/>
      <w:marTop w:val="100"/>
      <w:marBottom w:val="100"/>
      <w:divBdr>
        <w:top w:val="none" w:sz="0" w:space="0" w:color="auto"/>
        <w:left w:val="none" w:sz="0" w:space="0" w:color="auto"/>
        <w:bottom w:val="none" w:sz="0" w:space="0" w:color="auto"/>
        <w:right w:val="none" w:sz="0" w:space="0" w:color="auto"/>
      </w:divBdr>
      <w:divsChild>
        <w:div w:id="1822383002">
          <w:marLeft w:val="0"/>
          <w:marRight w:val="0"/>
          <w:marTop w:val="0"/>
          <w:marBottom w:val="0"/>
          <w:divBdr>
            <w:top w:val="none" w:sz="0" w:space="0" w:color="auto"/>
            <w:left w:val="none" w:sz="0" w:space="0" w:color="auto"/>
            <w:bottom w:val="none" w:sz="0" w:space="0" w:color="auto"/>
            <w:right w:val="none" w:sz="0" w:space="0" w:color="auto"/>
          </w:divBdr>
        </w:div>
        <w:div w:id="1218738988">
          <w:marLeft w:val="0"/>
          <w:marRight w:val="0"/>
          <w:marTop w:val="0"/>
          <w:marBottom w:val="0"/>
          <w:divBdr>
            <w:top w:val="none" w:sz="0" w:space="0" w:color="auto"/>
            <w:left w:val="none" w:sz="0" w:space="0" w:color="auto"/>
            <w:bottom w:val="none" w:sz="0" w:space="0" w:color="auto"/>
            <w:right w:val="none" w:sz="0" w:space="0" w:color="auto"/>
          </w:divBdr>
        </w:div>
        <w:div w:id="2051105470">
          <w:marLeft w:val="0"/>
          <w:marRight w:val="0"/>
          <w:marTop w:val="0"/>
          <w:marBottom w:val="0"/>
          <w:divBdr>
            <w:top w:val="none" w:sz="0" w:space="0" w:color="auto"/>
            <w:left w:val="none" w:sz="0" w:space="0" w:color="auto"/>
            <w:bottom w:val="none" w:sz="0" w:space="0" w:color="auto"/>
            <w:right w:val="none" w:sz="0" w:space="0" w:color="auto"/>
          </w:divBdr>
        </w:div>
        <w:div w:id="748380979">
          <w:marLeft w:val="0"/>
          <w:marRight w:val="0"/>
          <w:marTop w:val="0"/>
          <w:marBottom w:val="0"/>
          <w:divBdr>
            <w:top w:val="none" w:sz="0" w:space="0" w:color="auto"/>
            <w:left w:val="none" w:sz="0" w:space="0" w:color="auto"/>
            <w:bottom w:val="none" w:sz="0" w:space="0" w:color="auto"/>
            <w:right w:val="none" w:sz="0" w:space="0" w:color="auto"/>
          </w:divBdr>
        </w:div>
        <w:div w:id="1108280197">
          <w:marLeft w:val="0"/>
          <w:marRight w:val="0"/>
          <w:marTop w:val="0"/>
          <w:marBottom w:val="0"/>
          <w:divBdr>
            <w:top w:val="none" w:sz="0" w:space="0" w:color="auto"/>
            <w:left w:val="none" w:sz="0" w:space="0" w:color="auto"/>
            <w:bottom w:val="none" w:sz="0" w:space="0" w:color="auto"/>
            <w:right w:val="none" w:sz="0" w:space="0" w:color="auto"/>
          </w:divBdr>
        </w:div>
        <w:div w:id="348607975">
          <w:marLeft w:val="0"/>
          <w:marRight w:val="0"/>
          <w:marTop w:val="0"/>
          <w:marBottom w:val="0"/>
          <w:divBdr>
            <w:top w:val="none" w:sz="0" w:space="0" w:color="auto"/>
            <w:left w:val="none" w:sz="0" w:space="0" w:color="auto"/>
            <w:bottom w:val="none" w:sz="0" w:space="0" w:color="auto"/>
            <w:right w:val="none" w:sz="0" w:space="0" w:color="auto"/>
          </w:divBdr>
        </w:div>
        <w:div w:id="644551780">
          <w:marLeft w:val="0"/>
          <w:marRight w:val="0"/>
          <w:marTop w:val="0"/>
          <w:marBottom w:val="150"/>
          <w:divBdr>
            <w:top w:val="none" w:sz="0" w:space="0" w:color="auto"/>
            <w:left w:val="none" w:sz="0" w:space="0" w:color="auto"/>
            <w:bottom w:val="none" w:sz="0" w:space="0" w:color="auto"/>
            <w:right w:val="none" w:sz="0" w:space="0" w:color="auto"/>
          </w:divBdr>
        </w:div>
        <w:div w:id="927618295">
          <w:marLeft w:val="0"/>
          <w:marRight w:val="0"/>
          <w:marTop w:val="0"/>
          <w:marBottom w:val="150"/>
          <w:divBdr>
            <w:top w:val="none" w:sz="0" w:space="0" w:color="auto"/>
            <w:left w:val="none" w:sz="0" w:space="0" w:color="auto"/>
            <w:bottom w:val="none" w:sz="0" w:space="0" w:color="auto"/>
            <w:right w:val="none" w:sz="0" w:space="0" w:color="auto"/>
          </w:divBdr>
        </w:div>
        <w:div w:id="1157653206">
          <w:marLeft w:val="0"/>
          <w:marRight w:val="0"/>
          <w:marTop w:val="0"/>
          <w:marBottom w:val="150"/>
          <w:divBdr>
            <w:top w:val="none" w:sz="0" w:space="0" w:color="auto"/>
            <w:left w:val="none" w:sz="0" w:space="0" w:color="auto"/>
            <w:bottom w:val="none" w:sz="0" w:space="0" w:color="auto"/>
            <w:right w:val="none" w:sz="0" w:space="0" w:color="auto"/>
          </w:divBdr>
        </w:div>
        <w:div w:id="1520853629">
          <w:marLeft w:val="0"/>
          <w:marRight w:val="0"/>
          <w:marTop w:val="0"/>
          <w:marBottom w:val="0"/>
          <w:divBdr>
            <w:top w:val="none" w:sz="0" w:space="0" w:color="auto"/>
            <w:left w:val="none" w:sz="0" w:space="0" w:color="auto"/>
            <w:bottom w:val="none" w:sz="0" w:space="0" w:color="auto"/>
            <w:right w:val="none" w:sz="0" w:space="0" w:color="auto"/>
          </w:divBdr>
        </w:div>
        <w:div w:id="109015893">
          <w:marLeft w:val="0"/>
          <w:marRight w:val="0"/>
          <w:marTop w:val="0"/>
          <w:marBottom w:val="0"/>
          <w:divBdr>
            <w:top w:val="none" w:sz="0" w:space="0" w:color="auto"/>
            <w:left w:val="none" w:sz="0" w:space="0" w:color="auto"/>
            <w:bottom w:val="none" w:sz="0" w:space="0" w:color="auto"/>
            <w:right w:val="none" w:sz="0" w:space="0" w:color="auto"/>
          </w:divBdr>
        </w:div>
        <w:div w:id="99754021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DOT</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subject/>
  <dc:creator>Clark, Tara (FTA)</dc:creator>
  <cp:keywords/>
  <dc:description/>
  <cp:lastModifiedBy>SYSTEM</cp:lastModifiedBy>
  <cp:revision>2</cp:revision>
  <dcterms:created xsi:type="dcterms:W3CDTF">2019-11-25T19:57:00Z</dcterms:created>
  <dcterms:modified xsi:type="dcterms:W3CDTF">2019-11-25T19:57:00Z</dcterms:modified>
</cp:coreProperties>
</file>