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1A3B" w:rsidP="00C71A3B" w14:paraId="46A38EDC" w14:textId="21425D0B">
      <w:pPr>
        <w:pStyle w:val="paragraph"/>
        <w:textAlignment w:val="baseline"/>
      </w:pPr>
      <w:r>
        <w:rPr>
          <w:rStyle w:val="normaltextrun"/>
          <w:sz w:val="22"/>
          <w:szCs w:val="22"/>
        </w:rPr>
        <w:t>J</w:t>
      </w:r>
      <w:r w:rsidR="00B65D97">
        <w:rPr>
          <w:rStyle w:val="normaltextrun"/>
          <w:sz w:val="22"/>
          <w:szCs w:val="22"/>
        </w:rPr>
        <w:t xml:space="preserve">anuary </w:t>
      </w:r>
      <w:r w:rsidR="009E515A">
        <w:rPr>
          <w:rStyle w:val="normaltextrun"/>
          <w:sz w:val="22"/>
          <w:szCs w:val="22"/>
        </w:rPr>
        <w:t>3</w:t>
      </w:r>
      <w:r>
        <w:rPr>
          <w:rStyle w:val="normaltextrun"/>
          <w:sz w:val="22"/>
          <w:szCs w:val="22"/>
        </w:rPr>
        <w:t>, 202</w:t>
      </w:r>
      <w:r w:rsidR="00B65D97">
        <w:rPr>
          <w:rStyle w:val="normaltextrun"/>
          <w:sz w:val="22"/>
          <w:szCs w:val="22"/>
        </w:rPr>
        <w:t>3</w:t>
      </w:r>
      <w:r>
        <w:rPr>
          <w:rStyle w:val="eop"/>
          <w:sz w:val="22"/>
          <w:szCs w:val="22"/>
        </w:rPr>
        <w:t> </w:t>
      </w:r>
    </w:p>
    <w:p w:rsidR="00C71A3B" w:rsidP="00C71A3B" w14:paraId="0BAC67D7" w14:textId="77777777">
      <w:pPr>
        <w:pStyle w:val="paragraph"/>
        <w:textAlignment w:val="baseline"/>
      </w:pPr>
      <w:r>
        <w:rPr>
          <w:rStyle w:val="normaltextrun"/>
          <w:sz w:val="22"/>
          <w:szCs w:val="22"/>
        </w:rPr>
        <w:t>FEDERAL COMMUNICATIONS COMMISSION</w:t>
      </w:r>
      <w:r>
        <w:rPr>
          <w:rStyle w:val="eop"/>
          <w:sz w:val="22"/>
          <w:szCs w:val="22"/>
        </w:rPr>
        <w:t> </w:t>
      </w:r>
    </w:p>
    <w:p w:rsidR="00C71A3B" w:rsidP="00C71A3B" w14:paraId="709065DE" w14:textId="16E411DD">
      <w:pPr>
        <w:pStyle w:val="paragraph"/>
        <w:textAlignment w:val="baseline"/>
      </w:pPr>
      <w:r>
        <w:rPr>
          <w:rStyle w:val="normaltextrun"/>
          <w:sz w:val="22"/>
          <w:szCs w:val="22"/>
        </w:rPr>
        <w:t>OMB Control Number:  3060-0</w:t>
      </w:r>
      <w:r w:rsidR="00B65D97">
        <w:rPr>
          <w:rStyle w:val="normaltextrun"/>
          <w:sz w:val="22"/>
          <w:szCs w:val="22"/>
        </w:rPr>
        <w:t>519</w:t>
      </w:r>
      <w:r>
        <w:rPr>
          <w:rStyle w:val="normaltextrun"/>
          <w:sz w:val="22"/>
          <w:szCs w:val="22"/>
        </w:rPr>
        <w:t> </w:t>
      </w:r>
      <w:r>
        <w:rPr>
          <w:rStyle w:val="eop"/>
          <w:sz w:val="22"/>
          <w:szCs w:val="22"/>
        </w:rPr>
        <w:t> </w:t>
      </w:r>
    </w:p>
    <w:p w:rsidR="00C71A3B" w:rsidP="00C71A3B" w14:paraId="6EA0EAC2" w14:textId="77777777">
      <w:pPr>
        <w:pStyle w:val="paragraph"/>
        <w:textAlignment w:val="baseline"/>
      </w:pPr>
      <w:r>
        <w:rPr>
          <w:rStyle w:val="normaltextrun"/>
          <w:sz w:val="22"/>
          <w:szCs w:val="22"/>
        </w:rPr>
        <w:t>Requested Action: Non-substantive change/non-material change request</w:t>
      </w:r>
      <w:r>
        <w:rPr>
          <w:rStyle w:val="eop"/>
          <w:sz w:val="22"/>
          <w:szCs w:val="22"/>
        </w:rPr>
        <w:t> </w:t>
      </w:r>
    </w:p>
    <w:p w:rsidR="00C71A3B" w:rsidP="00C71A3B" w14:paraId="2E5B1115" w14:textId="77777777">
      <w:pPr>
        <w:pStyle w:val="paragraph"/>
        <w:textAlignment w:val="baseline"/>
      </w:pPr>
      <w:r>
        <w:rPr>
          <w:rStyle w:val="normaltextrun"/>
          <w:sz w:val="22"/>
          <w:szCs w:val="22"/>
          <w:u w:val="single"/>
        </w:rPr>
        <w:t>______________________________________________________________________________</w:t>
      </w:r>
      <w:r>
        <w:rPr>
          <w:rStyle w:val="eop"/>
          <w:sz w:val="22"/>
          <w:szCs w:val="22"/>
        </w:rPr>
        <w:t> </w:t>
      </w:r>
    </w:p>
    <w:p w:rsidR="00C71A3B" w:rsidP="00C71A3B" w14:paraId="203D449D" w14:textId="3E98A889">
      <w:pPr>
        <w:pStyle w:val="paragraph"/>
        <w:textAlignment w:val="baseline"/>
        <w:rPr>
          <w:sz w:val="22"/>
          <w:szCs w:val="22"/>
        </w:rPr>
      </w:pPr>
      <w:r>
        <w:rPr>
          <w:rStyle w:val="normaltextrun"/>
          <w:sz w:val="22"/>
          <w:szCs w:val="22"/>
        </w:rPr>
        <w:t xml:space="preserve">The Federal Communications Commission submits this non-substantive change request to the Office of Management and Budget (OMB) for approval of non-substantive/non-material changes to </w:t>
      </w:r>
      <w:r w:rsidR="00B65D97">
        <w:rPr>
          <w:rStyle w:val="normaltextrun"/>
          <w:sz w:val="22"/>
          <w:szCs w:val="22"/>
        </w:rPr>
        <w:t>section 64.1200(a)(3) of our rules</w:t>
      </w:r>
      <w:r>
        <w:rPr>
          <w:rStyle w:val="normaltextrun"/>
          <w:sz w:val="22"/>
          <w:szCs w:val="22"/>
        </w:rPr>
        <w:t>.</w:t>
      </w:r>
      <w:r>
        <w:rPr>
          <w:rStyle w:val="FootnoteReference"/>
          <w:sz w:val="22"/>
          <w:szCs w:val="22"/>
        </w:rPr>
        <w:footnoteReference w:id="2"/>
      </w:r>
      <w:r>
        <w:rPr>
          <w:rStyle w:val="normaltextrun"/>
          <w:sz w:val="22"/>
          <w:szCs w:val="22"/>
        </w:rPr>
        <w:t> </w:t>
      </w:r>
      <w:r w:rsidR="00B65D97">
        <w:rPr>
          <w:rStyle w:val="normaltextrun"/>
          <w:sz w:val="22"/>
          <w:szCs w:val="22"/>
        </w:rPr>
        <w:t xml:space="preserve"> Section 64.1200(a)(3)</w:t>
      </w:r>
      <w:r>
        <w:rPr>
          <w:rStyle w:val="normaltextrun"/>
          <w:sz w:val="22"/>
          <w:szCs w:val="22"/>
        </w:rPr>
        <w:t xml:space="preserve"> </w:t>
      </w:r>
      <w:r w:rsidRPr="00B65D97" w:rsidR="00B65D97">
        <w:rPr>
          <w:sz w:val="22"/>
          <w:szCs w:val="22"/>
        </w:rPr>
        <w:t>restricts calls</w:t>
      </w:r>
      <w:r w:rsidR="00B65D97">
        <w:rPr>
          <w:sz w:val="22"/>
          <w:szCs w:val="22"/>
        </w:rPr>
        <w:t xml:space="preserve"> that contain an artificial or prerecorded vo</w:t>
      </w:r>
      <w:r w:rsidR="0044153C">
        <w:rPr>
          <w:sz w:val="22"/>
          <w:szCs w:val="22"/>
        </w:rPr>
        <w:t>i</w:t>
      </w:r>
      <w:r w:rsidR="00B65D97">
        <w:rPr>
          <w:sz w:val="22"/>
          <w:szCs w:val="22"/>
        </w:rPr>
        <w:t>ce</w:t>
      </w:r>
      <w:r w:rsidRPr="00B65D97" w:rsidR="00B65D97">
        <w:rPr>
          <w:sz w:val="22"/>
          <w:szCs w:val="22"/>
        </w:rPr>
        <w:t xml:space="preserve"> to residential telephone numbers absent the prior express consent of the called party</w:t>
      </w:r>
      <w:r w:rsidR="0044153C">
        <w:rPr>
          <w:sz w:val="22"/>
          <w:szCs w:val="22"/>
        </w:rPr>
        <w:t xml:space="preserve"> or an exemption</w:t>
      </w:r>
      <w:r w:rsidR="00B65D97">
        <w:rPr>
          <w:sz w:val="22"/>
          <w:szCs w:val="22"/>
        </w:rPr>
        <w:t xml:space="preserve">. </w:t>
      </w:r>
      <w:r w:rsidR="002A1168">
        <w:rPr>
          <w:sz w:val="22"/>
          <w:szCs w:val="22"/>
        </w:rPr>
        <w:t xml:space="preserve"> </w:t>
      </w:r>
      <w:r w:rsidRPr="00B65D97" w:rsidR="00B65D97">
        <w:rPr>
          <w:sz w:val="22"/>
          <w:szCs w:val="22"/>
        </w:rPr>
        <w:t>The Commission adopted exemptions, beginning in 1992, for calls to residential numbers that are not made for a commercial purpose, calls made for a commercial purpose that do not contain an unsolicited advertisement</w:t>
      </w:r>
      <w:bookmarkStart w:id="0" w:name="co_tablefootnote_459_1"/>
      <w:bookmarkEnd w:id="0"/>
      <w:r w:rsidRPr="00B65D97" w:rsidR="00B65D97">
        <w:rPr>
          <w:sz w:val="22"/>
          <w:szCs w:val="22"/>
        </w:rPr>
        <w:t>, and calls from tax-exempt nonprofit organizations, a</w:t>
      </w:r>
      <w:hyperlink w:anchor="co_tablefootnoteblock_459_1" w:history="1"/>
      <w:r w:rsidRPr="00B65D97" w:rsidR="00B65D97">
        <w:rPr>
          <w:sz w:val="22"/>
          <w:szCs w:val="22"/>
        </w:rPr>
        <w:t xml:space="preserve">nd for healthcare-related calls subject to the Health Insurance Portability and Accountability Act of 1996 (HIPAA).  </w:t>
      </w:r>
      <w:r w:rsidR="0051480E">
        <w:rPr>
          <w:sz w:val="22"/>
          <w:szCs w:val="22"/>
        </w:rPr>
        <w:t>In 2020, p</w:t>
      </w:r>
      <w:r w:rsidR="002A1168">
        <w:rPr>
          <w:sz w:val="22"/>
          <w:szCs w:val="22"/>
        </w:rPr>
        <w:t xml:space="preserve">ursuant to section </w:t>
      </w:r>
      <w:r w:rsidR="00CC4E46">
        <w:rPr>
          <w:sz w:val="22"/>
          <w:szCs w:val="22"/>
        </w:rPr>
        <w:t xml:space="preserve">8 </w:t>
      </w:r>
      <w:r w:rsidR="002A1168">
        <w:rPr>
          <w:sz w:val="22"/>
          <w:szCs w:val="22"/>
        </w:rPr>
        <w:t xml:space="preserve">of the </w:t>
      </w:r>
      <w:r w:rsidRPr="00224542" w:rsidR="00224542">
        <w:rPr>
          <w:sz w:val="22"/>
          <w:szCs w:val="22"/>
        </w:rPr>
        <w:t>Pallone-Thune Telephone Robocall Abuse Criminal Enforcement and Deterrence Act (TRACED Act)</w:t>
      </w:r>
      <w:r w:rsidR="00224542">
        <w:rPr>
          <w:sz w:val="22"/>
          <w:szCs w:val="22"/>
        </w:rPr>
        <w:t xml:space="preserve">, the Commission imposed numerical limits on the number of calls that can be made under these exemptions without the prior express consent of the called party.  These requirements were reflected and </w:t>
      </w:r>
      <w:r w:rsidR="0051480E">
        <w:rPr>
          <w:sz w:val="22"/>
          <w:szCs w:val="22"/>
        </w:rPr>
        <w:t>approved</w:t>
      </w:r>
      <w:r w:rsidR="00B44FE1">
        <w:rPr>
          <w:sz w:val="22"/>
          <w:szCs w:val="22"/>
        </w:rPr>
        <w:t xml:space="preserve"> by OMB on September 15, 2021,</w:t>
      </w:r>
      <w:r w:rsidR="0051480E">
        <w:rPr>
          <w:sz w:val="22"/>
          <w:szCs w:val="22"/>
        </w:rPr>
        <w:t xml:space="preserve"> in </w:t>
      </w:r>
      <w:r w:rsidR="00224542">
        <w:rPr>
          <w:sz w:val="22"/>
          <w:szCs w:val="22"/>
        </w:rPr>
        <w:t xml:space="preserve">OMB </w:t>
      </w:r>
      <w:r w:rsidR="0051480E">
        <w:rPr>
          <w:sz w:val="22"/>
          <w:szCs w:val="22"/>
        </w:rPr>
        <w:t>control number</w:t>
      </w:r>
      <w:r w:rsidR="00224542">
        <w:rPr>
          <w:sz w:val="22"/>
          <w:szCs w:val="22"/>
        </w:rPr>
        <w:t xml:space="preserve"> 3060-0519.</w:t>
      </w:r>
    </w:p>
    <w:p w:rsidR="00224542" w:rsidP="00C71A3B" w14:paraId="6F2492CC" w14:textId="185C3839">
      <w:pPr>
        <w:pStyle w:val="paragraph"/>
        <w:textAlignment w:val="baseline"/>
      </w:pPr>
      <w:r>
        <w:rPr>
          <w:sz w:val="22"/>
          <w:szCs w:val="22"/>
        </w:rPr>
        <w:t>On December 27, 2022, the Commission</w:t>
      </w:r>
      <w:r w:rsidR="00973738">
        <w:rPr>
          <w:sz w:val="22"/>
          <w:szCs w:val="22"/>
        </w:rPr>
        <w:t xml:space="preserve"> released an Order on Reconsideration (FCC 22-100)</w:t>
      </w:r>
      <w:r w:rsidRPr="0051480E" w:rsidR="0051480E">
        <w:rPr>
          <w:snapToGrid w:val="0"/>
          <w:kern w:val="28"/>
          <w:sz w:val="22"/>
          <w:szCs w:val="20"/>
        </w:rPr>
        <w:t xml:space="preserve"> </w:t>
      </w:r>
      <w:r w:rsidR="0051480E">
        <w:rPr>
          <w:snapToGrid w:val="0"/>
          <w:kern w:val="28"/>
          <w:sz w:val="22"/>
          <w:szCs w:val="20"/>
        </w:rPr>
        <w:t xml:space="preserve">clarifying </w:t>
      </w:r>
      <w:r w:rsidRPr="0051480E" w:rsidR="0051480E">
        <w:rPr>
          <w:sz w:val="22"/>
          <w:szCs w:val="22"/>
        </w:rPr>
        <w:t xml:space="preserve">that callers </w:t>
      </w:r>
      <w:r w:rsidR="0044153C">
        <w:rPr>
          <w:sz w:val="22"/>
          <w:szCs w:val="22"/>
        </w:rPr>
        <w:t>have the option to</w:t>
      </w:r>
      <w:r w:rsidRPr="0051480E" w:rsidR="0051480E">
        <w:rPr>
          <w:sz w:val="22"/>
          <w:szCs w:val="22"/>
        </w:rPr>
        <w:t xml:space="preserve"> obtain consent either orally or in writing to exceed the numerical limits on artificial or prerecorded voice calls to residential telephone lines made under the exemptions contained in our rules</w:t>
      </w:r>
      <w:r>
        <w:rPr>
          <w:sz w:val="22"/>
          <w:szCs w:val="22"/>
        </w:rPr>
        <w:t xml:space="preserve">.  This clarification was made at the request of several parties to allow greater flexibility </w:t>
      </w:r>
      <w:r w:rsidR="0051480E">
        <w:rPr>
          <w:sz w:val="22"/>
          <w:szCs w:val="22"/>
        </w:rPr>
        <w:t xml:space="preserve">to </w:t>
      </w:r>
      <w:r w:rsidR="008F571E">
        <w:rPr>
          <w:sz w:val="22"/>
          <w:szCs w:val="22"/>
        </w:rPr>
        <w:t xml:space="preserve">obtain consent to </w:t>
      </w:r>
      <w:r w:rsidR="0051480E">
        <w:rPr>
          <w:sz w:val="22"/>
          <w:szCs w:val="22"/>
        </w:rPr>
        <w:t xml:space="preserve">exceed the numerical limits on exempted calls. </w:t>
      </w:r>
    </w:p>
    <w:p w:rsidR="00C71A3B" w:rsidP="00C71A3B" w14:paraId="5E50260C" w14:textId="2E594BD4">
      <w:pPr>
        <w:pStyle w:val="paragraph"/>
        <w:textAlignment w:val="baseline"/>
      </w:pPr>
      <w:r>
        <w:rPr>
          <w:rStyle w:val="normaltextrun"/>
          <w:sz w:val="22"/>
          <w:szCs w:val="22"/>
        </w:rPr>
        <w:t>Th</w:t>
      </w:r>
      <w:r w:rsidR="00A8295A">
        <w:rPr>
          <w:rStyle w:val="normaltextrun"/>
          <w:sz w:val="22"/>
          <w:szCs w:val="22"/>
        </w:rPr>
        <w:t>e</w:t>
      </w:r>
      <w:r>
        <w:rPr>
          <w:rStyle w:val="normaltextrun"/>
          <w:sz w:val="22"/>
          <w:szCs w:val="22"/>
        </w:rPr>
        <w:t xml:space="preserve"> c</w:t>
      </w:r>
      <w:r w:rsidR="0051480E">
        <w:rPr>
          <w:rStyle w:val="normaltextrun"/>
          <w:sz w:val="22"/>
          <w:szCs w:val="22"/>
        </w:rPr>
        <w:t>larification to permit oral consent</w:t>
      </w:r>
      <w:r>
        <w:rPr>
          <w:rStyle w:val="normaltextrun"/>
          <w:sz w:val="22"/>
          <w:szCs w:val="22"/>
        </w:rPr>
        <w:t xml:space="preserve"> </w:t>
      </w:r>
      <w:r w:rsidR="008F571E">
        <w:rPr>
          <w:rStyle w:val="normaltextrun"/>
          <w:sz w:val="22"/>
          <w:szCs w:val="22"/>
        </w:rPr>
        <w:t xml:space="preserve">in addition to written consent </w:t>
      </w:r>
      <w:r>
        <w:rPr>
          <w:rStyle w:val="normaltextrun"/>
          <w:sz w:val="22"/>
          <w:szCs w:val="22"/>
        </w:rPr>
        <w:t>do</w:t>
      </w:r>
      <w:r w:rsidR="0051480E">
        <w:rPr>
          <w:rStyle w:val="normaltextrun"/>
          <w:sz w:val="22"/>
          <w:szCs w:val="22"/>
        </w:rPr>
        <w:t>es</w:t>
      </w:r>
      <w:r>
        <w:rPr>
          <w:rStyle w:val="normaltextrun"/>
          <w:sz w:val="22"/>
          <w:szCs w:val="22"/>
        </w:rPr>
        <w:t xml:space="preserve"> not change the estimated burden hours or costs to respondents associated with</w:t>
      </w:r>
      <w:r w:rsidR="0051480E">
        <w:rPr>
          <w:rStyle w:val="normaltextrun"/>
          <w:sz w:val="22"/>
          <w:szCs w:val="22"/>
        </w:rPr>
        <w:t xml:space="preserve"> OMB control number 3060-0519</w:t>
      </w:r>
      <w:r>
        <w:rPr>
          <w:rStyle w:val="normaltextrun"/>
          <w:sz w:val="22"/>
          <w:szCs w:val="22"/>
        </w:rPr>
        <w:t xml:space="preserve">.  Similarly, there is no change to </w:t>
      </w:r>
      <w:r w:rsidR="00B44FE1">
        <w:rPr>
          <w:rStyle w:val="normaltextrun"/>
          <w:sz w:val="22"/>
          <w:szCs w:val="22"/>
        </w:rPr>
        <w:t xml:space="preserve">the </w:t>
      </w:r>
      <w:r>
        <w:rPr>
          <w:rStyle w:val="normaltextrun"/>
          <w:sz w:val="22"/>
          <w:szCs w:val="22"/>
        </w:rPr>
        <w:t>Commission’s estimated burden hours or costs associated with this non-substantive change.</w:t>
      </w:r>
      <w:r>
        <w:rPr>
          <w:rStyle w:val="eop"/>
          <w:sz w:val="22"/>
          <w:szCs w:val="22"/>
        </w:rPr>
        <w:t> </w:t>
      </w:r>
    </w:p>
    <w:p w:rsidR="00C71A3B" w:rsidP="00C71A3B" w14:paraId="43D07386" w14:textId="77777777">
      <w:pPr>
        <w:pStyle w:val="paragraph"/>
        <w:textAlignment w:val="baseline"/>
      </w:pPr>
      <w:r>
        <w:rPr>
          <w:rStyle w:val="eop"/>
          <w:sz w:val="22"/>
          <w:szCs w:val="22"/>
        </w:rPr>
        <w:t> </w:t>
      </w:r>
    </w:p>
    <w:p w:rsidR="00C71A3B" w:rsidP="00C71A3B" w14:paraId="2EECBB5D" w14:textId="77777777">
      <w:pPr>
        <w:pStyle w:val="paragraph"/>
        <w:textAlignment w:val="baseline"/>
      </w:pPr>
      <w:r>
        <w:rPr>
          <w:rStyle w:val="eop"/>
          <w:sz w:val="22"/>
          <w:szCs w:val="22"/>
        </w:rPr>
        <w:t> </w:t>
      </w:r>
    </w:p>
    <w:p w:rsidR="00C71A3B" w:rsidP="00C71A3B" w14:paraId="4ADCB6E7" w14:textId="77777777">
      <w:pPr>
        <w:pStyle w:val="paragraph"/>
        <w:textAlignment w:val="baseline"/>
      </w:pPr>
      <w:r>
        <w:rPr>
          <w:rStyle w:val="normaltextrun"/>
          <w:sz w:val="22"/>
          <w:szCs w:val="22"/>
        </w:rPr>
        <w:t>  </w:t>
      </w:r>
      <w:r>
        <w:rPr>
          <w:rStyle w:val="eop"/>
          <w:sz w:val="22"/>
          <w:szCs w:val="22"/>
        </w:rPr>
        <w:t> </w:t>
      </w:r>
    </w:p>
    <w:p w:rsidR="00C71A3B" w:rsidP="00C71A3B" w14:paraId="106186C6" w14:textId="77777777">
      <w:pPr>
        <w:pStyle w:val="paragraph"/>
        <w:textAlignment w:val="baseline"/>
      </w:pPr>
      <w:r>
        <w:rPr>
          <w:rStyle w:val="eop"/>
          <w:sz w:val="22"/>
          <w:szCs w:val="22"/>
        </w:rPr>
        <w:t> </w:t>
      </w:r>
    </w:p>
    <w:p w:rsidR="00D641D3" w14:paraId="48F8AFF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5D97" w:rsidP="00B65D97" w14:paraId="02692586" w14:textId="77777777">
      <w:pPr>
        <w:spacing w:after="0" w:line="240" w:lineRule="auto"/>
      </w:pPr>
      <w:r>
        <w:separator/>
      </w:r>
    </w:p>
  </w:footnote>
  <w:footnote w:type="continuationSeparator" w:id="1">
    <w:p w:rsidR="00B65D97" w:rsidP="00B65D97" w14:paraId="4B66FA4A" w14:textId="77777777">
      <w:pPr>
        <w:spacing w:after="0" w:line="240" w:lineRule="auto"/>
      </w:pPr>
      <w:r>
        <w:continuationSeparator/>
      </w:r>
    </w:p>
  </w:footnote>
  <w:footnote w:id="2">
    <w:p w:rsidR="00B65D97" w14:paraId="0C5F271B" w14:textId="5894A593">
      <w:pPr>
        <w:pStyle w:val="FootnoteText"/>
      </w:pPr>
      <w:r>
        <w:rPr>
          <w:rStyle w:val="FootnoteReference"/>
        </w:rPr>
        <w:footnoteRef/>
      </w:r>
      <w:r>
        <w:t xml:space="preserve"> 47 CFR </w:t>
      </w:r>
      <w:r w:rsidRPr="00A8295A" w:rsidR="00A8295A">
        <w:t>§</w:t>
      </w:r>
      <w:r w:rsidR="00A8295A">
        <w:t xml:space="preserve"> </w:t>
      </w:r>
      <w:r>
        <w:t>64.1200(a)(3).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3B"/>
    <w:rsid w:val="00224542"/>
    <w:rsid w:val="002A1168"/>
    <w:rsid w:val="0044153C"/>
    <w:rsid w:val="0051480E"/>
    <w:rsid w:val="008061EC"/>
    <w:rsid w:val="008F571E"/>
    <w:rsid w:val="00973738"/>
    <w:rsid w:val="009E515A"/>
    <w:rsid w:val="00A8295A"/>
    <w:rsid w:val="00B44FE1"/>
    <w:rsid w:val="00B65D97"/>
    <w:rsid w:val="00C71A3B"/>
    <w:rsid w:val="00CC37B4"/>
    <w:rsid w:val="00CC4E46"/>
    <w:rsid w:val="00D641D3"/>
    <w:rsid w:val="00E00835"/>
    <w:rsid w:val="00F13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7BFC87"/>
  <w15:chartTrackingRefBased/>
  <w15:docId w15:val="{1D974F20-A82D-4BA4-B7F2-75507186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1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1A3B"/>
  </w:style>
  <w:style w:type="character" w:customStyle="1" w:styleId="eop">
    <w:name w:val="eop"/>
    <w:basedOn w:val="DefaultParagraphFont"/>
    <w:rsid w:val="00C71A3B"/>
  </w:style>
  <w:style w:type="character" w:customStyle="1" w:styleId="contextualspellingandgrammarerror">
    <w:name w:val="contextualspellingandgrammarerror"/>
    <w:basedOn w:val="DefaultParagraphFont"/>
    <w:rsid w:val="00C71A3B"/>
  </w:style>
  <w:style w:type="character" w:customStyle="1" w:styleId="advancedproofingissue">
    <w:name w:val="advancedproofingissue"/>
    <w:basedOn w:val="DefaultParagraphFont"/>
    <w:rsid w:val="00C71A3B"/>
  </w:style>
  <w:style w:type="paragraph" w:styleId="FootnoteText">
    <w:name w:val="footnote text"/>
    <w:basedOn w:val="Normal"/>
    <w:link w:val="FootnoteTextChar"/>
    <w:uiPriority w:val="99"/>
    <w:semiHidden/>
    <w:unhideWhenUsed/>
    <w:rsid w:val="00B65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D97"/>
    <w:rPr>
      <w:sz w:val="20"/>
      <w:szCs w:val="20"/>
    </w:rPr>
  </w:style>
  <w:style w:type="character" w:styleId="FootnoteReference">
    <w:name w:val="footnote reference"/>
    <w:basedOn w:val="DefaultParagraphFont"/>
    <w:uiPriority w:val="99"/>
    <w:semiHidden/>
    <w:unhideWhenUsed/>
    <w:rsid w:val="00B65D97"/>
    <w:rPr>
      <w:vertAlign w:val="superscript"/>
    </w:rPr>
  </w:style>
  <w:style w:type="character" w:styleId="Hyperlink">
    <w:name w:val="Hyperlink"/>
    <w:basedOn w:val="DefaultParagraphFont"/>
    <w:uiPriority w:val="99"/>
    <w:semiHidden/>
    <w:unhideWhenUsed/>
    <w:rsid w:val="00B65D97"/>
    <w:rPr>
      <w:color w:val="0563C1" w:themeColor="hyperlink"/>
      <w:u w:val="single"/>
    </w:rPr>
  </w:style>
  <w:style w:type="paragraph" w:styleId="Revision">
    <w:name w:val="Revision"/>
    <w:hidden/>
    <w:uiPriority w:val="99"/>
    <w:semiHidden/>
    <w:rsid w:val="00B44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5FFFA-A5D2-4AE5-9873-C6DC703B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2023-01-04T00:56:00Z</dcterms:created>
  <dcterms:modified xsi:type="dcterms:W3CDTF">2023-01-04T00:56:00Z</dcterms:modified>
</cp:coreProperties>
</file>