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153C" w14:paraId="00F7A724" w14:textId="77777777"/>
    <w:p w:rsidR="00E83849" w:rsidRPr="00C143A2" w:rsidP="00E83849" w14:paraId="37D3BE29" w14:textId="77777777">
      <w:pPr>
        <w:jc w:val="center"/>
      </w:pPr>
      <w:r w:rsidRPr="00C143A2">
        <w:t>SUPPORTING STATEMENT</w:t>
      </w:r>
    </w:p>
    <w:p w:rsidR="00E83849" w:rsidRPr="00C143A2" w:rsidP="00E83849" w14:paraId="5132F992" w14:textId="77777777">
      <w:pPr>
        <w:jc w:val="center"/>
      </w:pPr>
    </w:p>
    <w:p w:rsidR="00E83849" w:rsidRPr="00C143A2" w:rsidP="00E83849" w14:paraId="2B9D30B4" w14:textId="77777777">
      <w:pPr>
        <w:rPr>
          <w:b/>
          <w:u w:val="single"/>
        </w:rPr>
      </w:pPr>
      <w:r w:rsidRPr="00C143A2">
        <w:rPr>
          <w:b/>
          <w:u w:val="single"/>
        </w:rPr>
        <w:t>A. Justification</w:t>
      </w:r>
      <w:r w:rsidRPr="00C143A2" w:rsidR="00244665">
        <w:rPr>
          <w:b/>
          <w:u w:val="single"/>
        </w:rPr>
        <w:t>:</w:t>
      </w:r>
    </w:p>
    <w:p w:rsidR="005907D3" w:rsidRPr="00C143A2" w:rsidP="005907D3" w14:paraId="48623AFD" w14:textId="77777777"/>
    <w:p w:rsidR="005907D3" w:rsidRPr="00C143A2" w:rsidP="00A25EBE" w14:paraId="7B7DCE54" w14:textId="77777777">
      <w:r w:rsidRPr="00C143A2">
        <w:t>1.</w:t>
      </w:r>
      <w:r w:rsidRPr="00C143A2">
        <w:t xml:space="preserve">  The Commission is requesting OMB approval for an extension (no change in the reporting and/or third party disclosure requirements) to obtain the full three year clearance.  There is no change in the Commission’s burden estimates</w:t>
      </w:r>
      <w:r w:rsidRPr="00C143A2" w:rsidR="00752F31">
        <w:rPr>
          <w:b/>
        </w:rPr>
        <w:t>.</w:t>
      </w:r>
      <w:r w:rsidRPr="00C143A2" w:rsidR="001E3452">
        <w:br/>
      </w:r>
    </w:p>
    <w:p w:rsidR="003726EF" w:rsidRPr="00C143A2" w:rsidP="00A25EBE" w14:paraId="2461653A" w14:textId="77777777">
      <w:r w:rsidRPr="00C143A2">
        <w:t xml:space="preserve">Section 18.213 </w:t>
      </w:r>
      <w:r w:rsidRPr="00C143A2" w:rsidR="00244665">
        <w:t>requires</w:t>
      </w:r>
      <w:r w:rsidRPr="00C143A2" w:rsidR="00A25EBE">
        <w:t xml:space="preserve"> </w:t>
      </w:r>
      <w:r w:rsidRPr="00C143A2" w:rsidR="00FF7344">
        <w:t xml:space="preserve">a third party </w:t>
      </w:r>
      <w:r w:rsidRPr="00C143A2" w:rsidR="00244665">
        <w:t xml:space="preserve">disclosure </w:t>
      </w:r>
      <w:r w:rsidRPr="00C143A2" w:rsidR="00FF7344">
        <w:t xml:space="preserve">requirement </w:t>
      </w:r>
      <w:r w:rsidRPr="00C143A2" w:rsidR="00A25EBE">
        <w:t xml:space="preserve">for </w:t>
      </w:r>
      <w:r w:rsidRPr="00C143A2" w:rsidR="00066665">
        <w:t xml:space="preserve">manufacturers of RF lighting devices </w:t>
      </w:r>
      <w:r w:rsidRPr="00C143A2">
        <w:t>to</w:t>
      </w:r>
      <w:r w:rsidRPr="00C143A2" w:rsidR="00066665">
        <w:t xml:space="preserve"> provide an advisory statement either on the product packaging or with other user documentation, similar to the following:  </w:t>
      </w:r>
    </w:p>
    <w:p w:rsidR="003726EF" w:rsidRPr="00C143A2" w:rsidP="00E83849" w14:paraId="47752D86" w14:textId="77777777"/>
    <w:p w:rsidR="003726EF" w:rsidRPr="00C143A2" w:rsidP="00FF7344" w14:paraId="75604425" w14:textId="77777777">
      <w:pPr>
        <w:ind w:left="720"/>
        <w:rPr>
          <w:b/>
          <w:i/>
        </w:rPr>
      </w:pPr>
      <w:r w:rsidRPr="00C143A2">
        <w:rPr>
          <w:b/>
          <w:i/>
        </w:rPr>
        <w:t xml:space="preserve">This product may cause interference to radio equipment and should not be installed near maritime safety communications equipment or other critical navigation or communication equipment operating between 0.45-30 </w:t>
      </w:r>
      <w:r w:rsidRPr="00C143A2">
        <w:rPr>
          <w:b/>
          <w:i/>
        </w:rPr>
        <w:t>MHz.</w:t>
      </w:r>
      <w:r w:rsidRPr="00C143A2">
        <w:rPr>
          <w:b/>
          <w:i/>
        </w:rPr>
        <w:t xml:space="preserve"> </w:t>
      </w:r>
      <w:r w:rsidRPr="00C143A2" w:rsidR="000F2CD5">
        <w:rPr>
          <w:b/>
          <w:i/>
        </w:rPr>
        <w:t xml:space="preserve"> </w:t>
      </w:r>
    </w:p>
    <w:p w:rsidR="00244665" w:rsidRPr="00C143A2" w:rsidP="00FF7344" w14:paraId="092330D0" w14:textId="77777777">
      <w:pPr>
        <w:ind w:left="720"/>
        <w:rPr>
          <w:i/>
        </w:rPr>
      </w:pPr>
    </w:p>
    <w:p w:rsidR="003726EF" w:rsidRPr="00C143A2" w:rsidP="00E83849" w14:paraId="2614484C" w14:textId="77777777">
      <w:r w:rsidRPr="00C143A2">
        <w:t xml:space="preserve">This information collection does not affect individuals or households.  The Commission rules apply to equipment imported and marketed in the </w:t>
      </w:r>
      <w:smartTag w:uri="urn:schemas-microsoft-com:office:smarttags" w:element="place">
        <w:smartTag w:uri="urn:schemas-microsoft-com:office:smarttags" w:element="country-region">
          <w:r w:rsidRPr="00C143A2">
            <w:t>U.S.</w:t>
          </w:r>
        </w:smartTag>
      </w:smartTag>
      <w:r w:rsidRPr="00C143A2">
        <w:t xml:space="preserve">  Individuals do not market equipment.  Therefore, the Commission is not required to do a Privacy Impact Assessment.</w:t>
      </w:r>
    </w:p>
    <w:p w:rsidR="00FF7344" w:rsidRPr="00C143A2" w:rsidP="00E83849" w14:paraId="73264FF1" w14:textId="77777777"/>
    <w:p w:rsidR="00FF7344" w:rsidRPr="00C143A2" w:rsidP="00E83849" w14:paraId="1FD5C391" w14:textId="77777777">
      <w:r w:rsidRPr="00C143A2">
        <w:t>This collection of information is authorized under Sections 4(i), 301, 302, 303(e), 303(f), 303(r)</w:t>
      </w:r>
      <w:r w:rsidRPr="00C143A2" w:rsidR="003A5E91">
        <w:t>, 304 and 307 of the Communications Act of 1934, as amended, 47 U.S.C. Sections 154(i), 301, 302, 303(e), 303(f), 303(r), 304 and 307.</w:t>
      </w:r>
    </w:p>
    <w:p w:rsidR="00FF7344" w:rsidRPr="00C143A2" w:rsidP="00E83849" w14:paraId="66BC649F" w14:textId="77777777"/>
    <w:p w:rsidR="003A5E91" w:rsidRPr="00C143A2" w:rsidP="00E83849" w14:paraId="646D0485" w14:textId="77777777">
      <w:r w:rsidRPr="00C143A2">
        <w:t xml:space="preserve">2.  The information </w:t>
      </w:r>
      <w:r w:rsidRPr="00C143A2" w:rsidR="00B80105">
        <w:t xml:space="preserve">may be </w:t>
      </w:r>
      <w:r w:rsidRPr="00C143A2">
        <w:t>used by the Commission to determine</w:t>
      </w:r>
      <w:r w:rsidRPr="00C143A2" w:rsidR="00B80105">
        <w:t xml:space="preserve"> </w:t>
      </w:r>
      <w:r w:rsidRPr="00C143A2" w:rsidR="00A25EBE">
        <w:t xml:space="preserve">if </w:t>
      </w:r>
      <w:r w:rsidRPr="00C143A2">
        <w:t>RF lighting devices</w:t>
      </w:r>
      <w:r w:rsidRPr="00C143A2">
        <w:t>:</w:t>
      </w:r>
    </w:p>
    <w:p w:rsidR="003A5E91" w:rsidRPr="00C143A2" w:rsidP="00E83849" w14:paraId="45535D93" w14:textId="77777777"/>
    <w:p w:rsidR="003A5E91" w:rsidRPr="00C143A2" w:rsidP="003A5E91" w14:paraId="2A39A287" w14:textId="77777777">
      <w:pPr>
        <w:ind w:firstLine="720"/>
      </w:pPr>
      <w:r w:rsidRPr="00C143A2">
        <w:t>(a)</w:t>
      </w:r>
      <w:r w:rsidRPr="00C143A2" w:rsidR="00B80105">
        <w:t xml:space="preserve"> are</w:t>
      </w:r>
      <w:r w:rsidRPr="00C143A2" w:rsidR="00066665">
        <w:t xml:space="preserve"> </w:t>
      </w:r>
      <w:r w:rsidRPr="00C143A2" w:rsidR="00B80105">
        <w:t>in compliance with the applicable Commission rules</w:t>
      </w:r>
      <w:r w:rsidRPr="00C143A2">
        <w:t>, 47 CFR § 18.213,</w:t>
      </w:r>
    </w:p>
    <w:p w:rsidR="003A5E91" w:rsidRPr="00C143A2" w:rsidP="003A5E91" w14:paraId="001CCB85" w14:textId="77777777">
      <w:pPr>
        <w:ind w:firstLine="720"/>
      </w:pPr>
    </w:p>
    <w:p w:rsidR="003A5E91" w:rsidRPr="00C143A2" w:rsidP="003A5E91" w14:paraId="6BB862D0" w14:textId="77777777">
      <w:pPr>
        <w:ind w:firstLine="720"/>
      </w:pPr>
      <w:r w:rsidRPr="00C143A2">
        <w:t xml:space="preserve">(b) </w:t>
      </w:r>
      <w:r w:rsidRPr="00C143A2" w:rsidR="00B80105">
        <w:t xml:space="preserve">are </w:t>
      </w:r>
      <w:r w:rsidRPr="00C143A2" w:rsidR="00066665">
        <w:t>capable of</w:t>
      </w:r>
      <w:r w:rsidRPr="00C143A2" w:rsidR="00B80105">
        <w:t xml:space="preserve"> </w:t>
      </w:r>
      <w:r w:rsidRPr="00C143A2" w:rsidR="00066665">
        <w:t>producing</w:t>
      </w:r>
      <w:r w:rsidRPr="00C143A2" w:rsidR="00B80105">
        <w:t xml:space="preserve"> conducted emissions in the 0.45-30 MHz band, and </w:t>
      </w:r>
    </w:p>
    <w:p w:rsidR="003A5E91" w:rsidRPr="00C143A2" w:rsidP="003A5E91" w14:paraId="1BB3B9EE" w14:textId="77777777">
      <w:pPr>
        <w:ind w:firstLine="720"/>
      </w:pPr>
    </w:p>
    <w:p w:rsidR="006038CD" w:rsidRPr="00C143A2" w:rsidP="003A5E91" w14:paraId="58F0A4C5" w14:textId="77777777">
      <w:pPr>
        <w:ind w:firstLine="720"/>
      </w:pPr>
      <w:r w:rsidRPr="00C143A2">
        <w:t xml:space="preserve">(c) </w:t>
      </w:r>
      <w:r w:rsidRPr="00C143A2" w:rsidR="00B80105">
        <w:t>have a simple warning label with a short advisory statement.</w:t>
      </w:r>
    </w:p>
    <w:p w:rsidR="006038CD" w:rsidRPr="00C143A2" w:rsidP="00E83849" w14:paraId="22EDF415" w14:textId="77777777"/>
    <w:p w:rsidR="006038CD" w:rsidRPr="00C143A2" w:rsidP="00E83849" w14:paraId="1DB98D4B" w14:textId="77777777">
      <w:r w:rsidRPr="00C143A2">
        <w:t>3.  Manufacturers are required to label all RF lighting device packages with a warning label.</w:t>
      </w:r>
      <w:r>
        <w:rPr>
          <w:rStyle w:val="FootnoteReference"/>
        </w:rPr>
        <w:footnoteReference w:id="2"/>
      </w:r>
      <w:r w:rsidRPr="00C143A2" w:rsidR="00366DA8">
        <w:t xml:space="preserve">   Variations of the language required in section 18.213 are permitted provided all the points of the statement are addressed and may be presented in any legible font or text style.    Otherwise the Commission does not require the use of any information technology techniques to perform the labeling requirement.</w:t>
      </w:r>
    </w:p>
    <w:p w:rsidR="006038CD" w:rsidRPr="00C143A2" w:rsidP="00E83849" w14:paraId="726E2A8B" w14:textId="77777777"/>
    <w:p w:rsidR="006038CD" w:rsidRPr="00C143A2" w:rsidP="00E83849" w14:paraId="07630E76" w14:textId="77777777">
      <w:r w:rsidRPr="00C143A2">
        <w:t xml:space="preserve">4.  No other agency is believed to require </w:t>
      </w:r>
      <w:r w:rsidRPr="00C143A2" w:rsidR="00AC60BD">
        <w:t>this labeling requirement.</w:t>
      </w:r>
      <w:r w:rsidRPr="00C143A2">
        <w:t xml:space="preserve">  No similar information is available.</w:t>
      </w:r>
    </w:p>
    <w:p w:rsidR="006038CD" w:rsidRPr="00C143A2" w:rsidP="00E83849" w14:paraId="7E2E70FF" w14:textId="77777777"/>
    <w:p w:rsidR="00550172" w:rsidRPr="00C143A2" w:rsidP="00E83849" w14:paraId="56B1E650" w14:textId="77777777">
      <w:r w:rsidRPr="00C143A2">
        <w:t>5.  The collection of information will not have a significant economic impact on a substantial number of small entities.  The requirements are the manufacturer’s responsibility.</w:t>
      </w:r>
    </w:p>
    <w:p w:rsidR="00550172" w:rsidRPr="00C143A2" w:rsidP="00E83849" w14:paraId="01DD78B0" w14:textId="77777777"/>
    <w:p w:rsidR="003629E1" w:rsidRPr="00C143A2" w:rsidP="00E83849" w14:paraId="286BA173" w14:textId="77777777">
      <w:r w:rsidRPr="00C143A2">
        <w:t>6.  The information disclosed is necessary to ensure an understanding by the public that</w:t>
      </w:r>
      <w:r w:rsidRPr="00C143A2" w:rsidR="00676409">
        <w:t xml:space="preserve"> manufacturers of the </w:t>
      </w:r>
      <w:r w:rsidRPr="00C143A2" w:rsidR="00042794">
        <w:t>R</w:t>
      </w:r>
      <w:r w:rsidRPr="00C143A2" w:rsidR="0040563C">
        <w:t xml:space="preserve">F lighting equipment devices </w:t>
      </w:r>
      <w:r w:rsidRPr="00C143A2">
        <w:t xml:space="preserve">must comply with Commission regulations prior to </w:t>
      </w:r>
      <w:r w:rsidRPr="00C143A2" w:rsidR="0040563C">
        <w:t xml:space="preserve">the </w:t>
      </w:r>
      <w:r w:rsidRPr="00C143A2">
        <w:t>sale</w:t>
      </w:r>
      <w:r w:rsidRPr="00C143A2" w:rsidR="0040563C">
        <w:t xml:space="preserve"> of </w:t>
      </w:r>
      <w:r w:rsidRPr="00C143A2" w:rsidR="00676409">
        <w:t>the equipment</w:t>
      </w:r>
      <w:r w:rsidRPr="00C143A2" w:rsidR="0040563C">
        <w:t>.</w:t>
      </w:r>
    </w:p>
    <w:p w:rsidR="003629E1" w:rsidRPr="00C143A2" w:rsidP="00E83849" w14:paraId="441D8462" w14:textId="77777777"/>
    <w:p w:rsidR="003629E1" w:rsidRPr="00C143A2" w:rsidP="00E83849" w14:paraId="3B6C78A5" w14:textId="77777777">
      <w:r w:rsidRPr="00C143A2">
        <w:t>7.  There are no special circumstances required for this collection.</w:t>
      </w:r>
    </w:p>
    <w:p w:rsidR="003629E1" w:rsidRPr="00145D60" w:rsidP="00E83849" w14:paraId="4B5D3200" w14:textId="77777777">
      <w:pPr>
        <w:rPr>
          <w:color w:val="FF0000"/>
        </w:rPr>
      </w:pPr>
    </w:p>
    <w:p w:rsidR="003629E1" w:rsidRPr="00C143A2" w:rsidP="00E83849" w14:paraId="5153FE98" w14:textId="1AF90808">
      <w:r w:rsidRPr="00C143A2">
        <w:t xml:space="preserve">8.  The </w:t>
      </w:r>
      <w:r w:rsidRPr="00C143A2" w:rsidR="00121362">
        <w:t xml:space="preserve">views of the industry and the public were solicited </w:t>
      </w:r>
      <w:r w:rsidR="00423143">
        <w:t xml:space="preserve">when the Commission published the Notice in the Federal Register on </w:t>
      </w:r>
      <w:r w:rsidR="002568E0">
        <w:t>December</w:t>
      </w:r>
      <w:r w:rsidR="005C2B4F">
        <w:t xml:space="preserve"> </w:t>
      </w:r>
      <w:r w:rsidR="00995F58">
        <w:t>19</w:t>
      </w:r>
      <w:r w:rsidR="005C2B4F">
        <w:t>, 202</w:t>
      </w:r>
      <w:r w:rsidR="002568E0">
        <w:t>2</w:t>
      </w:r>
      <w:r w:rsidR="00C442C1">
        <w:t xml:space="preserve"> </w:t>
      </w:r>
      <w:r w:rsidRPr="00145D60" w:rsidR="007B5004">
        <w:rPr>
          <w:b/>
        </w:rPr>
        <w:t>(</w:t>
      </w:r>
      <w:r w:rsidR="00995F58">
        <w:rPr>
          <w:b/>
        </w:rPr>
        <w:t>87</w:t>
      </w:r>
      <w:r w:rsidRPr="00145D60" w:rsidR="00C442C1">
        <w:rPr>
          <w:b/>
        </w:rPr>
        <w:t xml:space="preserve"> </w:t>
      </w:r>
      <w:r w:rsidRPr="00145D60" w:rsidR="007B5004">
        <w:rPr>
          <w:b/>
        </w:rPr>
        <w:t xml:space="preserve">FR </w:t>
      </w:r>
      <w:r w:rsidR="00995F58">
        <w:rPr>
          <w:b/>
        </w:rPr>
        <w:t>77609</w:t>
      </w:r>
      <w:r w:rsidRPr="00145D60" w:rsidR="003A3E32">
        <w:rPr>
          <w:b/>
        </w:rPr>
        <w:t>)</w:t>
      </w:r>
      <w:r w:rsidRPr="00145D60">
        <w:t>.</w:t>
      </w:r>
      <w:r w:rsidRPr="00C143A2" w:rsidR="00121362">
        <w:t xml:space="preserve">  </w:t>
      </w:r>
      <w:r w:rsidRPr="00C143A2" w:rsidR="00A76E22">
        <w:t>The Commission received n</w:t>
      </w:r>
      <w:r w:rsidRPr="00C143A2" w:rsidR="00121362">
        <w:t xml:space="preserve">o comments in response to the </w:t>
      </w:r>
      <w:r w:rsidRPr="00C143A2" w:rsidR="00244665">
        <w:t xml:space="preserve">publication </w:t>
      </w:r>
      <w:r w:rsidRPr="00C143A2" w:rsidR="00A76E22">
        <w:t xml:space="preserve">of the </w:t>
      </w:r>
      <w:r w:rsidRPr="00C143A2" w:rsidR="00121362">
        <w:t xml:space="preserve">Notice in the </w:t>
      </w:r>
      <w:r w:rsidRPr="00C143A2" w:rsidR="00121362">
        <w:rPr>
          <w:i/>
        </w:rPr>
        <w:t>Federal Register</w:t>
      </w:r>
      <w:r w:rsidRPr="00C143A2" w:rsidR="00121362">
        <w:t>.</w:t>
      </w:r>
      <w:r w:rsidRPr="00C143A2" w:rsidR="00244665">
        <w:t xml:space="preserve">  A reference to the notice is included in this submission to the OMB.</w:t>
      </w:r>
    </w:p>
    <w:p w:rsidR="003629E1" w:rsidRPr="00C143A2" w:rsidP="00E83849" w14:paraId="1E5AE9D5" w14:textId="77777777"/>
    <w:p w:rsidR="003629E1" w:rsidRPr="00C143A2" w:rsidP="00E83849" w14:paraId="20C95757" w14:textId="40EB2974">
      <w:r w:rsidRPr="00C143A2">
        <w:t>9.  Respondents will not receiv</w:t>
      </w:r>
      <w:r w:rsidRPr="00C143A2" w:rsidR="00095EDC">
        <w:t>e</w:t>
      </w:r>
      <w:r w:rsidRPr="00C143A2">
        <w:t xml:space="preserve"> any payment</w:t>
      </w:r>
      <w:r w:rsidR="005C2B4F">
        <w:t xml:space="preserve"> or gift</w:t>
      </w:r>
      <w:r w:rsidRPr="00C143A2">
        <w:t>.</w:t>
      </w:r>
    </w:p>
    <w:p w:rsidR="003629E1" w:rsidRPr="00C143A2" w:rsidP="00E83849" w14:paraId="6728589B" w14:textId="77777777"/>
    <w:p w:rsidR="003629E1" w:rsidRPr="00C143A2" w:rsidP="00E83849" w14:paraId="11DC0E66" w14:textId="77777777">
      <w:r w:rsidRPr="00C143A2">
        <w:t xml:space="preserve">10.  </w:t>
      </w:r>
      <w:r w:rsidRPr="00C143A2" w:rsidR="00885A78">
        <w:t xml:space="preserve">There is no need for </w:t>
      </w:r>
      <w:r w:rsidRPr="00C143A2">
        <w:t>confidentiality</w:t>
      </w:r>
      <w:r w:rsidRPr="00C143A2" w:rsidR="0040563C">
        <w:t xml:space="preserve"> with this disclosure of information</w:t>
      </w:r>
      <w:r w:rsidRPr="00C143A2">
        <w:t>.</w:t>
      </w:r>
    </w:p>
    <w:p w:rsidR="003629E1" w:rsidRPr="00C143A2" w:rsidP="00E83849" w14:paraId="42211B99" w14:textId="77777777"/>
    <w:p w:rsidR="00066665" w:rsidRPr="00C143A2" w:rsidP="00E83849" w14:paraId="0B2C8D6F" w14:textId="77777777">
      <w:r w:rsidRPr="00C143A2">
        <w:t xml:space="preserve">11. </w:t>
      </w:r>
      <w:r w:rsidRPr="00C143A2">
        <w:t xml:space="preserve"> </w:t>
      </w:r>
      <w:r w:rsidRPr="00C143A2">
        <w:t>No sensitive information is required for this collection.</w:t>
      </w:r>
    </w:p>
    <w:p w:rsidR="001B735D" w:rsidRPr="00C143A2" w:rsidP="00E83849" w14:paraId="473A8E6D" w14:textId="77777777"/>
    <w:p w:rsidR="003629E1" w:rsidRPr="00C143A2" w:rsidP="00676409" w14:paraId="2C76C0CB" w14:textId="77777777">
      <w:r w:rsidRPr="00C143A2">
        <w:t xml:space="preserve">12.  </w:t>
      </w:r>
      <w:r w:rsidRPr="00C143A2" w:rsidR="00A76E22">
        <w:t xml:space="preserve">The Commission </w:t>
      </w:r>
      <w:r w:rsidRPr="00C143A2" w:rsidR="00244665">
        <w:t xml:space="preserve">requires </w:t>
      </w:r>
      <w:r w:rsidRPr="00C143A2" w:rsidR="00282BAA">
        <w:t>c</w:t>
      </w:r>
      <w:r w:rsidRPr="00C143A2" w:rsidR="00A76E22">
        <w:t xml:space="preserve">ompanies that manufacture RF lighting devices </w:t>
      </w:r>
      <w:r w:rsidRPr="00C143A2" w:rsidR="005907D3">
        <w:t>be</w:t>
      </w:r>
      <w:r w:rsidRPr="00C143A2" w:rsidR="00A76E22">
        <w:t xml:space="preserve"> the respondents for this information collection</w:t>
      </w:r>
      <w:r w:rsidRPr="00C143A2" w:rsidR="00676409">
        <w:t xml:space="preserve">.  </w:t>
      </w:r>
      <w:r w:rsidRPr="00C143A2" w:rsidR="00944938">
        <w:t xml:space="preserve">We estimate that there are </w:t>
      </w:r>
      <w:r w:rsidR="00E547D2">
        <w:t xml:space="preserve">500 </w:t>
      </w:r>
      <w:r w:rsidRPr="00C143A2" w:rsidR="00944938">
        <w:t xml:space="preserve">manufacturers </w:t>
      </w:r>
      <w:r w:rsidRPr="00C143A2" w:rsidR="00676409">
        <w:t>in the industry</w:t>
      </w:r>
      <w:r w:rsidRPr="00C143A2" w:rsidR="00944938">
        <w:rPr>
          <w:b/>
        </w:rPr>
        <w:t>.</w:t>
      </w:r>
      <w:r w:rsidRPr="00C143A2" w:rsidR="00676409">
        <w:rPr>
          <w:b/>
        </w:rPr>
        <w:t xml:space="preserve">  </w:t>
      </w:r>
      <w:r w:rsidRPr="00C143A2" w:rsidR="00676409">
        <w:t xml:space="preserve">However, only </w:t>
      </w:r>
      <w:r w:rsidR="00E547D2">
        <w:t>50</w:t>
      </w:r>
      <w:r w:rsidRPr="00C143A2" w:rsidR="00676409">
        <w:t xml:space="preserve">% of the manufacturers </w:t>
      </w:r>
      <w:r w:rsidRPr="00C143A2" w:rsidR="00676409">
        <w:rPr>
          <w:b/>
        </w:rPr>
        <w:t>(</w:t>
      </w:r>
      <w:r w:rsidR="00E547D2">
        <w:rPr>
          <w:b/>
        </w:rPr>
        <w:t>250</w:t>
      </w:r>
      <w:r w:rsidRPr="00C143A2" w:rsidR="00E547D2">
        <w:rPr>
          <w:b/>
        </w:rPr>
        <w:t xml:space="preserve"> </w:t>
      </w:r>
      <w:r w:rsidRPr="00C143A2" w:rsidR="00676409">
        <w:rPr>
          <w:b/>
        </w:rPr>
        <w:t xml:space="preserve">respondents) </w:t>
      </w:r>
      <w:r w:rsidRPr="00C143A2" w:rsidR="00676409">
        <w:t>will make technical adjustments/improvements that will require them to revise the advisory statement on the RF equipment.</w:t>
      </w:r>
    </w:p>
    <w:p w:rsidR="00B06AB0" w:rsidRPr="00C143A2" w:rsidP="00E83849" w14:paraId="62CEF360" w14:textId="77777777"/>
    <w:p w:rsidR="00B60B70" w:rsidRPr="00C143A2" w:rsidP="00E83849" w14:paraId="385B9C97" w14:textId="77777777">
      <w:pPr>
        <w:rPr>
          <w:b/>
        </w:rPr>
      </w:pPr>
      <w:r w:rsidRPr="00C143A2">
        <w:tab/>
      </w:r>
      <w:r w:rsidRPr="00C143A2">
        <w:rPr>
          <w:b/>
        </w:rPr>
        <w:t xml:space="preserve">Total Number of Respondents: </w:t>
      </w:r>
      <w:r w:rsidR="00E547D2">
        <w:rPr>
          <w:b/>
        </w:rPr>
        <w:t>250</w:t>
      </w:r>
      <w:r w:rsidRPr="00C143A2" w:rsidR="00E547D2">
        <w:rPr>
          <w:b/>
        </w:rPr>
        <w:t xml:space="preserve"> </w:t>
      </w:r>
      <w:r w:rsidRPr="00C143A2">
        <w:rPr>
          <w:b/>
        </w:rPr>
        <w:t>manufacturers</w:t>
      </w:r>
    </w:p>
    <w:p w:rsidR="00B60B70" w:rsidRPr="00C143A2" w:rsidP="00E83849" w14:paraId="2D932A38" w14:textId="77777777">
      <w:pPr>
        <w:rPr>
          <w:b/>
        </w:rPr>
      </w:pPr>
    </w:p>
    <w:p w:rsidR="00B60B70" w:rsidRPr="00C143A2" w:rsidP="00B60B70" w14:paraId="01C76643" w14:textId="77777777">
      <w:pPr>
        <w:ind w:left="720"/>
      </w:pPr>
      <w:r w:rsidRPr="00C143A2">
        <w:t xml:space="preserve">Each </w:t>
      </w:r>
      <w:r w:rsidRPr="00C143A2" w:rsidR="00244665">
        <w:t xml:space="preserve">manufacturer </w:t>
      </w:r>
      <w:r w:rsidRPr="00C143A2">
        <w:t xml:space="preserve">must </w:t>
      </w:r>
      <w:r w:rsidRPr="00C143A2" w:rsidR="00121362">
        <w:t xml:space="preserve">prepare </w:t>
      </w:r>
      <w:r w:rsidRPr="00C143A2" w:rsidR="00244665">
        <w:t xml:space="preserve">an </w:t>
      </w:r>
      <w:r w:rsidRPr="00C143A2" w:rsidR="00121362">
        <w:t>advisory statement</w:t>
      </w:r>
      <w:r w:rsidRPr="00C143A2" w:rsidR="00282BAA">
        <w:rPr>
          <w:strike/>
          <w:szCs w:val="24"/>
        </w:rPr>
        <w:t xml:space="preserve"> </w:t>
      </w:r>
      <w:r w:rsidRPr="00C143A2">
        <w:t>during the “life” of the equipment.</w:t>
      </w:r>
      <w:r w:rsidRPr="00C143A2" w:rsidR="00121362">
        <w:t xml:space="preserve">  </w:t>
      </w:r>
    </w:p>
    <w:p w:rsidR="00B60B70" w:rsidRPr="00C143A2" w:rsidP="00B60B70" w14:paraId="59AAC97E" w14:textId="77777777"/>
    <w:p w:rsidR="00B60B70" w:rsidRPr="00C143A2" w:rsidP="00B60B70" w14:paraId="0800C69D" w14:textId="77777777">
      <w:pPr>
        <w:ind w:left="720"/>
      </w:pPr>
      <w:r w:rsidRPr="00C143A2">
        <w:t xml:space="preserve">However, any changes to the </w:t>
      </w:r>
      <w:r w:rsidRPr="00C143A2" w:rsidR="005907D3">
        <w:t>Radio Frequency (</w:t>
      </w:r>
      <w:r w:rsidRPr="00C143A2">
        <w:t>RF</w:t>
      </w:r>
      <w:r w:rsidRPr="00C143A2" w:rsidR="005907D3">
        <w:t>)</w:t>
      </w:r>
      <w:r w:rsidRPr="00C143A2">
        <w:t xml:space="preserve"> equipment would require the manufacturer to update the advisory statement to address the modification(s).</w:t>
      </w:r>
    </w:p>
    <w:p w:rsidR="00B60B70" w:rsidRPr="00C143A2" w:rsidP="00B60B70" w14:paraId="20D0255E" w14:textId="77777777">
      <w:pPr>
        <w:ind w:left="720"/>
      </w:pPr>
    </w:p>
    <w:p w:rsidR="00944938" w:rsidRPr="00C143A2" w:rsidP="00B60B70" w14:paraId="6C3640B1" w14:textId="77777777">
      <w:pPr>
        <w:ind w:left="720"/>
      </w:pPr>
      <w:r w:rsidRPr="00C143A2">
        <w:t xml:space="preserve">The Commission estimates that the </w:t>
      </w:r>
      <w:r w:rsidRPr="00C143A2" w:rsidR="00121362">
        <w:t>time to prepare the statement</w:t>
      </w:r>
      <w:r w:rsidRPr="00C143A2" w:rsidR="00282BAA">
        <w:rPr>
          <w:szCs w:val="24"/>
        </w:rPr>
        <w:t xml:space="preserve"> </w:t>
      </w:r>
      <w:r w:rsidRPr="00C143A2">
        <w:t xml:space="preserve">is </w:t>
      </w:r>
      <w:r w:rsidRPr="00C143A2" w:rsidR="006437AD">
        <w:t>estimated to be</w:t>
      </w:r>
      <w:r w:rsidRPr="00C143A2" w:rsidR="00121362">
        <w:t xml:space="preserve"> 1 hour per respondent. </w:t>
      </w:r>
    </w:p>
    <w:p w:rsidR="00121362" w:rsidRPr="00C143A2" w:rsidP="00B60B70" w14:paraId="785CB351" w14:textId="77777777">
      <w:pPr>
        <w:ind w:left="720" w:hanging="720"/>
      </w:pPr>
    </w:p>
    <w:p w:rsidR="00617A18" w:rsidRPr="00C143A2" w:rsidP="00B60B70" w14:paraId="175835B8" w14:textId="77777777">
      <w:pPr>
        <w:ind w:left="720" w:hanging="720"/>
      </w:pPr>
      <w:r w:rsidRPr="00C143A2">
        <w:tab/>
      </w:r>
      <w:r w:rsidR="00E547D2">
        <w:t>500</w:t>
      </w:r>
      <w:r w:rsidRPr="00C143A2" w:rsidR="00E547D2">
        <w:t xml:space="preserve"> </w:t>
      </w:r>
      <w:r w:rsidRPr="00C143A2" w:rsidR="00676409">
        <w:t>manufacturers</w:t>
      </w:r>
      <w:r w:rsidRPr="00C143A2">
        <w:t xml:space="preserve"> x 0.</w:t>
      </w:r>
      <w:r w:rsidR="00E547D2">
        <w:t>5</w:t>
      </w:r>
      <w:r w:rsidRPr="00C143A2" w:rsidR="00E547D2">
        <w:t xml:space="preserve">0 </w:t>
      </w:r>
      <w:r w:rsidRPr="00C143A2">
        <w:t>(</w:t>
      </w:r>
      <w:r w:rsidR="00E547D2">
        <w:t>5</w:t>
      </w:r>
      <w:r w:rsidRPr="00C143A2" w:rsidR="00E547D2">
        <w:t>0</w:t>
      </w:r>
      <w:r w:rsidRPr="00C143A2">
        <w:t xml:space="preserve">% subject to the technical modifications) = </w:t>
      </w:r>
      <w:r w:rsidR="00E547D2">
        <w:rPr>
          <w:b/>
        </w:rPr>
        <w:t>250</w:t>
      </w:r>
      <w:r w:rsidRPr="00C143A2" w:rsidR="00E547D2">
        <w:rPr>
          <w:b/>
        </w:rPr>
        <w:t xml:space="preserve"> </w:t>
      </w:r>
      <w:r w:rsidRPr="00C143A2">
        <w:rPr>
          <w:b/>
        </w:rPr>
        <w:t>respondents</w:t>
      </w:r>
      <w:r w:rsidRPr="00C143A2" w:rsidR="00550966">
        <w:t>.</w:t>
      </w:r>
    </w:p>
    <w:p w:rsidR="00617A18" w:rsidRPr="00C143A2" w:rsidP="00B60B70" w14:paraId="2E11A119" w14:textId="77777777">
      <w:pPr>
        <w:ind w:left="720" w:hanging="720"/>
      </w:pPr>
    </w:p>
    <w:p w:rsidR="00617A18" w:rsidRPr="00C143A2" w:rsidP="00B60B70" w14:paraId="755DF9F8" w14:textId="77777777">
      <w:pPr>
        <w:ind w:left="720" w:hanging="720"/>
      </w:pPr>
      <w:r w:rsidRPr="00C143A2">
        <w:tab/>
      </w:r>
      <w:r w:rsidR="00E547D2">
        <w:t>250</w:t>
      </w:r>
      <w:r w:rsidRPr="00C143A2" w:rsidR="00E547D2">
        <w:t xml:space="preserve"> </w:t>
      </w:r>
      <w:r w:rsidRPr="00C143A2">
        <w:t>respondents x 1 advisory statement</w:t>
      </w:r>
      <w:r w:rsidRPr="00C143A2" w:rsidR="00676409">
        <w:t>/respondent</w:t>
      </w:r>
      <w:r w:rsidRPr="00C143A2">
        <w:t xml:space="preserve"> = </w:t>
      </w:r>
      <w:r w:rsidR="00E547D2">
        <w:t>250</w:t>
      </w:r>
      <w:r w:rsidRPr="00C143A2" w:rsidR="00E547D2">
        <w:t xml:space="preserve"> </w:t>
      </w:r>
      <w:r w:rsidRPr="00C143A2">
        <w:t>responses</w:t>
      </w:r>
      <w:r w:rsidRPr="00C143A2" w:rsidR="00550966">
        <w:t>.</w:t>
      </w:r>
    </w:p>
    <w:p w:rsidR="00617A18" w:rsidRPr="00C143A2" w:rsidP="00B60B70" w14:paraId="314BA0A5" w14:textId="77777777">
      <w:pPr>
        <w:ind w:left="720" w:hanging="720"/>
      </w:pPr>
    </w:p>
    <w:p w:rsidR="00617A18" w:rsidRPr="00C143A2" w:rsidP="00282BAA" w14:paraId="3D5EB607" w14:textId="77777777">
      <w:pPr>
        <w:ind w:left="720"/>
        <w:rPr>
          <w:b/>
        </w:rPr>
      </w:pPr>
      <w:r w:rsidRPr="00C143A2">
        <w:rPr>
          <w:b/>
        </w:rPr>
        <w:t xml:space="preserve">Total Number of Responses Annually </w:t>
      </w:r>
      <w:r w:rsidRPr="00C143A2" w:rsidR="00282BAA">
        <w:rPr>
          <w:b/>
        </w:rPr>
        <w:t xml:space="preserve">= </w:t>
      </w:r>
      <w:r w:rsidR="00E547D2">
        <w:rPr>
          <w:b/>
        </w:rPr>
        <w:t>250</w:t>
      </w:r>
      <w:r w:rsidRPr="00C143A2" w:rsidR="00E547D2">
        <w:rPr>
          <w:b/>
        </w:rPr>
        <w:t xml:space="preserve"> </w:t>
      </w:r>
      <w:r w:rsidRPr="00C143A2">
        <w:rPr>
          <w:b/>
        </w:rPr>
        <w:t>responses</w:t>
      </w:r>
      <w:r w:rsidRPr="00C143A2" w:rsidR="00550966">
        <w:rPr>
          <w:b/>
        </w:rPr>
        <w:t>.</w:t>
      </w:r>
    </w:p>
    <w:p w:rsidR="00617A18" w:rsidRPr="00C143A2" w:rsidP="00B60B70" w14:paraId="757A0D72" w14:textId="77777777">
      <w:pPr>
        <w:ind w:left="720" w:hanging="720"/>
        <w:rPr>
          <w:b/>
        </w:rPr>
      </w:pPr>
    </w:p>
    <w:p w:rsidR="00617A18" w:rsidRPr="00C143A2" w:rsidP="00B60B70" w14:paraId="6662C59F" w14:textId="77777777">
      <w:pPr>
        <w:ind w:left="720" w:hanging="720"/>
        <w:rPr>
          <w:b/>
        </w:rPr>
      </w:pPr>
      <w:r w:rsidRPr="00C143A2">
        <w:rPr>
          <w:b/>
        </w:rPr>
        <w:tab/>
      </w:r>
      <w:r w:rsidR="00E547D2">
        <w:rPr>
          <w:b/>
        </w:rPr>
        <w:t>250</w:t>
      </w:r>
      <w:r w:rsidRPr="00C143A2" w:rsidR="00E547D2">
        <w:rPr>
          <w:b/>
        </w:rPr>
        <w:t xml:space="preserve"> </w:t>
      </w:r>
      <w:r w:rsidRPr="00C143A2">
        <w:rPr>
          <w:b/>
        </w:rPr>
        <w:t xml:space="preserve">respondents x 1 hour/advisory statement = </w:t>
      </w:r>
      <w:r w:rsidR="00E547D2">
        <w:rPr>
          <w:b/>
        </w:rPr>
        <w:t>250</w:t>
      </w:r>
      <w:r w:rsidRPr="00C143A2" w:rsidR="00E547D2">
        <w:rPr>
          <w:b/>
        </w:rPr>
        <w:t xml:space="preserve"> </w:t>
      </w:r>
      <w:r w:rsidRPr="00C143A2">
        <w:rPr>
          <w:b/>
        </w:rPr>
        <w:t>hours</w:t>
      </w:r>
    </w:p>
    <w:p w:rsidR="00617A18" w:rsidRPr="00C143A2" w:rsidP="00B60B70" w14:paraId="764464A9" w14:textId="77777777">
      <w:pPr>
        <w:ind w:left="720" w:hanging="720"/>
        <w:rPr>
          <w:b/>
        </w:rPr>
      </w:pPr>
    </w:p>
    <w:p w:rsidR="00121362" w:rsidP="0011131E" w14:paraId="38D6A9EC" w14:textId="77777777">
      <w:pPr>
        <w:ind w:firstLine="720"/>
      </w:pPr>
      <w:r w:rsidRPr="00C143A2">
        <w:rPr>
          <w:b/>
        </w:rPr>
        <w:t>Total Burden Hours:</w:t>
      </w:r>
      <w:r w:rsidRPr="00C143A2">
        <w:t xml:space="preserve">  </w:t>
      </w:r>
      <w:r w:rsidR="00E547D2">
        <w:rPr>
          <w:b/>
        </w:rPr>
        <w:t>250</w:t>
      </w:r>
      <w:r w:rsidRPr="00C143A2" w:rsidR="00E547D2">
        <w:rPr>
          <w:b/>
        </w:rPr>
        <w:t xml:space="preserve"> </w:t>
      </w:r>
      <w:r w:rsidRPr="00C143A2">
        <w:rPr>
          <w:b/>
        </w:rPr>
        <w:t>hours</w:t>
      </w:r>
      <w:r w:rsidRPr="00C143A2">
        <w:t xml:space="preserve">.  </w:t>
      </w:r>
    </w:p>
    <w:p w:rsidR="00423143" w:rsidRPr="00C143A2" w:rsidP="0011131E" w14:paraId="54389020" w14:textId="77777777">
      <w:pPr>
        <w:ind w:firstLine="720"/>
      </w:pPr>
    </w:p>
    <w:p w:rsidR="00121362" w:rsidRPr="00C143A2" w:rsidP="00E83849" w14:paraId="1E418666" w14:textId="77777777"/>
    <w:p w:rsidR="00DB328B" w:rsidRPr="00C143A2" w:rsidP="00E83849" w14:paraId="52CDAB5B" w14:textId="77777777">
      <w:r w:rsidRPr="00C143A2">
        <w:t xml:space="preserve">13.  There are no capital and start-up costs. </w:t>
      </w:r>
    </w:p>
    <w:p w:rsidR="00DB328B" w:rsidRPr="00C143A2" w:rsidP="00E83849" w14:paraId="373393A8" w14:textId="77777777"/>
    <w:p w:rsidR="00DB328B" w:rsidRPr="00C143A2" w:rsidP="00E83849" w14:paraId="50B46674" w14:textId="77777777">
      <w:pPr>
        <w:rPr>
          <w:b/>
        </w:rPr>
      </w:pPr>
      <w:r w:rsidRPr="00C143A2">
        <w:rPr>
          <w:b/>
        </w:rPr>
        <w:t>Total annual costs (O&amp;M):</w:t>
      </w:r>
    </w:p>
    <w:p w:rsidR="00DB328B" w:rsidRPr="00C143A2" w:rsidP="00E83849" w14:paraId="33CB427D" w14:textId="77777777">
      <w:pPr>
        <w:rPr>
          <w:b/>
        </w:rPr>
      </w:pPr>
      <w:r w:rsidRPr="00C143A2">
        <w:rPr>
          <w:b/>
        </w:rPr>
        <w:t xml:space="preserve"> </w:t>
      </w:r>
    </w:p>
    <w:p w:rsidR="009B5516" w:rsidRPr="00C143A2" w:rsidP="00E83849" w14:paraId="17C280CA" w14:textId="77777777">
      <w:pPr>
        <w:rPr>
          <w:strike/>
          <w:szCs w:val="24"/>
        </w:rPr>
      </w:pPr>
      <w:r w:rsidRPr="00C143A2">
        <w:t xml:space="preserve">The </w:t>
      </w:r>
      <w:r w:rsidRPr="00C143A2" w:rsidR="00DB328B">
        <w:t xml:space="preserve">Commission </w:t>
      </w:r>
      <w:r w:rsidRPr="00C143A2">
        <w:t>estimate</w:t>
      </w:r>
      <w:r w:rsidRPr="00C143A2" w:rsidR="00DB328B">
        <w:t>s that the</w:t>
      </w:r>
      <w:r w:rsidRPr="00C143A2">
        <w:t xml:space="preserve"> time to produce a label </w:t>
      </w:r>
      <w:r w:rsidRPr="00C143A2">
        <w:rPr>
          <w:szCs w:val="24"/>
        </w:rPr>
        <w:t>and t</w:t>
      </w:r>
      <w:r w:rsidRPr="00C143A2" w:rsidR="00DB328B">
        <w:rPr>
          <w:szCs w:val="24"/>
        </w:rPr>
        <w:t>o</w:t>
      </w:r>
      <w:r w:rsidRPr="00C143A2">
        <w:rPr>
          <w:szCs w:val="24"/>
        </w:rPr>
        <w:t xml:space="preserve"> label the equipment</w:t>
      </w:r>
      <w:r w:rsidRPr="00C143A2">
        <w:t xml:space="preserve"> </w:t>
      </w:r>
      <w:r w:rsidRPr="00C143A2" w:rsidR="00F543D8">
        <w:t xml:space="preserve">is </w:t>
      </w:r>
      <w:r w:rsidRPr="00C143A2">
        <w:t>60 minutes</w:t>
      </w:r>
      <w:r w:rsidRPr="00C143A2" w:rsidR="00541F55">
        <w:t xml:space="preserve"> or 1 hour</w:t>
      </w:r>
      <w:r w:rsidRPr="00C143A2" w:rsidR="00DB328B">
        <w:t xml:space="preserve"> on average at an annual cost of $75 per </w:t>
      </w:r>
      <w:r w:rsidRPr="00C143A2" w:rsidR="00946400">
        <w:t>label.</w:t>
      </w:r>
      <w:r w:rsidRPr="00C143A2">
        <w:rPr>
          <w:strike/>
          <w:szCs w:val="24"/>
        </w:rPr>
        <w:t xml:space="preserve"> </w:t>
      </w:r>
    </w:p>
    <w:p w:rsidR="00DB328B" w:rsidRPr="00C143A2" w:rsidP="00E83849" w14:paraId="1BD394E2" w14:textId="77777777"/>
    <w:p w:rsidR="00DB328B" w:rsidRPr="00C143A2" w:rsidP="00E83849" w14:paraId="1F03713A" w14:textId="77777777">
      <w:r>
        <w:t>250</w:t>
      </w:r>
      <w:r w:rsidRPr="00C143A2">
        <w:t xml:space="preserve"> </w:t>
      </w:r>
      <w:r w:rsidRPr="00C143A2">
        <w:t>respondents x $75.00/for producing and labeling</w:t>
      </w:r>
      <w:r w:rsidRPr="00C143A2" w:rsidR="00946400">
        <w:t xml:space="preserve"> instruction manual/packaging or other user documentation</w:t>
      </w:r>
      <w:r w:rsidRPr="00C143A2">
        <w:t xml:space="preserve"> </w:t>
      </w:r>
      <w:r w:rsidRPr="00C143A2" w:rsidR="00946400">
        <w:t>x 1 hour to</w:t>
      </w:r>
      <w:r w:rsidRPr="00C143A2" w:rsidR="00D6753A">
        <w:t xml:space="preserve"> label the equipment</w:t>
      </w:r>
      <w:r w:rsidRPr="00C143A2" w:rsidR="00550966">
        <w:t xml:space="preserve"> </w:t>
      </w:r>
      <w:r w:rsidRPr="00C143A2">
        <w:t xml:space="preserve"> </w:t>
      </w:r>
      <w:r w:rsidRPr="00C143A2" w:rsidR="00E90066">
        <w:t>=</w:t>
      </w:r>
      <w:r w:rsidRPr="00C143A2">
        <w:t xml:space="preserve"> </w:t>
      </w:r>
      <w:r>
        <w:t xml:space="preserve"> </w:t>
      </w:r>
      <w:r w:rsidRPr="00C143A2">
        <w:t>$</w:t>
      </w:r>
      <w:r>
        <w:t xml:space="preserve"> 18,750.00</w:t>
      </w:r>
    </w:p>
    <w:p w:rsidR="00DB328B" w:rsidRPr="00C143A2" w:rsidP="00E83849" w14:paraId="621B90B7" w14:textId="77777777"/>
    <w:p w:rsidR="001D550B" w:rsidRPr="00C143A2" w:rsidP="00E83849" w14:paraId="568BA3BB" w14:textId="77777777">
      <w:pPr>
        <w:rPr>
          <w:b/>
        </w:rPr>
      </w:pPr>
      <w:r w:rsidRPr="00C143A2">
        <w:rPr>
          <w:b/>
        </w:rPr>
        <w:t xml:space="preserve">The annual cost </w:t>
      </w:r>
      <w:r w:rsidRPr="00C143A2" w:rsidR="00541F55">
        <w:rPr>
          <w:b/>
        </w:rPr>
        <w:t>is estimated</w:t>
      </w:r>
      <w:r w:rsidRPr="00C143A2">
        <w:rPr>
          <w:b/>
        </w:rPr>
        <w:t>: $</w:t>
      </w:r>
      <w:r w:rsidR="00957B07">
        <w:rPr>
          <w:b/>
        </w:rPr>
        <w:t xml:space="preserve"> 18,750</w:t>
      </w:r>
      <w:r w:rsidRPr="00C143A2">
        <w:rPr>
          <w:b/>
        </w:rPr>
        <w:t>.00.</w:t>
      </w:r>
      <w:r w:rsidRPr="00C143A2" w:rsidR="00823F3E">
        <w:rPr>
          <w:b/>
        </w:rPr>
        <w:t xml:space="preserve"> </w:t>
      </w:r>
    </w:p>
    <w:p w:rsidR="001D550B" w:rsidRPr="00C143A2" w:rsidP="00E83849" w14:paraId="46152250" w14:textId="77777777"/>
    <w:p w:rsidR="00823F3E" w:rsidRPr="00C143A2" w:rsidP="00E83849" w14:paraId="33D227B0" w14:textId="77777777">
      <w:r w:rsidRPr="00C143A2">
        <w:t xml:space="preserve"> 14.  There is no cost to the Federal government.</w:t>
      </w:r>
      <w:r w:rsidRPr="00C143A2" w:rsidR="00550966">
        <w:t xml:space="preserve"> </w:t>
      </w:r>
      <w:r w:rsidRPr="00C143A2" w:rsidR="001C2B15">
        <w:t xml:space="preserve">  This is a third party labeling requirement for manufacturing companies.</w:t>
      </w:r>
    </w:p>
    <w:p w:rsidR="00823F3E" w:rsidRPr="00C143A2" w:rsidP="00E83849" w14:paraId="20494F80" w14:textId="77777777"/>
    <w:p w:rsidR="00E547D2" w:rsidP="00E83849" w14:paraId="1C371F2D" w14:textId="7E8DA4A9">
      <w:r w:rsidRPr="00C143A2">
        <w:t xml:space="preserve">15.  </w:t>
      </w:r>
      <w:r w:rsidR="00C442C1">
        <w:t xml:space="preserve">Since the last submission to OMB, there are no program changes or adjustments to this information collection. </w:t>
      </w:r>
    </w:p>
    <w:p w:rsidR="00423143" w:rsidP="00E83849" w14:paraId="41EA4A7E" w14:textId="77777777">
      <w:pPr>
        <w:rPr>
          <w:szCs w:val="24"/>
        </w:rPr>
      </w:pPr>
    </w:p>
    <w:p w:rsidR="00A35921" w:rsidRPr="00C143A2" w:rsidP="00E83849" w14:paraId="09B3B1E8" w14:textId="77777777">
      <w:r w:rsidRPr="00C143A2">
        <w:t>16.  The information is used to determine compliance with applicable Commission technical standards and rules.  The data are not compiled, published or otherwise reported to the public.</w:t>
      </w:r>
    </w:p>
    <w:p w:rsidR="00A35921" w:rsidRPr="00C143A2" w:rsidP="00E83849" w14:paraId="4DBCB95E" w14:textId="77777777"/>
    <w:p w:rsidR="00A35921" w:rsidRPr="00C143A2" w:rsidP="00E83849" w14:paraId="5C202BCE" w14:textId="77777777">
      <w:r w:rsidRPr="00C143A2">
        <w:t>17.  Th</w:t>
      </w:r>
      <w:r w:rsidRPr="00C143A2" w:rsidR="000E40FB">
        <w:t xml:space="preserve">e Commission is requesting to not display </w:t>
      </w:r>
      <w:r w:rsidRPr="00C143A2" w:rsidR="00F8140D">
        <w:t xml:space="preserve">the </w:t>
      </w:r>
      <w:r w:rsidRPr="00C143A2" w:rsidR="000E40FB">
        <w:t>OMB expiration</w:t>
      </w:r>
      <w:r w:rsidRPr="00C143A2">
        <w:t xml:space="preserve"> </w:t>
      </w:r>
      <w:r w:rsidRPr="00C143A2" w:rsidR="000E40FB">
        <w:t>because this is a third party disclosure requirement.     Note:   The Commission publishes a list of all OMB-approved information collections (including this one) in 47 CFR 0.408 of the Commission’s rules.</w:t>
      </w:r>
    </w:p>
    <w:p w:rsidR="00A35921" w:rsidRPr="00C143A2" w:rsidP="00E83849" w14:paraId="593D63D0" w14:textId="77777777"/>
    <w:p w:rsidR="00C83A23" w:rsidRPr="00C143A2" w:rsidP="00E83849" w14:paraId="232B0492" w14:textId="77777777">
      <w:r w:rsidRPr="00C143A2">
        <w:t xml:space="preserve">18.  </w:t>
      </w:r>
      <w:r w:rsidRPr="00C143A2" w:rsidR="0023267E">
        <w:t xml:space="preserve">There are </w:t>
      </w:r>
      <w:r w:rsidRPr="00C143A2" w:rsidR="009B5516">
        <w:t xml:space="preserve">no </w:t>
      </w:r>
      <w:r w:rsidRPr="00C143A2" w:rsidR="0023267E">
        <w:t>exceptions to the certification statement</w:t>
      </w:r>
      <w:r w:rsidRPr="00C143A2" w:rsidR="00A27FAF">
        <w:t>.</w:t>
      </w:r>
    </w:p>
    <w:p w:rsidR="00C83A23" w:rsidRPr="00C143A2" w:rsidP="00E83849" w14:paraId="445B1EFE" w14:textId="77777777">
      <w:pPr>
        <w:rPr>
          <w:u w:val="single"/>
        </w:rPr>
      </w:pPr>
    </w:p>
    <w:p w:rsidR="00A35921" w:rsidRPr="00C143A2" w:rsidP="00E83849" w14:paraId="76C0DAD3" w14:textId="77777777">
      <w:pPr>
        <w:rPr>
          <w:b/>
          <w:u w:val="single"/>
        </w:rPr>
      </w:pPr>
      <w:r w:rsidRPr="00C143A2">
        <w:rPr>
          <w:b/>
          <w:u w:val="single"/>
        </w:rPr>
        <w:t>B.  Collection of Information Employing Statistical Methods.</w:t>
      </w:r>
    </w:p>
    <w:p w:rsidR="00A35921" w:rsidRPr="00C143A2" w:rsidP="00E83849" w14:paraId="5F97C7B6" w14:textId="77777777">
      <w:pPr>
        <w:rPr>
          <w:b/>
        </w:rPr>
      </w:pPr>
    </w:p>
    <w:p w:rsidR="004119FD" w:rsidRPr="004119FD" w:rsidP="00E83849" w14:paraId="13B89909" w14:textId="7D1F5B94">
      <w:r w:rsidRPr="00C143A2">
        <w:t>This c</w:t>
      </w:r>
      <w:r w:rsidRPr="00C143A2">
        <w:t xml:space="preserve">ollection of </w:t>
      </w:r>
      <w:r w:rsidRPr="00C143A2">
        <w:t>i</w:t>
      </w:r>
      <w:r w:rsidRPr="00C143A2">
        <w:t>nformation does not employ statistical methods.</w:t>
      </w:r>
    </w:p>
    <w:sectPr w:rsidSect="00203891">
      <w:headerReference w:type="default" r:id="rId6"/>
      <w:footerReference w:type="even" r:id="rId7"/>
      <w:footerReference w:type="default" r:id="rId8"/>
      <w:pgSz w:w="12240" w:h="15840" w:code="1"/>
      <w:pgMar w:top="1440" w:right="1440" w:bottom="1440" w:left="1440" w:header="432"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34D" w:rsidP="009A089E" w14:paraId="3C86DD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534D" w14:paraId="1CFD02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34D" w:rsidRPr="009A089E" w:rsidP="009A089E" w14:paraId="5646C10B" w14:textId="77777777">
    <w:pPr>
      <w:pStyle w:val="Footer"/>
      <w:framePr w:wrap="around" w:vAnchor="text" w:hAnchor="margin" w:xAlign="center" w:y="1"/>
      <w:rPr>
        <w:rStyle w:val="PageNumber"/>
        <w:sz w:val="20"/>
      </w:rPr>
    </w:pPr>
    <w:r w:rsidRPr="009A089E">
      <w:rPr>
        <w:rStyle w:val="PageNumber"/>
        <w:sz w:val="20"/>
      </w:rPr>
      <w:fldChar w:fldCharType="begin"/>
    </w:r>
    <w:r w:rsidRPr="009A089E">
      <w:rPr>
        <w:rStyle w:val="PageNumber"/>
        <w:sz w:val="20"/>
      </w:rPr>
      <w:instrText xml:space="preserve">PAGE  </w:instrText>
    </w:r>
    <w:r w:rsidRPr="009A089E">
      <w:rPr>
        <w:rStyle w:val="PageNumber"/>
        <w:sz w:val="20"/>
      </w:rPr>
      <w:fldChar w:fldCharType="separate"/>
    </w:r>
    <w:r w:rsidR="000855C1">
      <w:rPr>
        <w:rStyle w:val="PageNumber"/>
        <w:noProof/>
        <w:sz w:val="20"/>
      </w:rPr>
      <w:t>3</w:t>
    </w:r>
    <w:r w:rsidRPr="009A089E">
      <w:rPr>
        <w:rStyle w:val="PageNumber"/>
        <w:sz w:val="20"/>
      </w:rPr>
      <w:fldChar w:fldCharType="end"/>
    </w:r>
  </w:p>
  <w:p w:rsidR="00CB534D" w14:paraId="7368B7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456A1" w14:paraId="2A087E08" w14:textId="77777777">
      <w:r>
        <w:separator/>
      </w:r>
    </w:p>
  </w:footnote>
  <w:footnote w:type="continuationSeparator" w:id="1">
    <w:p w:rsidR="00B456A1" w14:paraId="4A35F828" w14:textId="77777777">
      <w:r>
        <w:continuationSeparator/>
      </w:r>
    </w:p>
  </w:footnote>
  <w:footnote w:id="2">
    <w:p w:rsidR="00CB534D" w14:paraId="2A5EF33B" w14:textId="77777777">
      <w:pPr>
        <w:pStyle w:val="FootnoteText"/>
      </w:pPr>
      <w:r>
        <w:rPr>
          <w:rStyle w:val="FootnoteReference"/>
        </w:rPr>
        <w:footnoteRef/>
      </w:r>
      <w:r>
        <w:t xml:space="preserve"> Pursuant to 47 CFR § 2.939, the Commission has the authority to revoke or withdraw the equipment authorization of any manufacturer found not to be in compliance with Section 18.213 of the Commission’s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2C1" w:rsidP="00C442C1" w14:paraId="1BC6A018" w14:textId="77777777">
    <w:pPr>
      <w:pStyle w:val="Header"/>
      <w:rPr>
        <w:b/>
        <w:sz w:val="22"/>
        <w:szCs w:val="22"/>
      </w:rPr>
    </w:pPr>
    <w:r w:rsidRPr="005B090D">
      <w:rPr>
        <w:b/>
        <w:sz w:val="22"/>
        <w:szCs w:val="22"/>
      </w:rPr>
      <w:t xml:space="preserve">Section 18.213, Information to the User </w:t>
    </w:r>
    <w:r>
      <w:rPr>
        <w:b/>
        <w:sz w:val="22"/>
        <w:szCs w:val="22"/>
      </w:rPr>
      <w:tab/>
    </w:r>
    <w:r>
      <w:rPr>
        <w:b/>
        <w:sz w:val="22"/>
        <w:szCs w:val="22"/>
      </w:rPr>
      <w:tab/>
      <w:t>3060-0905</w:t>
    </w:r>
  </w:p>
  <w:p w:rsidR="00CB534D" w:rsidRPr="005B090D" w14:paraId="2E476CBE" w14:textId="6D4C4DBE">
    <w:pPr>
      <w:pStyle w:val="Header"/>
      <w:rPr>
        <w:b/>
        <w:sz w:val="22"/>
        <w:szCs w:val="22"/>
      </w:rPr>
    </w:pPr>
    <w:r w:rsidRPr="005B090D">
      <w:rPr>
        <w:b/>
        <w:sz w:val="22"/>
        <w:szCs w:val="22"/>
      </w:rPr>
      <w:t>(</w:t>
    </w:r>
    <w:r w:rsidRPr="005B090D">
      <w:rPr>
        <w:b/>
        <w:noProof/>
        <w:sz w:val="22"/>
        <w:szCs w:val="22"/>
      </w:rPr>
      <w:t>Regulations for RF Lighting Devices)</w:t>
    </w:r>
    <w:r>
      <w:rPr>
        <w:b/>
        <w:noProof/>
        <w:sz w:val="22"/>
        <w:szCs w:val="22"/>
      </w:rPr>
      <w:tab/>
    </w:r>
    <w:r>
      <w:rPr>
        <w:b/>
        <w:noProof/>
        <w:sz w:val="22"/>
        <w:szCs w:val="22"/>
      </w:rPr>
      <w:tab/>
    </w:r>
    <w:r w:rsidR="00995F58">
      <w:rPr>
        <w:b/>
        <w:noProof/>
        <w:sz w:val="22"/>
        <w:szCs w:val="22"/>
      </w:rPr>
      <w:t xml:space="preserve">February 2023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AB"/>
    <w:rsid w:val="000042FE"/>
    <w:rsid w:val="00017105"/>
    <w:rsid w:val="00034015"/>
    <w:rsid w:val="00042794"/>
    <w:rsid w:val="00052E4E"/>
    <w:rsid w:val="00066665"/>
    <w:rsid w:val="000855C1"/>
    <w:rsid w:val="00093129"/>
    <w:rsid w:val="00095EDC"/>
    <w:rsid w:val="000B398F"/>
    <w:rsid w:val="000C0CA5"/>
    <w:rsid w:val="000C5639"/>
    <w:rsid w:val="000D7DB9"/>
    <w:rsid w:val="000E0252"/>
    <w:rsid w:val="000E40FB"/>
    <w:rsid w:val="000F2CD5"/>
    <w:rsid w:val="00104681"/>
    <w:rsid w:val="0011131E"/>
    <w:rsid w:val="00121362"/>
    <w:rsid w:val="00131B7C"/>
    <w:rsid w:val="00143D77"/>
    <w:rsid w:val="00145D60"/>
    <w:rsid w:val="00155EEF"/>
    <w:rsid w:val="001629CB"/>
    <w:rsid w:val="0017672C"/>
    <w:rsid w:val="001922CB"/>
    <w:rsid w:val="001B735D"/>
    <w:rsid w:val="001B7CAE"/>
    <w:rsid w:val="001C2B15"/>
    <w:rsid w:val="001D550B"/>
    <w:rsid w:val="001D6B4F"/>
    <w:rsid w:val="001E3452"/>
    <w:rsid w:val="001F7B78"/>
    <w:rsid w:val="00203891"/>
    <w:rsid w:val="002148D8"/>
    <w:rsid w:val="0023267E"/>
    <w:rsid w:val="00244665"/>
    <w:rsid w:val="002568E0"/>
    <w:rsid w:val="00282BAA"/>
    <w:rsid w:val="002949A5"/>
    <w:rsid w:val="002C186D"/>
    <w:rsid w:val="0034697E"/>
    <w:rsid w:val="003629E1"/>
    <w:rsid w:val="00366DA8"/>
    <w:rsid w:val="003726EF"/>
    <w:rsid w:val="003A3E32"/>
    <w:rsid w:val="003A5E91"/>
    <w:rsid w:val="0040563C"/>
    <w:rsid w:val="004119FD"/>
    <w:rsid w:val="00423143"/>
    <w:rsid w:val="0043071E"/>
    <w:rsid w:val="0043397F"/>
    <w:rsid w:val="00437226"/>
    <w:rsid w:val="00451C67"/>
    <w:rsid w:val="004A3CA4"/>
    <w:rsid w:val="004A5BD1"/>
    <w:rsid w:val="004E2415"/>
    <w:rsid w:val="004E32DD"/>
    <w:rsid w:val="005047A5"/>
    <w:rsid w:val="00533420"/>
    <w:rsid w:val="00541F55"/>
    <w:rsid w:val="00550172"/>
    <w:rsid w:val="00550966"/>
    <w:rsid w:val="00582829"/>
    <w:rsid w:val="005907D3"/>
    <w:rsid w:val="005A6B0D"/>
    <w:rsid w:val="005B090D"/>
    <w:rsid w:val="005C2B4F"/>
    <w:rsid w:val="005C5C51"/>
    <w:rsid w:val="005C7FAF"/>
    <w:rsid w:val="005F78AB"/>
    <w:rsid w:val="006038CD"/>
    <w:rsid w:val="00616D31"/>
    <w:rsid w:val="00617A18"/>
    <w:rsid w:val="00637966"/>
    <w:rsid w:val="006437AD"/>
    <w:rsid w:val="00676409"/>
    <w:rsid w:val="006B37FB"/>
    <w:rsid w:val="006B5F04"/>
    <w:rsid w:val="006B79EB"/>
    <w:rsid w:val="006C6A4E"/>
    <w:rsid w:val="006D6D0B"/>
    <w:rsid w:val="00752F31"/>
    <w:rsid w:val="00781C1B"/>
    <w:rsid w:val="007B5004"/>
    <w:rsid w:val="007C1A5D"/>
    <w:rsid w:val="00823F3E"/>
    <w:rsid w:val="008468D9"/>
    <w:rsid w:val="008527BE"/>
    <w:rsid w:val="008606C2"/>
    <w:rsid w:val="008727C8"/>
    <w:rsid w:val="00885A78"/>
    <w:rsid w:val="008F266F"/>
    <w:rsid w:val="0091683C"/>
    <w:rsid w:val="00944938"/>
    <w:rsid w:val="00946400"/>
    <w:rsid w:val="0095615A"/>
    <w:rsid w:val="00957B07"/>
    <w:rsid w:val="00995F58"/>
    <w:rsid w:val="009A089E"/>
    <w:rsid w:val="009B2E6A"/>
    <w:rsid w:val="009B5472"/>
    <w:rsid w:val="009B5516"/>
    <w:rsid w:val="009D672D"/>
    <w:rsid w:val="00A17F3D"/>
    <w:rsid w:val="00A25987"/>
    <w:rsid w:val="00A25EBE"/>
    <w:rsid w:val="00A27FAF"/>
    <w:rsid w:val="00A35921"/>
    <w:rsid w:val="00A52E3C"/>
    <w:rsid w:val="00A76E22"/>
    <w:rsid w:val="00AC153C"/>
    <w:rsid w:val="00AC60BD"/>
    <w:rsid w:val="00AC7C7B"/>
    <w:rsid w:val="00AD4F11"/>
    <w:rsid w:val="00B06AB0"/>
    <w:rsid w:val="00B123B8"/>
    <w:rsid w:val="00B4166B"/>
    <w:rsid w:val="00B456A1"/>
    <w:rsid w:val="00B60B70"/>
    <w:rsid w:val="00B80105"/>
    <w:rsid w:val="00BF51D1"/>
    <w:rsid w:val="00C1125F"/>
    <w:rsid w:val="00C143A2"/>
    <w:rsid w:val="00C31ECD"/>
    <w:rsid w:val="00C41F97"/>
    <w:rsid w:val="00C442C1"/>
    <w:rsid w:val="00C45F9E"/>
    <w:rsid w:val="00C65874"/>
    <w:rsid w:val="00C83A23"/>
    <w:rsid w:val="00C938CC"/>
    <w:rsid w:val="00CB534D"/>
    <w:rsid w:val="00D6753A"/>
    <w:rsid w:val="00D82292"/>
    <w:rsid w:val="00DB1692"/>
    <w:rsid w:val="00DB328B"/>
    <w:rsid w:val="00DB389F"/>
    <w:rsid w:val="00E33DC3"/>
    <w:rsid w:val="00E33E0E"/>
    <w:rsid w:val="00E4541D"/>
    <w:rsid w:val="00E46C84"/>
    <w:rsid w:val="00E547D2"/>
    <w:rsid w:val="00E83849"/>
    <w:rsid w:val="00E90066"/>
    <w:rsid w:val="00EA62CD"/>
    <w:rsid w:val="00EB3914"/>
    <w:rsid w:val="00EB6826"/>
    <w:rsid w:val="00ED74C5"/>
    <w:rsid w:val="00EE50A2"/>
    <w:rsid w:val="00F543D8"/>
    <w:rsid w:val="00F8140D"/>
    <w:rsid w:val="00F8714F"/>
    <w:rsid w:val="00FA184D"/>
    <w:rsid w:val="00FE6A66"/>
    <w:rsid w:val="00FF7344"/>
    <w:rsid w:val="00FF7D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70DAD2"/>
  <w15:docId w15:val="{12A63FBB-91CA-4018-B2DD-CA5635DC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849"/>
    <w:pPr>
      <w:tabs>
        <w:tab w:val="center" w:pos="4320"/>
        <w:tab w:val="right" w:pos="8640"/>
      </w:tabs>
    </w:pPr>
  </w:style>
  <w:style w:type="paragraph" w:styleId="Footer">
    <w:name w:val="footer"/>
    <w:basedOn w:val="Normal"/>
    <w:rsid w:val="00E83849"/>
    <w:pPr>
      <w:tabs>
        <w:tab w:val="center" w:pos="4320"/>
        <w:tab w:val="right" w:pos="8640"/>
      </w:tabs>
    </w:pPr>
  </w:style>
  <w:style w:type="character" w:styleId="PageNumber">
    <w:name w:val="page number"/>
    <w:basedOn w:val="DefaultParagraphFont"/>
    <w:rsid w:val="009A089E"/>
  </w:style>
  <w:style w:type="paragraph" w:styleId="BalloonText">
    <w:name w:val="Balloon Text"/>
    <w:basedOn w:val="Normal"/>
    <w:semiHidden/>
    <w:rsid w:val="000F2CD5"/>
    <w:rPr>
      <w:rFonts w:ascii="Tahoma" w:hAnsi="Tahoma" w:cs="Tahoma"/>
      <w:sz w:val="16"/>
      <w:szCs w:val="16"/>
    </w:rPr>
  </w:style>
  <w:style w:type="paragraph" w:styleId="FootnoteText">
    <w:name w:val="footnote text"/>
    <w:basedOn w:val="Normal"/>
    <w:semiHidden/>
    <w:rsid w:val="003A5E91"/>
    <w:rPr>
      <w:sz w:val="20"/>
    </w:rPr>
  </w:style>
  <w:style w:type="character" w:styleId="FootnoteReference">
    <w:name w:val="footnote reference"/>
    <w:basedOn w:val="DefaultParagraphFont"/>
    <w:semiHidden/>
    <w:rsid w:val="003A5E91"/>
    <w:rPr>
      <w:vertAlign w:val="superscript"/>
    </w:rPr>
  </w:style>
  <w:style w:type="paragraph" w:styleId="Revision">
    <w:name w:val="Revision"/>
    <w:hidden/>
    <w:uiPriority w:val="99"/>
    <w:semiHidden/>
    <w:rsid w:val="00BF51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F862-6C9C-4FD3-9C5B-204E05C0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Nicole Ongele</cp:lastModifiedBy>
  <cp:revision>2</cp:revision>
  <cp:lastPrinted>2014-06-26T14:41:00Z</cp:lastPrinted>
  <dcterms:created xsi:type="dcterms:W3CDTF">2023-02-21T19:27:00Z</dcterms:created>
  <dcterms:modified xsi:type="dcterms:W3CDTF">2023-02-21T19:27:00Z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00000000D3E47BBA5FBDF04B834CA7A964169ECD0700BF17D4F30776D441B05165F92C68ACD10000006957A10000103B40ED04F1AD4ABD195768D76E30030000057B86960000</vt:lpwstr>
  </property>
  <property fmtid="{D5CDD505-2E9C-101B-9397-08002B2CF9AE}" pid="3" name="_ReviewCycleID">
    <vt:i4>-1806325345</vt:i4>
  </property>
  <property fmtid="{D5CDD505-2E9C-101B-9397-08002B2CF9AE}" pid="4" name="_ReviewingToolsShownOnce">
    <vt:lpwstr/>
  </property>
</Properties>
</file>