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E5C" w:rsidRPr="00115AE5" w:rsidP="00D65E5C" w14:paraId="60F9B23F" w14:textId="77777777">
      <w:pPr>
        <w:jc w:val="right"/>
        <w:rPr>
          <w:rFonts w:ascii="Times New Roman" w:hAnsi="Times New Roman" w:cs="Times New Roman"/>
          <w:b/>
          <w:bCs/>
          <w:sz w:val="24"/>
          <w:szCs w:val="24"/>
        </w:rPr>
      </w:pPr>
    </w:p>
    <w:p w:rsidR="00400F2F" w:rsidP="008E0C6B" w14:paraId="71525094" w14:textId="3CE050AB">
      <w:pPr>
        <w:jc w:val="center"/>
        <w:rPr>
          <w:rFonts w:ascii="Times New Roman" w:hAnsi="Times New Roman" w:cs="Times New Roman"/>
          <w:b/>
          <w:bCs/>
          <w:u w:val="single"/>
        </w:rPr>
      </w:pPr>
      <w:r w:rsidRPr="003C6F72">
        <w:rPr>
          <w:rFonts w:ascii="Times New Roman" w:hAnsi="Times New Roman" w:cs="Times New Roman"/>
          <w:b/>
          <w:bCs/>
          <w:u w:val="single"/>
        </w:rPr>
        <w:t>SUPPORTING STATEMENT</w:t>
      </w:r>
    </w:p>
    <w:p w:rsidR="00AE2625" w:rsidP="00AE2625" w14:paraId="04837476" w14:textId="77E7B0B8">
      <w:pPr>
        <w:pStyle w:val="ListParagraph"/>
        <w:numPr>
          <w:ilvl w:val="0"/>
          <w:numId w:val="41"/>
        </w:numPr>
        <w:rPr>
          <w:rFonts w:ascii="Times New Roman" w:hAnsi="Times New Roman" w:cs="Times New Roman"/>
          <w:b/>
          <w:bCs/>
          <w:u w:val="single"/>
        </w:rPr>
      </w:pPr>
      <w:r>
        <w:rPr>
          <w:rFonts w:ascii="Times New Roman" w:hAnsi="Times New Roman" w:cs="Times New Roman"/>
          <w:b/>
          <w:bCs/>
          <w:u w:val="single"/>
        </w:rPr>
        <w:t>Justification</w:t>
      </w:r>
    </w:p>
    <w:p w:rsidR="00AE2625" w:rsidRPr="00AE2625" w:rsidP="00AE2625" w14:paraId="0E73873F" w14:textId="77777777">
      <w:pPr>
        <w:pStyle w:val="ListParagraph"/>
        <w:ind w:left="720"/>
        <w:rPr>
          <w:rFonts w:ascii="Times New Roman" w:hAnsi="Times New Roman" w:cs="Times New Roman"/>
          <w:b/>
          <w:bCs/>
          <w:u w:val="single"/>
        </w:rPr>
      </w:pPr>
    </w:p>
    <w:p w:rsidR="00F5679A" w:rsidRPr="00F5679A" w:rsidP="0017082F" w14:paraId="37DAC9E5" w14:textId="41A534E9">
      <w:pPr>
        <w:pStyle w:val="ListParagraph"/>
        <w:numPr>
          <w:ilvl w:val="0"/>
          <w:numId w:val="38"/>
        </w:numPr>
        <w:contextualSpacing w:val="0"/>
        <w:rPr>
          <w:rFonts w:ascii="Times New Roman" w:hAnsi="Times New Roman" w:cs="Times New Roman"/>
          <w:b/>
          <w:bCs/>
        </w:rPr>
      </w:pPr>
      <w:r w:rsidRPr="00F5679A">
        <w:rPr>
          <w:rFonts w:ascii="Times New Roman" w:hAnsi="Times New Roman" w:cs="Times New Roman"/>
          <w:b/>
          <w:bCs/>
        </w:rPr>
        <w:t xml:space="preserve">Explain the circumstances that make the collection of information necessary.  </w:t>
      </w:r>
      <w:r w:rsidRPr="00F5679A">
        <w:rPr>
          <w:rFonts w:ascii="Times New Roman" w:hAnsi="Times New Roman" w:cs="Times New Roman"/>
          <w:b/>
          <w:bCs/>
        </w:rPr>
        <w:t>Identify</w:t>
      </w:r>
      <w:r w:rsidRPr="00F5679A">
        <w:rPr>
          <w:rFonts w:ascii="Times New Roman" w:hAnsi="Times New Roman" w:cs="Times New Roman"/>
          <w:b/>
          <w:bCs/>
        </w:rPr>
        <w:t xml:space="preserve"> any legal or administrative requirements that necessitate the</w:t>
      </w:r>
      <w:r w:rsidRPr="00F5679A">
        <w:rPr>
          <w:rFonts w:ascii="Times New Roman" w:hAnsi="Times New Roman" w:cs="Times New Roman"/>
          <w:b/>
          <w:bCs/>
        </w:rPr>
        <w:t xml:space="preserve"> collection.</w:t>
      </w:r>
      <w:r w:rsidR="00E4670D">
        <w:rPr>
          <w:rFonts w:ascii="Times New Roman" w:hAnsi="Times New Roman" w:cs="Times New Roman"/>
          <w:b/>
          <w:bCs/>
        </w:rPr>
        <w:br/>
      </w:r>
    </w:p>
    <w:p w:rsidR="00C74B9B" w:rsidRPr="003C6F72" w:rsidP="00F5679A" w14:paraId="50B11874" w14:textId="0CF8D38D">
      <w:pPr>
        <w:pStyle w:val="ListParagraph"/>
        <w:ind w:left="360" w:firstLine="360"/>
        <w:contextualSpacing w:val="0"/>
        <w:rPr>
          <w:rFonts w:ascii="Times New Roman" w:hAnsi="Times New Roman" w:cs="Times New Roman"/>
        </w:rPr>
      </w:pPr>
      <w:r w:rsidRPr="003C6F72">
        <w:rPr>
          <w:rFonts w:ascii="Times New Roman" w:hAnsi="Times New Roman" w:cs="Times New Roman"/>
        </w:rPr>
        <w:t xml:space="preserve">The </w:t>
      </w:r>
      <w:r w:rsidR="00EA4FC9">
        <w:rPr>
          <w:rFonts w:ascii="Times New Roman" w:hAnsi="Times New Roman" w:cs="Times New Roman"/>
        </w:rPr>
        <w:t>inform</w:t>
      </w:r>
      <w:r w:rsidR="00F04A57">
        <w:rPr>
          <w:rFonts w:ascii="Times New Roman" w:hAnsi="Times New Roman" w:cs="Times New Roman"/>
        </w:rPr>
        <w:t xml:space="preserve">ation collection associated with the Federal Communications Commission’s (Commission) </w:t>
      </w:r>
      <w:r w:rsidR="00AB72AB">
        <w:rPr>
          <w:rFonts w:ascii="Times New Roman" w:hAnsi="Times New Roman" w:cs="Times New Roman"/>
        </w:rPr>
        <w:t>Resilient Networks Mandatory Disaster Response Initiative (MDRI) is necessary to ensure</w:t>
      </w:r>
      <w:r w:rsidR="00D755E0">
        <w:rPr>
          <w:rFonts w:ascii="Times New Roman" w:hAnsi="Times New Roman" w:cs="Times New Roman"/>
        </w:rPr>
        <w:t xml:space="preserve"> the </w:t>
      </w:r>
      <w:r w:rsidRPr="003C6F72">
        <w:rPr>
          <w:rFonts w:ascii="Times New Roman" w:hAnsi="Times New Roman" w:cs="Times New Roman"/>
        </w:rPr>
        <w:t xml:space="preserve">nation’s communications networks </w:t>
      </w:r>
      <w:r w:rsidR="00D755E0">
        <w:rPr>
          <w:rFonts w:ascii="Times New Roman" w:hAnsi="Times New Roman" w:cs="Times New Roman"/>
        </w:rPr>
        <w:t xml:space="preserve">are able to </w:t>
      </w:r>
      <w:r w:rsidRPr="003C6F72">
        <w:rPr>
          <w:rFonts w:ascii="Times New Roman" w:hAnsi="Times New Roman" w:cs="Times New Roman"/>
        </w:rPr>
        <w:t xml:space="preserve">provide a significant lifeline for those in need during disasters and other emergencies.  Recent events, including Hurricane Ida, earthquakes in Puerto Rico, severe winter storms in Texas, and active hurricane and wildfire seasons, have demonstrated however that the United States’ communications infrastructure is susceptible to disruption during disaster events.  To address this issue, the </w:t>
      </w:r>
      <w:bookmarkStart w:id="0" w:name="_Hlk3561817"/>
      <w:r w:rsidRPr="003C6F72">
        <w:rPr>
          <w:rFonts w:ascii="Times New Roman" w:hAnsi="Times New Roman" w:cs="Times New Roman"/>
        </w:rPr>
        <w:t>Commission</w:t>
      </w:r>
      <w:bookmarkEnd w:id="0"/>
      <w:r w:rsidRPr="003C6F72">
        <w:rPr>
          <w:rFonts w:ascii="Times New Roman" w:hAnsi="Times New Roman" w:cs="Times New Roman"/>
        </w:rPr>
        <w:t xml:space="preserve"> adopted a </w:t>
      </w:r>
      <w:r w:rsidRPr="003C6F72">
        <w:rPr>
          <w:rFonts w:ascii="Times New Roman" w:hAnsi="Times New Roman" w:cs="Times New Roman"/>
          <w:i/>
          <w:iCs/>
        </w:rPr>
        <w:t>Report</w:t>
      </w:r>
      <w:r w:rsidRPr="003C6F72">
        <w:rPr>
          <w:rFonts w:ascii="Times New Roman" w:hAnsi="Times New Roman" w:cs="Times New Roman"/>
          <w:i/>
        </w:rPr>
        <w:t xml:space="preserve"> </w:t>
      </w:r>
      <w:r w:rsidRPr="003C6F72">
        <w:rPr>
          <w:rFonts w:ascii="Times New Roman" w:hAnsi="Times New Roman" w:cs="Times New Roman"/>
          <w:i/>
          <w:iCs/>
        </w:rPr>
        <w:t>and Order</w:t>
      </w:r>
      <w:r w:rsidRPr="003C6F72">
        <w:rPr>
          <w:rFonts w:ascii="Times New Roman" w:hAnsi="Times New Roman" w:cs="Times New Roman"/>
        </w:rPr>
        <w:t xml:space="preserve"> in June 2022 to improve the reliability and resiliency of mobile wireless networks.</w:t>
      </w:r>
      <w:r>
        <w:rPr>
          <w:rStyle w:val="FootnoteReference"/>
          <w:rFonts w:ascii="Times New Roman" w:hAnsi="Times New Roman" w:cs="Times New Roman"/>
        </w:rPr>
        <w:footnoteReference w:id="3"/>
      </w:r>
      <w:r w:rsidRPr="003C6F72">
        <w:rPr>
          <w:rFonts w:ascii="Times New Roman" w:hAnsi="Times New Roman" w:cs="Times New Roman"/>
        </w:rPr>
        <w:t xml:space="preserve">  In the </w:t>
      </w:r>
      <w:r w:rsidRPr="003C6F72">
        <w:rPr>
          <w:rFonts w:ascii="Times New Roman" w:hAnsi="Times New Roman" w:cs="Times New Roman"/>
          <w:i/>
          <w:iCs/>
        </w:rPr>
        <w:t>Report and Order</w:t>
      </w:r>
      <w:r w:rsidRPr="003C6F72">
        <w:rPr>
          <w:rFonts w:ascii="Times New Roman" w:hAnsi="Times New Roman" w:cs="Times New Roman"/>
        </w:rPr>
        <w:t>, the Commission introduce</w:t>
      </w:r>
      <w:r w:rsidRPr="003C6F72" w:rsidR="00FE51D3">
        <w:rPr>
          <w:rFonts w:ascii="Times New Roman" w:hAnsi="Times New Roman" w:cs="Times New Roman"/>
        </w:rPr>
        <w:t>d</w:t>
      </w:r>
      <w:r w:rsidRPr="003C6F72">
        <w:rPr>
          <w:rFonts w:ascii="Times New Roman" w:hAnsi="Times New Roman" w:cs="Times New Roman"/>
        </w:rPr>
        <w:t xml:space="preserve"> the Mandatory Disaster Response Initiative (MDRI)</w:t>
      </w:r>
      <w:r w:rsidRPr="003C6F72" w:rsidR="00B0307E">
        <w:rPr>
          <w:rFonts w:ascii="Times New Roman" w:hAnsi="Times New Roman" w:cs="Times New Roman"/>
        </w:rPr>
        <w:t xml:space="preserve"> and </w:t>
      </w:r>
      <w:r w:rsidRPr="003C6F72" w:rsidR="00FE51D3">
        <w:rPr>
          <w:rFonts w:ascii="Times New Roman" w:hAnsi="Times New Roman" w:cs="Times New Roman"/>
        </w:rPr>
        <w:t xml:space="preserve">specified </w:t>
      </w:r>
      <w:r w:rsidRPr="003C6F72" w:rsidR="00B0307E">
        <w:rPr>
          <w:rFonts w:ascii="Times New Roman" w:hAnsi="Times New Roman" w:cs="Times New Roman"/>
        </w:rPr>
        <w:t>requirements</w:t>
      </w:r>
      <w:r w:rsidRPr="003C6F72" w:rsidR="00822F3C">
        <w:rPr>
          <w:rFonts w:ascii="Times New Roman" w:hAnsi="Times New Roman" w:cs="Times New Roman"/>
        </w:rPr>
        <w:t xml:space="preserve"> for a provider </w:t>
      </w:r>
      <w:r w:rsidRPr="003C6F72" w:rsidR="00B75B03">
        <w:rPr>
          <w:rFonts w:ascii="Times New Roman" w:hAnsi="Times New Roman" w:cs="Times New Roman"/>
        </w:rPr>
        <w:t>to comply</w:t>
      </w:r>
      <w:r w:rsidRPr="003C6F72" w:rsidR="00822F3C">
        <w:rPr>
          <w:rFonts w:ascii="Times New Roman" w:hAnsi="Times New Roman" w:cs="Times New Roman"/>
        </w:rPr>
        <w:t xml:space="preserve"> with the MDRI</w:t>
      </w:r>
      <w:r w:rsidRPr="003C6F72">
        <w:rPr>
          <w:rFonts w:ascii="Times New Roman" w:hAnsi="Times New Roman" w:cs="Times New Roman"/>
        </w:rPr>
        <w:t>.</w:t>
      </w:r>
      <w:r>
        <w:rPr>
          <w:rStyle w:val="FootnoteReference"/>
          <w:rFonts w:ascii="Times New Roman" w:hAnsi="Times New Roman" w:cs="Times New Roman"/>
        </w:rPr>
        <w:footnoteReference w:id="4"/>
      </w:r>
      <w:r w:rsidRPr="003C6F72">
        <w:rPr>
          <w:rFonts w:ascii="Times New Roman" w:hAnsi="Times New Roman" w:cs="Times New Roman"/>
        </w:rPr>
        <w:t xml:space="preserve">  </w:t>
      </w:r>
    </w:p>
    <w:p w:rsidR="00C74B9B" w:rsidRPr="003C6F72" w:rsidP="00C74B9B" w14:paraId="74CA894F" w14:textId="77777777">
      <w:pPr>
        <w:pStyle w:val="ListParagraph"/>
        <w:ind w:left="360"/>
        <w:rPr>
          <w:rFonts w:ascii="Times New Roman" w:hAnsi="Times New Roman" w:cs="Times New Roman"/>
        </w:rPr>
      </w:pPr>
    </w:p>
    <w:p w:rsidR="00F00971" w:rsidRPr="003C6F72" w:rsidP="00F5679A" w14:paraId="6CD28032" w14:textId="1FED161C">
      <w:pPr>
        <w:pStyle w:val="ListParagraph"/>
        <w:ind w:left="360" w:firstLine="240"/>
        <w:rPr>
          <w:rFonts w:ascii="Times New Roman" w:hAnsi="Times New Roman" w:cs="Times New Roman"/>
        </w:rPr>
      </w:pPr>
      <w:r w:rsidRPr="003C6F72">
        <w:rPr>
          <w:rFonts w:ascii="Times New Roman" w:hAnsi="Times New Roman" w:cs="Times New Roman"/>
          <w:i/>
        </w:rPr>
        <w:t>M</w:t>
      </w:r>
      <w:r w:rsidR="00B056A1">
        <w:rPr>
          <w:rFonts w:ascii="Times New Roman" w:hAnsi="Times New Roman" w:cs="Times New Roman"/>
          <w:i/>
        </w:rPr>
        <w:t xml:space="preserve">andatory </w:t>
      </w:r>
      <w:r w:rsidRPr="003C6F72">
        <w:rPr>
          <w:rFonts w:ascii="Times New Roman" w:hAnsi="Times New Roman" w:cs="Times New Roman"/>
          <w:i/>
        </w:rPr>
        <w:t>D</w:t>
      </w:r>
      <w:r w:rsidR="00B056A1">
        <w:rPr>
          <w:rFonts w:ascii="Times New Roman" w:hAnsi="Times New Roman" w:cs="Times New Roman"/>
          <w:i/>
        </w:rPr>
        <w:t xml:space="preserve">isaster </w:t>
      </w:r>
      <w:r w:rsidRPr="003C6F72">
        <w:rPr>
          <w:rFonts w:ascii="Times New Roman" w:hAnsi="Times New Roman" w:cs="Times New Roman"/>
          <w:i/>
        </w:rPr>
        <w:t>R</w:t>
      </w:r>
      <w:r w:rsidR="00B056A1">
        <w:rPr>
          <w:rFonts w:ascii="Times New Roman" w:hAnsi="Times New Roman" w:cs="Times New Roman"/>
          <w:i/>
        </w:rPr>
        <w:t xml:space="preserve">esponse </w:t>
      </w:r>
      <w:r w:rsidRPr="003C6F72">
        <w:rPr>
          <w:rFonts w:ascii="Times New Roman" w:hAnsi="Times New Roman" w:cs="Times New Roman"/>
          <w:i/>
        </w:rPr>
        <w:t>I</w:t>
      </w:r>
      <w:r w:rsidR="00B056A1">
        <w:rPr>
          <w:rFonts w:ascii="Times New Roman" w:hAnsi="Times New Roman" w:cs="Times New Roman"/>
          <w:i/>
        </w:rPr>
        <w:t>nitiative</w:t>
      </w:r>
      <w:r w:rsidRPr="003C6F72">
        <w:rPr>
          <w:rFonts w:ascii="Times New Roman" w:hAnsi="Times New Roman" w:cs="Times New Roman"/>
          <w:i/>
        </w:rPr>
        <w:t xml:space="preserve"> </w:t>
      </w:r>
      <w:r w:rsidRPr="003C6F72">
        <w:rPr>
          <w:rFonts w:ascii="Times New Roman" w:hAnsi="Times New Roman" w:cs="Times New Roman"/>
          <w:i/>
          <w:iCs/>
        </w:rPr>
        <w:t>Rule</w:t>
      </w:r>
      <w:r w:rsidRPr="003C6F72">
        <w:rPr>
          <w:rFonts w:ascii="Times New Roman" w:hAnsi="Times New Roman" w:cs="Times New Roman"/>
        </w:rPr>
        <w:t xml:space="preserve">.  </w:t>
      </w:r>
      <w:r w:rsidRPr="003C6F72" w:rsidR="00B13757">
        <w:rPr>
          <w:rFonts w:ascii="Times New Roman" w:hAnsi="Times New Roman" w:cs="Times New Roman"/>
        </w:rPr>
        <w:t xml:space="preserve">The Commission’s MDRI </w:t>
      </w:r>
      <w:r w:rsidRPr="003C6F72" w:rsidR="00627B1E">
        <w:rPr>
          <w:rFonts w:ascii="Times New Roman" w:hAnsi="Times New Roman" w:cs="Times New Roman"/>
        </w:rPr>
        <w:t>rule</w:t>
      </w:r>
      <w:r w:rsidRPr="003C6F72" w:rsidR="00F76489">
        <w:rPr>
          <w:rFonts w:ascii="Times New Roman" w:hAnsi="Times New Roman" w:cs="Times New Roman"/>
        </w:rPr>
        <w:t xml:space="preserve"> applies to all of the nation’s </w:t>
      </w:r>
      <w:r w:rsidRPr="003C6F72" w:rsidR="00F76489">
        <w:rPr>
          <w:rFonts w:ascii="Times New Roman" w:hAnsi="Times New Roman" w:cs="Times New Roman"/>
          <w:color w:val="333333"/>
        </w:rPr>
        <w:t>facilities-based mobile wireless provide</w:t>
      </w:r>
      <w:r w:rsidRPr="003C6F72" w:rsidR="00743317">
        <w:rPr>
          <w:rFonts w:ascii="Times New Roman" w:hAnsi="Times New Roman" w:cs="Times New Roman"/>
          <w:color w:val="333333"/>
        </w:rPr>
        <w:t>rs and states</w:t>
      </w:r>
      <w:r w:rsidRPr="003C6F72" w:rsidR="00815ED7">
        <w:rPr>
          <w:rFonts w:ascii="Times New Roman" w:hAnsi="Times New Roman" w:cs="Times New Roman"/>
          <w:color w:val="333333"/>
        </w:rPr>
        <w:t>, in part</w:t>
      </w:r>
      <w:r w:rsidRPr="003C6F72" w:rsidR="00743317">
        <w:rPr>
          <w:rFonts w:ascii="Times New Roman" w:hAnsi="Times New Roman" w:cs="Times New Roman"/>
          <w:color w:val="333333"/>
        </w:rPr>
        <w:t>:</w:t>
      </w:r>
    </w:p>
    <w:p w:rsidR="00F00971" w:rsidRPr="003C6F72" w:rsidP="00F00971" w14:paraId="53976A08" w14:textId="77777777">
      <w:pPr>
        <w:pStyle w:val="ListParagraph"/>
        <w:ind w:left="720"/>
        <w:rPr>
          <w:rFonts w:ascii="Times New Roman" w:hAnsi="Times New Roman" w:cs="Times New Roman"/>
          <w:color w:val="333333"/>
        </w:rPr>
      </w:pPr>
    </w:p>
    <w:p w:rsidR="00B13757" w:rsidRPr="003C6F72" w:rsidP="00AE7D10" w14:paraId="4A333655" w14:textId="628CEE1B">
      <w:pPr>
        <w:pStyle w:val="ListParagraph"/>
        <w:ind w:left="600"/>
        <w:rPr>
          <w:rFonts w:ascii="Times New Roman" w:hAnsi="Times New Roman" w:cs="Times New Roman"/>
          <w:b/>
          <w:bCs/>
          <w:color w:val="333333"/>
        </w:rPr>
      </w:pPr>
      <w:r w:rsidRPr="003C6F72">
        <w:rPr>
          <w:rFonts w:ascii="Times New Roman" w:hAnsi="Times New Roman" w:cs="Times New Roman"/>
          <w:color w:val="333333"/>
        </w:rPr>
        <w:t>“</w:t>
      </w:r>
      <w:r w:rsidRPr="003C6F72">
        <w:rPr>
          <w:rFonts w:ascii="Times New Roman" w:hAnsi="Times New Roman" w:cs="Times New Roman"/>
          <w:b/>
          <w:bCs/>
          <w:color w:val="333333"/>
        </w:rPr>
        <w:t>§ 4.17 Mandatory Disaster Response Initiative.</w:t>
      </w:r>
    </w:p>
    <w:p w:rsidR="00B13757" w:rsidRPr="003C6F72" w:rsidP="00AE7D10" w14:paraId="29B8485A" w14:textId="6575E79F">
      <w:pPr>
        <w:pStyle w:val="psection-1"/>
        <w:shd w:val="clear" w:color="auto" w:fill="FFFFFF"/>
        <w:spacing w:before="150" w:beforeAutospacing="0" w:after="150" w:afterAutospacing="0"/>
        <w:ind w:left="840"/>
        <w:rPr>
          <w:color w:val="333333"/>
          <w:sz w:val="22"/>
          <w:szCs w:val="22"/>
        </w:rPr>
      </w:pPr>
      <w:r w:rsidRPr="003C6F72">
        <w:rPr>
          <w:rStyle w:val="enumxml"/>
          <w:b/>
          <w:bCs/>
          <w:color w:val="333333"/>
          <w:sz w:val="22"/>
          <w:szCs w:val="22"/>
        </w:rPr>
        <w:t>(a)</w:t>
      </w:r>
      <w:r w:rsidR="005D299D">
        <w:rPr>
          <w:color w:val="333333"/>
          <w:sz w:val="22"/>
          <w:szCs w:val="22"/>
        </w:rPr>
        <w:t xml:space="preserve"> </w:t>
      </w:r>
      <w:r w:rsidRPr="003C6F72">
        <w:rPr>
          <w:color w:val="333333"/>
          <w:sz w:val="22"/>
          <w:szCs w:val="22"/>
        </w:rPr>
        <w:t>Facilities-based mobile wireless providers are required to perform, or have established, the following procedures when:</w:t>
      </w:r>
    </w:p>
    <w:p w:rsidR="00B13757" w:rsidRPr="003C6F72" w:rsidP="00AE7D10" w14:paraId="1DBC66A2" w14:textId="7743991F">
      <w:pPr>
        <w:pStyle w:val="psection-2"/>
        <w:shd w:val="clear" w:color="auto" w:fill="FFFFFF"/>
        <w:spacing w:before="0" w:beforeAutospacing="0" w:after="150" w:afterAutospacing="0"/>
        <w:ind w:left="1080"/>
        <w:rPr>
          <w:color w:val="333333"/>
          <w:sz w:val="22"/>
          <w:szCs w:val="22"/>
        </w:rPr>
      </w:pPr>
      <w:r w:rsidRPr="003C6F72">
        <w:rPr>
          <w:rStyle w:val="enumxml"/>
          <w:b/>
          <w:bCs/>
          <w:color w:val="333333"/>
          <w:sz w:val="22"/>
          <w:szCs w:val="22"/>
        </w:rPr>
        <w:t>(1)</w:t>
      </w:r>
      <w:r w:rsidR="005D299D">
        <w:rPr>
          <w:color w:val="333333"/>
          <w:sz w:val="22"/>
          <w:szCs w:val="22"/>
        </w:rPr>
        <w:t xml:space="preserve"> </w:t>
      </w:r>
      <w:r w:rsidRPr="003C6F72">
        <w:rPr>
          <w:color w:val="333333"/>
          <w:sz w:val="22"/>
          <w:szCs w:val="22"/>
        </w:rPr>
        <w:t>Any entity authorized to declare Emergency Support Function 2 (ESF-2) activates ESF-2 for a given emergency or disaster;</w:t>
      </w:r>
    </w:p>
    <w:p w:rsidR="00B13757" w:rsidRPr="003C6F72" w:rsidP="00AE7D10" w14:paraId="5FBA28B2" w14:textId="77563CB5">
      <w:pPr>
        <w:pStyle w:val="psection-2"/>
        <w:shd w:val="clear" w:color="auto" w:fill="FFFFFF"/>
        <w:spacing w:before="0" w:beforeAutospacing="0" w:after="150" w:afterAutospacing="0"/>
        <w:ind w:left="1080"/>
        <w:rPr>
          <w:color w:val="333333"/>
          <w:sz w:val="22"/>
          <w:szCs w:val="22"/>
        </w:rPr>
      </w:pPr>
      <w:r w:rsidRPr="003C6F72">
        <w:rPr>
          <w:rStyle w:val="enumxml"/>
          <w:b/>
          <w:bCs/>
          <w:color w:val="333333"/>
          <w:sz w:val="22"/>
          <w:szCs w:val="22"/>
        </w:rPr>
        <w:t>(2)</w:t>
      </w:r>
      <w:r w:rsidR="005D299D">
        <w:rPr>
          <w:color w:val="333333"/>
          <w:sz w:val="22"/>
          <w:szCs w:val="22"/>
        </w:rPr>
        <w:t xml:space="preserve"> </w:t>
      </w:r>
      <w:r w:rsidRPr="003C6F72">
        <w:rPr>
          <w:color w:val="333333"/>
          <w:sz w:val="22"/>
          <w:szCs w:val="22"/>
        </w:rPr>
        <w:t>The Commission activates the Disaster Information Reporting System (DIRS); or</w:t>
      </w:r>
    </w:p>
    <w:p w:rsidR="00B13757" w:rsidRPr="003C6F72" w:rsidP="00AE7D10" w14:paraId="03B81853" w14:textId="7F64D88C">
      <w:pPr>
        <w:pStyle w:val="psection-2"/>
        <w:shd w:val="clear" w:color="auto" w:fill="FFFFFF"/>
        <w:spacing w:before="0" w:beforeAutospacing="0" w:after="150" w:afterAutospacing="0"/>
        <w:ind w:left="1080"/>
        <w:rPr>
          <w:color w:val="333333"/>
          <w:sz w:val="22"/>
          <w:szCs w:val="22"/>
        </w:rPr>
      </w:pPr>
      <w:r w:rsidRPr="003C6F72">
        <w:rPr>
          <w:rStyle w:val="enumxml"/>
          <w:b/>
          <w:bCs/>
          <w:color w:val="333333"/>
          <w:sz w:val="22"/>
          <w:szCs w:val="22"/>
        </w:rPr>
        <w:t>(3)</w:t>
      </w:r>
      <w:r w:rsidR="005D299D">
        <w:rPr>
          <w:color w:val="333333"/>
          <w:sz w:val="22"/>
          <w:szCs w:val="22"/>
        </w:rPr>
        <w:t xml:space="preserve"> </w:t>
      </w:r>
      <w:r w:rsidRPr="003C6F72">
        <w:rPr>
          <w:color w:val="333333"/>
          <w:sz w:val="22"/>
          <w:szCs w:val="22"/>
        </w:rPr>
        <w:t>The Commission's Chief of the</w:t>
      </w:r>
      <w:r w:rsidR="005D299D">
        <w:rPr>
          <w:color w:val="333333"/>
          <w:sz w:val="22"/>
          <w:szCs w:val="22"/>
        </w:rPr>
        <w:t xml:space="preserve"> </w:t>
      </w:r>
      <w:r w:rsidRPr="003C6F72">
        <w:rPr>
          <w:color w:val="333333"/>
          <w:sz w:val="22"/>
          <w:szCs w:val="22"/>
        </w:rPr>
        <w:t>Public Safety and Homeland Security Bureau</w:t>
      </w:r>
      <w:r w:rsidR="005D299D">
        <w:rPr>
          <w:color w:val="333333"/>
          <w:sz w:val="22"/>
          <w:szCs w:val="22"/>
        </w:rPr>
        <w:t xml:space="preserve"> </w:t>
      </w:r>
      <w:r w:rsidRPr="003C6F72">
        <w:rPr>
          <w:color w:val="333333"/>
          <w:sz w:val="22"/>
          <w:szCs w:val="22"/>
        </w:rPr>
        <w:t>issues a Public Notice activating the Mandatory Disaster Response Initiative in response to a</w:t>
      </w:r>
      <w:r w:rsidR="005D299D">
        <w:rPr>
          <w:color w:val="333333"/>
          <w:sz w:val="22"/>
          <w:szCs w:val="22"/>
        </w:rPr>
        <w:t xml:space="preserve"> s</w:t>
      </w:r>
      <w:r w:rsidRPr="003C6F72">
        <w:rPr>
          <w:color w:val="333333"/>
          <w:sz w:val="22"/>
          <w:szCs w:val="22"/>
        </w:rPr>
        <w:t>tate</w:t>
      </w:r>
      <w:r w:rsidR="005D299D">
        <w:rPr>
          <w:color w:val="333333"/>
          <w:sz w:val="22"/>
          <w:szCs w:val="22"/>
        </w:rPr>
        <w:t xml:space="preserve"> </w:t>
      </w:r>
      <w:r w:rsidRPr="003C6F72">
        <w:rPr>
          <w:color w:val="333333"/>
          <w:sz w:val="22"/>
          <w:szCs w:val="22"/>
        </w:rPr>
        <w:t>request to do so, where the</w:t>
      </w:r>
      <w:r w:rsidR="005D299D">
        <w:rPr>
          <w:color w:val="333333"/>
          <w:sz w:val="22"/>
          <w:szCs w:val="22"/>
        </w:rPr>
        <w:t xml:space="preserve"> </w:t>
      </w:r>
      <w:r w:rsidRPr="003C6F72">
        <w:rPr>
          <w:color w:val="333333"/>
          <w:sz w:val="22"/>
          <w:szCs w:val="22"/>
        </w:rPr>
        <w:t>state</w:t>
      </w:r>
      <w:r w:rsidR="005D299D">
        <w:rPr>
          <w:color w:val="333333"/>
          <w:sz w:val="22"/>
          <w:szCs w:val="22"/>
        </w:rPr>
        <w:t xml:space="preserve"> </w:t>
      </w:r>
      <w:r w:rsidRPr="003C6F72">
        <w:rPr>
          <w:color w:val="333333"/>
          <w:sz w:val="22"/>
          <w:szCs w:val="22"/>
        </w:rPr>
        <w:t>has also either activated its Emergency</w:t>
      </w:r>
      <w:r w:rsidR="005D299D">
        <w:rPr>
          <w:color w:val="333333"/>
          <w:sz w:val="22"/>
          <w:szCs w:val="22"/>
        </w:rPr>
        <w:t xml:space="preserve"> </w:t>
      </w:r>
      <w:r w:rsidRPr="003C6F72">
        <w:rPr>
          <w:color w:val="333333"/>
          <w:sz w:val="22"/>
          <w:szCs w:val="22"/>
        </w:rPr>
        <w:t>Operations</w:t>
      </w:r>
      <w:r w:rsidR="005D299D">
        <w:rPr>
          <w:color w:val="333333"/>
          <w:sz w:val="22"/>
          <w:szCs w:val="22"/>
        </w:rPr>
        <w:t xml:space="preserve"> </w:t>
      </w:r>
      <w:r w:rsidRPr="003C6F72">
        <w:rPr>
          <w:color w:val="333333"/>
          <w:sz w:val="22"/>
          <w:szCs w:val="22"/>
        </w:rPr>
        <w:t>Center, activated mutual aid or proclaimed a local</w:t>
      </w:r>
      <w:r w:rsidR="005D299D">
        <w:rPr>
          <w:color w:val="333333"/>
          <w:sz w:val="22"/>
          <w:szCs w:val="22"/>
        </w:rPr>
        <w:t xml:space="preserve"> </w:t>
      </w:r>
      <w:r w:rsidRPr="003C6F72">
        <w:rPr>
          <w:color w:val="333333"/>
          <w:sz w:val="22"/>
          <w:szCs w:val="22"/>
        </w:rPr>
        <w:t>state</w:t>
      </w:r>
      <w:r w:rsidR="005D299D">
        <w:rPr>
          <w:color w:val="333333"/>
          <w:sz w:val="22"/>
          <w:szCs w:val="22"/>
        </w:rPr>
        <w:t xml:space="preserve"> </w:t>
      </w:r>
      <w:r w:rsidRPr="003C6F72">
        <w:rPr>
          <w:color w:val="333333"/>
          <w:sz w:val="22"/>
          <w:szCs w:val="22"/>
        </w:rPr>
        <w:t>of emergency:</w:t>
      </w:r>
    </w:p>
    <w:p w:rsidR="00B13757" w:rsidRPr="003C6F72" w:rsidP="00AE7D10" w14:paraId="4889CB98" w14:textId="5AD46679">
      <w:pPr>
        <w:pStyle w:val="psection-3"/>
        <w:shd w:val="clear" w:color="auto" w:fill="FFFFFF"/>
        <w:spacing w:before="0" w:beforeAutospacing="0" w:after="150" w:afterAutospacing="0"/>
        <w:ind w:left="1320"/>
        <w:rPr>
          <w:color w:val="333333"/>
          <w:sz w:val="22"/>
          <w:szCs w:val="22"/>
        </w:rPr>
      </w:pPr>
      <w:r w:rsidRPr="003C6F72">
        <w:rPr>
          <w:rStyle w:val="enumxml"/>
          <w:b/>
          <w:bCs/>
          <w:color w:val="333333"/>
          <w:sz w:val="22"/>
          <w:szCs w:val="22"/>
        </w:rPr>
        <w:t>(i)</w:t>
      </w:r>
      <w:r w:rsidR="005D299D">
        <w:rPr>
          <w:color w:val="333333"/>
          <w:sz w:val="22"/>
          <w:szCs w:val="22"/>
        </w:rPr>
        <w:t xml:space="preserve"> </w:t>
      </w:r>
      <w:r w:rsidRPr="003C6F72">
        <w:rPr>
          <w:color w:val="333333"/>
          <w:sz w:val="22"/>
          <w:szCs w:val="22"/>
        </w:rPr>
        <w:t>Provide for reasonable roaming under disaster arrangements (RuDs) when technically feasible, where:</w:t>
      </w:r>
    </w:p>
    <w:p w:rsidR="00B13757" w:rsidRPr="003C6F72" w:rsidP="00AE7D10" w14:paraId="69545CD5" w14:textId="216C144A">
      <w:pPr>
        <w:pStyle w:val="psection-4"/>
        <w:shd w:val="clear" w:color="auto" w:fill="FFFFFF"/>
        <w:spacing w:before="0" w:beforeAutospacing="0" w:after="150" w:afterAutospacing="0"/>
        <w:ind w:left="1560"/>
        <w:rPr>
          <w:color w:val="333333"/>
          <w:sz w:val="22"/>
          <w:szCs w:val="22"/>
        </w:rPr>
      </w:pPr>
      <w:r w:rsidRPr="003C6F72">
        <w:rPr>
          <w:rStyle w:val="enumxml"/>
          <w:b/>
          <w:bCs/>
          <w:color w:val="333333"/>
          <w:sz w:val="22"/>
          <w:szCs w:val="22"/>
        </w:rPr>
        <w:t>(A)</w:t>
      </w:r>
      <w:r w:rsidR="005D299D">
        <w:rPr>
          <w:color w:val="333333"/>
          <w:sz w:val="22"/>
          <w:szCs w:val="22"/>
        </w:rPr>
        <w:t xml:space="preserve"> </w:t>
      </w:r>
      <w:r w:rsidRPr="003C6F72">
        <w:rPr>
          <w:color w:val="333333"/>
          <w:sz w:val="22"/>
          <w:szCs w:val="22"/>
        </w:rPr>
        <w:t>A requesting provider's network has become inoperable and the requesting provider has taken all appropriate steps to attempt to restore its own network; and</w:t>
      </w:r>
    </w:p>
    <w:p w:rsidR="00B13757" w:rsidRPr="003C6F72" w:rsidP="00AE7D10" w14:paraId="647A56AE" w14:textId="4A5316AD">
      <w:pPr>
        <w:pStyle w:val="psection-4"/>
        <w:shd w:val="clear" w:color="auto" w:fill="FFFFFF"/>
        <w:spacing w:before="0" w:beforeAutospacing="0" w:after="150" w:afterAutospacing="0"/>
        <w:ind w:left="1560"/>
        <w:rPr>
          <w:color w:val="333333"/>
          <w:sz w:val="22"/>
          <w:szCs w:val="22"/>
        </w:rPr>
      </w:pPr>
      <w:r w:rsidRPr="003C6F72">
        <w:rPr>
          <w:rStyle w:val="enumxml"/>
          <w:b/>
          <w:bCs/>
          <w:color w:val="333333"/>
          <w:sz w:val="22"/>
          <w:szCs w:val="22"/>
        </w:rPr>
        <w:t>(B)</w:t>
      </w:r>
      <w:r w:rsidR="005D299D">
        <w:rPr>
          <w:color w:val="333333"/>
          <w:sz w:val="22"/>
          <w:szCs w:val="22"/>
        </w:rPr>
        <w:t xml:space="preserve"> </w:t>
      </w:r>
      <w:r w:rsidRPr="003C6F72">
        <w:rPr>
          <w:color w:val="333333"/>
          <w:sz w:val="22"/>
          <w:szCs w:val="22"/>
        </w:rPr>
        <w:t xml:space="preserve">The provider receiving the request (home provider) has determined that roaming is technically feasible and will not adversely affect service to the home provider's own subscribers, provided that existing roaming arrangements and call processing methods do not already achieve these objectives and that any new arrangements are limited in </w:t>
      </w:r>
      <w:r w:rsidRPr="003C6F72">
        <w:rPr>
          <w:color w:val="333333"/>
          <w:sz w:val="22"/>
          <w:szCs w:val="22"/>
        </w:rPr>
        <w:t>duration and contingent on the requesting provider taking all possible steps to restore service on its own network as quickly as possible;</w:t>
      </w:r>
    </w:p>
    <w:p w:rsidR="00B13757" w:rsidRPr="003C6F72" w:rsidP="00D65E5C" w14:paraId="445C425A" w14:textId="40EF29E8">
      <w:pPr>
        <w:pStyle w:val="psection-3"/>
        <w:shd w:val="clear" w:color="auto" w:fill="FFFFFF"/>
        <w:spacing w:before="0" w:beforeAutospacing="0" w:after="150" w:afterAutospacing="0"/>
        <w:ind w:left="1320"/>
        <w:rPr>
          <w:color w:val="333333"/>
          <w:sz w:val="22"/>
          <w:szCs w:val="22"/>
        </w:rPr>
      </w:pPr>
      <w:r w:rsidRPr="003C6F72">
        <w:rPr>
          <w:rStyle w:val="enumxml"/>
          <w:b/>
          <w:bCs/>
          <w:color w:val="333333"/>
          <w:sz w:val="22"/>
          <w:szCs w:val="22"/>
        </w:rPr>
        <w:t>(ii)</w:t>
      </w:r>
      <w:r w:rsidR="005D299D">
        <w:rPr>
          <w:color w:val="333333"/>
          <w:sz w:val="22"/>
          <w:szCs w:val="22"/>
        </w:rPr>
        <w:t xml:space="preserve"> </w:t>
      </w:r>
      <w:r w:rsidRPr="003C6F72">
        <w:rPr>
          <w:color w:val="333333"/>
          <w:sz w:val="22"/>
          <w:szCs w:val="22"/>
        </w:rPr>
        <w:t>Establish mutual aid arrangements with other facilities-based mobile wireless providers for providing aid upon request to those providers during emergencies, where such agreements address the sharing of physical assets and commit to engaging in necessary consultation where feasible during and after disasters, provided that the provider supplying the aid has reasonably first managed its own network needs;</w:t>
      </w:r>
    </w:p>
    <w:p w:rsidR="00B13757" w:rsidRPr="003C6F72" w:rsidP="00AE7D10" w14:paraId="226A5B2D" w14:textId="32276DC4">
      <w:pPr>
        <w:pStyle w:val="psection-3"/>
        <w:shd w:val="clear" w:color="auto" w:fill="FFFFFF"/>
        <w:spacing w:before="0" w:beforeAutospacing="0" w:after="150" w:afterAutospacing="0"/>
        <w:ind w:left="1320"/>
        <w:rPr>
          <w:color w:val="333333"/>
          <w:sz w:val="22"/>
          <w:szCs w:val="22"/>
        </w:rPr>
      </w:pPr>
      <w:r w:rsidRPr="003C6F72">
        <w:rPr>
          <w:rStyle w:val="enumxml"/>
          <w:b/>
          <w:bCs/>
          <w:color w:val="333333"/>
          <w:sz w:val="22"/>
          <w:szCs w:val="22"/>
        </w:rPr>
        <w:t>(iii)</w:t>
      </w:r>
      <w:r w:rsidR="005D299D">
        <w:rPr>
          <w:color w:val="333333"/>
          <w:sz w:val="22"/>
          <w:szCs w:val="22"/>
        </w:rPr>
        <w:t xml:space="preserve"> </w:t>
      </w:r>
      <w:r w:rsidRPr="003C6F72">
        <w:rPr>
          <w:color w:val="333333"/>
          <w:sz w:val="22"/>
          <w:szCs w:val="22"/>
        </w:rPr>
        <w:t>Take reasonable measures to enhance municipal preparedness and restoration;</w:t>
      </w:r>
    </w:p>
    <w:p w:rsidR="00B13757" w:rsidRPr="003C6F72" w:rsidP="00AE7D10" w14:paraId="65389713" w14:textId="2DAAD2CB">
      <w:pPr>
        <w:pStyle w:val="psection-3"/>
        <w:shd w:val="clear" w:color="auto" w:fill="FFFFFF"/>
        <w:spacing w:before="0" w:beforeAutospacing="0" w:after="150" w:afterAutospacing="0"/>
        <w:ind w:left="1320"/>
        <w:rPr>
          <w:color w:val="333333"/>
          <w:sz w:val="22"/>
          <w:szCs w:val="22"/>
        </w:rPr>
      </w:pPr>
      <w:r w:rsidRPr="003C6F72">
        <w:rPr>
          <w:rStyle w:val="enumxml"/>
          <w:b/>
          <w:bCs/>
          <w:color w:val="333333"/>
          <w:sz w:val="22"/>
          <w:szCs w:val="22"/>
        </w:rPr>
        <w:t>(iv)</w:t>
      </w:r>
      <w:r w:rsidR="005D299D">
        <w:rPr>
          <w:color w:val="333333"/>
          <w:sz w:val="22"/>
          <w:szCs w:val="22"/>
        </w:rPr>
        <w:t xml:space="preserve"> </w:t>
      </w:r>
      <w:r w:rsidRPr="003C6F72">
        <w:rPr>
          <w:color w:val="333333"/>
          <w:sz w:val="22"/>
          <w:szCs w:val="22"/>
        </w:rPr>
        <w:t>Take reasonable measures to increase consumer readiness and preparation; and</w:t>
      </w:r>
    </w:p>
    <w:p w:rsidR="00B13757" w:rsidRPr="003C6F72" w:rsidP="00AE7D10" w14:paraId="4708A9EA" w14:textId="0D658061">
      <w:pPr>
        <w:pStyle w:val="psection-3"/>
        <w:shd w:val="clear" w:color="auto" w:fill="FFFFFF"/>
        <w:spacing w:before="0" w:beforeAutospacing="0" w:after="150" w:afterAutospacing="0"/>
        <w:ind w:left="1320"/>
        <w:rPr>
          <w:color w:val="333333"/>
          <w:sz w:val="22"/>
          <w:szCs w:val="22"/>
        </w:rPr>
      </w:pPr>
      <w:r w:rsidRPr="003C6F72">
        <w:rPr>
          <w:rStyle w:val="enumxml"/>
          <w:b/>
          <w:bCs/>
          <w:color w:val="333333"/>
          <w:sz w:val="22"/>
          <w:szCs w:val="22"/>
        </w:rPr>
        <w:t>(v)</w:t>
      </w:r>
      <w:r w:rsidR="005D299D">
        <w:rPr>
          <w:color w:val="333333"/>
          <w:sz w:val="22"/>
          <w:szCs w:val="22"/>
        </w:rPr>
        <w:t xml:space="preserve"> </w:t>
      </w:r>
      <w:r w:rsidRPr="003C6F72">
        <w:rPr>
          <w:color w:val="333333"/>
          <w:sz w:val="22"/>
          <w:szCs w:val="22"/>
        </w:rPr>
        <w:t>Take reasonable measures to improve public awareness and stakeholder</w:t>
      </w:r>
      <w:r w:rsidRPr="003C6F72" w:rsidR="00344078">
        <w:rPr>
          <w:color w:val="333333"/>
          <w:sz w:val="22"/>
          <w:szCs w:val="22"/>
        </w:rPr>
        <w:t xml:space="preserve"> </w:t>
      </w:r>
      <w:r w:rsidRPr="003C6F72">
        <w:rPr>
          <w:color w:val="333333"/>
          <w:sz w:val="22"/>
          <w:szCs w:val="22"/>
        </w:rPr>
        <w:t>communications on service and restoration status.</w:t>
      </w:r>
    </w:p>
    <w:p w:rsidR="00B13757" w:rsidRPr="003C6F72" w:rsidP="00AE7D10" w14:paraId="326B5312" w14:textId="3474A05F">
      <w:pPr>
        <w:pStyle w:val="psection-1"/>
        <w:shd w:val="clear" w:color="auto" w:fill="FFFFFF"/>
        <w:spacing w:before="150" w:beforeAutospacing="0" w:after="150" w:afterAutospacing="0"/>
        <w:ind w:left="840"/>
        <w:rPr>
          <w:color w:val="333333"/>
          <w:sz w:val="22"/>
          <w:szCs w:val="22"/>
        </w:rPr>
      </w:pPr>
      <w:r w:rsidRPr="003C6F72">
        <w:rPr>
          <w:rStyle w:val="enumxml"/>
          <w:b/>
          <w:bCs/>
          <w:color w:val="333333"/>
          <w:sz w:val="22"/>
          <w:szCs w:val="22"/>
        </w:rPr>
        <w:t>(b)</w:t>
      </w:r>
      <w:r w:rsidR="005D299D">
        <w:rPr>
          <w:color w:val="333333"/>
          <w:sz w:val="22"/>
          <w:szCs w:val="22"/>
        </w:rPr>
        <w:t xml:space="preserve"> </w:t>
      </w:r>
      <w:r w:rsidRPr="003C6F72">
        <w:rPr>
          <w:color w:val="333333"/>
          <w:sz w:val="22"/>
          <w:szCs w:val="22"/>
        </w:rPr>
        <w:t xml:space="preserve">Providers subject to the requirements </w:t>
      </w:r>
      <w:r w:rsidRPr="003C6F72">
        <w:rPr>
          <w:sz w:val="22"/>
          <w:szCs w:val="22"/>
        </w:rPr>
        <w:t>of</w:t>
      </w:r>
      <w:r w:rsidR="005D299D">
        <w:rPr>
          <w:sz w:val="22"/>
          <w:szCs w:val="22"/>
        </w:rPr>
        <w:t xml:space="preserve"> </w:t>
      </w:r>
      <w:r w:rsidRPr="003C6F72">
        <w:rPr>
          <w:sz w:val="22"/>
          <w:szCs w:val="22"/>
        </w:rPr>
        <w:t>paragraph (a)</w:t>
      </w:r>
      <w:r w:rsidR="005D299D">
        <w:rPr>
          <w:color w:val="333333"/>
          <w:sz w:val="22"/>
          <w:szCs w:val="22"/>
        </w:rPr>
        <w:t xml:space="preserve"> </w:t>
      </w:r>
      <w:r w:rsidRPr="003C6F72">
        <w:rPr>
          <w:color w:val="333333"/>
          <w:sz w:val="22"/>
          <w:szCs w:val="22"/>
        </w:rPr>
        <w:t>of this section are required to perform annual testing of their roaming capabilities and related coordination processes, with such testing performed bilaterally with other providers that may foreseeably roam, or request roaming from, the provider during times of disaster or other exigency.</w:t>
      </w:r>
    </w:p>
    <w:p w:rsidR="00B13757" w:rsidRPr="003C6F72" w:rsidP="0017082F" w14:paraId="5A5EA3F1" w14:textId="19726F87">
      <w:pPr>
        <w:pStyle w:val="psection-1"/>
        <w:shd w:val="clear" w:color="auto" w:fill="FFFFFF"/>
        <w:spacing w:before="150" w:beforeAutospacing="0" w:after="150" w:afterAutospacing="0"/>
        <w:ind w:left="840"/>
        <w:rPr>
          <w:color w:val="333333"/>
          <w:sz w:val="22"/>
          <w:szCs w:val="22"/>
        </w:rPr>
      </w:pPr>
      <w:r w:rsidRPr="003C6F72">
        <w:rPr>
          <w:rStyle w:val="enumxml"/>
          <w:b/>
          <w:bCs/>
          <w:color w:val="333333"/>
          <w:sz w:val="22"/>
          <w:szCs w:val="22"/>
        </w:rPr>
        <w:t>(c)</w:t>
      </w:r>
      <w:r w:rsidR="005D299D">
        <w:rPr>
          <w:color w:val="333333"/>
          <w:sz w:val="22"/>
          <w:szCs w:val="22"/>
        </w:rPr>
        <w:t xml:space="preserve"> </w:t>
      </w:r>
      <w:r w:rsidRPr="003C6F72">
        <w:rPr>
          <w:color w:val="333333"/>
          <w:sz w:val="22"/>
          <w:szCs w:val="22"/>
        </w:rPr>
        <w:t>Providers subject to the requirements of</w:t>
      </w:r>
      <w:r w:rsidR="00B70176">
        <w:rPr>
          <w:color w:val="333333"/>
          <w:sz w:val="22"/>
          <w:szCs w:val="22"/>
        </w:rPr>
        <w:t xml:space="preserve"> </w:t>
      </w:r>
      <w:r w:rsidRPr="003C6F72">
        <w:rPr>
          <w:sz w:val="22"/>
          <w:szCs w:val="22"/>
        </w:rPr>
        <w:t>paragraph (a)</w:t>
      </w:r>
      <w:r w:rsidR="005D299D">
        <w:rPr>
          <w:sz w:val="22"/>
          <w:szCs w:val="22"/>
        </w:rPr>
        <w:t xml:space="preserve"> </w:t>
      </w:r>
      <w:r w:rsidRPr="003C6F72">
        <w:rPr>
          <w:sz w:val="22"/>
          <w:szCs w:val="22"/>
        </w:rPr>
        <w:t>of</w:t>
      </w:r>
      <w:r w:rsidRPr="003C6F72">
        <w:rPr>
          <w:color w:val="333333"/>
          <w:sz w:val="22"/>
          <w:szCs w:val="22"/>
        </w:rPr>
        <w:t xml:space="preserve"> this section are required to submit reports to the Commission detailing the timing, duration, and effectiveness of their implementation of the Mandatory Disaster Response Initiative's provisions in this section within 60 days of when the Public Safety and Homeland Security Bureau</w:t>
      </w:r>
      <w:r w:rsidR="00B70176">
        <w:rPr>
          <w:color w:val="333333"/>
          <w:sz w:val="22"/>
          <w:szCs w:val="22"/>
        </w:rPr>
        <w:t xml:space="preserve"> i</w:t>
      </w:r>
      <w:r w:rsidRPr="003C6F72">
        <w:rPr>
          <w:color w:val="333333"/>
          <w:sz w:val="22"/>
          <w:szCs w:val="22"/>
        </w:rPr>
        <w:t>ssues a Public Notice announcing such reports must be filed for providers operating in a certain geographic area in the aftermath of a disaster.</w:t>
      </w:r>
    </w:p>
    <w:p w:rsidR="009017DD" w:rsidRPr="003C6F72" w:rsidP="00AE7D10" w14:paraId="4C7EF0AF" w14:textId="019DFFD0">
      <w:pPr>
        <w:pStyle w:val="psection-1"/>
        <w:shd w:val="clear" w:color="auto" w:fill="FFFFFF"/>
        <w:spacing w:before="150" w:beforeAutospacing="0" w:after="150" w:afterAutospacing="0"/>
        <w:ind w:left="840"/>
        <w:rPr>
          <w:color w:val="333333"/>
          <w:sz w:val="22"/>
          <w:szCs w:val="22"/>
        </w:rPr>
      </w:pPr>
      <w:r w:rsidRPr="003C6F72">
        <w:rPr>
          <w:rStyle w:val="enumxml"/>
          <w:b/>
          <w:bCs/>
          <w:color w:val="333333"/>
          <w:sz w:val="22"/>
          <w:szCs w:val="22"/>
        </w:rPr>
        <w:t>(d)</w:t>
      </w:r>
      <w:r w:rsidR="00B70176">
        <w:rPr>
          <w:color w:val="333333"/>
          <w:sz w:val="22"/>
          <w:szCs w:val="22"/>
        </w:rPr>
        <w:t xml:space="preserve"> </w:t>
      </w:r>
      <w:r w:rsidRPr="003C6F72">
        <w:rPr>
          <w:color w:val="333333"/>
          <w:sz w:val="22"/>
          <w:szCs w:val="22"/>
        </w:rPr>
        <w:t xml:space="preserve">Providers subject to the </w:t>
      </w:r>
      <w:r w:rsidRPr="003C6F72">
        <w:rPr>
          <w:sz w:val="22"/>
          <w:szCs w:val="22"/>
        </w:rPr>
        <w:t>requirements of</w:t>
      </w:r>
      <w:r w:rsidR="00B70176">
        <w:rPr>
          <w:sz w:val="22"/>
          <w:szCs w:val="22"/>
        </w:rPr>
        <w:t xml:space="preserve"> </w:t>
      </w:r>
      <w:r w:rsidRPr="003C6F72">
        <w:rPr>
          <w:sz w:val="22"/>
          <w:szCs w:val="22"/>
        </w:rPr>
        <w:t>paragraph (a)</w:t>
      </w:r>
      <w:r w:rsidR="00B70176">
        <w:rPr>
          <w:sz w:val="22"/>
          <w:szCs w:val="22"/>
        </w:rPr>
        <w:t xml:space="preserve"> </w:t>
      </w:r>
      <w:r w:rsidRPr="003C6F72">
        <w:rPr>
          <w:sz w:val="22"/>
          <w:szCs w:val="22"/>
        </w:rPr>
        <w:t>of this section are required retain RuDs for a period of at least one year after their expiration and supply copies of such agreements to the Commission promptly</w:t>
      </w:r>
      <w:r w:rsidRPr="003C6F72">
        <w:rPr>
          <w:color w:val="333333"/>
          <w:sz w:val="22"/>
          <w:szCs w:val="22"/>
        </w:rPr>
        <w:t xml:space="preserve"> upon Commission request</w:t>
      </w:r>
      <w:r w:rsidRPr="003C6F72">
        <w:rPr>
          <w:color w:val="333333"/>
          <w:sz w:val="22"/>
          <w:szCs w:val="22"/>
        </w:rPr>
        <w:t>. . .</w:t>
      </w:r>
      <w:r w:rsidRPr="003C6F72" w:rsidR="00EC66C3">
        <w:rPr>
          <w:color w:val="333333"/>
          <w:sz w:val="22"/>
          <w:szCs w:val="22"/>
        </w:rPr>
        <w:t xml:space="preserve"> </w:t>
      </w:r>
      <w:r w:rsidRPr="003C6F72">
        <w:rPr>
          <w:color w:val="333333"/>
          <w:sz w:val="22"/>
          <w:szCs w:val="22"/>
        </w:rPr>
        <w:t>.”</w:t>
      </w:r>
      <w:r>
        <w:rPr>
          <w:rStyle w:val="FootnoteReference"/>
          <w:color w:val="333333"/>
          <w:sz w:val="22"/>
          <w:szCs w:val="22"/>
        </w:rPr>
        <w:footnoteReference w:id="5"/>
      </w:r>
    </w:p>
    <w:p w:rsidR="008C2730" w:rsidRPr="003C6F72" w:rsidP="0017082F" w14:paraId="1452F5E2" w14:textId="6C1062BC">
      <w:pPr>
        <w:pStyle w:val="ParaNum"/>
        <w:numPr>
          <w:ilvl w:val="0"/>
          <w:numId w:val="0"/>
        </w:numPr>
        <w:tabs>
          <w:tab w:val="left" w:pos="720"/>
          <w:tab w:val="clear" w:pos="1440"/>
        </w:tabs>
        <w:ind w:left="360"/>
        <w:rPr>
          <w:sz w:val="22"/>
          <w:szCs w:val="22"/>
        </w:rPr>
      </w:pPr>
      <w:r>
        <w:rPr>
          <w:sz w:val="22"/>
          <w:szCs w:val="22"/>
        </w:rPr>
        <w:tab/>
      </w:r>
      <w:r w:rsidRPr="003C6F72">
        <w:rPr>
          <w:sz w:val="22"/>
          <w:szCs w:val="22"/>
        </w:rPr>
        <w:t>In addition, the</w:t>
      </w:r>
      <w:r w:rsidRPr="003C6F72" w:rsidR="001D4817">
        <w:rPr>
          <w:sz w:val="22"/>
          <w:szCs w:val="22"/>
        </w:rPr>
        <w:t xml:space="preserve"> </w:t>
      </w:r>
      <w:r w:rsidRPr="003C6F72" w:rsidR="004C3190">
        <w:rPr>
          <w:sz w:val="22"/>
          <w:szCs w:val="22"/>
        </w:rPr>
        <w:t>Commission</w:t>
      </w:r>
      <w:r w:rsidRPr="003C6F72">
        <w:rPr>
          <w:sz w:val="22"/>
          <w:szCs w:val="22"/>
        </w:rPr>
        <w:t xml:space="preserve"> requires that when a </w:t>
      </w:r>
      <w:r w:rsidR="006B446B">
        <w:rPr>
          <w:sz w:val="22"/>
          <w:szCs w:val="22"/>
        </w:rPr>
        <w:t xml:space="preserve">facilities-based mobile wireless </w:t>
      </w:r>
      <w:r w:rsidRPr="003C6F72">
        <w:rPr>
          <w:sz w:val="22"/>
          <w:szCs w:val="22"/>
        </w:rPr>
        <w:t xml:space="preserve">provider </w:t>
      </w:r>
      <w:r w:rsidRPr="003C6F72" w:rsidR="0072173F">
        <w:rPr>
          <w:sz w:val="22"/>
          <w:szCs w:val="22"/>
        </w:rPr>
        <w:t xml:space="preserve">subject to this rule </w:t>
      </w:r>
      <w:r w:rsidRPr="003C6F72">
        <w:rPr>
          <w:sz w:val="22"/>
          <w:szCs w:val="22"/>
        </w:rPr>
        <w:t>receiv</w:t>
      </w:r>
      <w:r w:rsidRPr="003C6F72" w:rsidR="0072173F">
        <w:rPr>
          <w:sz w:val="22"/>
          <w:szCs w:val="22"/>
        </w:rPr>
        <w:t>es</w:t>
      </w:r>
      <w:r w:rsidRPr="003C6F72">
        <w:rPr>
          <w:sz w:val="22"/>
          <w:szCs w:val="22"/>
        </w:rPr>
        <w:t xml:space="preserve"> a roaming request </w:t>
      </w:r>
      <w:r w:rsidRPr="003C6F72" w:rsidR="0072173F">
        <w:rPr>
          <w:sz w:val="22"/>
          <w:szCs w:val="22"/>
        </w:rPr>
        <w:t xml:space="preserve">and </w:t>
      </w:r>
      <w:r w:rsidRPr="003C6F72">
        <w:rPr>
          <w:sz w:val="22"/>
          <w:szCs w:val="22"/>
        </w:rPr>
        <w:t xml:space="preserve">denies the request, it </w:t>
      </w:r>
      <w:r w:rsidR="00D94DB3">
        <w:rPr>
          <w:sz w:val="22"/>
          <w:szCs w:val="22"/>
        </w:rPr>
        <w:t xml:space="preserve">must </w:t>
      </w:r>
      <w:r w:rsidRPr="003C6F72">
        <w:rPr>
          <w:sz w:val="22"/>
          <w:szCs w:val="22"/>
        </w:rPr>
        <w:t xml:space="preserve">specify </w:t>
      </w:r>
      <w:r w:rsidRPr="003C6F72" w:rsidR="0072173F">
        <w:rPr>
          <w:sz w:val="22"/>
          <w:szCs w:val="22"/>
        </w:rPr>
        <w:t>the denial</w:t>
      </w:r>
      <w:r w:rsidRPr="003C6F72">
        <w:rPr>
          <w:sz w:val="22"/>
          <w:szCs w:val="22"/>
        </w:rPr>
        <w:t xml:space="preserve"> in writing to the requesting provider, preferably with the specific reasons </w:t>
      </w:r>
      <w:r w:rsidR="004D4DD7">
        <w:rPr>
          <w:sz w:val="22"/>
          <w:szCs w:val="22"/>
        </w:rPr>
        <w:t xml:space="preserve">as to </w:t>
      </w:r>
      <w:r w:rsidRPr="003C6F72">
        <w:rPr>
          <w:sz w:val="22"/>
          <w:szCs w:val="22"/>
        </w:rPr>
        <w:t>why roaming is infeasible.</w:t>
      </w:r>
      <w:r>
        <w:rPr>
          <w:rStyle w:val="FootnoteReference"/>
          <w:sz w:val="22"/>
          <w:szCs w:val="22"/>
        </w:rPr>
        <w:footnoteReference w:id="6"/>
      </w:r>
      <w:r w:rsidRPr="003C6F72">
        <w:rPr>
          <w:sz w:val="22"/>
          <w:szCs w:val="22"/>
        </w:rPr>
        <w:t xml:space="preserve">  </w:t>
      </w:r>
    </w:p>
    <w:p w:rsidR="00215436" w:rsidP="0017082F" w14:paraId="688EB07A" w14:textId="00D05EE3">
      <w:pPr>
        <w:tabs>
          <w:tab w:val="left" w:pos="90"/>
        </w:tabs>
        <w:ind w:left="360"/>
        <w:rPr>
          <w:rFonts w:ascii="Times New Roman" w:hAnsi="Times New Roman" w:cs="Times New Roman"/>
        </w:rPr>
      </w:pPr>
      <w:r>
        <w:rPr>
          <w:rFonts w:ascii="Times New Roman" w:hAnsi="Times New Roman" w:cs="Times New Roman"/>
          <w:i/>
          <w:iCs/>
        </w:rPr>
        <w:tab/>
      </w:r>
      <w:r w:rsidRPr="003C6F72" w:rsidR="003B1F7A">
        <w:rPr>
          <w:rFonts w:ascii="Times New Roman" w:hAnsi="Times New Roman" w:cs="Times New Roman"/>
          <w:i/>
          <w:iCs/>
        </w:rPr>
        <w:t xml:space="preserve">Safe Harbor Based on the </w:t>
      </w:r>
      <w:r w:rsidR="004D4DD7">
        <w:rPr>
          <w:rFonts w:ascii="Times New Roman" w:hAnsi="Times New Roman" w:cs="Times New Roman"/>
          <w:i/>
          <w:iCs/>
        </w:rPr>
        <w:t xml:space="preserve">Wireless </w:t>
      </w:r>
      <w:r w:rsidRPr="003C6F72" w:rsidR="003B1F7A">
        <w:rPr>
          <w:rFonts w:ascii="Times New Roman" w:hAnsi="Times New Roman" w:cs="Times New Roman"/>
          <w:i/>
          <w:iCs/>
        </w:rPr>
        <w:t>Resiliency Cooperative Framework</w:t>
      </w:r>
      <w:r w:rsidRPr="003C6F72" w:rsidR="003B1F7A">
        <w:rPr>
          <w:rFonts w:ascii="Times New Roman" w:hAnsi="Times New Roman" w:cs="Times New Roman"/>
        </w:rPr>
        <w:t xml:space="preserve">.  </w:t>
      </w:r>
      <w:r w:rsidRPr="003C6F72" w:rsidR="005816B1">
        <w:rPr>
          <w:rFonts w:ascii="Times New Roman" w:hAnsi="Times New Roman" w:cs="Times New Roman"/>
        </w:rPr>
        <w:t xml:space="preserve">As an alternative to implementing the </w:t>
      </w:r>
      <w:r w:rsidRPr="003C6F72" w:rsidR="00C3647B">
        <w:rPr>
          <w:rFonts w:ascii="Times New Roman" w:hAnsi="Times New Roman" w:cs="Times New Roman"/>
        </w:rPr>
        <w:t xml:space="preserve">MDRI’s </w:t>
      </w:r>
      <w:r w:rsidRPr="003C6F72" w:rsidR="005816B1">
        <w:rPr>
          <w:rFonts w:ascii="Times New Roman" w:hAnsi="Times New Roman" w:cs="Times New Roman"/>
        </w:rPr>
        <w:t>provisions (a)(</w:t>
      </w:r>
      <w:r w:rsidRPr="003C6F72" w:rsidR="000F7E44">
        <w:rPr>
          <w:rFonts w:ascii="Times New Roman" w:hAnsi="Times New Roman" w:cs="Times New Roman"/>
        </w:rPr>
        <w:t>ii</w:t>
      </w:r>
      <w:r w:rsidRPr="003C6F72" w:rsidR="005816B1">
        <w:rPr>
          <w:rFonts w:ascii="Times New Roman" w:hAnsi="Times New Roman" w:cs="Times New Roman"/>
        </w:rPr>
        <w:t>)-(a)(</w:t>
      </w:r>
      <w:r w:rsidRPr="003C6F72" w:rsidR="000F7E44">
        <w:rPr>
          <w:rFonts w:ascii="Times New Roman" w:hAnsi="Times New Roman" w:cs="Times New Roman"/>
        </w:rPr>
        <w:t>v</w:t>
      </w:r>
      <w:r w:rsidRPr="003C6F72" w:rsidR="005816B1">
        <w:rPr>
          <w:rFonts w:ascii="Times New Roman" w:hAnsi="Times New Roman" w:cs="Times New Roman"/>
        </w:rPr>
        <w:t>)</w:t>
      </w:r>
      <w:r w:rsidRPr="003C6F72" w:rsidR="00AF185A">
        <w:rPr>
          <w:rFonts w:ascii="Times New Roman" w:hAnsi="Times New Roman" w:cs="Times New Roman"/>
        </w:rPr>
        <w:t>,</w:t>
      </w:r>
      <w:r w:rsidRPr="003C6F72" w:rsidR="005816B1">
        <w:rPr>
          <w:rFonts w:ascii="Times New Roman" w:hAnsi="Times New Roman" w:cs="Times New Roman"/>
        </w:rPr>
        <w:t xml:space="preserve"> described above, </w:t>
      </w:r>
      <w:r w:rsidRPr="003C6F72" w:rsidR="00125AD1">
        <w:rPr>
          <w:rFonts w:ascii="Times New Roman" w:hAnsi="Times New Roman" w:cs="Times New Roman"/>
        </w:rPr>
        <w:t>a provider</w:t>
      </w:r>
      <w:r w:rsidRPr="003C6F72" w:rsidR="005816B1">
        <w:rPr>
          <w:rFonts w:ascii="Times New Roman" w:hAnsi="Times New Roman" w:cs="Times New Roman"/>
        </w:rPr>
        <w:t xml:space="preserve"> may</w:t>
      </w:r>
      <w:r w:rsidRPr="003C6F72" w:rsidR="00125AD1">
        <w:rPr>
          <w:rFonts w:ascii="Times New Roman" w:hAnsi="Times New Roman" w:cs="Times New Roman"/>
        </w:rPr>
        <w:t>, at its option,</w:t>
      </w:r>
      <w:r w:rsidRPr="003C6F72" w:rsidR="005816B1">
        <w:rPr>
          <w:rFonts w:ascii="Times New Roman" w:hAnsi="Times New Roman" w:cs="Times New Roman"/>
        </w:rPr>
        <w:t xml:space="preserve"> implement certain </w:t>
      </w:r>
      <w:r w:rsidRPr="003C6F72" w:rsidR="00D02196">
        <w:rPr>
          <w:rFonts w:ascii="Times New Roman" w:hAnsi="Times New Roman" w:cs="Times New Roman"/>
        </w:rPr>
        <w:t xml:space="preserve">provisions of </w:t>
      </w:r>
      <w:r w:rsidRPr="003C6F72" w:rsidR="008A0516">
        <w:rPr>
          <w:rFonts w:ascii="Times New Roman" w:hAnsi="Times New Roman" w:cs="Times New Roman"/>
        </w:rPr>
        <w:t>an earlier</w:t>
      </w:r>
      <w:r w:rsidRPr="003C6F72" w:rsidR="000356C1">
        <w:rPr>
          <w:rFonts w:ascii="Times New Roman" w:hAnsi="Times New Roman" w:cs="Times New Roman"/>
        </w:rPr>
        <w:t xml:space="preserve"> </w:t>
      </w:r>
      <w:r w:rsidRPr="003C6F72" w:rsidR="0072173F">
        <w:rPr>
          <w:rFonts w:ascii="Times New Roman" w:hAnsi="Times New Roman" w:cs="Times New Roman"/>
        </w:rPr>
        <w:t>industry-</w:t>
      </w:r>
      <w:r w:rsidRPr="003C6F72" w:rsidR="008A0516">
        <w:rPr>
          <w:rFonts w:ascii="Times New Roman" w:hAnsi="Times New Roman" w:cs="Times New Roman"/>
        </w:rPr>
        <w:t>developed Wireless Resiliency Cooperative</w:t>
      </w:r>
      <w:r w:rsidRPr="003C6F72" w:rsidR="00D02196">
        <w:rPr>
          <w:rFonts w:ascii="Times New Roman" w:hAnsi="Times New Roman" w:cs="Times New Roman"/>
        </w:rPr>
        <w:t xml:space="preserve"> Framework</w:t>
      </w:r>
      <w:r w:rsidRPr="003C6F72" w:rsidR="00B36CE0">
        <w:rPr>
          <w:rFonts w:ascii="Times New Roman" w:hAnsi="Times New Roman" w:cs="Times New Roman"/>
        </w:rPr>
        <w:t xml:space="preserve"> (Framework)</w:t>
      </w:r>
      <w:r w:rsidRPr="003C6F72" w:rsidR="003024E2">
        <w:rPr>
          <w:rFonts w:ascii="Times New Roman" w:hAnsi="Times New Roman" w:cs="Times New Roman"/>
        </w:rPr>
        <w:t xml:space="preserve"> instead</w:t>
      </w:r>
      <w:r w:rsidRPr="003C6F72" w:rsidR="00D02196">
        <w:rPr>
          <w:rFonts w:ascii="Times New Roman" w:hAnsi="Times New Roman" w:cs="Times New Roman"/>
        </w:rPr>
        <w:t>.</w:t>
      </w:r>
      <w:r>
        <w:rPr>
          <w:rStyle w:val="FootnoteReference"/>
          <w:rFonts w:ascii="Times New Roman" w:hAnsi="Times New Roman" w:cs="Times New Roman"/>
        </w:rPr>
        <w:footnoteReference w:id="7"/>
      </w:r>
      <w:r w:rsidRPr="003C6F72" w:rsidR="00D02196">
        <w:rPr>
          <w:rFonts w:ascii="Times New Roman" w:hAnsi="Times New Roman" w:cs="Times New Roman"/>
        </w:rPr>
        <w:t xml:space="preserve">  Namely, a provider that files a letter with the Commission truthfully and accurately asserting</w:t>
      </w:r>
      <w:r w:rsidRPr="003C6F72" w:rsidR="003835BA">
        <w:rPr>
          <w:rFonts w:ascii="Times New Roman" w:hAnsi="Times New Roman" w:cs="Times New Roman"/>
        </w:rPr>
        <w:t xml:space="preserve"> </w:t>
      </w:r>
      <w:r w:rsidRPr="003C6F72" w:rsidR="00D02196">
        <w:rPr>
          <w:rFonts w:ascii="Times New Roman" w:hAnsi="Times New Roman" w:cs="Times New Roman"/>
        </w:rPr>
        <w:t>that it complies with the Framework’s provisions</w:t>
      </w:r>
      <w:r w:rsidRPr="003C6F72" w:rsidR="00EC356C">
        <w:rPr>
          <w:rFonts w:ascii="Times New Roman" w:hAnsi="Times New Roman" w:cs="Times New Roman"/>
        </w:rPr>
        <w:t xml:space="preserve"> F</w:t>
      </w:r>
      <w:r w:rsidRPr="003C6F72" w:rsidR="008762A5">
        <w:rPr>
          <w:rFonts w:ascii="Times New Roman" w:hAnsi="Times New Roman" w:cs="Times New Roman"/>
        </w:rPr>
        <w:t>1</w:t>
      </w:r>
      <w:r w:rsidRPr="003C6F72" w:rsidR="00EC356C">
        <w:rPr>
          <w:rFonts w:ascii="Times New Roman" w:hAnsi="Times New Roman" w:cs="Times New Roman"/>
        </w:rPr>
        <w:t>-</w:t>
      </w:r>
      <w:r w:rsidRPr="003C6F72" w:rsidR="008762A5">
        <w:rPr>
          <w:rFonts w:ascii="Times New Roman" w:hAnsi="Times New Roman" w:cs="Times New Roman"/>
        </w:rPr>
        <w:t>F4</w:t>
      </w:r>
      <w:r w:rsidRPr="003C6F72" w:rsidR="00125AD1">
        <w:rPr>
          <w:rFonts w:ascii="Times New Roman" w:hAnsi="Times New Roman" w:cs="Times New Roman"/>
        </w:rPr>
        <w:t>,</w:t>
      </w:r>
      <w:r w:rsidRPr="003C6F72" w:rsidR="00D02196">
        <w:rPr>
          <w:rFonts w:ascii="Times New Roman" w:hAnsi="Times New Roman" w:cs="Times New Roman"/>
        </w:rPr>
        <w:t xml:space="preserve"> </w:t>
      </w:r>
      <w:r w:rsidRPr="003C6F72" w:rsidR="007D4D36">
        <w:rPr>
          <w:rFonts w:ascii="Times New Roman" w:hAnsi="Times New Roman" w:cs="Times New Roman"/>
        </w:rPr>
        <w:t>described below</w:t>
      </w:r>
      <w:r w:rsidRPr="003C6F72" w:rsidR="00D02196">
        <w:rPr>
          <w:rFonts w:ascii="Times New Roman" w:hAnsi="Times New Roman" w:cs="Times New Roman"/>
        </w:rPr>
        <w:t>, and has implemented internal procedures to ensure that it remains in compliance with these provisions, is presumed to have complied with the MDRI’s provisions (a)(</w:t>
      </w:r>
      <w:r w:rsidRPr="003C6F72" w:rsidR="000F7E44">
        <w:rPr>
          <w:rFonts w:ascii="Times New Roman" w:hAnsi="Times New Roman" w:cs="Times New Roman"/>
        </w:rPr>
        <w:t>ii</w:t>
      </w:r>
      <w:r w:rsidRPr="003C6F72" w:rsidR="00D02196">
        <w:rPr>
          <w:rFonts w:ascii="Times New Roman" w:hAnsi="Times New Roman" w:cs="Times New Roman"/>
        </w:rPr>
        <w:t>)-(a)(</w:t>
      </w:r>
      <w:r w:rsidRPr="003C6F72" w:rsidR="000F7E44">
        <w:rPr>
          <w:rFonts w:ascii="Times New Roman" w:hAnsi="Times New Roman" w:cs="Times New Roman"/>
        </w:rPr>
        <w:t>v</w:t>
      </w:r>
      <w:r w:rsidRPr="003C6F72" w:rsidR="00D02196">
        <w:rPr>
          <w:rFonts w:ascii="Times New Roman" w:hAnsi="Times New Roman" w:cs="Times New Roman"/>
        </w:rPr>
        <w:t>)</w:t>
      </w:r>
      <w:r w:rsidR="005F1F0B">
        <w:rPr>
          <w:rFonts w:ascii="Times New Roman" w:hAnsi="Times New Roman" w:cs="Times New Roman"/>
        </w:rPr>
        <w:t xml:space="preserve"> under this safe harbor</w:t>
      </w:r>
      <w:r w:rsidRPr="003C6F72" w:rsidR="00D02196">
        <w:rPr>
          <w:rFonts w:ascii="Times New Roman" w:hAnsi="Times New Roman" w:cs="Times New Roman"/>
        </w:rPr>
        <w:t>.</w:t>
      </w:r>
      <w:r>
        <w:rPr>
          <w:rStyle w:val="FootnoteReference"/>
          <w:rFonts w:ascii="Times New Roman" w:hAnsi="Times New Roman" w:cs="Times New Roman"/>
        </w:rPr>
        <w:footnoteReference w:id="8"/>
      </w:r>
      <w:r w:rsidRPr="003C6F72" w:rsidR="00D02196">
        <w:rPr>
          <w:rFonts w:ascii="Times New Roman" w:hAnsi="Times New Roman" w:cs="Times New Roman"/>
        </w:rPr>
        <w:t xml:space="preserve">  </w:t>
      </w:r>
    </w:p>
    <w:p w:rsidR="00142F4B" w:rsidP="0017082F" w14:paraId="5A867D99" w14:textId="748D439A">
      <w:pPr>
        <w:tabs>
          <w:tab w:val="left" w:pos="90"/>
        </w:tabs>
        <w:ind w:left="360"/>
        <w:rPr>
          <w:rFonts w:ascii="Times New Roman" w:hAnsi="Times New Roman" w:cs="Times New Roman"/>
        </w:rPr>
      </w:pPr>
    </w:p>
    <w:p w:rsidR="00142F4B" w:rsidRPr="003C6F72" w:rsidP="0017082F" w14:paraId="6A674FCC" w14:textId="77777777">
      <w:pPr>
        <w:tabs>
          <w:tab w:val="left" w:pos="90"/>
        </w:tabs>
        <w:ind w:left="360"/>
        <w:rPr>
          <w:rFonts w:ascii="Times New Roman" w:hAnsi="Times New Roman" w:cs="Times New Roman"/>
        </w:rPr>
      </w:pPr>
    </w:p>
    <w:p w:rsidR="003024E2" w:rsidRPr="003C6F72" w:rsidP="00CA0102" w14:paraId="68DA861C" w14:textId="07B98B1A">
      <w:pPr>
        <w:tabs>
          <w:tab w:val="left" w:pos="90"/>
        </w:tabs>
        <w:ind w:left="360"/>
        <w:rPr>
          <w:rFonts w:ascii="Times New Roman" w:hAnsi="Times New Roman" w:cs="Times New Roman"/>
          <w:b/>
          <w:bCs/>
        </w:rPr>
      </w:pPr>
      <w:r w:rsidRPr="003C6F72">
        <w:rPr>
          <w:rFonts w:ascii="Times New Roman" w:hAnsi="Times New Roman" w:cs="Times New Roman"/>
        </w:rPr>
        <w:tab/>
      </w:r>
      <w:r w:rsidRPr="003C6F72">
        <w:rPr>
          <w:rFonts w:ascii="Times New Roman" w:hAnsi="Times New Roman" w:cs="Times New Roman"/>
          <w:b/>
          <w:bCs/>
        </w:rPr>
        <w:t xml:space="preserve">Wireless Resiliency Cooperative Framework </w:t>
      </w:r>
      <w:r w:rsidRPr="003C6F72" w:rsidR="0004244F">
        <w:rPr>
          <w:rFonts w:ascii="Times New Roman" w:hAnsi="Times New Roman" w:cs="Times New Roman"/>
          <w:b/>
          <w:bCs/>
        </w:rPr>
        <w:t xml:space="preserve"> - selected </w:t>
      </w:r>
      <w:r w:rsidRPr="003C6F72">
        <w:rPr>
          <w:rFonts w:ascii="Times New Roman" w:hAnsi="Times New Roman" w:cs="Times New Roman"/>
          <w:b/>
          <w:bCs/>
        </w:rPr>
        <w:t>provisions</w:t>
      </w:r>
      <w:r w:rsidRPr="003C6F72" w:rsidR="0004244F">
        <w:rPr>
          <w:rFonts w:ascii="Times New Roman" w:hAnsi="Times New Roman" w:cs="Times New Roman"/>
          <w:b/>
          <w:bCs/>
        </w:rPr>
        <w:t>:</w:t>
      </w:r>
      <w:r w:rsidR="00E4670D">
        <w:rPr>
          <w:rFonts w:ascii="Times New Roman" w:hAnsi="Times New Roman" w:cs="Times New Roman"/>
          <w:b/>
          <w:bCs/>
        </w:rPr>
        <w:br/>
      </w:r>
    </w:p>
    <w:p w:rsidR="007E625A" w:rsidRPr="003A4CBB" w:rsidP="003A4CBB" w14:paraId="10C68102" w14:textId="5C1EB4A4">
      <w:pPr>
        <w:pStyle w:val="ListParagraph"/>
        <w:numPr>
          <w:ilvl w:val="0"/>
          <w:numId w:val="39"/>
        </w:numPr>
        <w:tabs>
          <w:tab w:val="left" w:pos="90"/>
        </w:tabs>
        <w:rPr>
          <w:rFonts w:ascii="Times New Roman" w:hAnsi="Times New Roman" w:cs="Times New Roman"/>
        </w:rPr>
      </w:pPr>
      <w:r w:rsidRPr="003C6F72">
        <w:rPr>
          <w:rFonts w:ascii="Times New Roman" w:hAnsi="Times New Roman" w:cs="Times New Roman"/>
          <w:b/>
          <w:bCs/>
        </w:rPr>
        <w:t>F</w:t>
      </w:r>
      <w:r w:rsidRPr="003C6F72" w:rsidR="008762A5">
        <w:rPr>
          <w:rFonts w:ascii="Times New Roman" w:hAnsi="Times New Roman" w:cs="Times New Roman"/>
          <w:b/>
          <w:bCs/>
        </w:rPr>
        <w:t>1</w:t>
      </w:r>
      <w:r w:rsidRPr="003C6F72">
        <w:rPr>
          <w:rFonts w:ascii="Times New Roman" w:hAnsi="Times New Roman" w:cs="Times New Roman"/>
        </w:rPr>
        <w:t>:</w:t>
      </w:r>
      <w:r w:rsidRPr="003C6F72" w:rsidR="0049659B">
        <w:rPr>
          <w:rFonts w:ascii="Times New Roman" w:hAnsi="Times New Roman" w:cs="Times New Roman"/>
        </w:rPr>
        <w:t xml:space="preserve">  </w:t>
      </w:r>
      <w:r w:rsidRPr="003C6F72">
        <w:rPr>
          <w:rFonts w:ascii="Times New Roman" w:hAnsi="Times New Roman" w:cs="Times New Roman"/>
        </w:rPr>
        <w:t>“fostering mutual aid among wireless providers during emergencies;”</w:t>
      </w:r>
      <w:r w:rsidR="00E4670D">
        <w:rPr>
          <w:rFonts w:ascii="Times New Roman" w:hAnsi="Times New Roman" w:cs="Times New Roman"/>
        </w:rPr>
        <w:br/>
      </w:r>
    </w:p>
    <w:p w:rsidR="007E625A" w:rsidRPr="003A4CBB" w:rsidP="003A4CBB" w14:paraId="07A7E8BA" w14:textId="76EB698B">
      <w:pPr>
        <w:pStyle w:val="ListParagraph"/>
        <w:numPr>
          <w:ilvl w:val="0"/>
          <w:numId w:val="39"/>
        </w:numPr>
        <w:tabs>
          <w:tab w:val="left" w:pos="90"/>
        </w:tabs>
        <w:rPr>
          <w:rFonts w:ascii="Times New Roman" w:hAnsi="Times New Roman" w:cs="Times New Roman"/>
        </w:rPr>
      </w:pPr>
      <w:r w:rsidRPr="003C6F72">
        <w:rPr>
          <w:rFonts w:ascii="Times New Roman" w:hAnsi="Times New Roman" w:cs="Times New Roman"/>
          <w:b/>
          <w:bCs/>
        </w:rPr>
        <w:t>F</w:t>
      </w:r>
      <w:r w:rsidRPr="003C6F72" w:rsidR="008762A5">
        <w:rPr>
          <w:rFonts w:ascii="Times New Roman" w:hAnsi="Times New Roman" w:cs="Times New Roman"/>
          <w:b/>
          <w:bCs/>
        </w:rPr>
        <w:t>2</w:t>
      </w:r>
      <w:r w:rsidRPr="003C6F72">
        <w:rPr>
          <w:rFonts w:ascii="Times New Roman" w:hAnsi="Times New Roman" w:cs="Times New Roman"/>
        </w:rPr>
        <w:t xml:space="preserve">:  </w:t>
      </w:r>
      <w:bookmarkStart w:id="1" w:name="_Hlk120001813"/>
      <w:r w:rsidRPr="003C6F72">
        <w:rPr>
          <w:rFonts w:ascii="Times New Roman" w:hAnsi="Times New Roman" w:cs="Times New Roman"/>
        </w:rPr>
        <w:t>“</w:t>
      </w:r>
      <w:r w:rsidRPr="003C6F72">
        <w:rPr>
          <w:rFonts w:ascii="Times New Roman" w:hAnsi="Times New Roman" w:cs="Times New Roman"/>
        </w:rPr>
        <w:t>enhancing municipal preparedness and restoration by convening with local government public safety representatives to develop best practices, and establishing a provider/PSAP contact database;</w:t>
      </w:r>
      <w:r w:rsidRPr="003C6F72" w:rsidR="0004244F">
        <w:rPr>
          <w:rFonts w:ascii="Times New Roman" w:hAnsi="Times New Roman" w:cs="Times New Roman"/>
        </w:rPr>
        <w:t>”</w:t>
      </w:r>
      <w:bookmarkEnd w:id="1"/>
      <w:r w:rsidR="00E4670D">
        <w:rPr>
          <w:rFonts w:ascii="Times New Roman" w:hAnsi="Times New Roman" w:cs="Times New Roman"/>
        </w:rPr>
        <w:br/>
      </w:r>
    </w:p>
    <w:p w:rsidR="000D744B" w:rsidRPr="003A4CBB" w:rsidP="00C55E49" w14:paraId="61DFFEA5" w14:textId="51CEECA6">
      <w:pPr>
        <w:pStyle w:val="ListParagraph"/>
        <w:numPr>
          <w:ilvl w:val="0"/>
          <w:numId w:val="39"/>
        </w:numPr>
        <w:tabs>
          <w:tab w:val="left" w:pos="90"/>
        </w:tabs>
        <w:rPr>
          <w:rFonts w:ascii="Times New Roman" w:hAnsi="Times New Roman" w:cs="Times New Roman"/>
        </w:rPr>
      </w:pPr>
      <w:r w:rsidRPr="003C6F72">
        <w:rPr>
          <w:rFonts w:ascii="Times New Roman" w:hAnsi="Times New Roman" w:cs="Times New Roman"/>
          <w:b/>
          <w:bCs/>
        </w:rPr>
        <w:t>F</w:t>
      </w:r>
      <w:r w:rsidRPr="003C6F72" w:rsidR="008762A5">
        <w:rPr>
          <w:rFonts w:ascii="Times New Roman" w:hAnsi="Times New Roman" w:cs="Times New Roman"/>
          <w:b/>
          <w:bCs/>
        </w:rPr>
        <w:t>3</w:t>
      </w:r>
      <w:r w:rsidRPr="003C6F72" w:rsidR="007E625A">
        <w:rPr>
          <w:rFonts w:ascii="Times New Roman" w:hAnsi="Times New Roman" w:cs="Times New Roman"/>
        </w:rPr>
        <w:t>:</w:t>
      </w:r>
      <w:r w:rsidRPr="003C6F72" w:rsidR="007E625A">
        <w:rPr>
          <w:rFonts w:ascii="Times New Roman" w:hAnsi="Times New Roman" w:cs="Times New Roman"/>
          <w:i/>
          <w:iCs/>
        </w:rPr>
        <w:t xml:space="preserve">  </w:t>
      </w:r>
      <w:r w:rsidRPr="003C6F72">
        <w:rPr>
          <w:rFonts w:ascii="Times New Roman" w:hAnsi="Times New Roman" w:cs="Times New Roman"/>
          <w:i/>
          <w:iCs/>
        </w:rPr>
        <w:t>“</w:t>
      </w:r>
      <w:r w:rsidRPr="003C6F72">
        <w:rPr>
          <w:rFonts w:ascii="Times New Roman" w:hAnsi="Times New Roman" w:cs="Times New Roman"/>
        </w:rPr>
        <w:t>increasing consumer readiness and preparation through development and dissemination with consumer groups of a Consumer Readiness Checklist;”</w:t>
      </w:r>
      <w:r w:rsidR="00E4670D">
        <w:rPr>
          <w:rFonts w:ascii="Times New Roman" w:hAnsi="Times New Roman" w:cs="Times New Roman"/>
        </w:rPr>
        <w:br/>
      </w:r>
    </w:p>
    <w:p w:rsidR="003B1F7A" w:rsidP="00C55E49" w14:paraId="0FB81205" w14:textId="0C616A0D">
      <w:pPr>
        <w:pStyle w:val="ListParagraph"/>
        <w:numPr>
          <w:ilvl w:val="0"/>
          <w:numId w:val="39"/>
        </w:numPr>
        <w:tabs>
          <w:tab w:val="left" w:pos="90"/>
        </w:tabs>
        <w:rPr>
          <w:rFonts w:ascii="Times New Roman" w:hAnsi="Times New Roman" w:cs="Times New Roman"/>
        </w:rPr>
      </w:pPr>
      <w:r w:rsidRPr="003C6F72">
        <w:rPr>
          <w:rFonts w:ascii="Times New Roman" w:hAnsi="Times New Roman" w:cs="Times New Roman"/>
          <w:b/>
          <w:bCs/>
        </w:rPr>
        <w:t>F</w:t>
      </w:r>
      <w:r w:rsidRPr="003C6F72" w:rsidR="008762A5">
        <w:rPr>
          <w:rFonts w:ascii="Times New Roman" w:hAnsi="Times New Roman" w:cs="Times New Roman"/>
          <w:b/>
          <w:bCs/>
        </w:rPr>
        <w:t>4</w:t>
      </w:r>
      <w:r w:rsidRPr="003C6F72" w:rsidR="007E625A">
        <w:rPr>
          <w:rFonts w:ascii="Times New Roman" w:hAnsi="Times New Roman" w:cs="Times New Roman"/>
          <w:b/>
          <w:bCs/>
        </w:rPr>
        <w:t xml:space="preserve">:  </w:t>
      </w:r>
      <w:r w:rsidRPr="003C6F72">
        <w:rPr>
          <w:rFonts w:ascii="Times New Roman" w:hAnsi="Times New Roman" w:cs="Times New Roman"/>
        </w:rPr>
        <w:t>“improving public awareness and stakeholder communications on service and restoration status, through Commission posting of data on cell site outages on an aggregated, county-by-county basis in the relevant area through its Disaster Information Reporting System (DIRS)</w:t>
      </w:r>
      <w:r w:rsidRPr="003C6F72" w:rsidR="0004244F">
        <w:rPr>
          <w:rFonts w:ascii="Times New Roman" w:hAnsi="Times New Roman" w:cs="Times New Roman"/>
        </w:rPr>
        <w:t>.</w:t>
      </w:r>
      <w:r w:rsidRPr="003C6F72">
        <w:rPr>
          <w:rFonts w:ascii="Times New Roman" w:hAnsi="Times New Roman" w:cs="Times New Roman"/>
        </w:rPr>
        <w:t>”</w:t>
      </w:r>
    </w:p>
    <w:p w:rsidR="003A4CBB" w:rsidRPr="003C6F72" w:rsidP="003A4CBB" w14:paraId="102E194A" w14:textId="77777777">
      <w:pPr>
        <w:pStyle w:val="ListParagraph"/>
        <w:tabs>
          <w:tab w:val="left" w:pos="90"/>
        </w:tabs>
        <w:ind w:left="1080"/>
        <w:rPr>
          <w:rFonts w:ascii="Times New Roman" w:hAnsi="Times New Roman" w:cs="Times New Roman"/>
        </w:rPr>
      </w:pPr>
    </w:p>
    <w:p w:rsidR="00C01F54" w:rsidP="001D5E2A" w14:paraId="10204826" w14:textId="09A02EAE">
      <w:pPr>
        <w:ind w:left="360" w:firstLine="360"/>
        <w:contextualSpacing/>
        <w:rPr>
          <w:rFonts w:ascii="Times New Roman" w:hAnsi="Times New Roman" w:cs="Times New Roman"/>
        </w:rPr>
      </w:pPr>
      <w:r w:rsidRPr="003C6F72">
        <w:rPr>
          <w:rFonts w:ascii="Times New Roman" w:hAnsi="Times New Roman" w:cs="Times New Roman"/>
          <w:i/>
          <w:iCs/>
        </w:rPr>
        <w:t>Compliance</w:t>
      </w:r>
      <w:r w:rsidRPr="003C6F72" w:rsidR="00F00971">
        <w:rPr>
          <w:rFonts w:ascii="Times New Roman" w:hAnsi="Times New Roman" w:cs="Times New Roman"/>
          <w:i/>
          <w:iCs/>
        </w:rPr>
        <w:t xml:space="preserve"> Requirements</w:t>
      </w:r>
      <w:r w:rsidRPr="003C6F72">
        <w:rPr>
          <w:rFonts w:ascii="Times New Roman" w:hAnsi="Times New Roman" w:cs="Times New Roman"/>
          <w:i/>
          <w:iCs/>
        </w:rPr>
        <w:t xml:space="preserve">.  </w:t>
      </w:r>
      <w:r w:rsidRPr="003C6F72" w:rsidR="00AB487F">
        <w:rPr>
          <w:rFonts w:ascii="Times New Roman" w:hAnsi="Times New Roman" w:cs="Times New Roman"/>
          <w:iCs/>
        </w:rPr>
        <w:t>Thus, t</w:t>
      </w:r>
      <w:r w:rsidRPr="003C6F72">
        <w:rPr>
          <w:rFonts w:ascii="Times New Roman" w:hAnsi="Times New Roman" w:cs="Times New Roman"/>
        </w:rPr>
        <w:t>o</w:t>
      </w:r>
      <w:r w:rsidRPr="003C6F72" w:rsidR="00FE1E9F">
        <w:rPr>
          <w:rFonts w:ascii="Times New Roman" w:hAnsi="Times New Roman" w:cs="Times New Roman"/>
        </w:rPr>
        <w:t xml:space="preserve"> comply with the Commission’s rules set forth in the </w:t>
      </w:r>
      <w:r w:rsidRPr="003C6F72" w:rsidR="00FE1E9F">
        <w:rPr>
          <w:rFonts w:ascii="Times New Roman" w:hAnsi="Times New Roman" w:cs="Times New Roman"/>
          <w:i/>
          <w:iCs/>
        </w:rPr>
        <w:t>Report and Order</w:t>
      </w:r>
      <w:r w:rsidRPr="003C6F72" w:rsidR="00FE1E9F">
        <w:rPr>
          <w:rFonts w:ascii="Times New Roman" w:hAnsi="Times New Roman" w:cs="Times New Roman"/>
        </w:rPr>
        <w:t>,</w:t>
      </w:r>
      <w:r w:rsidRPr="003C6F72" w:rsidR="003D7BCC">
        <w:rPr>
          <w:rFonts w:ascii="Times New Roman" w:hAnsi="Times New Roman" w:cs="Times New Roman"/>
        </w:rPr>
        <w:t xml:space="preserve"> </w:t>
      </w:r>
      <w:r w:rsidRPr="003C6F72" w:rsidR="00EE7C1D">
        <w:rPr>
          <w:rFonts w:ascii="Times New Roman" w:hAnsi="Times New Roman" w:cs="Times New Roman"/>
        </w:rPr>
        <w:t>a f</w:t>
      </w:r>
      <w:r w:rsidRPr="003C6F72" w:rsidR="00EE7C1D">
        <w:rPr>
          <w:rFonts w:ascii="Times New Roman" w:hAnsi="Times New Roman" w:cs="Times New Roman"/>
          <w:color w:val="333333"/>
        </w:rPr>
        <w:t xml:space="preserve">acilities-based mobile wireless provider must </w:t>
      </w:r>
      <w:r w:rsidRPr="003C6F72" w:rsidR="00AB3C5A">
        <w:rPr>
          <w:rFonts w:ascii="Times New Roman" w:hAnsi="Times New Roman" w:cs="Times New Roman"/>
          <w:color w:val="333333"/>
        </w:rPr>
        <w:t xml:space="preserve">implement the </w:t>
      </w:r>
      <w:r w:rsidRPr="003C6F72" w:rsidR="008726B5">
        <w:rPr>
          <w:rFonts w:ascii="Times New Roman" w:hAnsi="Times New Roman" w:cs="Times New Roman"/>
          <w:color w:val="333333"/>
        </w:rPr>
        <w:t xml:space="preserve">MDRI’s </w:t>
      </w:r>
      <w:r w:rsidRPr="003C6F72" w:rsidR="00AB3C5A">
        <w:rPr>
          <w:rFonts w:ascii="Times New Roman" w:hAnsi="Times New Roman" w:cs="Times New Roman"/>
        </w:rPr>
        <w:t>provisions (a)(i)</w:t>
      </w:r>
      <w:r w:rsidRPr="003C6F72" w:rsidR="00A64D5D">
        <w:rPr>
          <w:rFonts w:ascii="Times New Roman" w:hAnsi="Times New Roman" w:cs="Times New Roman"/>
        </w:rPr>
        <w:t xml:space="preserve"> and</w:t>
      </w:r>
      <w:r w:rsidRPr="003C6F72" w:rsidR="00AB3C5A">
        <w:rPr>
          <w:rFonts w:ascii="Times New Roman" w:hAnsi="Times New Roman" w:cs="Times New Roman"/>
        </w:rPr>
        <w:t xml:space="preserve"> (b)-(d)</w:t>
      </w:r>
      <w:r w:rsidRPr="003C6F72" w:rsidR="00EC356C">
        <w:rPr>
          <w:rFonts w:ascii="Times New Roman" w:hAnsi="Times New Roman" w:cs="Times New Roman"/>
        </w:rPr>
        <w:t xml:space="preserve"> and</w:t>
      </w:r>
      <w:r w:rsidRPr="003C6F72" w:rsidR="00A64D5D">
        <w:rPr>
          <w:rFonts w:ascii="Times New Roman" w:hAnsi="Times New Roman" w:cs="Times New Roman"/>
        </w:rPr>
        <w:t xml:space="preserve"> issue </w:t>
      </w:r>
      <w:r w:rsidRPr="003C6F72" w:rsidR="008B2441">
        <w:rPr>
          <w:rFonts w:ascii="Times New Roman" w:hAnsi="Times New Roman" w:cs="Times New Roman"/>
        </w:rPr>
        <w:t xml:space="preserve">written </w:t>
      </w:r>
      <w:r w:rsidRPr="003C6F72" w:rsidR="00401176">
        <w:rPr>
          <w:rFonts w:ascii="Times New Roman" w:hAnsi="Times New Roman" w:cs="Times New Roman"/>
        </w:rPr>
        <w:t>denials</w:t>
      </w:r>
      <w:r w:rsidRPr="003C6F72" w:rsidR="008B2441">
        <w:rPr>
          <w:rFonts w:ascii="Times New Roman" w:hAnsi="Times New Roman" w:cs="Times New Roman"/>
        </w:rPr>
        <w:t xml:space="preserve"> of roaming requests</w:t>
      </w:r>
      <w:r w:rsidRPr="003C6F72" w:rsidR="008726B5">
        <w:rPr>
          <w:rFonts w:ascii="Times New Roman" w:hAnsi="Times New Roman" w:cs="Times New Roman"/>
        </w:rPr>
        <w:t>, as described above</w:t>
      </w:r>
      <w:r w:rsidRPr="003C6F72" w:rsidR="00AB3C5A">
        <w:rPr>
          <w:rFonts w:ascii="Times New Roman" w:hAnsi="Times New Roman" w:cs="Times New Roman"/>
        </w:rPr>
        <w:t xml:space="preserve">.  </w:t>
      </w:r>
      <w:r w:rsidRPr="003C6F72" w:rsidR="008726B5">
        <w:rPr>
          <w:rFonts w:ascii="Times New Roman" w:hAnsi="Times New Roman" w:cs="Times New Roman"/>
        </w:rPr>
        <w:t xml:space="preserve">The </w:t>
      </w:r>
      <w:r w:rsidRPr="003C6F72" w:rsidR="0083744B">
        <w:rPr>
          <w:rFonts w:ascii="Times New Roman" w:hAnsi="Times New Roman" w:cs="Times New Roman"/>
        </w:rPr>
        <w:t>provider</w:t>
      </w:r>
      <w:r w:rsidRPr="003C6F72" w:rsidR="008B2441">
        <w:rPr>
          <w:rFonts w:ascii="Times New Roman" w:hAnsi="Times New Roman" w:cs="Times New Roman"/>
        </w:rPr>
        <w:t xml:space="preserve"> must</w:t>
      </w:r>
      <w:r w:rsidRPr="003C6F72" w:rsidR="0083744B">
        <w:rPr>
          <w:rFonts w:ascii="Times New Roman" w:hAnsi="Times New Roman" w:cs="Times New Roman"/>
        </w:rPr>
        <w:t xml:space="preserve"> </w:t>
      </w:r>
      <w:r w:rsidRPr="003C6F72" w:rsidR="002D302B">
        <w:rPr>
          <w:rFonts w:ascii="Times New Roman" w:hAnsi="Times New Roman" w:cs="Times New Roman"/>
        </w:rPr>
        <w:t>also</w:t>
      </w:r>
      <w:r w:rsidRPr="003C6F72" w:rsidR="0083744B">
        <w:rPr>
          <w:rFonts w:ascii="Times New Roman" w:hAnsi="Times New Roman" w:cs="Times New Roman"/>
        </w:rPr>
        <w:t xml:space="preserve"> implement </w:t>
      </w:r>
      <w:r w:rsidRPr="003C6F72" w:rsidR="008726B5">
        <w:rPr>
          <w:rFonts w:ascii="Times New Roman" w:hAnsi="Times New Roman" w:cs="Times New Roman"/>
        </w:rPr>
        <w:t xml:space="preserve">either </w:t>
      </w:r>
      <w:r w:rsidRPr="003C6F72" w:rsidR="005C28AF">
        <w:rPr>
          <w:rFonts w:ascii="Times New Roman" w:hAnsi="Times New Roman" w:cs="Times New Roman"/>
        </w:rPr>
        <w:t xml:space="preserve">the </w:t>
      </w:r>
      <w:r w:rsidRPr="003C6F72" w:rsidR="00587ED2">
        <w:rPr>
          <w:rFonts w:ascii="Times New Roman" w:hAnsi="Times New Roman" w:cs="Times New Roman"/>
        </w:rPr>
        <w:t xml:space="preserve">MDRI </w:t>
      </w:r>
      <w:r w:rsidRPr="003C6F72" w:rsidR="0083744B">
        <w:rPr>
          <w:rFonts w:ascii="Times New Roman" w:hAnsi="Times New Roman" w:cs="Times New Roman"/>
        </w:rPr>
        <w:t>provisions (a)(ii)-(v) or</w:t>
      </w:r>
      <w:r w:rsidRPr="003C6F72" w:rsidR="005C28AF">
        <w:rPr>
          <w:rFonts w:ascii="Times New Roman" w:hAnsi="Times New Roman" w:cs="Times New Roman"/>
        </w:rPr>
        <w:t xml:space="preserve"> the</w:t>
      </w:r>
      <w:r w:rsidRPr="003C6F72" w:rsidR="00587ED2">
        <w:rPr>
          <w:rFonts w:ascii="Times New Roman" w:hAnsi="Times New Roman" w:cs="Times New Roman"/>
        </w:rPr>
        <w:t xml:space="preserve"> corresponding</w:t>
      </w:r>
      <w:r w:rsidRPr="003C6F72" w:rsidR="005C28AF">
        <w:rPr>
          <w:rFonts w:ascii="Times New Roman" w:hAnsi="Times New Roman" w:cs="Times New Roman"/>
        </w:rPr>
        <w:t xml:space="preserve"> set of</w:t>
      </w:r>
      <w:r w:rsidRPr="003C6F72" w:rsidR="002D302B">
        <w:rPr>
          <w:rFonts w:ascii="Times New Roman" w:hAnsi="Times New Roman" w:cs="Times New Roman"/>
        </w:rPr>
        <w:t xml:space="preserve"> provisions</w:t>
      </w:r>
      <w:r w:rsidRPr="003C6F72" w:rsidR="00587ED2">
        <w:rPr>
          <w:rFonts w:ascii="Times New Roman" w:hAnsi="Times New Roman" w:cs="Times New Roman"/>
        </w:rPr>
        <w:t xml:space="preserve"> from the Framework, </w:t>
      </w:r>
      <w:r w:rsidRPr="003C6F72" w:rsidR="0004244F">
        <w:rPr>
          <w:rFonts w:ascii="Times New Roman" w:hAnsi="Times New Roman" w:cs="Times New Roman"/>
        </w:rPr>
        <w:t xml:space="preserve">i.e., </w:t>
      </w:r>
      <w:r w:rsidRPr="003C6F72" w:rsidR="00587ED2">
        <w:rPr>
          <w:rFonts w:ascii="Times New Roman" w:hAnsi="Times New Roman" w:cs="Times New Roman"/>
        </w:rPr>
        <w:t xml:space="preserve">provisions </w:t>
      </w:r>
      <w:r w:rsidRPr="003C6F72" w:rsidR="0083744B">
        <w:rPr>
          <w:rFonts w:ascii="Times New Roman" w:hAnsi="Times New Roman" w:cs="Times New Roman"/>
        </w:rPr>
        <w:t>F</w:t>
      </w:r>
      <w:r w:rsidRPr="003C6F72" w:rsidR="008762A5">
        <w:rPr>
          <w:rFonts w:ascii="Times New Roman" w:hAnsi="Times New Roman" w:cs="Times New Roman"/>
        </w:rPr>
        <w:t>1</w:t>
      </w:r>
      <w:r w:rsidRPr="003C6F72" w:rsidR="0083744B">
        <w:rPr>
          <w:rFonts w:ascii="Times New Roman" w:hAnsi="Times New Roman" w:cs="Times New Roman"/>
        </w:rPr>
        <w:t>-</w:t>
      </w:r>
      <w:r w:rsidRPr="003C6F72" w:rsidR="008762A5">
        <w:rPr>
          <w:rFonts w:ascii="Times New Roman" w:hAnsi="Times New Roman" w:cs="Times New Roman"/>
        </w:rPr>
        <w:t>F4</w:t>
      </w:r>
      <w:r w:rsidRPr="003C6F72" w:rsidR="005738AE">
        <w:rPr>
          <w:rFonts w:ascii="Times New Roman" w:hAnsi="Times New Roman" w:cs="Times New Roman"/>
        </w:rPr>
        <w:t xml:space="preserve">.  </w:t>
      </w:r>
    </w:p>
    <w:p w:rsidR="003A4CBB" w:rsidRPr="003C6F72" w:rsidP="001D5E2A" w14:paraId="612B7CAF" w14:textId="77777777">
      <w:pPr>
        <w:ind w:left="360" w:firstLine="360"/>
        <w:contextualSpacing/>
        <w:rPr>
          <w:rFonts w:ascii="Times New Roman" w:hAnsi="Times New Roman" w:cs="Times New Roman"/>
        </w:rPr>
      </w:pPr>
    </w:p>
    <w:p w:rsidR="00C55E49" w:rsidP="001D5E2A" w14:paraId="3580B010" w14:textId="30B18468">
      <w:pPr>
        <w:ind w:left="360" w:firstLine="360"/>
        <w:contextualSpacing/>
        <w:rPr>
          <w:rFonts w:ascii="Times New Roman" w:eastAsia="Calibri" w:hAnsi="Times New Roman" w:cs="Times New Roman"/>
        </w:rPr>
      </w:pPr>
      <w:r w:rsidRPr="003C6F72">
        <w:rPr>
          <w:rFonts w:ascii="Times New Roman" w:eastAsia="Calibri" w:hAnsi="Times New Roman" w:cs="Times New Roman"/>
        </w:rPr>
        <w:t xml:space="preserve">Accordingly, the Commission </w:t>
      </w:r>
      <w:r w:rsidRPr="003C6F72" w:rsidR="00AC38C4">
        <w:rPr>
          <w:rFonts w:ascii="Times New Roman" w:eastAsia="Calibri" w:hAnsi="Times New Roman" w:cs="Times New Roman"/>
        </w:rPr>
        <w:t xml:space="preserve">submits this information collection </w:t>
      </w:r>
      <w:r w:rsidRPr="003C6F72" w:rsidR="00B67251">
        <w:rPr>
          <w:rFonts w:ascii="Times New Roman" w:eastAsia="Calibri" w:hAnsi="Times New Roman" w:cs="Times New Roman"/>
        </w:rPr>
        <w:t>to</w:t>
      </w:r>
      <w:r w:rsidRPr="003C6F72" w:rsidR="00DE1680">
        <w:rPr>
          <w:rFonts w:ascii="Times New Roman" w:eastAsia="Calibri" w:hAnsi="Times New Roman" w:cs="Times New Roman"/>
        </w:rPr>
        <w:t xml:space="preserve"> support </w:t>
      </w:r>
      <w:r w:rsidRPr="003C6F72" w:rsidR="0034476F">
        <w:rPr>
          <w:rFonts w:ascii="Times New Roman" w:eastAsia="Calibri" w:hAnsi="Times New Roman" w:cs="Times New Roman"/>
        </w:rPr>
        <w:t>its adoption of the MDRI</w:t>
      </w:r>
      <w:r w:rsidRPr="003C6F72" w:rsidR="00BE45C7">
        <w:rPr>
          <w:rFonts w:ascii="Times New Roman" w:eastAsia="Calibri" w:hAnsi="Times New Roman" w:cs="Times New Roman"/>
        </w:rPr>
        <w:t xml:space="preserve"> </w:t>
      </w:r>
      <w:r w:rsidRPr="003C6F72" w:rsidR="00C5128B">
        <w:rPr>
          <w:rFonts w:ascii="Times New Roman" w:eastAsia="Calibri" w:hAnsi="Times New Roman" w:cs="Times New Roman"/>
        </w:rPr>
        <w:t xml:space="preserve">by seeking to have </w:t>
      </w:r>
      <w:r w:rsidRPr="003C6F72" w:rsidR="00084B86">
        <w:rPr>
          <w:rFonts w:ascii="Times New Roman" w:eastAsia="Calibri" w:hAnsi="Times New Roman" w:cs="Times New Roman"/>
        </w:rPr>
        <w:t>collected</w:t>
      </w:r>
      <w:r w:rsidRPr="003C6F72" w:rsidR="00C5128B">
        <w:rPr>
          <w:rFonts w:ascii="Times New Roman" w:eastAsia="Calibri" w:hAnsi="Times New Roman" w:cs="Times New Roman"/>
        </w:rPr>
        <w:t xml:space="preserve"> information described in the</w:t>
      </w:r>
      <w:r w:rsidRPr="003C6F72" w:rsidR="00E71A6F">
        <w:rPr>
          <w:rFonts w:ascii="Times New Roman" w:eastAsia="Calibri" w:hAnsi="Times New Roman" w:cs="Times New Roman"/>
        </w:rPr>
        <w:t xml:space="preserve"> MDRI’s provisions (b)-(d), the Framework’s provisions F</w:t>
      </w:r>
      <w:r w:rsidRPr="003C6F72" w:rsidR="0075227F">
        <w:rPr>
          <w:rFonts w:ascii="Times New Roman" w:eastAsia="Calibri" w:hAnsi="Times New Roman" w:cs="Times New Roman"/>
        </w:rPr>
        <w:t>2</w:t>
      </w:r>
      <w:r w:rsidRPr="003C6F72" w:rsidR="00E71A6F">
        <w:rPr>
          <w:rFonts w:ascii="Times New Roman" w:eastAsia="Calibri" w:hAnsi="Times New Roman" w:cs="Times New Roman"/>
        </w:rPr>
        <w:t xml:space="preserve"> and F</w:t>
      </w:r>
      <w:r w:rsidRPr="003C6F72" w:rsidR="0075227F">
        <w:rPr>
          <w:rFonts w:ascii="Times New Roman" w:eastAsia="Calibri" w:hAnsi="Times New Roman" w:cs="Times New Roman"/>
        </w:rPr>
        <w:t>3</w:t>
      </w:r>
      <w:r w:rsidRPr="003C6F72" w:rsidR="00E71A6F">
        <w:rPr>
          <w:rFonts w:ascii="Times New Roman" w:eastAsia="Calibri" w:hAnsi="Times New Roman" w:cs="Times New Roman"/>
        </w:rPr>
        <w:t xml:space="preserve">, and </w:t>
      </w:r>
      <w:r w:rsidRPr="003C6F72" w:rsidR="00C5128B">
        <w:rPr>
          <w:rFonts w:ascii="Times New Roman" w:eastAsia="Calibri" w:hAnsi="Times New Roman" w:cs="Times New Roman"/>
        </w:rPr>
        <w:t xml:space="preserve">related to the </w:t>
      </w:r>
      <w:r w:rsidRPr="003C6F72" w:rsidR="00694B21">
        <w:rPr>
          <w:rFonts w:ascii="Times New Roman" w:eastAsia="Calibri" w:hAnsi="Times New Roman" w:cs="Times New Roman"/>
        </w:rPr>
        <w:t>r</w:t>
      </w:r>
      <w:r w:rsidRPr="003C6F72" w:rsidR="00E71A6F">
        <w:rPr>
          <w:rFonts w:ascii="Times New Roman" w:eastAsia="Calibri" w:hAnsi="Times New Roman" w:cs="Times New Roman"/>
        </w:rPr>
        <w:t xml:space="preserve">equirement that providers issue written denials of roaming requests and </w:t>
      </w:r>
      <w:r w:rsidRPr="003C6F72" w:rsidR="001A596E">
        <w:rPr>
          <w:rFonts w:ascii="Times New Roman" w:eastAsia="Calibri" w:hAnsi="Times New Roman" w:cs="Times New Roman"/>
        </w:rPr>
        <w:t>option that permits providers</w:t>
      </w:r>
      <w:r w:rsidRPr="003C6F72" w:rsidR="00694B21">
        <w:rPr>
          <w:rFonts w:ascii="Times New Roman" w:eastAsia="Calibri" w:hAnsi="Times New Roman" w:cs="Times New Roman"/>
        </w:rPr>
        <w:t xml:space="preserve"> to </w:t>
      </w:r>
      <w:r w:rsidRPr="003C6F72" w:rsidR="00E71A6F">
        <w:rPr>
          <w:rFonts w:ascii="Times New Roman" w:eastAsia="Calibri" w:hAnsi="Times New Roman" w:cs="Times New Roman"/>
        </w:rPr>
        <w:t>file safe harbor letters</w:t>
      </w:r>
      <w:r w:rsidRPr="003C6F72">
        <w:rPr>
          <w:rFonts w:ascii="Times New Roman" w:eastAsia="Calibri" w:hAnsi="Times New Roman" w:cs="Times New Roman"/>
        </w:rPr>
        <w:t>.</w:t>
      </w:r>
    </w:p>
    <w:p w:rsidR="001D5E2A" w:rsidRPr="003C6F72" w:rsidP="001D5E2A" w14:paraId="25314CC5" w14:textId="77777777">
      <w:pPr>
        <w:ind w:left="360" w:firstLine="360"/>
        <w:contextualSpacing/>
        <w:rPr>
          <w:rFonts w:ascii="Times New Roman" w:eastAsia="Calibri" w:hAnsi="Times New Roman" w:cs="Times New Roman"/>
        </w:rPr>
      </w:pPr>
    </w:p>
    <w:p w:rsidR="00C55E49" w:rsidP="001D5E2A" w14:paraId="17B6AF56" w14:textId="6F5AE3E0">
      <w:pPr>
        <w:ind w:left="360" w:firstLine="360"/>
        <w:contextualSpacing/>
        <w:rPr>
          <w:rFonts w:ascii="Times New Roman" w:hAnsi="Times New Roman" w:cs="Times New Roman"/>
        </w:rPr>
      </w:pPr>
      <w:r w:rsidRPr="003C6F72">
        <w:rPr>
          <w:rFonts w:ascii="Times New Roman" w:eastAsia="Calibri" w:hAnsi="Times New Roman" w:cs="Times New Roman"/>
        </w:rPr>
        <w:t>T</w:t>
      </w:r>
      <w:r w:rsidRPr="003C6F72" w:rsidR="00AC38C4">
        <w:rPr>
          <w:rFonts w:ascii="Times New Roman" w:eastAsia="Calibri" w:hAnsi="Times New Roman" w:cs="Times New Roman"/>
        </w:rPr>
        <w:t xml:space="preserve">he information sought in this collection is </w:t>
      </w:r>
      <w:r w:rsidRPr="003C6F72" w:rsidR="00DE79C5">
        <w:rPr>
          <w:rFonts w:ascii="Times New Roman" w:eastAsia="Calibri" w:hAnsi="Times New Roman" w:cs="Times New Roman"/>
        </w:rPr>
        <w:t>necessary</w:t>
      </w:r>
      <w:r w:rsidRPr="003C6F72" w:rsidR="00B67251">
        <w:rPr>
          <w:rFonts w:ascii="Times New Roman" w:eastAsia="Calibri" w:hAnsi="Times New Roman" w:cs="Times New Roman"/>
        </w:rPr>
        <w:t xml:space="preserve"> </w:t>
      </w:r>
      <w:r w:rsidRPr="003C6F72">
        <w:rPr>
          <w:rFonts w:ascii="Times New Roman" w:eastAsia="Calibri" w:hAnsi="Times New Roman" w:cs="Times New Roman"/>
        </w:rPr>
        <w:t>for the administration of the rule</w:t>
      </w:r>
      <w:r w:rsidRPr="003C6F72" w:rsidR="00AC38C4">
        <w:rPr>
          <w:rFonts w:ascii="Times New Roman" w:eastAsia="Calibri" w:hAnsi="Times New Roman" w:cs="Times New Roman"/>
        </w:rPr>
        <w:t xml:space="preserve"> and vital to ensuring that</w:t>
      </w:r>
      <w:r w:rsidRPr="003C6F72">
        <w:rPr>
          <w:rFonts w:ascii="Times New Roman" w:eastAsia="Calibri" w:hAnsi="Times New Roman" w:cs="Times New Roman"/>
        </w:rPr>
        <w:t xml:space="preserve"> the nation’s</w:t>
      </w:r>
      <w:r w:rsidRPr="003C6F72" w:rsidR="00AC38C4">
        <w:rPr>
          <w:rFonts w:ascii="Times New Roman" w:eastAsia="Calibri" w:hAnsi="Times New Roman" w:cs="Times New Roman"/>
        </w:rPr>
        <w:t xml:space="preserve"> </w:t>
      </w:r>
      <w:r w:rsidRPr="003C6F72">
        <w:rPr>
          <w:rFonts w:ascii="Times New Roman" w:hAnsi="Times New Roman" w:cs="Times New Roman"/>
        </w:rPr>
        <w:t xml:space="preserve">mobile wireless networks are </w:t>
      </w:r>
      <w:r w:rsidRPr="003C6F72" w:rsidR="00BF3345">
        <w:rPr>
          <w:rFonts w:ascii="Times New Roman" w:hAnsi="Times New Roman" w:cs="Times New Roman"/>
        </w:rPr>
        <w:t xml:space="preserve">more </w:t>
      </w:r>
      <w:r w:rsidRPr="003C6F72">
        <w:rPr>
          <w:rFonts w:ascii="Times New Roman" w:hAnsi="Times New Roman" w:cs="Times New Roman"/>
        </w:rPr>
        <w:t xml:space="preserve">operational </w:t>
      </w:r>
      <w:r w:rsidRPr="003C6F72" w:rsidR="00B67251">
        <w:rPr>
          <w:rFonts w:ascii="Times New Roman" w:hAnsi="Times New Roman" w:cs="Times New Roman"/>
        </w:rPr>
        <w:t>during disaster events, thus</w:t>
      </w:r>
      <w:r w:rsidRPr="003C6F72" w:rsidR="00BF3345">
        <w:rPr>
          <w:rFonts w:ascii="Times New Roman" w:hAnsi="Times New Roman" w:cs="Times New Roman"/>
        </w:rPr>
        <w:t xml:space="preserve"> better</w:t>
      </w:r>
      <w:r w:rsidRPr="003C6F72" w:rsidR="00B67251">
        <w:rPr>
          <w:rFonts w:ascii="Times New Roman" w:hAnsi="Times New Roman" w:cs="Times New Roman"/>
        </w:rPr>
        <w:t xml:space="preserve"> </w:t>
      </w:r>
      <w:r w:rsidRPr="003C6F72">
        <w:rPr>
          <w:rFonts w:ascii="Times New Roman" w:hAnsi="Times New Roman" w:cs="Times New Roman"/>
        </w:rPr>
        <w:t>fulfilling their role as critical lifelines to those in need in times of emergency.</w:t>
      </w:r>
      <w:bookmarkStart w:id="2" w:name="_Hlk9334858"/>
    </w:p>
    <w:p w:rsidR="001D5E2A" w:rsidRPr="003C6F72" w:rsidP="001D5E2A" w14:paraId="0CE4FF11" w14:textId="77777777">
      <w:pPr>
        <w:ind w:left="360" w:firstLine="360"/>
        <w:contextualSpacing/>
        <w:rPr>
          <w:rFonts w:ascii="Times New Roman" w:hAnsi="Times New Roman" w:cs="Times New Roman"/>
        </w:rPr>
      </w:pPr>
    </w:p>
    <w:p w:rsidR="00C55E49" w:rsidP="001D5E2A" w14:paraId="77B1D0E9" w14:textId="4819D7DD">
      <w:pPr>
        <w:ind w:left="360" w:firstLine="360"/>
        <w:contextualSpacing/>
        <w:rPr>
          <w:rFonts w:ascii="Times New Roman" w:hAnsi="Times New Roman" w:cs="Times New Roman"/>
        </w:rPr>
      </w:pPr>
      <w:r w:rsidRPr="003C6F72">
        <w:rPr>
          <w:rFonts w:ascii="Times New Roman" w:hAnsi="Times New Roman" w:cs="Times New Roman"/>
          <w:shd w:val="clear" w:color="auto" w:fill="FFFFFF"/>
        </w:rPr>
        <w:t xml:space="preserve">The collection is authorized under </w:t>
      </w:r>
      <w:bookmarkEnd w:id="2"/>
      <w:r w:rsidRPr="003C6F72" w:rsidR="00646C13">
        <w:rPr>
          <w:rFonts w:ascii="Times New Roman" w:hAnsi="Times New Roman" w:cs="Times New Roman"/>
        </w:rPr>
        <w:t>the authority contained in Sections 1, 4(i), 4(j), 4(o), 201(b), 214(d), 218, 251(e)(3), 301, 303(b), 303(g), 303(j), 303(r), 307, 309(a), 309(j), 316, 332, 403, 615a-1, and 615c of the Communications Act of 1934, as amended, 47 U.S.C. §§ 151, 154(i)-(j) &amp; (o), 201(b), 214(d), 218, 251(e)(3), 301, 303(b), 303(g), 303(j), 303(r), 307, 309(a), 309(j), 316, 332, 403, 615a-1, and 615c.</w:t>
      </w:r>
    </w:p>
    <w:p w:rsidR="001D5E2A" w:rsidRPr="003C6F72" w:rsidP="001D5E2A" w14:paraId="227B04F7" w14:textId="77777777">
      <w:pPr>
        <w:ind w:left="360" w:firstLine="360"/>
        <w:contextualSpacing/>
        <w:rPr>
          <w:rFonts w:ascii="Times New Roman" w:hAnsi="Times New Roman" w:cs="Times New Roman"/>
        </w:rPr>
      </w:pPr>
    </w:p>
    <w:p w:rsidR="00AC38C4" w:rsidRPr="003C6F72" w:rsidP="001D5E2A" w14:paraId="59C5DA8B" w14:textId="6322D8E7">
      <w:pPr>
        <w:ind w:left="360" w:firstLine="360"/>
        <w:contextualSpacing/>
        <w:rPr>
          <w:rFonts w:ascii="Times New Roman" w:hAnsi="Times New Roman" w:cs="Times New Roman"/>
        </w:rPr>
      </w:pPr>
      <w:r w:rsidRPr="003C6F72">
        <w:rPr>
          <w:rFonts w:ascii="Times New Roman" w:hAnsi="Times New Roman" w:cs="Times New Roman"/>
          <w:color w:val="000000"/>
        </w:rPr>
        <w:t xml:space="preserve">This information collection </w:t>
      </w:r>
      <w:r w:rsidRPr="003C6F72" w:rsidR="0034476F">
        <w:rPr>
          <w:rFonts w:ascii="Times New Roman" w:hAnsi="Times New Roman" w:cs="Times New Roman"/>
          <w:color w:val="000000"/>
        </w:rPr>
        <w:t xml:space="preserve">does not </w:t>
      </w:r>
      <w:r w:rsidRPr="003C6F72">
        <w:rPr>
          <w:rFonts w:ascii="Times New Roman" w:hAnsi="Times New Roman" w:cs="Times New Roman"/>
          <w:color w:val="000000"/>
        </w:rPr>
        <w:t>affect individuals or households</w:t>
      </w:r>
      <w:r w:rsidRPr="003C6F72" w:rsidR="0067012F">
        <w:rPr>
          <w:rFonts w:ascii="Times New Roman" w:hAnsi="Times New Roman" w:cs="Times New Roman"/>
        </w:rPr>
        <w:t>; thus, there are no impacts under the Privacy Act.</w:t>
      </w:r>
      <w:r>
        <w:rPr>
          <w:rStyle w:val="FootnoteReference"/>
          <w:rFonts w:ascii="Times New Roman" w:hAnsi="Times New Roman" w:cs="Times New Roman"/>
        </w:rPr>
        <w:footnoteReference w:id="9"/>
      </w:r>
      <w:r w:rsidRPr="003C6F72" w:rsidR="0067012F">
        <w:rPr>
          <w:rFonts w:ascii="Times New Roman" w:hAnsi="Times New Roman" w:cs="Times New Roman"/>
        </w:rPr>
        <w:t xml:space="preserve"> </w:t>
      </w:r>
      <w:r w:rsidRPr="003C6F72">
        <w:rPr>
          <w:rFonts w:ascii="Times New Roman" w:hAnsi="Times New Roman" w:cs="Times New Roman"/>
          <w:color w:val="000000"/>
        </w:rPr>
        <w:t xml:space="preserve">  </w:t>
      </w:r>
    </w:p>
    <w:p w:rsidR="00113089" w:rsidRPr="003C6F72" w:rsidP="00561EAC" w14:paraId="7BD52D3A" w14:textId="3C34FE0F">
      <w:pPr>
        <w:pStyle w:val="ListParagraph"/>
        <w:tabs>
          <w:tab w:val="left" w:pos="90"/>
        </w:tabs>
        <w:ind w:left="360"/>
        <w:rPr>
          <w:rFonts w:ascii="Times New Roman" w:hAnsi="Times New Roman" w:cs="Times New Roman"/>
        </w:rPr>
      </w:pPr>
    </w:p>
    <w:p w:rsidR="00F5679A" w:rsidRPr="00220E80" w:rsidP="0017082F" w14:paraId="148A4ED7" w14:textId="6AE9C877">
      <w:pPr>
        <w:pStyle w:val="ListParagraph"/>
        <w:numPr>
          <w:ilvl w:val="0"/>
          <w:numId w:val="38"/>
        </w:numPr>
        <w:tabs>
          <w:tab w:val="left" w:pos="90"/>
        </w:tabs>
        <w:rPr>
          <w:rFonts w:ascii="Times New Roman" w:eastAsia="Calibri" w:hAnsi="Times New Roman" w:cs="Times New Roman"/>
        </w:rPr>
      </w:pPr>
      <w:r>
        <w:rPr>
          <w:rFonts w:ascii="Times New Roman" w:hAnsi="Times New Roman" w:cs="Times New Roman"/>
          <w:b/>
          <w:iCs/>
        </w:rPr>
        <w:t>Indicate how, by whom and for what purpose the information is to be used.  Except for a new collection, indicate the actual use the agency has made of the information received from the current collection.</w:t>
      </w:r>
    </w:p>
    <w:p w:rsidR="00E4670D" w:rsidRPr="00220E80" w:rsidP="00220E80" w14:paraId="25BC6C47" w14:textId="77777777">
      <w:pPr>
        <w:tabs>
          <w:tab w:val="left" w:pos="90"/>
        </w:tabs>
        <w:rPr>
          <w:rFonts w:ascii="Times New Roman" w:eastAsia="Calibri" w:hAnsi="Times New Roman" w:cs="Times New Roman"/>
        </w:rPr>
      </w:pPr>
    </w:p>
    <w:p w:rsidR="004C393B" w:rsidRPr="007804BF" w:rsidP="007804BF" w14:paraId="3F8410DE" w14:textId="616065E0">
      <w:pPr>
        <w:pStyle w:val="ListParagraph"/>
        <w:tabs>
          <w:tab w:val="left" w:pos="90"/>
        </w:tabs>
        <w:ind w:left="360"/>
        <w:rPr>
          <w:rFonts w:ascii="Times New Roman" w:eastAsia="Calibri" w:hAnsi="Times New Roman" w:cs="Times New Roman"/>
        </w:rPr>
      </w:pPr>
      <w:r>
        <w:rPr>
          <w:rFonts w:ascii="Times New Roman" w:hAnsi="Times New Roman" w:cs="Times New Roman"/>
          <w:b/>
          <w:iCs/>
        </w:rPr>
        <w:tab/>
      </w:r>
      <w:r w:rsidRPr="003C6F72" w:rsidR="00F14953">
        <w:rPr>
          <w:rFonts w:ascii="Times New Roman" w:hAnsi="Times New Roman" w:cs="Times New Roman"/>
          <w:bCs/>
          <w:iCs/>
        </w:rPr>
        <w:t>This</w:t>
      </w:r>
      <w:r w:rsidRPr="003C6F72" w:rsidR="00645FAB">
        <w:rPr>
          <w:rFonts w:ascii="Times New Roman" w:hAnsi="Times New Roman" w:cs="Times New Roman"/>
          <w:bCs/>
          <w:iCs/>
        </w:rPr>
        <w:t xml:space="preserve"> </w:t>
      </w:r>
      <w:r w:rsidRPr="003C6F72" w:rsidR="00A050BD">
        <w:rPr>
          <w:rFonts w:ascii="Times New Roman" w:hAnsi="Times New Roman" w:cs="Times New Roman"/>
          <w:bCs/>
          <w:iCs/>
        </w:rPr>
        <w:t xml:space="preserve">new information </w:t>
      </w:r>
      <w:r w:rsidRPr="003C6F72" w:rsidR="00C86D76">
        <w:rPr>
          <w:rFonts w:ascii="Times New Roman" w:hAnsi="Times New Roman" w:cs="Times New Roman"/>
          <w:bCs/>
          <w:iCs/>
        </w:rPr>
        <w:t xml:space="preserve">collection will </w:t>
      </w:r>
      <w:r w:rsidRPr="003C6F72" w:rsidR="00645FAB">
        <w:rPr>
          <w:rFonts w:ascii="Times New Roman" w:hAnsi="Times New Roman" w:cs="Times New Roman"/>
          <w:bCs/>
          <w:iCs/>
        </w:rPr>
        <w:t>be used</w:t>
      </w:r>
      <w:r w:rsidRPr="003C6F72" w:rsidR="00C86D76">
        <w:rPr>
          <w:rFonts w:ascii="Times New Roman" w:hAnsi="Times New Roman" w:cs="Times New Roman"/>
          <w:bCs/>
          <w:iCs/>
        </w:rPr>
        <w:t xml:space="preserve"> </w:t>
      </w:r>
      <w:r w:rsidRPr="003C6F72" w:rsidR="00645FAB">
        <w:rPr>
          <w:rFonts w:ascii="Times New Roman" w:hAnsi="Times New Roman" w:cs="Times New Roman"/>
          <w:bCs/>
          <w:iCs/>
        </w:rPr>
        <w:t>by</w:t>
      </w:r>
      <w:r w:rsidRPr="003C6F72" w:rsidR="00F14953">
        <w:rPr>
          <w:rFonts w:ascii="Times New Roman" w:hAnsi="Times New Roman" w:cs="Times New Roman"/>
          <w:bCs/>
          <w:iCs/>
        </w:rPr>
        <w:t xml:space="preserve"> </w:t>
      </w:r>
      <w:r w:rsidRPr="003C6F72" w:rsidR="00B01AB5">
        <w:rPr>
          <w:rFonts w:ascii="Times New Roman" w:hAnsi="Times New Roman" w:cs="Times New Roman"/>
          <w:bCs/>
          <w:iCs/>
        </w:rPr>
        <w:t>various types of</w:t>
      </w:r>
      <w:r w:rsidRPr="003C6F72" w:rsidR="00F14953">
        <w:rPr>
          <w:rFonts w:ascii="Times New Roman" w:hAnsi="Times New Roman" w:cs="Times New Roman"/>
          <w:bCs/>
          <w:iCs/>
        </w:rPr>
        <w:t xml:space="preserve"> entities to realize significant public safety benefits</w:t>
      </w:r>
      <w:r w:rsidRPr="003C6F72">
        <w:rPr>
          <w:rFonts w:ascii="Times New Roman" w:hAnsi="Times New Roman" w:cs="Times New Roman"/>
          <w:bCs/>
          <w:iCs/>
        </w:rPr>
        <w:t>.  For example:</w:t>
      </w:r>
      <w:r w:rsidR="00E4670D">
        <w:rPr>
          <w:rFonts w:ascii="Times New Roman" w:hAnsi="Times New Roman" w:cs="Times New Roman"/>
          <w:bCs/>
          <w:iCs/>
        </w:rPr>
        <w:br/>
      </w:r>
    </w:p>
    <w:p w:rsidR="00301E4A" w:rsidRPr="003C6F72" w:rsidP="0000400E" w14:paraId="7B027B9E" w14:textId="3E220C37">
      <w:pPr>
        <w:pStyle w:val="ListParagraph"/>
        <w:numPr>
          <w:ilvl w:val="0"/>
          <w:numId w:val="28"/>
        </w:numPr>
        <w:autoSpaceDE w:val="0"/>
        <w:autoSpaceDN w:val="0"/>
        <w:adjustRightInd w:val="0"/>
        <w:spacing w:after="0"/>
        <w:rPr>
          <w:rFonts w:ascii="Times New Roman" w:eastAsia="Calibri" w:hAnsi="Times New Roman" w:cs="Times New Roman"/>
        </w:rPr>
      </w:pPr>
      <w:r w:rsidRPr="003C6F72">
        <w:rPr>
          <w:rFonts w:ascii="Times New Roman" w:eastAsia="Calibri" w:hAnsi="Times New Roman" w:cs="Times New Roman"/>
        </w:rPr>
        <w:t xml:space="preserve">Consumers and consumer groups will use the Consumer Readiness Checklists </w:t>
      </w:r>
      <w:r w:rsidRPr="003C6F72" w:rsidR="004C3190">
        <w:rPr>
          <w:rFonts w:ascii="Times New Roman" w:eastAsia="Calibri" w:hAnsi="Times New Roman" w:cs="Times New Roman"/>
        </w:rPr>
        <w:t xml:space="preserve">prepared and </w:t>
      </w:r>
      <w:r w:rsidRPr="003C6F72">
        <w:rPr>
          <w:rFonts w:ascii="Times New Roman" w:eastAsia="Calibri" w:hAnsi="Times New Roman" w:cs="Times New Roman"/>
        </w:rPr>
        <w:t xml:space="preserve">disseminated by providers pursuant to the Framework’s provision </w:t>
      </w:r>
      <w:r w:rsidRPr="003C6F72" w:rsidR="00765CF4">
        <w:rPr>
          <w:rFonts w:ascii="Times New Roman" w:eastAsia="Calibri" w:hAnsi="Times New Roman" w:cs="Times New Roman"/>
        </w:rPr>
        <w:t>F</w:t>
      </w:r>
      <w:r w:rsidRPr="003C6F72" w:rsidR="00321B6A">
        <w:rPr>
          <w:rFonts w:ascii="Times New Roman" w:eastAsia="Calibri" w:hAnsi="Times New Roman" w:cs="Times New Roman"/>
        </w:rPr>
        <w:t>3</w:t>
      </w:r>
      <w:r w:rsidRPr="003C6F72">
        <w:rPr>
          <w:rFonts w:ascii="Times New Roman" w:eastAsia="Calibri" w:hAnsi="Times New Roman" w:cs="Times New Roman"/>
        </w:rPr>
        <w:t xml:space="preserve"> to </w:t>
      </w:r>
      <w:r w:rsidRPr="003C6F72">
        <w:rPr>
          <w:rFonts w:ascii="Times New Roman" w:hAnsi="Times New Roman" w:cs="Times New Roman"/>
        </w:rPr>
        <w:t>increase consumer education and improve consumer preparedness for disasters and other emergencies.</w:t>
      </w:r>
      <w:r>
        <w:rPr>
          <w:rStyle w:val="FootnoteReference"/>
          <w:rFonts w:ascii="Times New Roman" w:hAnsi="Times New Roman" w:cs="Times New Roman"/>
        </w:rPr>
        <w:footnoteReference w:id="10"/>
      </w:r>
      <w:r w:rsidRPr="003C6F72">
        <w:rPr>
          <w:rFonts w:ascii="Times New Roman" w:eastAsia="Calibri" w:hAnsi="Times New Roman" w:cs="Times New Roman"/>
        </w:rPr>
        <w:t xml:space="preserve">  </w:t>
      </w:r>
    </w:p>
    <w:p w:rsidR="00014A4C" w:rsidRPr="003C6F72" w:rsidP="0000400E" w14:paraId="4D0FC263" w14:textId="16918D2B">
      <w:pPr>
        <w:pStyle w:val="ListParagraph"/>
        <w:numPr>
          <w:ilvl w:val="0"/>
          <w:numId w:val="28"/>
        </w:numPr>
        <w:autoSpaceDE w:val="0"/>
        <w:autoSpaceDN w:val="0"/>
        <w:adjustRightInd w:val="0"/>
        <w:spacing w:after="0"/>
        <w:rPr>
          <w:rFonts w:ascii="Times New Roman" w:eastAsia="Calibri" w:hAnsi="Times New Roman" w:cs="Times New Roman"/>
        </w:rPr>
      </w:pPr>
      <w:r w:rsidRPr="003C6F72">
        <w:rPr>
          <w:rFonts w:ascii="Times New Roman" w:eastAsia="Calibri" w:hAnsi="Times New Roman" w:cs="Times New Roman"/>
        </w:rPr>
        <w:t xml:space="preserve">Providers will use the information obtained pursuant to the testing requirements of the MDRI’s provision (b) to </w:t>
      </w:r>
      <w:r w:rsidRPr="003C6F72" w:rsidR="00570FA9">
        <w:rPr>
          <w:rFonts w:ascii="Times New Roman" w:hAnsi="Times New Roman" w:cs="Times New Roman"/>
        </w:rPr>
        <w:t>ensure that roaming will work expeditiously in times of emergencies</w:t>
      </w:r>
      <w:r w:rsidRPr="003C6F72" w:rsidR="00AF6851">
        <w:rPr>
          <w:rFonts w:ascii="Times New Roman" w:hAnsi="Times New Roman" w:cs="Times New Roman"/>
        </w:rPr>
        <w:t xml:space="preserve"> and</w:t>
      </w:r>
      <w:r w:rsidRPr="003C6F72" w:rsidR="00570FA9">
        <w:rPr>
          <w:rFonts w:ascii="Times New Roman" w:hAnsi="Times New Roman" w:cs="Times New Roman"/>
        </w:rPr>
        <w:t xml:space="preserve"> </w:t>
      </w:r>
      <w:r w:rsidRPr="003C6F72" w:rsidR="00BD62D7">
        <w:rPr>
          <w:rFonts w:ascii="Times New Roman" w:hAnsi="Times New Roman" w:cs="Times New Roman"/>
        </w:rPr>
        <w:t xml:space="preserve">to better </w:t>
      </w:r>
      <w:r w:rsidRPr="003C6F72" w:rsidR="00570FA9">
        <w:rPr>
          <w:rFonts w:ascii="Times New Roman" w:hAnsi="Times New Roman" w:cs="Times New Roman"/>
        </w:rPr>
        <w:t xml:space="preserve">understand </w:t>
      </w:r>
      <w:r w:rsidRPr="003C6F72" w:rsidR="000967F8">
        <w:rPr>
          <w:rFonts w:ascii="Times New Roman" w:hAnsi="Times New Roman" w:cs="Times New Roman"/>
        </w:rPr>
        <w:t xml:space="preserve">their </w:t>
      </w:r>
      <w:r w:rsidRPr="003C6F72" w:rsidR="00570FA9">
        <w:rPr>
          <w:rFonts w:ascii="Times New Roman" w:hAnsi="Times New Roman" w:cs="Times New Roman"/>
        </w:rPr>
        <w:t>network capabilities</w:t>
      </w:r>
      <w:r w:rsidRPr="003C6F72" w:rsidR="00BD62D7">
        <w:rPr>
          <w:rFonts w:ascii="Times New Roman" w:hAnsi="Times New Roman" w:cs="Times New Roman"/>
        </w:rPr>
        <w:t xml:space="preserve"> related to roaming</w:t>
      </w:r>
      <w:r w:rsidRPr="003C6F72" w:rsidR="000967F8">
        <w:rPr>
          <w:rFonts w:ascii="Times New Roman" w:hAnsi="Times New Roman" w:cs="Times New Roman"/>
        </w:rPr>
        <w:t xml:space="preserve">, including </w:t>
      </w:r>
      <w:r w:rsidRPr="003C6F72" w:rsidR="00BD62D7">
        <w:rPr>
          <w:rFonts w:ascii="Times New Roman" w:hAnsi="Times New Roman" w:cs="Times New Roman"/>
        </w:rPr>
        <w:t xml:space="preserve">to better understand the extent to which </w:t>
      </w:r>
      <w:r w:rsidRPr="003C6F72" w:rsidR="00570FA9">
        <w:rPr>
          <w:rFonts w:ascii="Times New Roman" w:hAnsi="Times New Roman" w:cs="Times New Roman"/>
        </w:rPr>
        <w:t xml:space="preserve">roaming </w:t>
      </w:r>
      <w:r w:rsidRPr="003C6F72" w:rsidR="00BD62D7">
        <w:rPr>
          <w:rFonts w:ascii="Times New Roman" w:hAnsi="Times New Roman" w:cs="Times New Roman"/>
        </w:rPr>
        <w:t>can be</w:t>
      </w:r>
      <w:r w:rsidRPr="003C6F72" w:rsidR="00570FA9">
        <w:rPr>
          <w:rFonts w:ascii="Times New Roman" w:hAnsi="Times New Roman" w:cs="Times New Roman"/>
        </w:rPr>
        <w:t xml:space="preserve"> performed in a way that does not compromise </w:t>
      </w:r>
      <w:r w:rsidRPr="003C6F72" w:rsidR="00BD62D7">
        <w:rPr>
          <w:rFonts w:ascii="Times New Roman" w:hAnsi="Times New Roman" w:cs="Times New Roman"/>
        </w:rPr>
        <w:t>a provider’s</w:t>
      </w:r>
      <w:r w:rsidRPr="003C6F72" w:rsidR="00570FA9">
        <w:rPr>
          <w:rFonts w:ascii="Times New Roman" w:hAnsi="Times New Roman" w:cs="Times New Roman"/>
        </w:rPr>
        <w:t xml:space="preserve"> service to its own customers.</w:t>
      </w:r>
      <w:r>
        <w:rPr>
          <w:rStyle w:val="FootnoteReference"/>
          <w:rFonts w:ascii="Times New Roman" w:hAnsi="Times New Roman" w:cs="Times New Roman"/>
        </w:rPr>
        <w:footnoteReference w:id="11"/>
      </w:r>
      <w:r w:rsidRPr="003C6F72" w:rsidR="000967F8">
        <w:rPr>
          <w:rFonts w:ascii="Times New Roman" w:hAnsi="Times New Roman" w:cs="Times New Roman"/>
        </w:rPr>
        <w:t xml:space="preserve"> </w:t>
      </w:r>
      <w:r w:rsidR="00743066">
        <w:rPr>
          <w:rFonts w:ascii="Times New Roman" w:hAnsi="Times New Roman" w:cs="Times New Roman"/>
        </w:rPr>
        <w:t xml:space="preserve"> </w:t>
      </w:r>
      <w:r w:rsidRPr="003C6F72" w:rsidR="000967F8">
        <w:rPr>
          <w:rFonts w:ascii="Times New Roman" w:hAnsi="Times New Roman" w:cs="Times New Roman"/>
        </w:rPr>
        <w:t>Provider</w:t>
      </w:r>
      <w:r w:rsidRPr="003C6F72" w:rsidR="000B09B1">
        <w:rPr>
          <w:rFonts w:ascii="Times New Roman" w:hAnsi="Times New Roman" w:cs="Times New Roman"/>
        </w:rPr>
        <w:t>s</w:t>
      </w:r>
      <w:r w:rsidRPr="003C6F72" w:rsidR="000967F8">
        <w:rPr>
          <w:rFonts w:ascii="Times New Roman" w:hAnsi="Times New Roman" w:cs="Times New Roman"/>
        </w:rPr>
        <w:t xml:space="preserve"> will also use this information so that they can </w:t>
      </w:r>
      <w:r w:rsidRPr="003C6F72" w:rsidR="00570FA9">
        <w:rPr>
          <w:rFonts w:ascii="Times New Roman" w:hAnsi="Times New Roman" w:cs="Times New Roman"/>
        </w:rPr>
        <w:t>optimiz</w:t>
      </w:r>
      <w:r w:rsidRPr="003C6F72" w:rsidR="000967F8">
        <w:rPr>
          <w:rFonts w:ascii="Times New Roman" w:hAnsi="Times New Roman" w:cs="Times New Roman"/>
        </w:rPr>
        <w:t>e</w:t>
      </w:r>
      <w:r w:rsidRPr="003C6F72" w:rsidR="00570FA9">
        <w:rPr>
          <w:rFonts w:ascii="Times New Roman" w:hAnsi="Times New Roman" w:cs="Times New Roman"/>
        </w:rPr>
        <w:t>, debug and diagnos</w:t>
      </w:r>
      <w:r w:rsidRPr="003C6F72" w:rsidR="000967F8">
        <w:rPr>
          <w:rFonts w:ascii="Times New Roman" w:hAnsi="Times New Roman" w:cs="Times New Roman"/>
        </w:rPr>
        <w:t>e</w:t>
      </w:r>
      <w:r w:rsidRPr="003C6F72" w:rsidR="00570FA9">
        <w:rPr>
          <w:rFonts w:ascii="Times New Roman" w:hAnsi="Times New Roman" w:cs="Times New Roman"/>
        </w:rPr>
        <w:t xml:space="preserve"> their networks well </w:t>
      </w:r>
      <w:r w:rsidRPr="003C6F72" w:rsidR="00ED2A0B">
        <w:rPr>
          <w:rFonts w:ascii="Times New Roman" w:hAnsi="Times New Roman" w:cs="Times New Roman"/>
        </w:rPr>
        <w:t xml:space="preserve">in </w:t>
      </w:r>
      <w:r w:rsidRPr="003C6F72" w:rsidR="00570FA9">
        <w:rPr>
          <w:rFonts w:ascii="Times New Roman" w:hAnsi="Times New Roman" w:cs="Times New Roman"/>
        </w:rPr>
        <w:t>advance of emergencies, ensuring that these networks roam as effectively as possible when a disaster strikes, ultimately saving lives and property.</w:t>
      </w:r>
      <w:r>
        <w:rPr>
          <w:rStyle w:val="FootnoteReference"/>
          <w:rFonts w:ascii="Times New Roman" w:hAnsi="Times New Roman" w:cs="Times New Roman"/>
        </w:rPr>
        <w:footnoteReference w:id="12"/>
      </w:r>
      <w:r w:rsidRPr="003C6F72" w:rsidR="00610CFE">
        <w:rPr>
          <w:rFonts w:ascii="Times New Roman" w:hAnsi="Times New Roman" w:cs="Times New Roman"/>
        </w:rPr>
        <w:t xml:space="preserve"> </w:t>
      </w:r>
      <w:r w:rsidR="00E4670D">
        <w:rPr>
          <w:rFonts w:ascii="Times New Roman" w:hAnsi="Times New Roman" w:cs="Times New Roman"/>
        </w:rPr>
        <w:br/>
      </w:r>
      <w:r w:rsidRPr="003C6F72" w:rsidR="00610CFE">
        <w:rPr>
          <w:rFonts w:ascii="Times New Roman" w:hAnsi="Times New Roman" w:cs="Times New Roman"/>
        </w:rPr>
        <w:t xml:space="preserve"> </w:t>
      </w:r>
    </w:p>
    <w:p w:rsidR="00EE5CDA" w:rsidRPr="003C6F72" w:rsidP="0000400E" w14:paraId="24BB8CC5" w14:textId="16B90C86">
      <w:pPr>
        <w:pStyle w:val="ListParagraph"/>
        <w:numPr>
          <w:ilvl w:val="0"/>
          <w:numId w:val="28"/>
        </w:numPr>
        <w:autoSpaceDE w:val="0"/>
        <w:autoSpaceDN w:val="0"/>
        <w:adjustRightInd w:val="0"/>
        <w:spacing w:after="0"/>
        <w:rPr>
          <w:rFonts w:ascii="Times New Roman" w:eastAsia="Calibri" w:hAnsi="Times New Roman" w:cs="Times New Roman"/>
        </w:rPr>
      </w:pPr>
      <w:r w:rsidRPr="003C6F72">
        <w:rPr>
          <w:rFonts w:ascii="Times New Roman" w:eastAsia="Calibri" w:hAnsi="Times New Roman" w:cs="Times New Roman"/>
        </w:rPr>
        <w:t>T</w:t>
      </w:r>
      <w:r w:rsidRPr="003C6F72" w:rsidR="00055F27">
        <w:rPr>
          <w:rFonts w:ascii="Times New Roman" w:eastAsia="Calibri" w:hAnsi="Times New Roman" w:cs="Times New Roman"/>
        </w:rPr>
        <w:t xml:space="preserve">he Commission will use </w:t>
      </w:r>
      <w:r w:rsidRPr="003C6F72" w:rsidR="00DD5378">
        <w:rPr>
          <w:rFonts w:ascii="Times New Roman" w:eastAsia="Calibri" w:hAnsi="Times New Roman" w:cs="Times New Roman"/>
        </w:rPr>
        <w:t xml:space="preserve">information contained in the reports provided to </w:t>
      </w:r>
      <w:r w:rsidRPr="003C6F72" w:rsidR="00250A5A">
        <w:rPr>
          <w:rFonts w:ascii="Times New Roman" w:eastAsia="Calibri" w:hAnsi="Times New Roman" w:cs="Times New Roman"/>
        </w:rPr>
        <w:t>i</w:t>
      </w:r>
      <w:r w:rsidRPr="003C6F72" w:rsidR="003A7C57">
        <w:rPr>
          <w:rFonts w:ascii="Times New Roman" w:eastAsia="Calibri" w:hAnsi="Times New Roman" w:cs="Times New Roman"/>
        </w:rPr>
        <w:t>t</w:t>
      </w:r>
      <w:r w:rsidRPr="003C6F72" w:rsidR="00DD5378">
        <w:rPr>
          <w:rFonts w:ascii="Times New Roman" w:eastAsia="Calibri" w:hAnsi="Times New Roman" w:cs="Times New Roman"/>
        </w:rPr>
        <w:t xml:space="preserve"> pursuant to the reporting requirements of the MDRI’s provision (c) to </w:t>
      </w:r>
      <w:r w:rsidRPr="003C6F72">
        <w:rPr>
          <w:rFonts w:ascii="Times New Roman" w:hAnsi="Times New Roman" w:cs="Times New Roman"/>
        </w:rPr>
        <w:t>gauge the</w:t>
      </w:r>
      <w:r w:rsidRPr="003C6F72" w:rsidR="00610CFE">
        <w:rPr>
          <w:rFonts w:ascii="Times New Roman" w:hAnsi="Times New Roman" w:cs="Times New Roman"/>
        </w:rPr>
        <w:t xml:space="preserve"> </w:t>
      </w:r>
      <w:r w:rsidRPr="003C6F72">
        <w:rPr>
          <w:rFonts w:ascii="Times New Roman" w:hAnsi="Times New Roman" w:cs="Times New Roman"/>
        </w:rPr>
        <w:t xml:space="preserve">effectiveness of </w:t>
      </w:r>
      <w:r w:rsidRPr="003C6F72" w:rsidR="006258C5">
        <w:rPr>
          <w:rFonts w:ascii="Times New Roman" w:hAnsi="Times New Roman" w:cs="Times New Roman"/>
        </w:rPr>
        <w:t xml:space="preserve">the MDRI and Framework provisions </w:t>
      </w:r>
      <w:r w:rsidRPr="003C6F72">
        <w:rPr>
          <w:rFonts w:ascii="Times New Roman" w:hAnsi="Times New Roman" w:cs="Times New Roman"/>
        </w:rPr>
        <w:t xml:space="preserve">and </w:t>
      </w:r>
      <w:r w:rsidRPr="003C6F72" w:rsidR="006258C5">
        <w:rPr>
          <w:rFonts w:ascii="Times New Roman" w:hAnsi="Times New Roman" w:cs="Times New Roman"/>
        </w:rPr>
        <w:t xml:space="preserve">as a basis for </w:t>
      </w:r>
      <w:r w:rsidRPr="003C6F72">
        <w:rPr>
          <w:rFonts w:ascii="Times New Roman" w:hAnsi="Times New Roman" w:cs="Times New Roman"/>
        </w:rPr>
        <w:t xml:space="preserve">potential future improvements </w:t>
      </w:r>
      <w:r w:rsidRPr="003C6F72" w:rsidR="00610CFE">
        <w:rPr>
          <w:rFonts w:ascii="Times New Roman" w:hAnsi="Times New Roman" w:cs="Times New Roman"/>
        </w:rPr>
        <w:t xml:space="preserve">to the MDRI and other programs </w:t>
      </w:r>
      <w:r w:rsidRPr="003C6F72">
        <w:rPr>
          <w:rFonts w:ascii="Times New Roman" w:hAnsi="Times New Roman" w:cs="Times New Roman"/>
        </w:rPr>
        <w:t>in furtherance of public safety.</w:t>
      </w:r>
      <w:r>
        <w:rPr>
          <w:rStyle w:val="FootnoteReference"/>
          <w:rFonts w:ascii="Times New Roman" w:hAnsi="Times New Roman" w:cs="Times New Roman"/>
        </w:rPr>
        <w:footnoteReference w:id="13"/>
      </w:r>
      <w:r w:rsidR="00E4670D">
        <w:rPr>
          <w:rFonts w:ascii="Times New Roman" w:hAnsi="Times New Roman" w:cs="Times New Roman"/>
        </w:rPr>
        <w:br/>
      </w:r>
    </w:p>
    <w:p w:rsidR="001A756C" w:rsidRPr="003C6F72" w:rsidP="001A756C" w14:paraId="3D6B95AB" w14:textId="5C1482B0">
      <w:pPr>
        <w:pStyle w:val="ListParagraph"/>
        <w:numPr>
          <w:ilvl w:val="0"/>
          <w:numId w:val="28"/>
        </w:numPr>
        <w:autoSpaceDE w:val="0"/>
        <w:autoSpaceDN w:val="0"/>
        <w:adjustRightInd w:val="0"/>
        <w:spacing w:after="0"/>
        <w:rPr>
          <w:rFonts w:ascii="Times New Roman" w:eastAsia="Calibri" w:hAnsi="Times New Roman" w:cs="Times New Roman"/>
        </w:rPr>
      </w:pPr>
      <w:r w:rsidRPr="003C6F72">
        <w:rPr>
          <w:rFonts w:ascii="Times New Roman" w:hAnsi="Times New Roman" w:cs="Times New Roman"/>
          <w:bCs/>
          <w:iCs/>
        </w:rPr>
        <w:t xml:space="preserve">The Commission will use the RuDs retained by providers pursuant to the MDRI’s provision (d) to </w:t>
      </w:r>
      <w:r w:rsidRPr="003C6F72">
        <w:rPr>
          <w:rFonts w:ascii="Times New Roman" w:hAnsi="Times New Roman" w:cs="Times New Roman"/>
        </w:rPr>
        <w:t>effectively gauge compliance with the MDRI’s roaming provision at minimal cost to providers</w:t>
      </w:r>
      <w:r w:rsidRPr="003C6F72">
        <w:rPr>
          <w:rFonts w:ascii="Times New Roman" w:hAnsi="Times New Roman" w:cs="Times New Roman"/>
          <w:bCs/>
          <w:iCs/>
        </w:rPr>
        <w:t>.</w:t>
      </w:r>
      <w:r>
        <w:rPr>
          <w:rStyle w:val="FootnoteReference"/>
          <w:rFonts w:ascii="Times New Roman" w:hAnsi="Times New Roman" w:cs="Times New Roman"/>
          <w:bCs/>
          <w:iCs/>
        </w:rPr>
        <w:footnoteReference w:id="14"/>
      </w:r>
      <w:r w:rsidRPr="003C6F72">
        <w:rPr>
          <w:rFonts w:ascii="Times New Roman" w:hAnsi="Times New Roman" w:cs="Times New Roman"/>
          <w:bCs/>
          <w:iCs/>
        </w:rPr>
        <w:t xml:space="preserve">  The Commission may also use this information to resolve disputes related to the roaming agreements, including the negotiation of the agreements.</w:t>
      </w:r>
      <w:r>
        <w:rPr>
          <w:rStyle w:val="FootnoteReference"/>
          <w:rFonts w:ascii="Times New Roman" w:hAnsi="Times New Roman" w:cs="Times New Roman"/>
          <w:bCs/>
          <w:iCs/>
        </w:rPr>
        <w:footnoteReference w:id="15"/>
      </w:r>
      <w:r w:rsidRPr="003C6F72">
        <w:rPr>
          <w:rFonts w:ascii="Times New Roman" w:hAnsi="Times New Roman" w:cs="Times New Roman"/>
          <w:bCs/>
          <w:iCs/>
        </w:rPr>
        <w:t xml:space="preserve">  </w:t>
      </w:r>
      <w:r w:rsidR="00E4670D">
        <w:rPr>
          <w:rFonts w:ascii="Times New Roman" w:hAnsi="Times New Roman" w:cs="Times New Roman"/>
          <w:bCs/>
          <w:iCs/>
        </w:rPr>
        <w:br/>
      </w:r>
    </w:p>
    <w:p w:rsidR="0072605E" w:rsidRPr="003C6F72" w:rsidP="0072605E" w14:paraId="3B3F8C00" w14:textId="39768522">
      <w:pPr>
        <w:pStyle w:val="ListParagraph"/>
        <w:numPr>
          <w:ilvl w:val="0"/>
          <w:numId w:val="28"/>
        </w:numPr>
        <w:autoSpaceDE w:val="0"/>
        <w:autoSpaceDN w:val="0"/>
        <w:adjustRightInd w:val="0"/>
        <w:spacing w:after="0"/>
        <w:rPr>
          <w:rFonts w:ascii="Times New Roman" w:eastAsia="Calibri" w:hAnsi="Times New Roman" w:cs="Times New Roman"/>
        </w:rPr>
      </w:pPr>
      <w:r w:rsidRPr="003C6F72">
        <w:rPr>
          <w:rFonts w:ascii="Times New Roman" w:hAnsi="Times New Roman" w:cs="Times New Roman"/>
        </w:rPr>
        <w:t xml:space="preserve">Requesting providers will use the information </w:t>
      </w:r>
      <w:r w:rsidRPr="003C6F72" w:rsidR="0079732C">
        <w:rPr>
          <w:rFonts w:ascii="Times New Roman" w:hAnsi="Times New Roman" w:cs="Times New Roman"/>
        </w:rPr>
        <w:t xml:space="preserve">included </w:t>
      </w:r>
      <w:r w:rsidRPr="003C6F72" w:rsidR="006540C1">
        <w:rPr>
          <w:rFonts w:ascii="Times New Roman" w:hAnsi="Times New Roman" w:cs="Times New Roman"/>
        </w:rPr>
        <w:t xml:space="preserve">in a host provider’s written denial of </w:t>
      </w:r>
      <w:r w:rsidRPr="003C6F72" w:rsidR="005E0E25">
        <w:rPr>
          <w:rFonts w:ascii="Times New Roman" w:hAnsi="Times New Roman" w:cs="Times New Roman"/>
        </w:rPr>
        <w:t xml:space="preserve">a </w:t>
      </w:r>
      <w:r w:rsidRPr="003C6F72" w:rsidR="006540C1">
        <w:rPr>
          <w:rFonts w:ascii="Times New Roman" w:hAnsi="Times New Roman" w:cs="Times New Roman"/>
        </w:rPr>
        <w:t xml:space="preserve">roaming request to </w:t>
      </w:r>
      <w:r w:rsidRPr="003C6F72">
        <w:rPr>
          <w:rFonts w:ascii="Times New Roman" w:hAnsi="Times New Roman" w:cs="Times New Roman"/>
        </w:rPr>
        <w:t xml:space="preserve">evaluate the substance of the reasons </w:t>
      </w:r>
      <w:r w:rsidRPr="003C6F72" w:rsidR="00790F6C">
        <w:rPr>
          <w:rFonts w:ascii="Times New Roman" w:hAnsi="Times New Roman" w:cs="Times New Roman"/>
        </w:rPr>
        <w:t xml:space="preserve">for denial </w:t>
      </w:r>
      <w:r w:rsidRPr="003C6F72">
        <w:rPr>
          <w:rFonts w:ascii="Times New Roman" w:hAnsi="Times New Roman" w:cs="Times New Roman"/>
        </w:rPr>
        <w:t xml:space="preserve">so that </w:t>
      </w:r>
      <w:r w:rsidRPr="003C6F72" w:rsidR="003A7C57">
        <w:rPr>
          <w:rFonts w:ascii="Times New Roman" w:hAnsi="Times New Roman" w:cs="Times New Roman"/>
        </w:rPr>
        <w:t>the requesting provider</w:t>
      </w:r>
      <w:r w:rsidRPr="003C6F72">
        <w:rPr>
          <w:rFonts w:ascii="Times New Roman" w:hAnsi="Times New Roman" w:cs="Times New Roman"/>
        </w:rPr>
        <w:t xml:space="preserve"> can make a renewed request at an appropriate time later, if warranted</w:t>
      </w:r>
      <w:r w:rsidRPr="003C6F72" w:rsidR="005E0E25">
        <w:rPr>
          <w:rFonts w:ascii="Times New Roman" w:hAnsi="Times New Roman" w:cs="Times New Roman"/>
        </w:rPr>
        <w:t>.</w:t>
      </w:r>
      <w:r>
        <w:rPr>
          <w:rStyle w:val="FootnoteReference"/>
          <w:rFonts w:ascii="Times New Roman" w:hAnsi="Times New Roman" w:cs="Times New Roman"/>
        </w:rPr>
        <w:footnoteReference w:id="16"/>
      </w:r>
      <w:r w:rsidRPr="003C6F72" w:rsidR="005E0E25">
        <w:rPr>
          <w:rFonts w:ascii="Times New Roman" w:hAnsi="Times New Roman" w:cs="Times New Roman"/>
        </w:rPr>
        <w:t xml:space="preserve">  The Commission may use this information to gain</w:t>
      </w:r>
      <w:r w:rsidRPr="003C6F72">
        <w:rPr>
          <w:rFonts w:ascii="Times New Roman" w:hAnsi="Times New Roman" w:cs="Times New Roman"/>
        </w:rPr>
        <w:t xml:space="preserve"> insight into modificatio</w:t>
      </w:r>
      <w:r w:rsidRPr="003C6F72" w:rsidR="00CF55B3">
        <w:rPr>
          <w:rFonts w:ascii="Times New Roman" w:hAnsi="Times New Roman" w:cs="Times New Roman"/>
        </w:rPr>
        <w:t>ns</w:t>
      </w:r>
      <w:r w:rsidRPr="003C6F72">
        <w:rPr>
          <w:rFonts w:ascii="Times New Roman" w:hAnsi="Times New Roman" w:cs="Times New Roman"/>
        </w:rPr>
        <w:t xml:space="preserve"> that would facilitate a future roaming agreement or create a record in the event a dispute arises.</w:t>
      </w:r>
      <w:r>
        <w:rPr>
          <w:rStyle w:val="FootnoteReference"/>
          <w:rFonts w:ascii="Times New Roman" w:hAnsi="Times New Roman" w:cs="Times New Roman"/>
        </w:rPr>
        <w:footnoteReference w:id="17"/>
      </w:r>
      <w:r w:rsidR="00E4670D">
        <w:rPr>
          <w:rFonts w:ascii="Times New Roman" w:hAnsi="Times New Roman" w:cs="Times New Roman"/>
        </w:rPr>
        <w:br/>
      </w:r>
    </w:p>
    <w:p w:rsidR="008D5A7D" w:rsidRPr="003C6F72" w:rsidP="00167234" w14:paraId="2B5079D9" w14:textId="1BAA1DC2">
      <w:pPr>
        <w:pStyle w:val="ListParagraph"/>
        <w:numPr>
          <w:ilvl w:val="0"/>
          <w:numId w:val="28"/>
        </w:numPr>
        <w:autoSpaceDE w:val="0"/>
        <w:autoSpaceDN w:val="0"/>
        <w:adjustRightInd w:val="0"/>
        <w:spacing w:after="0"/>
        <w:rPr>
          <w:rFonts w:ascii="Times New Roman" w:eastAsia="Calibri" w:hAnsi="Times New Roman" w:cs="Times New Roman"/>
        </w:rPr>
      </w:pPr>
      <w:r w:rsidRPr="003C6F72">
        <w:rPr>
          <w:rFonts w:ascii="Times New Roman" w:eastAsia="Calibri" w:hAnsi="Times New Roman" w:cs="Times New Roman"/>
        </w:rPr>
        <w:t xml:space="preserve">The Commission may use the information supplied in providers’ “safe harbor” letters to </w:t>
      </w:r>
      <w:r w:rsidRPr="003C6F72" w:rsidR="00501DA8">
        <w:rPr>
          <w:rFonts w:ascii="Times New Roman" w:eastAsia="Calibri" w:hAnsi="Times New Roman" w:cs="Times New Roman"/>
        </w:rPr>
        <w:t xml:space="preserve">assess the sufficiency of a provider’s efforts to comply with the Commission’s rules and to ensure that providers are accountable </w:t>
      </w:r>
      <w:r w:rsidRPr="003C6F72" w:rsidR="00735E0B">
        <w:rPr>
          <w:rFonts w:ascii="Times New Roman" w:eastAsia="Calibri" w:hAnsi="Times New Roman" w:cs="Times New Roman"/>
        </w:rPr>
        <w:t>for failures to comply</w:t>
      </w:r>
      <w:r w:rsidRPr="003C6F72" w:rsidR="00501DA8">
        <w:rPr>
          <w:rFonts w:ascii="Times New Roman" w:eastAsia="Calibri" w:hAnsi="Times New Roman" w:cs="Times New Roman"/>
        </w:rPr>
        <w:t>.</w:t>
      </w:r>
      <w:r>
        <w:rPr>
          <w:rStyle w:val="FootnoteReference"/>
          <w:rFonts w:ascii="Times New Roman" w:eastAsia="Calibri" w:hAnsi="Times New Roman" w:cs="Times New Roman"/>
        </w:rPr>
        <w:footnoteReference w:id="18"/>
      </w:r>
      <w:r w:rsidRPr="003C6F72" w:rsidR="00501DA8">
        <w:rPr>
          <w:rFonts w:ascii="Times New Roman" w:eastAsia="Calibri" w:hAnsi="Times New Roman" w:cs="Times New Roman"/>
        </w:rPr>
        <w:t xml:space="preserve">  </w:t>
      </w:r>
    </w:p>
    <w:p w:rsidR="00167234" w:rsidRPr="003C6F72" w:rsidP="00167234" w14:paraId="2782DB50" w14:textId="77777777">
      <w:pPr>
        <w:pStyle w:val="ListParagraph"/>
        <w:autoSpaceDE w:val="0"/>
        <w:autoSpaceDN w:val="0"/>
        <w:adjustRightInd w:val="0"/>
        <w:spacing w:after="0"/>
        <w:ind w:left="1080"/>
        <w:rPr>
          <w:rFonts w:ascii="Times New Roman" w:eastAsia="Calibri" w:hAnsi="Times New Roman" w:cs="Times New Roman"/>
        </w:rPr>
      </w:pPr>
    </w:p>
    <w:p w:rsidR="00106D1C" w:rsidRPr="00106D1C" w:rsidP="0017082F" w14:paraId="10475A44" w14:textId="1BE7A021">
      <w:pPr>
        <w:pStyle w:val="ListParagraph"/>
        <w:numPr>
          <w:ilvl w:val="0"/>
          <w:numId w:val="38"/>
        </w:numPr>
        <w:tabs>
          <w:tab w:val="left" w:pos="90"/>
        </w:tabs>
        <w:rPr>
          <w:rFonts w:ascii="Times New Roman" w:hAnsi="Times New Roman" w:cs="Times New Roman"/>
          <w:shd w:val="clear" w:color="auto" w:fill="FFFFFF"/>
        </w:rPr>
      </w:pPr>
      <w:r>
        <w:rPr>
          <w:rFonts w:ascii="Times New Roman" w:hAnsi="Times New Roman" w:cs="Times New Roman"/>
          <w:b/>
          <w:bCs/>
          <w:shd w:val="clear" w:color="auto" w:fill="FFFFFF"/>
        </w:rPr>
        <w:t>Describe</w:t>
      </w:r>
      <w:r w:rsidR="003D658D">
        <w:rPr>
          <w:rFonts w:ascii="Times New Roman" w:hAnsi="Times New Roman" w:cs="Times New Roman"/>
          <w:b/>
          <w:bCs/>
          <w:shd w:val="clear" w:color="auto" w:fill="FFFFFF"/>
        </w:rPr>
        <w:t xml:space="preserve"> whether, and to what extent, the collection of information involves the use of automated, electronic, mechanical or other technological techniques or other forms of information technology</w:t>
      </w:r>
      <w:r>
        <w:rPr>
          <w:rFonts w:ascii="Times New Roman" w:hAnsi="Times New Roman" w:cs="Times New Roman"/>
          <w:b/>
          <w:bCs/>
          <w:shd w:val="clear" w:color="auto" w:fill="FFFFFF"/>
        </w:rPr>
        <w:t>, e.g., permitting electronic submissions of responses, and the basis for the decision for adopting this means of collection.</w:t>
      </w:r>
    </w:p>
    <w:p w:rsidR="00D56317" w:rsidRPr="003C6F72" w:rsidP="00106D1C" w14:paraId="11923053" w14:textId="0B51EC15">
      <w:pPr>
        <w:pStyle w:val="ListParagraph"/>
        <w:tabs>
          <w:tab w:val="left" w:pos="90"/>
        </w:tabs>
        <w:ind w:left="360"/>
        <w:rPr>
          <w:rFonts w:ascii="Times New Roman" w:hAnsi="Times New Roman" w:cs="Times New Roman"/>
          <w:shd w:val="clear" w:color="auto" w:fill="FFFFFF"/>
        </w:rPr>
      </w:pPr>
      <w:r>
        <w:rPr>
          <w:rFonts w:ascii="Times New Roman" w:hAnsi="Times New Roman" w:cs="Times New Roman"/>
          <w:shd w:val="clear" w:color="auto" w:fill="FFFFFF"/>
        </w:rPr>
        <w:tab/>
      </w:r>
      <w:r w:rsidRPr="003C6F72" w:rsidR="00BA605D">
        <w:rPr>
          <w:rFonts w:ascii="Times New Roman" w:hAnsi="Times New Roman" w:cs="Times New Roman"/>
          <w:shd w:val="clear" w:color="auto" w:fill="FFFFFF"/>
        </w:rPr>
        <w:t xml:space="preserve">The Commission </w:t>
      </w:r>
      <w:r w:rsidRPr="003C6F72">
        <w:rPr>
          <w:rFonts w:ascii="Times New Roman" w:hAnsi="Times New Roman" w:cs="Times New Roman"/>
          <w:shd w:val="clear" w:color="auto" w:fill="FFFFFF"/>
        </w:rPr>
        <w:t xml:space="preserve">encourages providers subject to the information collection requirements to use </w:t>
      </w:r>
      <w:r w:rsidRPr="003C6F72" w:rsidR="008D2D66">
        <w:rPr>
          <w:rFonts w:ascii="Times New Roman" w:hAnsi="Times New Roman" w:cs="Times New Roman"/>
          <w:shd w:val="clear" w:color="auto" w:fill="FFFFFF"/>
        </w:rPr>
        <w:t>all forms of information technology, including electronic submission methods, wherever it would be cost effective and efficient for the provider to do so</w:t>
      </w:r>
      <w:r w:rsidRPr="003C6F72" w:rsidR="006F25CD">
        <w:rPr>
          <w:rFonts w:ascii="Times New Roman" w:hAnsi="Times New Roman" w:cs="Times New Roman"/>
          <w:shd w:val="clear" w:color="auto" w:fill="FFFFFF"/>
        </w:rPr>
        <w:t xml:space="preserve">.  </w:t>
      </w:r>
      <w:r w:rsidRPr="003C6F72" w:rsidR="00BA56F4">
        <w:rPr>
          <w:rFonts w:ascii="Times New Roman" w:hAnsi="Times New Roman" w:cs="Times New Roman"/>
          <w:shd w:val="clear" w:color="auto" w:fill="FFFFFF"/>
        </w:rPr>
        <w:t xml:space="preserve">The Commission believes that </w:t>
      </w:r>
      <w:r w:rsidRPr="003C6F72" w:rsidR="008A57A1">
        <w:rPr>
          <w:rFonts w:ascii="Times New Roman" w:hAnsi="Times New Roman" w:cs="Times New Roman"/>
          <w:shd w:val="clear" w:color="auto" w:fill="FFFFFF"/>
        </w:rPr>
        <w:t>all requirements of this information collection can be satisfied</w:t>
      </w:r>
      <w:r w:rsidRPr="003C6F72" w:rsidR="001350DF">
        <w:rPr>
          <w:rFonts w:ascii="Times New Roman" w:hAnsi="Times New Roman" w:cs="Times New Roman"/>
          <w:shd w:val="clear" w:color="auto" w:fill="FFFFFF"/>
        </w:rPr>
        <w:t xml:space="preserve"> efficiently</w:t>
      </w:r>
      <w:r w:rsidRPr="003C6F72" w:rsidR="008A57A1">
        <w:rPr>
          <w:rFonts w:ascii="Times New Roman" w:hAnsi="Times New Roman" w:cs="Times New Roman"/>
          <w:shd w:val="clear" w:color="auto" w:fill="FFFFFF"/>
        </w:rPr>
        <w:t xml:space="preserve"> </w:t>
      </w:r>
      <w:r w:rsidRPr="003C6F72" w:rsidR="001350DF">
        <w:rPr>
          <w:rFonts w:ascii="Times New Roman" w:hAnsi="Times New Roman" w:cs="Times New Roman"/>
          <w:shd w:val="clear" w:color="auto" w:fill="FFFFFF"/>
        </w:rPr>
        <w:t xml:space="preserve">by electronic means.  </w:t>
      </w:r>
      <w:r w:rsidRPr="003C6F72" w:rsidR="006F25CD">
        <w:rPr>
          <w:rFonts w:ascii="Times New Roman" w:hAnsi="Times New Roman" w:cs="Times New Roman"/>
          <w:shd w:val="clear" w:color="auto" w:fill="FFFFFF"/>
        </w:rPr>
        <w:t xml:space="preserve">The Commission, however, has not mandated </w:t>
      </w:r>
      <w:r w:rsidRPr="003C6F72" w:rsidR="00582B08">
        <w:rPr>
          <w:rFonts w:ascii="Times New Roman" w:hAnsi="Times New Roman" w:cs="Times New Roman"/>
          <w:shd w:val="clear" w:color="auto" w:fill="FFFFFF"/>
        </w:rPr>
        <w:t>specific</w:t>
      </w:r>
      <w:r w:rsidRPr="003C6F72" w:rsidR="006F25CD">
        <w:rPr>
          <w:rFonts w:ascii="Times New Roman" w:hAnsi="Times New Roman" w:cs="Times New Roman"/>
          <w:shd w:val="clear" w:color="auto" w:fill="FFFFFF"/>
        </w:rPr>
        <w:t xml:space="preserve"> means of collection so as to allow providers the maximum flexibility to perform collections using those means </w:t>
      </w:r>
      <w:r w:rsidRPr="003C6F72" w:rsidR="00456E46">
        <w:rPr>
          <w:rFonts w:ascii="Times New Roman" w:hAnsi="Times New Roman" w:cs="Times New Roman"/>
          <w:shd w:val="clear" w:color="auto" w:fill="FFFFFF"/>
        </w:rPr>
        <w:t>that a</w:t>
      </w:r>
      <w:r w:rsidRPr="003C6F72" w:rsidR="006B78A5">
        <w:rPr>
          <w:rFonts w:ascii="Times New Roman" w:hAnsi="Times New Roman" w:cs="Times New Roman"/>
          <w:shd w:val="clear" w:color="auto" w:fill="FFFFFF"/>
        </w:rPr>
        <w:t xml:space="preserve">re least burdensome to it, so long as </w:t>
      </w:r>
      <w:r w:rsidRPr="003C6F72" w:rsidR="00CD7A4B">
        <w:rPr>
          <w:rFonts w:ascii="Times New Roman" w:hAnsi="Times New Roman" w:cs="Times New Roman"/>
          <w:shd w:val="clear" w:color="auto" w:fill="FFFFFF"/>
        </w:rPr>
        <w:t>they</w:t>
      </w:r>
      <w:r w:rsidRPr="003C6F72" w:rsidR="006B78A5">
        <w:rPr>
          <w:rFonts w:ascii="Times New Roman" w:hAnsi="Times New Roman" w:cs="Times New Roman"/>
          <w:shd w:val="clear" w:color="auto" w:fill="FFFFFF"/>
        </w:rPr>
        <w:t xml:space="preserve"> meet the requirements specified in the </w:t>
      </w:r>
      <w:r w:rsidRPr="003C6F72" w:rsidR="003C206A">
        <w:rPr>
          <w:rFonts w:ascii="Times New Roman" w:hAnsi="Times New Roman" w:cs="Times New Roman"/>
          <w:i/>
          <w:iCs/>
          <w:shd w:val="clear" w:color="auto" w:fill="FFFFFF"/>
        </w:rPr>
        <w:t xml:space="preserve">Report </w:t>
      </w:r>
      <w:r w:rsidRPr="003C6F72" w:rsidR="008D19EB">
        <w:rPr>
          <w:rFonts w:ascii="Times New Roman" w:hAnsi="Times New Roman" w:cs="Times New Roman"/>
          <w:i/>
          <w:iCs/>
          <w:shd w:val="clear" w:color="auto" w:fill="FFFFFF"/>
        </w:rPr>
        <w:t>and</w:t>
      </w:r>
      <w:r w:rsidRPr="003C6F72" w:rsidR="003C206A">
        <w:rPr>
          <w:rFonts w:ascii="Times New Roman" w:hAnsi="Times New Roman" w:cs="Times New Roman"/>
          <w:i/>
          <w:iCs/>
          <w:shd w:val="clear" w:color="auto" w:fill="FFFFFF"/>
        </w:rPr>
        <w:t xml:space="preserve"> Order</w:t>
      </w:r>
      <w:r w:rsidRPr="003C6F72" w:rsidR="006B78A5">
        <w:rPr>
          <w:rFonts w:ascii="Times New Roman" w:hAnsi="Times New Roman" w:cs="Times New Roman"/>
          <w:shd w:val="clear" w:color="auto" w:fill="FFFFFF"/>
        </w:rPr>
        <w:t>.</w:t>
      </w:r>
    </w:p>
    <w:p w:rsidR="004C3DA6" w:rsidRPr="003C6F72" w:rsidP="008D5A7D" w14:paraId="2EBCD6FC" w14:textId="77777777">
      <w:pPr>
        <w:pStyle w:val="ListParagraph"/>
        <w:rPr>
          <w:rFonts w:ascii="Times New Roman" w:hAnsi="Times New Roman" w:cs="Times New Roman"/>
        </w:rPr>
      </w:pPr>
    </w:p>
    <w:p w:rsidR="00152A45" w:rsidRPr="00152A45" w:rsidP="0017082F" w14:paraId="24839F1A" w14:textId="19F0F133">
      <w:pPr>
        <w:pStyle w:val="ListParagraph"/>
        <w:numPr>
          <w:ilvl w:val="0"/>
          <w:numId w:val="38"/>
        </w:numPr>
        <w:autoSpaceDE w:val="0"/>
        <w:autoSpaceDN w:val="0"/>
        <w:adjustRightInd w:val="0"/>
        <w:spacing w:after="0"/>
        <w:rPr>
          <w:rFonts w:ascii="Times New Roman" w:hAnsi="Times New Roman" w:cs="Times New Roman"/>
          <w:b/>
          <w:bCs/>
          <w:color w:val="000000"/>
        </w:rPr>
      </w:pPr>
      <w:r>
        <w:rPr>
          <w:rFonts w:ascii="Times New Roman" w:hAnsi="Times New Roman" w:cs="Times New Roman"/>
          <w:b/>
          <w:bCs/>
          <w:shd w:val="clear" w:color="auto" w:fill="FFFFFF"/>
        </w:rPr>
        <w:t>Describe efforts to identify duplication.</w:t>
      </w:r>
      <w:r w:rsidR="00E4670D">
        <w:rPr>
          <w:rFonts w:ascii="Times New Roman" w:hAnsi="Times New Roman" w:cs="Times New Roman"/>
          <w:b/>
          <w:bCs/>
          <w:shd w:val="clear" w:color="auto" w:fill="FFFFFF"/>
        </w:rPr>
        <w:br/>
      </w:r>
    </w:p>
    <w:p w:rsidR="00DB5656" w:rsidRPr="003C6F72" w:rsidP="003F2A97" w14:paraId="7DD2E98A" w14:textId="66B763FC">
      <w:pPr>
        <w:pStyle w:val="ListParagraph"/>
        <w:autoSpaceDE w:val="0"/>
        <w:autoSpaceDN w:val="0"/>
        <w:adjustRightInd w:val="0"/>
        <w:spacing w:after="0"/>
        <w:ind w:left="360" w:firstLine="360"/>
        <w:rPr>
          <w:rFonts w:ascii="Times New Roman" w:hAnsi="Times New Roman" w:cs="Times New Roman"/>
          <w:b/>
          <w:bCs/>
          <w:color w:val="000000"/>
        </w:rPr>
      </w:pPr>
      <w:r w:rsidRPr="003C6F72">
        <w:rPr>
          <w:rFonts w:ascii="Times New Roman" w:hAnsi="Times New Roman" w:cs="Times New Roman"/>
          <w:shd w:val="clear" w:color="auto" w:fill="FFFFFF"/>
        </w:rPr>
        <w:t>This</w:t>
      </w:r>
      <w:r w:rsidRPr="003C6F72" w:rsidR="00A90A01">
        <w:rPr>
          <w:rFonts w:ascii="Times New Roman" w:hAnsi="Times New Roman" w:cs="Times New Roman"/>
          <w:shd w:val="clear" w:color="auto" w:fill="FFFFFF"/>
        </w:rPr>
        <w:t xml:space="preserve"> information collection is unique to </w:t>
      </w:r>
      <w:r w:rsidRPr="003C6F72" w:rsidR="00951745">
        <w:rPr>
          <w:rFonts w:ascii="Times New Roman" w:hAnsi="Times New Roman" w:cs="Times New Roman"/>
          <w:shd w:val="clear" w:color="auto" w:fill="FFFFFF"/>
        </w:rPr>
        <w:t xml:space="preserve">the </w:t>
      </w:r>
      <w:r w:rsidRPr="003C6F72" w:rsidR="00A037A5">
        <w:rPr>
          <w:rFonts w:ascii="Times New Roman" w:hAnsi="Times New Roman" w:cs="Times New Roman"/>
          <w:shd w:val="clear" w:color="auto" w:fill="FFFFFF"/>
        </w:rPr>
        <w:t>Commission’s MDRI rules</w:t>
      </w:r>
      <w:r w:rsidRPr="003C6F72" w:rsidR="00A90A01">
        <w:rPr>
          <w:rFonts w:ascii="Times New Roman" w:hAnsi="Times New Roman" w:cs="Times New Roman"/>
          <w:shd w:val="clear" w:color="auto" w:fill="FFFFFF"/>
        </w:rPr>
        <w:t xml:space="preserve"> and is not duplicated elsewhere.</w:t>
      </w:r>
      <w:r w:rsidRPr="003C6F72" w:rsidR="00393532">
        <w:rPr>
          <w:rFonts w:ascii="Times New Roman" w:hAnsi="Times New Roman" w:cs="Times New Roman"/>
          <w:shd w:val="clear" w:color="auto" w:fill="FFFFFF"/>
        </w:rPr>
        <w:t xml:space="preserve">  </w:t>
      </w:r>
      <w:r w:rsidRPr="003C6F72" w:rsidR="00DE42A7">
        <w:rPr>
          <w:rFonts w:ascii="Times New Roman" w:hAnsi="Times New Roman" w:cs="Times New Roman"/>
          <w:shd w:val="clear" w:color="auto" w:fill="FFFFFF"/>
        </w:rPr>
        <w:t>The Commission is not aware of any</w:t>
      </w:r>
      <w:r w:rsidRPr="003C6F72" w:rsidR="00516305">
        <w:rPr>
          <w:rFonts w:ascii="Times New Roman" w:hAnsi="Times New Roman" w:cs="Times New Roman"/>
          <w:shd w:val="clear" w:color="auto" w:fill="FFFFFF"/>
        </w:rPr>
        <w:t xml:space="preserve"> already available information </w:t>
      </w:r>
      <w:r w:rsidRPr="003C6F72" w:rsidR="00485CEE">
        <w:rPr>
          <w:rFonts w:ascii="Times New Roman" w:hAnsi="Times New Roman" w:cs="Times New Roman"/>
          <w:shd w:val="clear" w:color="auto" w:fill="FFFFFF"/>
        </w:rPr>
        <w:t xml:space="preserve">collections that </w:t>
      </w:r>
      <w:r w:rsidRPr="003C6F72">
        <w:rPr>
          <w:rFonts w:ascii="Times New Roman" w:hAnsi="Times New Roman" w:cs="Times New Roman"/>
          <w:shd w:val="clear" w:color="auto" w:fill="FFFFFF"/>
        </w:rPr>
        <w:t xml:space="preserve">involve similar rules or requirements related to </w:t>
      </w:r>
      <w:r w:rsidRPr="003C6F72">
        <w:rPr>
          <w:rFonts w:ascii="Times New Roman" w:hAnsi="Times New Roman" w:cs="Times New Roman"/>
        </w:rPr>
        <w:t>implement</w:t>
      </w:r>
      <w:r w:rsidRPr="003C6F72" w:rsidR="00230A43">
        <w:rPr>
          <w:rFonts w:ascii="Times New Roman" w:hAnsi="Times New Roman" w:cs="Times New Roman"/>
        </w:rPr>
        <w:t>ing</w:t>
      </w:r>
      <w:r w:rsidRPr="003C6F72">
        <w:rPr>
          <w:rFonts w:ascii="Times New Roman" w:hAnsi="Times New Roman" w:cs="Times New Roman"/>
        </w:rPr>
        <w:t xml:space="preserve"> reasonable roaming under disaster arrangements (RuDs), implement</w:t>
      </w:r>
      <w:r w:rsidRPr="003C6F72" w:rsidR="00230A43">
        <w:rPr>
          <w:rFonts w:ascii="Times New Roman" w:hAnsi="Times New Roman" w:cs="Times New Roman"/>
        </w:rPr>
        <w:t>ing</w:t>
      </w:r>
      <w:r w:rsidRPr="003C6F72">
        <w:rPr>
          <w:rFonts w:ascii="Times New Roman" w:hAnsi="Times New Roman" w:cs="Times New Roman"/>
        </w:rPr>
        <w:t xml:space="preserve"> mutual aid agreements among providers, enhanc</w:t>
      </w:r>
      <w:r w:rsidRPr="003C6F72" w:rsidR="00903566">
        <w:rPr>
          <w:rFonts w:ascii="Times New Roman" w:hAnsi="Times New Roman" w:cs="Times New Roman"/>
        </w:rPr>
        <w:t>ing</w:t>
      </w:r>
      <w:r w:rsidRPr="003C6F72">
        <w:rPr>
          <w:rFonts w:ascii="Times New Roman" w:hAnsi="Times New Roman" w:cs="Times New Roman"/>
        </w:rPr>
        <w:t xml:space="preserve"> municipal preparedness and restoration, increas</w:t>
      </w:r>
      <w:r w:rsidRPr="003C6F72" w:rsidR="00903566">
        <w:rPr>
          <w:rFonts w:ascii="Times New Roman" w:hAnsi="Times New Roman" w:cs="Times New Roman"/>
        </w:rPr>
        <w:t>ing</w:t>
      </w:r>
      <w:r w:rsidRPr="003C6F72">
        <w:rPr>
          <w:rFonts w:ascii="Times New Roman" w:hAnsi="Times New Roman" w:cs="Times New Roman"/>
        </w:rPr>
        <w:t xml:space="preserve"> consumer readiness and preparation</w:t>
      </w:r>
      <w:r w:rsidRPr="003C6F72" w:rsidR="00CE7FC9">
        <w:rPr>
          <w:rFonts w:ascii="Times New Roman" w:hAnsi="Times New Roman" w:cs="Times New Roman"/>
        </w:rPr>
        <w:t xml:space="preserve">, </w:t>
      </w:r>
      <w:r w:rsidRPr="003C6F72">
        <w:rPr>
          <w:rFonts w:ascii="Times New Roman" w:hAnsi="Times New Roman" w:cs="Times New Roman"/>
        </w:rPr>
        <w:t>improv</w:t>
      </w:r>
      <w:r w:rsidRPr="003C6F72" w:rsidR="00230A43">
        <w:rPr>
          <w:rFonts w:ascii="Times New Roman" w:hAnsi="Times New Roman" w:cs="Times New Roman"/>
        </w:rPr>
        <w:t>ing</w:t>
      </w:r>
      <w:r w:rsidRPr="003C6F72">
        <w:rPr>
          <w:rFonts w:ascii="Times New Roman" w:hAnsi="Times New Roman" w:cs="Times New Roman"/>
        </w:rPr>
        <w:t xml:space="preserve"> public awareness and stakeholder communications on service and restoration status</w:t>
      </w:r>
      <w:r w:rsidRPr="003C6F72" w:rsidR="00CE7FC9">
        <w:rPr>
          <w:rFonts w:ascii="Times New Roman" w:hAnsi="Times New Roman" w:cs="Times New Roman"/>
        </w:rPr>
        <w:t xml:space="preserve"> or testing and reporting </w:t>
      </w:r>
      <w:r w:rsidRPr="003C6F72" w:rsidR="00632117">
        <w:rPr>
          <w:rFonts w:ascii="Times New Roman" w:hAnsi="Times New Roman" w:cs="Times New Roman"/>
        </w:rPr>
        <w:t>required by the MDRI.</w:t>
      </w:r>
    </w:p>
    <w:p w:rsidR="008D5A7D" w:rsidRPr="003C6F72" w:rsidP="008D5A7D" w14:paraId="515ED750" w14:textId="77777777">
      <w:pPr>
        <w:pStyle w:val="ListParagraph"/>
        <w:rPr>
          <w:rFonts w:ascii="Times New Roman" w:eastAsia="Calibri" w:hAnsi="Times New Roman" w:cs="Times New Roman"/>
        </w:rPr>
      </w:pPr>
    </w:p>
    <w:p w:rsidR="00152A45" w:rsidRPr="00152A45" w:rsidP="0017082F" w14:paraId="002F99FC" w14:textId="31B34E62">
      <w:pPr>
        <w:pStyle w:val="ListParagraph"/>
        <w:numPr>
          <w:ilvl w:val="0"/>
          <w:numId w:val="38"/>
        </w:numPr>
        <w:tabs>
          <w:tab w:val="left" w:pos="90"/>
        </w:tabs>
        <w:rPr>
          <w:rFonts w:ascii="Times New Roman" w:eastAsia="Calibri" w:hAnsi="Times New Roman" w:cs="Times New Roman"/>
        </w:rPr>
      </w:pPr>
      <w:r>
        <w:rPr>
          <w:rFonts w:ascii="Times New Roman" w:hAnsi="Times New Roman" w:cs="Times New Roman"/>
          <w:b/>
          <w:bCs/>
        </w:rPr>
        <w:t xml:space="preserve">If the collection of information will have </w:t>
      </w:r>
      <w:r w:rsidRPr="00152A45">
        <w:rPr>
          <w:rFonts w:ascii="Times New Roman" w:hAnsi="Times New Roman" w:cs="Times New Roman"/>
          <w:b/>
          <w:bCs/>
          <w:i/>
          <w:iCs/>
          <w:u w:val="single"/>
        </w:rPr>
        <w:t>significant</w:t>
      </w:r>
      <w:r>
        <w:rPr>
          <w:rFonts w:ascii="Times New Roman" w:hAnsi="Times New Roman" w:cs="Times New Roman"/>
          <w:b/>
          <w:bCs/>
        </w:rPr>
        <w:t xml:space="preserve"> economic impacts on small businesses, organizations or other small entities, </w:t>
      </w:r>
      <w:r w:rsidRPr="00152A45">
        <w:rPr>
          <w:rFonts w:ascii="Times New Roman" w:hAnsi="Times New Roman" w:cs="Times New Roman"/>
          <w:b/>
          <w:bCs/>
          <w:i/>
          <w:iCs/>
        </w:rPr>
        <w:t>describe any methods used to minimize the burden on these entities</w:t>
      </w:r>
      <w:r>
        <w:rPr>
          <w:rFonts w:ascii="Times New Roman" w:hAnsi="Times New Roman" w:cs="Times New Roman"/>
          <w:b/>
          <w:bCs/>
        </w:rPr>
        <w:t xml:space="preserve">. </w:t>
      </w:r>
      <w:r w:rsidR="00E4670D">
        <w:rPr>
          <w:rFonts w:ascii="Times New Roman" w:hAnsi="Times New Roman" w:cs="Times New Roman"/>
          <w:b/>
          <w:bCs/>
        </w:rPr>
        <w:br/>
      </w:r>
    </w:p>
    <w:p w:rsidR="007C0D0E" w:rsidP="007804BF" w14:paraId="35936F5A" w14:textId="2DEB0D34">
      <w:pPr>
        <w:pStyle w:val="ListParagraph"/>
        <w:tabs>
          <w:tab w:val="left" w:pos="90"/>
        </w:tabs>
        <w:ind w:left="360"/>
        <w:rPr>
          <w:rFonts w:ascii="Times New Roman" w:hAnsi="Times New Roman" w:cs="Times New Roman"/>
        </w:rPr>
      </w:pPr>
      <w:r>
        <w:rPr>
          <w:rFonts w:ascii="Times New Roman" w:hAnsi="Times New Roman" w:cs="Times New Roman"/>
        </w:rPr>
        <w:tab/>
      </w:r>
      <w:r w:rsidRPr="003C6F72" w:rsidR="00C76119">
        <w:rPr>
          <w:rFonts w:ascii="Times New Roman" w:hAnsi="Times New Roman" w:cs="Times New Roman"/>
        </w:rPr>
        <w:t xml:space="preserve">The collection has </w:t>
      </w:r>
      <w:r w:rsidRPr="003C6F72" w:rsidR="00FA0419">
        <w:rPr>
          <w:rFonts w:ascii="Times New Roman" w:hAnsi="Times New Roman" w:cs="Times New Roman"/>
        </w:rPr>
        <w:t>been carefully designed to minimize the time an</w:t>
      </w:r>
      <w:r w:rsidRPr="003C6F72" w:rsidR="00446617">
        <w:rPr>
          <w:rFonts w:ascii="Times New Roman" w:hAnsi="Times New Roman" w:cs="Times New Roman"/>
        </w:rPr>
        <w:t xml:space="preserve">d burden on </w:t>
      </w:r>
      <w:r w:rsidRPr="003C6F72" w:rsidR="00494294">
        <w:rPr>
          <w:rFonts w:ascii="Times New Roman" w:hAnsi="Times New Roman" w:cs="Times New Roman"/>
        </w:rPr>
        <w:t xml:space="preserve">small </w:t>
      </w:r>
      <w:r w:rsidRPr="003C6F72">
        <w:rPr>
          <w:rFonts w:ascii="Times New Roman" w:hAnsi="Times New Roman" w:cs="Times New Roman"/>
        </w:rPr>
        <w:t xml:space="preserve">businesses and other small entities </w:t>
      </w:r>
      <w:r w:rsidRPr="003C6F72" w:rsidR="00494294">
        <w:rPr>
          <w:rFonts w:ascii="Times New Roman" w:hAnsi="Times New Roman" w:cs="Times New Roman"/>
        </w:rPr>
        <w:t xml:space="preserve">to comply with the MDRI rules </w:t>
      </w:r>
      <w:r w:rsidRPr="003C6F72" w:rsidR="009F6C95">
        <w:rPr>
          <w:rFonts w:ascii="Times New Roman" w:hAnsi="Times New Roman" w:cs="Times New Roman"/>
        </w:rPr>
        <w:t>while</w:t>
      </w:r>
      <w:r w:rsidRPr="003C6F72" w:rsidR="001937A6">
        <w:rPr>
          <w:rFonts w:ascii="Times New Roman" w:hAnsi="Times New Roman" w:cs="Times New Roman"/>
        </w:rPr>
        <w:t xml:space="preserve"> still</w:t>
      </w:r>
      <w:r w:rsidRPr="003C6F72" w:rsidR="009F6C95">
        <w:rPr>
          <w:rFonts w:ascii="Times New Roman" w:hAnsi="Times New Roman" w:cs="Times New Roman"/>
        </w:rPr>
        <w:t xml:space="preserve"> allowing the </w:t>
      </w:r>
      <w:r w:rsidRPr="003C6F72" w:rsidR="00FA0419">
        <w:rPr>
          <w:rFonts w:ascii="Times New Roman" w:hAnsi="Times New Roman" w:cs="Times New Roman"/>
        </w:rPr>
        <w:t>Commission to achieve its objectives.</w:t>
      </w:r>
    </w:p>
    <w:p w:rsidR="007804BF" w:rsidRPr="003C6F72" w:rsidP="007804BF" w14:paraId="2D66508B" w14:textId="77777777">
      <w:pPr>
        <w:pStyle w:val="ListParagraph"/>
        <w:tabs>
          <w:tab w:val="left" w:pos="90"/>
        </w:tabs>
        <w:ind w:left="360"/>
        <w:rPr>
          <w:rFonts w:ascii="Times New Roman" w:eastAsia="Calibri" w:hAnsi="Times New Roman" w:cs="Times New Roman"/>
        </w:rPr>
      </w:pPr>
    </w:p>
    <w:p w:rsidR="00911061" w:rsidP="007804BF" w14:paraId="0EB8BFB1" w14:textId="492CB75E">
      <w:pPr>
        <w:ind w:left="360" w:firstLine="360"/>
        <w:contextualSpacing/>
        <w:rPr>
          <w:rFonts w:ascii="Times New Roman" w:hAnsi="Times New Roman" w:cs="Times New Roman"/>
        </w:rPr>
      </w:pPr>
      <w:r w:rsidRPr="003C6F72">
        <w:rPr>
          <w:rFonts w:ascii="Times New Roman" w:hAnsi="Times New Roman" w:cs="Times New Roman"/>
        </w:rPr>
        <w:t xml:space="preserve">For example, </w:t>
      </w:r>
      <w:r w:rsidRPr="003C6F72" w:rsidR="00E3561F">
        <w:rPr>
          <w:rFonts w:ascii="Times New Roman" w:hAnsi="Times New Roman" w:cs="Times New Roman"/>
        </w:rPr>
        <w:t xml:space="preserve">the </w:t>
      </w:r>
      <w:r w:rsidRPr="003C6F72" w:rsidR="001937A6">
        <w:rPr>
          <w:rFonts w:ascii="Times New Roman" w:hAnsi="Times New Roman" w:cs="Times New Roman"/>
        </w:rPr>
        <w:t xml:space="preserve">Commission set the </w:t>
      </w:r>
      <w:r w:rsidRPr="003C6F72" w:rsidR="00E3561F">
        <w:rPr>
          <w:rFonts w:ascii="Times New Roman" w:hAnsi="Times New Roman" w:cs="Times New Roman"/>
        </w:rPr>
        <w:t xml:space="preserve">compliance date for the </w:t>
      </w:r>
      <w:r w:rsidRPr="003C6F72" w:rsidR="003C206A">
        <w:rPr>
          <w:rFonts w:ascii="Times New Roman" w:hAnsi="Times New Roman" w:cs="Times New Roman"/>
          <w:i/>
          <w:iCs/>
        </w:rPr>
        <w:t xml:space="preserve">Report </w:t>
      </w:r>
      <w:r w:rsidRPr="003C6F72" w:rsidR="008D19EB">
        <w:rPr>
          <w:rFonts w:ascii="Times New Roman" w:hAnsi="Times New Roman" w:cs="Times New Roman"/>
          <w:i/>
          <w:iCs/>
        </w:rPr>
        <w:t>and</w:t>
      </w:r>
      <w:r w:rsidRPr="003C6F72" w:rsidR="003C206A">
        <w:rPr>
          <w:rFonts w:ascii="Times New Roman" w:hAnsi="Times New Roman" w:cs="Times New Roman"/>
          <w:i/>
          <w:iCs/>
        </w:rPr>
        <w:t xml:space="preserve"> Order</w:t>
      </w:r>
      <w:r w:rsidRPr="003C6F72" w:rsidR="008639DD">
        <w:rPr>
          <w:rFonts w:ascii="Times New Roman" w:hAnsi="Times New Roman" w:cs="Times New Roman"/>
        </w:rPr>
        <w:t xml:space="preserve">’s </w:t>
      </w:r>
      <w:r w:rsidRPr="003C6F72" w:rsidR="00E3561F">
        <w:rPr>
          <w:rFonts w:ascii="Times New Roman" w:hAnsi="Times New Roman" w:cs="Times New Roman"/>
        </w:rPr>
        <w:t xml:space="preserve">MDRI </w:t>
      </w:r>
      <w:r w:rsidRPr="003C6F72" w:rsidR="004C6A4C">
        <w:rPr>
          <w:rFonts w:ascii="Times New Roman" w:hAnsi="Times New Roman" w:cs="Times New Roman"/>
        </w:rPr>
        <w:t>requirements</w:t>
      </w:r>
      <w:r w:rsidRPr="003C6F72" w:rsidR="00E3561F">
        <w:rPr>
          <w:rFonts w:ascii="Times New Roman" w:hAnsi="Times New Roman" w:cs="Times New Roman"/>
        </w:rPr>
        <w:t xml:space="preserve"> </w:t>
      </w:r>
      <w:r w:rsidRPr="003C6F72" w:rsidR="001937A6">
        <w:rPr>
          <w:rFonts w:ascii="Times New Roman" w:hAnsi="Times New Roman" w:cs="Times New Roman"/>
        </w:rPr>
        <w:t xml:space="preserve">to allow small providers </w:t>
      </w:r>
      <w:r w:rsidRPr="003C6F72" w:rsidR="00E3561F">
        <w:rPr>
          <w:rFonts w:ascii="Times New Roman" w:hAnsi="Times New Roman" w:cs="Times New Roman"/>
        </w:rPr>
        <w:t xml:space="preserve">three additional months for compliance </w:t>
      </w:r>
      <w:r w:rsidRPr="003C6F72" w:rsidR="001937A6">
        <w:rPr>
          <w:rFonts w:ascii="Times New Roman" w:hAnsi="Times New Roman" w:cs="Times New Roman"/>
        </w:rPr>
        <w:t>compared to larger providers</w:t>
      </w:r>
      <w:r w:rsidRPr="003C6F72" w:rsidR="008E49E9">
        <w:rPr>
          <w:rFonts w:ascii="Times New Roman" w:hAnsi="Times New Roman" w:cs="Times New Roman"/>
        </w:rPr>
        <w:t>.</w:t>
      </w:r>
      <w:r>
        <w:rPr>
          <w:rStyle w:val="FootnoteReference"/>
          <w:rFonts w:ascii="Times New Roman" w:hAnsi="Times New Roman" w:cs="Times New Roman"/>
        </w:rPr>
        <w:footnoteReference w:id="19"/>
      </w:r>
      <w:r w:rsidRPr="003C6F72" w:rsidR="0040211B">
        <w:rPr>
          <w:rFonts w:ascii="Times New Roman" w:hAnsi="Times New Roman" w:cs="Times New Roman"/>
        </w:rPr>
        <w:t xml:space="preserve">  In addition, </w:t>
      </w:r>
      <w:r w:rsidRPr="003C6F72" w:rsidR="004F22B9">
        <w:rPr>
          <w:rFonts w:ascii="Times New Roman" w:hAnsi="Times New Roman" w:cs="Times New Roman"/>
        </w:rPr>
        <w:t xml:space="preserve">the </w:t>
      </w:r>
      <w:r w:rsidRPr="003C6F72" w:rsidR="004F22B9">
        <w:rPr>
          <w:rFonts w:ascii="Times New Roman" w:hAnsi="Times New Roman" w:cs="Times New Roman"/>
          <w:i/>
          <w:iCs/>
        </w:rPr>
        <w:t xml:space="preserve">Report </w:t>
      </w:r>
      <w:r w:rsidRPr="003C6F72" w:rsidR="008D19EB">
        <w:rPr>
          <w:rFonts w:ascii="Times New Roman" w:hAnsi="Times New Roman" w:cs="Times New Roman"/>
          <w:i/>
          <w:iCs/>
        </w:rPr>
        <w:t>and</w:t>
      </w:r>
      <w:r w:rsidRPr="003C6F72" w:rsidR="004F22B9">
        <w:rPr>
          <w:rFonts w:ascii="Times New Roman" w:hAnsi="Times New Roman" w:cs="Times New Roman"/>
          <w:i/>
          <w:iCs/>
        </w:rPr>
        <w:t xml:space="preserve"> Order</w:t>
      </w:r>
      <w:r w:rsidRPr="003C6F72" w:rsidR="004F22B9">
        <w:rPr>
          <w:rFonts w:ascii="Times New Roman" w:hAnsi="Times New Roman" w:cs="Times New Roman"/>
        </w:rPr>
        <w:t xml:space="preserve">’s requirements are only applicable to facilities-based mobile wireless providers and thus other small entity providers that may be capable of roaming are not subject to the adopted provisions.  </w:t>
      </w:r>
    </w:p>
    <w:p w:rsidR="007804BF" w:rsidRPr="003C6F72" w:rsidP="007804BF" w14:paraId="538366F1" w14:textId="77777777">
      <w:pPr>
        <w:ind w:left="360" w:firstLine="360"/>
        <w:contextualSpacing/>
        <w:rPr>
          <w:rFonts w:ascii="Times New Roman" w:hAnsi="Times New Roman" w:cs="Times New Roman"/>
        </w:rPr>
      </w:pPr>
    </w:p>
    <w:p w:rsidR="004F22B9" w:rsidP="007804BF" w14:paraId="262CF9A1" w14:textId="16134428">
      <w:pPr>
        <w:ind w:left="360" w:firstLine="360"/>
        <w:contextualSpacing/>
        <w:rPr>
          <w:rFonts w:ascii="Times New Roman" w:hAnsi="Times New Roman" w:cs="Times New Roman"/>
        </w:rPr>
      </w:pPr>
      <w:r w:rsidRPr="003C6F72">
        <w:rPr>
          <w:rFonts w:ascii="Times New Roman" w:hAnsi="Times New Roman" w:cs="Times New Roman"/>
        </w:rPr>
        <w:t>Moreover, s</w:t>
      </w:r>
      <w:r w:rsidRPr="003C6F72">
        <w:rPr>
          <w:rFonts w:ascii="Times New Roman" w:hAnsi="Times New Roman" w:cs="Times New Roman"/>
        </w:rPr>
        <w:t>everal of the adopted requirements are based on or incorporate industry-developed standards</w:t>
      </w:r>
      <w:r w:rsidRPr="003C6F72" w:rsidR="00182944">
        <w:rPr>
          <w:rFonts w:ascii="Times New Roman" w:hAnsi="Times New Roman" w:cs="Times New Roman"/>
        </w:rPr>
        <w:t xml:space="preserve"> and programs</w:t>
      </w:r>
      <w:r w:rsidRPr="003C6F72">
        <w:rPr>
          <w:rFonts w:ascii="Times New Roman" w:hAnsi="Times New Roman" w:cs="Times New Roman"/>
        </w:rPr>
        <w:t>,</w:t>
      </w:r>
      <w:r w:rsidRPr="003C6F72" w:rsidR="005962FB">
        <w:rPr>
          <w:rFonts w:ascii="Times New Roman" w:hAnsi="Times New Roman" w:cs="Times New Roman"/>
        </w:rPr>
        <w:t xml:space="preserve"> including in the industry-developed </w:t>
      </w:r>
      <w:r w:rsidRPr="003C6F72" w:rsidR="00C50564">
        <w:rPr>
          <w:rFonts w:ascii="Times New Roman" w:hAnsi="Times New Roman" w:cs="Times New Roman"/>
        </w:rPr>
        <w:t xml:space="preserve">Framework, </w:t>
      </w:r>
      <w:r w:rsidRPr="003C6F72">
        <w:rPr>
          <w:rFonts w:ascii="Times New Roman" w:hAnsi="Times New Roman" w:cs="Times New Roman"/>
        </w:rPr>
        <w:t xml:space="preserve">and utilize and are consistent with existing Commission requirements.  In developing the requirement that facilities-based mobile wireless providers provide reasonable roaming under disaster arrangements (RuDs) when technically feasible, for instance, </w:t>
      </w:r>
      <w:r w:rsidRPr="003C6F72" w:rsidR="009E6D8C">
        <w:rPr>
          <w:rFonts w:ascii="Times New Roman" w:hAnsi="Times New Roman" w:cs="Times New Roman"/>
        </w:rPr>
        <w:t>the Commission</w:t>
      </w:r>
      <w:r w:rsidRPr="003C6F72">
        <w:rPr>
          <w:rFonts w:ascii="Times New Roman" w:hAnsi="Times New Roman" w:cs="Times New Roman"/>
        </w:rPr>
        <w:t xml:space="preserve"> define</w:t>
      </w:r>
      <w:r w:rsidRPr="003C6F72" w:rsidR="00257B6F">
        <w:rPr>
          <w:rFonts w:ascii="Times New Roman" w:hAnsi="Times New Roman" w:cs="Times New Roman"/>
        </w:rPr>
        <w:t>d</w:t>
      </w:r>
      <w:r w:rsidRPr="003C6F72">
        <w:rPr>
          <w:rFonts w:ascii="Times New Roman" w:hAnsi="Times New Roman" w:cs="Times New Roman"/>
        </w:rPr>
        <w:t xml:space="preserve"> “reasonable roaming” as roaming that does not disturb, but includes compliance with, the Commission’s existing requirements that voice roaming arrangements be just, reasonable, and non-discriminatory, and that data roaming arrangements be commercially reasonable.  Consistency with existing industry standards and Commission requirements increase</w:t>
      </w:r>
      <w:r w:rsidRPr="003C6F72" w:rsidR="00ED2A0B">
        <w:rPr>
          <w:rFonts w:ascii="Times New Roman" w:hAnsi="Times New Roman" w:cs="Times New Roman"/>
        </w:rPr>
        <w:t>s</w:t>
      </w:r>
      <w:r w:rsidRPr="003C6F72">
        <w:rPr>
          <w:rFonts w:ascii="Times New Roman" w:hAnsi="Times New Roman" w:cs="Times New Roman"/>
        </w:rPr>
        <w:t xml:space="preserve"> the likelihood that small entities already have processes and </w:t>
      </w:r>
      <w:r w:rsidRPr="003C6F72">
        <w:rPr>
          <w:rFonts w:ascii="Times New Roman" w:hAnsi="Times New Roman" w:cs="Times New Roman"/>
        </w:rPr>
        <w:t>procedures in place to facilitate compliance with the rules adopt</w:t>
      </w:r>
      <w:r w:rsidRPr="003C6F72" w:rsidR="002E065F">
        <w:rPr>
          <w:rFonts w:ascii="Times New Roman" w:hAnsi="Times New Roman" w:cs="Times New Roman"/>
        </w:rPr>
        <w:t>ed</w:t>
      </w:r>
      <w:r w:rsidRPr="003C6F72">
        <w:rPr>
          <w:rFonts w:ascii="Times New Roman" w:hAnsi="Times New Roman" w:cs="Times New Roman"/>
        </w:rPr>
        <w:t xml:space="preserve"> in the Order and may only incur increment</w:t>
      </w:r>
      <w:r w:rsidRPr="003C6F72" w:rsidR="00ED2A0B">
        <w:rPr>
          <w:rFonts w:ascii="Times New Roman" w:hAnsi="Times New Roman" w:cs="Times New Roman"/>
        </w:rPr>
        <w:t>al</w:t>
      </w:r>
      <w:r w:rsidRPr="003C6F72">
        <w:rPr>
          <w:rFonts w:ascii="Times New Roman" w:hAnsi="Times New Roman" w:cs="Times New Roman"/>
        </w:rPr>
        <w:t xml:space="preserve"> costs</w:t>
      </w:r>
      <w:r w:rsidRPr="003C6F72" w:rsidR="0006773F">
        <w:rPr>
          <w:rFonts w:ascii="Times New Roman" w:hAnsi="Times New Roman" w:cs="Times New Roman"/>
        </w:rPr>
        <w:t>,</w:t>
      </w:r>
      <w:r w:rsidRPr="003C6F72">
        <w:rPr>
          <w:rFonts w:ascii="Times New Roman" w:hAnsi="Times New Roman" w:cs="Times New Roman"/>
        </w:rPr>
        <w:t xml:space="preserve"> which will minimize the impact for these entities.</w:t>
      </w:r>
    </w:p>
    <w:p w:rsidR="00EA7722" w:rsidRPr="003C6F72" w:rsidP="003F2A97" w14:paraId="7C2A71FE" w14:textId="77777777">
      <w:pPr>
        <w:ind w:left="360" w:firstLine="360"/>
        <w:rPr>
          <w:rFonts w:ascii="Times New Roman" w:hAnsi="Times New Roman" w:cs="Times New Roman"/>
        </w:rPr>
      </w:pPr>
    </w:p>
    <w:p w:rsidR="00152A45" w:rsidRPr="00152A45" w:rsidP="0017082F" w14:paraId="56435883" w14:textId="5FDC870E">
      <w:pPr>
        <w:pStyle w:val="ListParagraph"/>
        <w:numPr>
          <w:ilvl w:val="0"/>
          <w:numId w:val="38"/>
        </w:numPr>
        <w:tabs>
          <w:tab w:val="left" w:pos="90"/>
        </w:tabs>
        <w:rPr>
          <w:rFonts w:ascii="Times New Roman" w:eastAsia="Calibri" w:hAnsi="Times New Roman" w:cs="Times New Roman"/>
        </w:rPr>
      </w:pPr>
      <w:r>
        <w:rPr>
          <w:rFonts w:ascii="Times New Roman" w:eastAsia="Calibri" w:hAnsi="Times New Roman" w:cs="Times New Roman"/>
          <w:b/>
          <w:bCs/>
        </w:rPr>
        <w:t xml:space="preserve">Describe the consequences to Federal program or policy activities if the collection is </w:t>
      </w:r>
      <w:r w:rsidRPr="00ED1F62">
        <w:rPr>
          <w:rFonts w:ascii="Times New Roman" w:eastAsia="Calibri" w:hAnsi="Times New Roman" w:cs="Times New Roman"/>
          <w:b/>
          <w:bCs/>
          <w:i/>
          <w:iCs/>
          <w:u w:val="single"/>
        </w:rPr>
        <w:t xml:space="preserve">not </w:t>
      </w:r>
      <w:r>
        <w:rPr>
          <w:rFonts w:ascii="Times New Roman" w:eastAsia="Calibri" w:hAnsi="Times New Roman" w:cs="Times New Roman"/>
          <w:b/>
          <w:bCs/>
        </w:rPr>
        <w:t xml:space="preserve">conducted or is conducted less frequently, as well as any technical or legal obstacles to reducing the burden. </w:t>
      </w:r>
      <w:r w:rsidR="00E4670D">
        <w:rPr>
          <w:rFonts w:ascii="Times New Roman" w:eastAsia="Calibri" w:hAnsi="Times New Roman" w:cs="Times New Roman"/>
          <w:b/>
          <w:bCs/>
        </w:rPr>
        <w:br/>
      </w:r>
    </w:p>
    <w:p w:rsidR="00792111" w:rsidRPr="007411A8" w:rsidP="007411A8" w14:paraId="73DD4B21" w14:textId="6F06B62D">
      <w:pPr>
        <w:pStyle w:val="ListParagraph"/>
        <w:tabs>
          <w:tab w:val="left" w:pos="90"/>
        </w:tabs>
        <w:ind w:left="360"/>
        <w:rPr>
          <w:rFonts w:ascii="Times New Roman" w:eastAsia="Calibri" w:hAnsi="Times New Roman" w:cs="Times New Roman"/>
        </w:rPr>
      </w:pPr>
      <w:r>
        <w:rPr>
          <w:rFonts w:ascii="Times New Roman" w:eastAsia="Calibri" w:hAnsi="Times New Roman" w:cs="Times New Roman"/>
        </w:rPr>
        <w:tab/>
      </w:r>
      <w:r w:rsidRPr="003C6F72" w:rsidR="004B65B5">
        <w:rPr>
          <w:rFonts w:ascii="Times New Roman" w:eastAsia="Calibri" w:hAnsi="Times New Roman" w:cs="Times New Roman"/>
        </w:rPr>
        <w:t>The collection includes a number of recurring element</w:t>
      </w:r>
      <w:r w:rsidRPr="003C6F72" w:rsidR="00161924">
        <w:rPr>
          <w:rFonts w:ascii="Times New Roman" w:eastAsia="Calibri" w:hAnsi="Times New Roman" w:cs="Times New Roman"/>
        </w:rPr>
        <w:t>s</w:t>
      </w:r>
      <w:r w:rsidRPr="003C6F72" w:rsidR="00650916">
        <w:rPr>
          <w:rFonts w:ascii="Times New Roman" w:eastAsia="Calibri" w:hAnsi="Times New Roman" w:cs="Times New Roman"/>
        </w:rPr>
        <w:t>, including</w:t>
      </w:r>
      <w:r w:rsidRPr="003C6F72" w:rsidR="00485706">
        <w:rPr>
          <w:rFonts w:ascii="Times New Roman" w:eastAsia="Calibri" w:hAnsi="Times New Roman" w:cs="Times New Roman"/>
        </w:rPr>
        <w:t>:</w:t>
      </w:r>
      <w:r w:rsidR="00E4670D">
        <w:rPr>
          <w:rFonts w:ascii="Times New Roman" w:eastAsia="Calibri" w:hAnsi="Times New Roman" w:cs="Times New Roman"/>
        </w:rPr>
        <w:br/>
      </w:r>
    </w:p>
    <w:p w:rsidR="00792111" w:rsidRPr="003C6F72" w:rsidP="00792111" w14:paraId="36B7889C" w14:textId="7497C321">
      <w:pPr>
        <w:pStyle w:val="ListParagraph"/>
        <w:numPr>
          <w:ilvl w:val="0"/>
          <w:numId w:val="23"/>
        </w:numPr>
        <w:tabs>
          <w:tab w:val="left" w:pos="90"/>
        </w:tabs>
        <w:rPr>
          <w:rFonts w:ascii="Times New Roman" w:eastAsia="Calibri" w:hAnsi="Times New Roman" w:cs="Times New Roman"/>
        </w:rPr>
      </w:pPr>
      <w:r>
        <w:rPr>
          <w:rFonts w:ascii="Times New Roman" w:eastAsia="Calibri" w:hAnsi="Times New Roman" w:cs="Times New Roman"/>
        </w:rPr>
        <w:t>P</w:t>
      </w:r>
      <w:r w:rsidRPr="003C6F72">
        <w:rPr>
          <w:rFonts w:ascii="Times New Roman" w:eastAsia="Calibri" w:hAnsi="Times New Roman" w:cs="Times New Roman"/>
        </w:rPr>
        <w:t xml:space="preserve">roviders are required to </w:t>
      </w:r>
      <w:r w:rsidRPr="003C6F72">
        <w:rPr>
          <w:rFonts w:ascii="Times New Roman" w:hAnsi="Times New Roman" w:cs="Times New Roman"/>
        </w:rPr>
        <w:t>submit reports to the Commission detailing the timing, duration and effectiveness of their implementation of the MDRI’s provisions within 60 days of when the Public Safety and Homeland Security Bureau issues a Public Notice requesting that such reports be filed.  It is anticipated that the Commission could make such a request multiple times annually if emergency or disaster events warrant it.  For example, it is possible that the Commission will make multiple such requests of providers operating in a given geographic area if that area is subject to multiple threatened Hurricane events in a period of time.</w:t>
      </w:r>
      <w:r w:rsidR="00E4670D">
        <w:rPr>
          <w:rFonts w:ascii="Times New Roman" w:hAnsi="Times New Roman" w:cs="Times New Roman"/>
        </w:rPr>
        <w:br/>
      </w:r>
    </w:p>
    <w:p w:rsidR="00792111" w:rsidRPr="003C6F72" w:rsidP="00792111" w14:paraId="3A0086F0" w14:textId="15D3DACF">
      <w:pPr>
        <w:pStyle w:val="ListParagraph"/>
        <w:numPr>
          <w:ilvl w:val="0"/>
          <w:numId w:val="23"/>
        </w:numPr>
        <w:tabs>
          <w:tab w:val="left" w:pos="90"/>
        </w:tabs>
        <w:rPr>
          <w:rFonts w:ascii="Times New Roman" w:eastAsia="Calibri" w:hAnsi="Times New Roman" w:cs="Times New Roman"/>
        </w:rPr>
      </w:pPr>
      <w:r>
        <w:rPr>
          <w:rFonts w:ascii="Times New Roman" w:hAnsi="Times New Roman" w:cs="Times New Roman"/>
        </w:rPr>
        <w:t>P</w:t>
      </w:r>
      <w:r w:rsidRPr="003C6F72">
        <w:rPr>
          <w:rFonts w:ascii="Times New Roman" w:hAnsi="Times New Roman" w:cs="Times New Roman"/>
        </w:rPr>
        <w:t>roviders are required to perform annual testing of their roaming capabilities and related coordination processes; and</w:t>
      </w:r>
      <w:r w:rsidR="00E4670D">
        <w:rPr>
          <w:rFonts w:ascii="Times New Roman" w:hAnsi="Times New Roman" w:cs="Times New Roman"/>
        </w:rPr>
        <w:br/>
      </w:r>
    </w:p>
    <w:p w:rsidR="00792111" w:rsidRPr="007804BF" w:rsidP="008D3DB9" w14:paraId="739BAFE3" w14:textId="6F41DA73">
      <w:pPr>
        <w:pStyle w:val="ListParagraph"/>
        <w:numPr>
          <w:ilvl w:val="0"/>
          <w:numId w:val="23"/>
        </w:numPr>
        <w:tabs>
          <w:tab w:val="left" w:pos="90"/>
        </w:tabs>
        <w:rPr>
          <w:rFonts w:ascii="Times New Roman" w:eastAsia="Calibri" w:hAnsi="Times New Roman" w:cs="Times New Roman"/>
        </w:rPr>
      </w:pPr>
      <w:r>
        <w:rPr>
          <w:rFonts w:ascii="Times New Roman" w:hAnsi="Times New Roman" w:cs="Times New Roman"/>
        </w:rPr>
        <w:t>P</w:t>
      </w:r>
      <w:r w:rsidRPr="003C6F72">
        <w:rPr>
          <w:rFonts w:ascii="Times New Roman" w:hAnsi="Times New Roman" w:cs="Times New Roman"/>
        </w:rPr>
        <w:t>roviders may incur recurring burdens as they fulfill steps related to enhancing municipal preparedness and restoration, increasing consumer readiness and preparation, and issuing written denials of roaming requests from other providers.  For example, providers may take action to fulfill these steps each time the Commission activates the MDRI in their geographic area, which could vary depending on the severity and frequency of threate</w:t>
      </w:r>
      <w:r w:rsidRPr="003C6F72" w:rsidR="00ED2A0B">
        <w:rPr>
          <w:rFonts w:ascii="Times New Roman" w:hAnsi="Times New Roman" w:cs="Times New Roman"/>
        </w:rPr>
        <w:t>ne</w:t>
      </w:r>
      <w:r w:rsidRPr="003C6F72">
        <w:rPr>
          <w:rFonts w:ascii="Times New Roman" w:hAnsi="Times New Roman" w:cs="Times New Roman"/>
        </w:rPr>
        <w:t>d disasters and other exigencies in a period of time.</w:t>
      </w:r>
    </w:p>
    <w:p w:rsidR="007804BF" w:rsidRPr="008D3DB9" w:rsidP="007804BF" w14:paraId="46C3AE05" w14:textId="77777777">
      <w:pPr>
        <w:pStyle w:val="ListParagraph"/>
        <w:tabs>
          <w:tab w:val="left" w:pos="90"/>
        </w:tabs>
        <w:ind w:left="1080"/>
        <w:rPr>
          <w:rFonts w:ascii="Times New Roman" w:eastAsia="Calibri" w:hAnsi="Times New Roman" w:cs="Times New Roman"/>
        </w:rPr>
      </w:pPr>
    </w:p>
    <w:p w:rsidR="00792111" w:rsidP="008D3DB9" w14:paraId="589E6CF4" w14:textId="5BF7D845">
      <w:pPr>
        <w:pStyle w:val="ListParagraph"/>
        <w:tabs>
          <w:tab w:val="left" w:pos="90"/>
        </w:tabs>
        <w:ind w:left="360"/>
        <w:rPr>
          <w:rFonts w:ascii="Times New Roman" w:hAnsi="Times New Roman" w:cs="Times New Roman"/>
          <w:shd w:val="clear" w:color="auto" w:fill="FFFFFF"/>
        </w:rPr>
      </w:pPr>
      <w:r>
        <w:rPr>
          <w:rFonts w:ascii="Times New Roman" w:hAnsi="Times New Roman" w:cs="Times New Roman"/>
          <w:shd w:val="clear" w:color="auto" w:fill="FFFFFF"/>
        </w:rPr>
        <w:tab/>
      </w:r>
      <w:r w:rsidRPr="003C6F72" w:rsidR="00345189">
        <w:rPr>
          <w:rFonts w:ascii="Times New Roman" w:hAnsi="Times New Roman" w:cs="Times New Roman"/>
          <w:shd w:val="clear" w:color="auto" w:fill="FFFFFF"/>
        </w:rPr>
        <w:t xml:space="preserve">Many of these recurring steps describe </w:t>
      </w:r>
      <w:r w:rsidRPr="003C6F72" w:rsidR="007D798F">
        <w:rPr>
          <w:rFonts w:ascii="Times New Roman" w:hAnsi="Times New Roman" w:cs="Times New Roman"/>
          <w:shd w:val="clear" w:color="auto" w:fill="FFFFFF"/>
        </w:rPr>
        <w:t>acts</w:t>
      </w:r>
      <w:r w:rsidRPr="003C6F72" w:rsidR="00345189">
        <w:rPr>
          <w:rFonts w:ascii="Times New Roman" w:hAnsi="Times New Roman" w:cs="Times New Roman"/>
          <w:shd w:val="clear" w:color="auto" w:fill="FFFFFF"/>
        </w:rPr>
        <w:t xml:space="preserve"> </w:t>
      </w:r>
      <w:r w:rsidRPr="003C6F72" w:rsidR="00C15417">
        <w:rPr>
          <w:rFonts w:ascii="Times New Roman" w:hAnsi="Times New Roman" w:cs="Times New Roman"/>
          <w:shd w:val="clear" w:color="auto" w:fill="FFFFFF"/>
        </w:rPr>
        <w:t xml:space="preserve">that providers will perform </w:t>
      </w:r>
      <w:r w:rsidRPr="003C6F72" w:rsidR="00345189">
        <w:rPr>
          <w:rFonts w:ascii="Times New Roman" w:hAnsi="Times New Roman" w:cs="Times New Roman"/>
          <w:shd w:val="clear" w:color="auto" w:fill="FFFFFF"/>
        </w:rPr>
        <w:t>in anticipation of, or after</w:t>
      </w:r>
      <w:r w:rsidRPr="003C6F72" w:rsidR="00027CD9">
        <w:rPr>
          <w:rFonts w:ascii="Times New Roman" w:hAnsi="Times New Roman" w:cs="Times New Roman"/>
          <w:shd w:val="clear" w:color="auto" w:fill="FFFFFF"/>
        </w:rPr>
        <w:t xml:space="preserve"> the conclusion of,</w:t>
      </w:r>
      <w:r w:rsidRPr="003C6F72" w:rsidR="00345189">
        <w:rPr>
          <w:rFonts w:ascii="Times New Roman" w:hAnsi="Times New Roman" w:cs="Times New Roman"/>
          <w:shd w:val="clear" w:color="auto" w:fill="FFFFFF"/>
        </w:rPr>
        <w:t xml:space="preserve"> </w:t>
      </w:r>
      <w:r w:rsidRPr="003C6F72" w:rsidR="00027CD9">
        <w:rPr>
          <w:rFonts w:ascii="Times New Roman" w:hAnsi="Times New Roman" w:cs="Times New Roman"/>
          <w:shd w:val="clear" w:color="auto" w:fill="FFFFFF"/>
        </w:rPr>
        <w:t xml:space="preserve">each </w:t>
      </w:r>
      <w:r w:rsidRPr="003C6F72" w:rsidR="00345189">
        <w:rPr>
          <w:rFonts w:ascii="Times New Roman" w:hAnsi="Times New Roman" w:cs="Times New Roman"/>
          <w:shd w:val="clear" w:color="auto" w:fill="FFFFFF"/>
        </w:rPr>
        <w:t xml:space="preserve">applicable disaster event or emergency scenario </w:t>
      </w:r>
      <w:r w:rsidRPr="003C6F72" w:rsidR="00904BF8">
        <w:rPr>
          <w:rFonts w:ascii="Times New Roman" w:hAnsi="Times New Roman" w:cs="Times New Roman"/>
          <w:shd w:val="clear" w:color="auto" w:fill="FFFFFF"/>
        </w:rPr>
        <w:t>(e.g., the requirement to supply after-activation reports to the Commission)</w:t>
      </w:r>
      <w:r w:rsidRPr="003C6F72" w:rsidR="000B1840">
        <w:rPr>
          <w:rFonts w:ascii="Times New Roman" w:hAnsi="Times New Roman" w:cs="Times New Roman"/>
          <w:shd w:val="clear" w:color="auto" w:fill="FFFFFF"/>
        </w:rPr>
        <w:t xml:space="preserve"> </w:t>
      </w:r>
      <w:r w:rsidRPr="003C6F72" w:rsidR="005E2A21">
        <w:rPr>
          <w:rFonts w:ascii="Times New Roman" w:hAnsi="Times New Roman" w:cs="Times New Roman"/>
          <w:shd w:val="clear" w:color="auto" w:fill="FFFFFF"/>
        </w:rPr>
        <w:t xml:space="preserve">with </w:t>
      </w:r>
      <w:r w:rsidRPr="003C6F72" w:rsidR="000B1840">
        <w:rPr>
          <w:rFonts w:ascii="Times New Roman" w:hAnsi="Times New Roman" w:cs="Times New Roman"/>
          <w:shd w:val="clear" w:color="auto" w:fill="FFFFFF"/>
        </w:rPr>
        <w:t xml:space="preserve">a frequency that </w:t>
      </w:r>
      <w:r w:rsidRPr="003C6F72" w:rsidR="005E2A21">
        <w:rPr>
          <w:rFonts w:ascii="Times New Roman" w:hAnsi="Times New Roman" w:cs="Times New Roman"/>
          <w:shd w:val="clear" w:color="auto" w:fill="FFFFFF"/>
        </w:rPr>
        <w:t xml:space="preserve">will </w:t>
      </w:r>
      <w:r w:rsidRPr="003C6F72" w:rsidR="000B1840">
        <w:rPr>
          <w:rFonts w:ascii="Times New Roman" w:hAnsi="Times New Roman" w:cs="Times New Roman"/>
          <w:shd w:val="clear" w:color="auto" w:fill="FFFFFF"/>
        </w:rPr>
        <w:t>depend in part o</w:t>
      </w:r>
      <w:r w:rsidRPr="003C6F72" w:rsidR="00ED2A0B">
        <w:rPr>
          <w:rFonts w:ascii="Times New Roman" w:hAnsi="Times New Roman" w:cs="Times New Roman"/>
          <w:shd w:val="clear" w:color="auto" w:fill="FFFFFF"/>
        </w:rPr>
        <w:t>n</w:t>
      </w:r>
      <w:r w:rsidRPr="003C6F72" w:rsidR="000B1840">
        <w:rPr>
          <w:rFonts w:ascii="Times New Roman" w:hAnsi="Times New Roman" w:cs="Times New Roman"/>
          <w:shd w:val="clear" w:color="auto" w:fill="FFFFFF"/>
        </w:rPr>
        <w:t xml:space="preserve"> the </w:t>
      </w:r>
      <w:r w:rsidRPr="003C6F72" w:rsidR="00A6122A">
        <w:rPr>
          <w:rFonts w:ascii="Times New Roman" w:hAnsi="Times New Roman" w:cs="Times New Roman"/>
          <w:shd w:val="clear" w:color="auto" w:fill="FFFFFF"/>
        </w:rPr>
        <w:t xml:space="preserve">occurrence of </w:t>
      </w:r>
      <w:r w:rsidRPr="003C6F72" w:rsidR="000B1840">
        <w:rPr>
          <w:rFonts w:ascii="Times New Roman" w:hAnsi="Times New Roman" w:cs="Times New Roman"/>
          <w:shd w:val="clear" w:color="auto" w:fill="FFFFFF"/>
        </w:rPr>
        <w:t>such events</w:t>
      </w:r>
      <w:r w:rsidRPr="003C6F72" w:rsidR="004C3190">
        <w:rPr>
          <w:rFonts w:ascii="Times New Roman" w:hAnsi="Times New Roman" w:cs="Times New Roman"/>
          <w:shd w:val="clear" w:color="auto" w:fill="FFFFFF"/>
        </w:rPr>
        <w:t>, which is unknowable in advance</w:t>
      </w:r>
      <w:r w:rsidRPr="003C6F72" w:rsidR="000B1840">
        <w:rPr>
          <w:rFonts w:ascii="Times New Roman" w:hAnsi="Times New Roman" w:cs="Times New Roman"/>
          <w:shd w:val="clear" w:color="auto" w:fill="FFFFFF"/>
        </w:rPr>
        <w:t xml:space="preserve">.  </w:t>
      </w:r>
      <w:r w:rsidRPr="003C6F72" w:rsidR="00C15417">
        <w:rPr>
          <w:rFonts w:ascii="Times New Roman" w:hAnsi="Times New Roman" w:cs="Times New Roman"/>
          <w:shd w:val="clear" w:color="auto" w:fill="FFFFFF"/>
        </w:rPr>
        <w:t xml:space="preserve">Providers will perform </w:t>
      </w:r>
      <w:r w:rsidRPr="003C6F72" w:rsidR="00686BA8">
        <w:rPr>
          <w:rFonts w:ascii="Times New Roman" w:hAnsi="Times New Roman" w:cs="Times New Roman"/>
          <w:shd w:val="clear" w:color="auto" w:fill="FFFFFF"/>
        </w:rPr>
        <w:t xml:space="preserve">some of these steps on a recurring basis to </w:t>
      </w:r>
      <w:r w:rsidRPr="003C6F72" w:rsidR="00CB7071">
        <w:rPr>
          <w:rFonts w:ascii="Times New Roman" w:hAnsi="Times New Roman" w:cs="Times New Roman"/>
          <w:shd w:val="clear" w:color="auto" w:fill="FFFFFF"/>
        </w:rPr>
        <w:t>ensure that their networks are able to perform</w:t>
      </w:r>
      <w:r w:rsidRPr="003C6F72" w:rsidR="00686BA8">
        <w:rPr>
          <w:rFonts w:ascii="Times New Roman" w:hAnsi="Times New Roman" w:cs="Times New Roman"/>
          <w:shd w:val="clear" w:color="auto" w:fill="FFFFFF"/>
        </w:rPr>
        <w:t xml:space="preserve"> properly</w:t>
      </w:r>
      <w:r w:rsidRPr="003C6F72" w:rsidR="00CB7071">
        <w:rPr>
          <w:rFonts w:ascii="Times New Roman" w:hAnsi="Times New Roman" w:cs="Times New Roman"/>
          <w:shd w:val="clear" w:color="auto" w:fill="FFFFFF"/>
        </w:rPr>
        <w:t xml:space="preserve"> in view of changes to the structure of their </w:t>
      </w:r>
      <w:r w:rsidRPr="003C6F72" w:rsidR="00686BA8">
        <w:rPr>
          <w:rFonts w:ascii="Times New Roman" w:hAnsi="Times New Roman" w:cs="Times New Roman"/>
          <w:shd w:val="clear" w:color="auto" w:fill="FFFFFF"/>
        </w:rPr>
        <w:t xml:space="preserve">communications </w:t>
      </w:r>
      <w:r w:rsidRPr="003C6F72" w:rsidR="00CB7071">
        <w:rPr>
          <w:rFonts w:ascii="Times New Roman" w:hAnsi="Times New Roman" w:cs="Times New Roman"/>
          <w:shd w:val="clear" w:color="auto" w:fill="FFFFFF"/>
        </w:rPr>
        <w:t>network and</w:t>
      </w:r>
      <w:r w:rsidRPr="003C6F72" w:rsidR="00686BA8">
        <w:rPr>
          <w:rFonts w:ascii="Times New Roman" w:hAnsi="Times New Roman" w:cs="Times New Roman"/>
          <w:shd w:val="clear" w:color="auto" w:fill="FFFFFF"/>
        </w:rPr>
        <w:t xml:space="preserve">/or </w:t>
      </w:r>
      <w:r w:rsidRPr="003C6F72" w:rsidR="00CB7071">
        <w:rPr>
          <w:rFonts w:ascii="Times New Roman" w:hAnsi="Times New Roman" w:cs="Times New Roman"/>
          <w:shd w:val="clear" w:color="auto" w:fill="FFFFFF"/>
        </w:rPr>
        <w:t>internal processes.</w:t>
      </w:r>
      <w:r w:rsidRPr="003C6F72" w:rsidR="00CB7107">
        <w:rPr>
          <w:rFonts w:ascii="Times New Roman" w:hAnsi="Times New Roman" w:cs="Times New Roman"/>
          <w:shd w:val="clear" w:color="auto" w:fill="FFFFFF"/>
        </w:rPr>
        <w:t xml:space="preserve">  </w:t>
      </w:r>
    </w:p>
    <w:p w:rsidR="007804BF" w:rsidRPr="008D3DB9" w:rsidP="008D3DB9" w14:paraId="4E30C2D4" w14:textId="77777777">
      <w:pPr>
        <w:pStyle w:val="ListParagraph"/>
        <w:tabs>
          <w:tab w:val="left" w:pos="90"/>
        </w:tabs>
        <w:ind w:left="360"/>
        <w:rPr>
          <w:rFonts w:ascii="Times New Roman" w:hAnsi="Times New Roman" w:cs="Times New Roman"/>
          <w:shd w:val="clear" w:color="auto" w:fill="FFFFFF"/>
        </w:rPr>
      </w:pPr>
    </w:p>
    <w:p w:rsidR="004C1ED4" w:rsidRPr="003C6F72" w:rsidP="00792111" w14:paraId="08AC7802" w14:textId="5221111F">
      <w:pPr>
        <w:pStyle w:val="ListParagraph"/>
        <w:tabs>
          <w:tab w:val="left" w:pos="90"/>
        </w:tabs>
        <w:ind w:left="360"/>
        <w:rPr>
          <w:rFonts w:ascii="Times New Roman" w:eastAsia="Times New Roman" w:hAnsi="Times New Roman" w:cs="Times New Roman"/>
          <w:bCs/>
        </w:rPr>
      </w:pPr>
      <w:r>
        <w:rPr>
          <w:rFonts w:ascii="Times New Roman" w:hAnsi="Times New Roman" w:cs="Times New Roman"/>
          <w:shd w:val="clear" w:color="auto" w:fill="FFFFFF"/>
        </w:rPr>
        <w:tab/>
      </w:r>
      <w:r w:rsidRPr="003C6F72" w:rsidR="00CF0C3B">
        <w:rPr>
          <w:rFonts w:ascii="Times New Roman" w:hAnsi="Times New Roman" w:cs="Times New Roman"/>
          <w:shd w:val="clear" w:color="auto" w:fill="FFFFFF"/>
        </w:rPr>
        <w:t xml:space="preserve">If this collection </w:t>
      </w:r>
      <w:r w:rsidRPr="003C6F72" w:rsidR="00371A3F">
        <w:rPr>
          <w:rFonts w:ascii="Times New Roman" w:hAnsi="Times New Roman" w:cs="Times New Roman"/>
          <w:shd w:val="clear" w:color="auto" w:fill="FFFFFF"/>
        </w:rPr>
        <w:t>were</w:t>
      </w:r>
      <w:r w:rsidRPr="003C6F72" w:rsidR="00CF0C3B">
        <w:rPr>
          <w:rFonts w:ascii="Times New Roman" w:hAnsi="Times New Roman" w:cs="Times New Roman"/>
          <w:shd w:val="clear" w:color="auto" w:fill="FFFFFF"/>
        </w:rPr>
        <w:t xml:space="preserve"> not performed,</w:t>
      </w:r>
      <w:r w:rsidRPr="003C6F72" w:rsidR="00C71743">
        <w:rPr>
          <w:rFonts w:ascii="Times New Roman" w:hAnsi="Times New Roman" w:cs="Times New Roman"/>
          <w:shd w:val="clear" w:color="auto" w:fill="FFFFFF"/>
        </w:rPr>
        <w:t xml:space="preserve"> or performed less frequently,</w:t>
      </w:r>
      <w:r w:rsidRPr="003C6F72" w:rsidR="00CF0C3B">
        <w:rPr>
          <w:rFonts w:ascii="Times New Roman" w:hAnsi="Times New Roman" w:cs="Times New Roman"/>
          <w:shd w:val="clear" w:color="auto" w:fill="FFFFFF"/>
        </w:rPr>
        <w:t xml:space="preserve"> the Commission w</w:t>
      </w:r>
      <w:r w:rsidRPr="003C6F72" w:rsidR="00371A3F">
        <w:rPr>
          <w:rFonts w:ascii="Times New Roman" w:hAnsi="Times New Roman" w:cs="Times New Roman"/>
          <w:shd w:val="clear" w:color="auto" w:fill="FFFFFF"/>
        </w:rPr>
        <w:t>ould</w:t>
      </w:r>
      <w:r w:rsidRPr="003C6F72" w:rsidR="00CF0C3B">
        <w:rPr>
          <w:rFonts w:ascii="Times New Roman" w:hAnsi="Times New Roman" w:cs="Times New Roman"/>
          <w:shd w:val="clear" w:color="auto" w:fill="FFFFFF"/>
        </w:rPr>
        <w:t xml:space="preserve"> not have </w:t>
      </w:r>
      <w:r w:rsidRPr="003C6F72" w:rsidR="00ED3F33">
        <w:rPr>
          <w:rFonts w:ascii="Times New Roman" w:hAnsi="Times New Roman" w:cs="Times New Roman"/>
          <w:shd w:val="clear" w:color="auto" w:fill="FFFFFF"/>
        </w:rPr>
        <w:t>reliable</w:t>
      </w:r>
      <w:r w:rsidRPr="003C6F72" w:rsidR="00CF0C3B">
        <w:rPr>
          <w:rFonts w:ascii="Times New Roman" w:hAnsi="Times New Roman" w:cs="Times New Roman"/>
          <w:shd w:val="clear" w:color="auto" w:fill="FFFFFF"/>
        </w:rPr>
        <w:t xml:space="preserve"> information on </w:t>
      </w:r>
      <w:r w:rsidRPr="003C6F72" w:rsidR="00ED3F33">
        <w:rPr>
          <w:rFonts w:ascii="Times New Roman" w:hAnsi="Times New Roman" w:cs="Times New Roman"/>
          <w:shd w:val="clear" w:color="auto" w:fill="FFFFFF"/>
        </w:rPr>
        <w:t>the effectiveness of</w:t>
      </w:r>
      <w:r w:rsidRPr="003C6F72" w:rsidR="00CF0C3B">
        <w:rPr>
          <w:rFonts w:ascii="Times New Roman" w:hAnsi="Times New Roman" w:cs="Times New Roman"/>
          <w:shd w:val="clear" w:color="auto" w:fill="FFFFFF"/>
        </w:rPr>
        <w:t xml:space="preserve"> </w:t>
      </w:r>
      <w:r w:rsidRPr="003C6F72" w:rsidR="00371A3F">
        <w:rPr>
          <w:rFonts w:ascii="Times New Roman" w:hAnsi="Times New Roman" w:cs="Times New Roman"/>
          <w:shd w:val="clear" w:color="auto" w:fill="FFFFFF"/>
        </w:rPr>
        <w:t>the</w:t>
      </w:r>
      <w:r w:rsidRPr="003C6F72" w:rsidR="00C71743">
        <w:rPr>
          <w:rFonts w:ascii="Times New Roman" w:hAnsi="Times New Roman" w:cs="Times New Roman"/>
          <w:shd w:val="clear" w:color="auto" w:fill="FFFFFF"/>
        </w:rPr>
        <w:t xml:space="preserve"> MDRI in the aftermath of disasters and assurances that providers are taking steps necessary to</w:t>
      </w:r>
      <w:r w:rsidRPr="003C6F72" w:rsidR="00027CD9">
        <w:rPr>
          <w:rFonts w:ascii="Times New Roman" w:hAnsi="Times New Roman" w:cs="Times New Roman"/>
          <w:shd w:val="clear" w:color="auto" w:fill="FFFFFF"/>
        </w:rPr>
        <w:t xml:space="preserve"> comply with the MDRI and</w:t>
      </w:r>
      <w:r w:rsidRPr="003C6F72" w:rsidR="00CB7107">
        <w:rPr>
          <w:rFonts w:ascii="Times New Roman" w:hAnsi="Times New Roman" w:cs="Times New Roman"/>
          <w:shd w:val="clear" w:color="auto" w:fill="FFFFFF"/>
        </w:rPr>
        <w:t xml:space="preserve"> achieve </w:t>
      </w:r>
      <w:r w:rsidRPr="003C6F72" w:rsidR="00027CD9">
        <w:rPr>
          <w:rFonts w:ascii="Times New Roman" w:hAnsi="Times New Roman" w:cs="Times New Roman"/>
          <w:shd w:val="clear" w:color="auto" w:fill="FFFFFF"/>
        </w:rPr>
        <w:t xml:space="preserve">greater </w:t>
      </w:r>
      <w:r w:rsidRPr="003C6F72" w:rsidR="00CB7107">
        <w:rPr>
          <w:rFonts w:ascii="Times New Roman" w:hAnsi="Times New Roman" w:cs="Times New Roman"/>
          <w:shd w:val="clear" w:color="auto" w:fill="FFFFFF"/>
        </w:rPr>
        <w:t>network reliability and resiliency.</w:t>
      </w:r>
      <w:r w:rsidRPr="003C6F72" w:rsidR="00C11876">
        <w:rPr>
          <w:rFonts w:ascii="Times New Roman" w:hAnsi="Times New Roman" w:cs="Times New Roman"/>
          <w:shd w:val="clear" w:color="auto" w:fill="FFFFFF"/>
        </w:rPr>
        <w:t xml:space="preserve"> </w:t>
      </w:r>
      <w:r w:rsidR="007947E5">
        <w:rPr>
          <w:rFonts w:ascii="Times New Roman" w:hAnsi="Times New Roman" w:cs="Times New Roman"/>
          <w:shd w:val="clear" w:color="auto" w:fill="FFFFFF"/>
        </w:rPr>
        <w:t xml:space="preserve"> </w:t>
      </w:r>
      <w:r w:rsidRPr="003C6F72" w:rsidR="00C11876">
        <w:rPr>
          <w:rFonts w:ascii="Times New Roman" w:hAnsi="Times New Roman" w:cs="Times New Roman"/>
          <w:shd w:val="clear" w:color="auto" w:fill="FFFFFF"/>
        </w:rPr>
        <w:t>In some cases</w:t>
      </w:r>
      <w:r w:rsidRPr="003C6F72" w:rsidR="00A65FBC">
        <w:rPr>
          <w:rFonts w:ascii="Times New Roman" w:hAnsi="Times New Roman" w:cs="Times New Roman"/>
          <w:shd w:val="clear" w:color="auto" w:fill="FFFFFF"/>
        </w:rPr>
        <w:t xml:space="preserve"> (e.g., related to the issu</w:t>
      </w:r>
      <w:r w:rsidRPr="003C6F72" w:rsidR="003366A8">
        <w:rPr>
          <w:rFonts w:ascii="Times New Roman" w:hAnsi="Times New Roman" w:cs="Times New Roman"/>
          <w:shd w:val="clear" w:color="auto" w:fill="FFFFFF"/>
        </w:rPr>
        <w:t xml:space="preserve">ance </w:t>
      </w:r>
      <w:r w:rsidRPr="003C6F72" w:rsidR="00A65FBC">
        <w:rPr>
          <w:rFonts w:ascii="Times New Roman" w:hAnsi="Times New Roman" w:cs="Times New Roman"/>
          <w:shd w:val="clear" w:color="auto" w:fill="FFFFFF"/>
        </w:rPr>
        <w:t>of written roaming denials</w:t>
      </w:r>
      <w:r w:rsidRPr="003C6F72" w:rsidR="003366A8">
        <w:rPr>
          <w:rFonts w:ascii="Times New Roman" w:hAnsi="Times New Roman" w:cs="Times New Roman"/>
          <w:shd w:val="clear" w:color="auto" w:fill="FFFFFF"/>
        </w:rPr>
        <w:t xml:space="preserve"> by host providers to requesting providers</w:t>
      </w:r>
      <w:r w:rsidRPr="003C6F72" w:rsidR="00A65FBC">
        <w:rPr>
          <w:rFonts w:ascii="Times New Roman" w:hAnsi="Times New Roman" w:cs="Times New Roman"/>
          <w:shd w:val="clear" w:color="auto" w:fill="FFFFFF"/>
        </w:rPr>
        <w:t>)</w:t>
      </w:r>
      <w:r w:rsidRPr="003C6F72" w:rsidR="00C11876">
        <w:rPr>
          <w:rFonts w:ascii="Times New Roman" w:hAnsi="Times New Roman" w:cs="Times New Roman"/>
          <w:shd w:val="clear" w:color="auto" w:fill="FFFFFF"/>
        </w:rPr>
        <w:t>, providers would not</w:t>
      </w:r>
      <w:r w:rsidRPr="003C6F72" w:rsidR="003366A8">
        <w:rPr>
          <w:rFonts w:ascii="Times New Roman" w:hAnsi="Times New Roman" w:cs="Times New Roman"/>
          <w:shd w:val="clear" w:color="auto" w:fill="FFFFFF"/>
        </w:rPr>
        <w:t xml:space="preserve"> otherwise</w:t>
      </w:r>
      <w:r w:rsidRPr="003C6F72" w:rsidR="00C11876">
        <w:rPr>
          <w:rFonts w:ascii="Times New Roman" w:hAnsi="Times New Roman" w:cs="Times New Roman"/>
          <w:shd w:val="clear" w:color="auto" w:fill="FFFFFF"/>
        </w:rPr>
        <w:t xml:space="preserve"> have sufficient information available to </w:t>
      </w:r>
      <w:r w:rsidRPr="003C6F72" w:rsidR="00AD1330">
        <w:rPr>
          <w:rFonts w:ascii="Times New Roman" w:hAnsi="Times New Roman" w:cs="Times New Roman"/>
          <w:shd w:val="clear" w:color="auto" w:fill="FFFFFF"/>
        </w:rPr>
        <w:t>ensure that their customers</w:t>
      </w:r>
      <w:r w:rsidRPr="003C6F72" w:rsidR="00155265">
        <w:rPr>
          <w:rFonts w:ascii="Times New Roman" w:hAnsi="Times New Roman" w:cs="Times New Roman"/>
          <w:shd w:val="clear" w:color="auto" w:fill="FFFFFF"/>
        </w:rPr>
        <w:t xml:space="preserve"> remain</w:t>
      </w:r>
      <w:r w:rsidRPr="003C6F72" w:rsidR="00A65FBC">
        <w:rPr>
          <w:rFonts w:ascii="Times New Roman" w:hAnsi="Times New Roman" w:cs="Times New Roman"/>
          <w:shd w:val="clear" w:color="auto" w:fill="FFFFFF"/>
        </w:rPr>
        <w:t xml:space="preserve"> connected to critical services during emergency events</w:t>
      </w:r>
      <w:r w:rsidRPr="003C6F72" w:rsidR="00AD1330">
        <w:rPr>
          <w:rFonts w:ascii="Times New Roman" w:hAnsi="Times New Roman" w:cs="Times New Roman"/>
          <w:shd w:val="clear" w:color="auto" w:fill="FFFFFF"/>
        </w:rPr>
        <w:t xml:space="preserve"> to the maximum extent possible</w:t>
      </w:r>
      <w:r w:rsidRPr="003C6F72" w:rsidR="00A65FBC">
        <w:rPr>
          <w:rFonts w:ascii="Times New Roman" w:hAnsi="Times New Roman" w:cs="Times New Roman"/>
          <w:shd w:val="clear" w:color="auto" w:fill="FFFFFF"/>
        </w:rPr>
        <w:t>.</w:t>
      </w:r>
      <w:r w:rsidRPr="003C6F72" w:rsidR="00CB7107">
        <w:rPr>
          <w:rFonts w:ascii="Times New Roman" w:hAnsi="Times New Roman" w:cs="Times New Roman"/>
          <w:shd w:val="clear" w:color="auto" w:fill="FFFFFF"/>
        </w:rPr>
        <w:t xml:space="preserve">  A f</w:t>
      </w:r>
      <w:r w:rsidRPr="003C6F72">
        <w:rPr>
          <w:rFonts w:ascii="Times New Roman" w:eastAsia="Times New Roman" w:hAnsi="Times New Roman" w:cs="Times New Roman"/>
          <w:bCs/>
        </w:rPr>
        <w:t xml:space="preserve">ailure to collect this information </w:t>
      </w:r>
      <w:r w:rsidRPr="003C6F72" w:rsidR="00CB7107">
        <w:rPr>
          <w:rFonts w:ascii="Times New Roman" w:eastAsia="Times New Roman" w:hAnsi="Times New Roman" w:cs="Times New Roman"/>
          <w:bCs/>
        </w:rPr>
        <w:t>would thus a</w:t>
      </w:r>
      <w:r w:rsidRPr="003C6F72">
        <w:rPr>
          <w:rFonts w:ascii="Times New Roman" w:eastAsia="Times New Roman" w:hAnsi="Times New Roman" w:cs="Times New Roman"/>
          <w:bCs/>
        </w:rPr>
        <w:t>dversely impact the Commission’s ability to carry out its Congressionally-mandated objective of aiding the national defense and promoting the safety of life and property by regulating wire and radio communications</w:t>
      </w:r>
      <w:r w:rsidRPr="003C6F72" w:rsidR="00CB7107">
        <w:rPr>
          <w:rFonts w:ascii="Times New Roman" w:eastAsia="Times New Roman" w:hAnsi="Times New Roman" w:cs="Times New Roman"/>
          <w:bCs/>
        </w:rPr>
        <w:t>.</w:t>
      </w:r>
    </w:p>
    <w:p w:rsidR="00792111" w:rsidRPr="003C6F72" w:rsidP="00792111" w14:paraId="6FCB0FE8" w14:textId="77777777">
      <w:pPr>
        <w:pStyle w:val="ListParagraph"/>
        <w:tabs>
          <w:tab w:val="left" w:pos="90"/>
        </w:tabs>
        <w:ind w:left="360"/>
        <w:rPr>
          <w:rFonts w:ascii="Times New Roman" w:eastAsia="Calibri" w:hAnsi="Times New Roman" w:cs="Times New Roman"/>
        </w:rPr>
      </w:pPr>
    </w:p>
    <w:p w:rsidR="00ED1F62" w:rsidRPr="00ED1F62" w:rsidP="0017082F" w14:paraId="05FC35F8" w14:textId="3E9342B8">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shd w:val="clear" w:color="auto" w:fill="FFFFFF"/>
        </w:rPr>
        <w:t xml:space="preserve">Explain any special circumstances that would cause an information collected in a manner </w:t>
      </w:r>
      <w:r w:rsidRPr="00ED1F62">
        <w:rPr>
          <w:rFonts w:ascii="Times New Roman" w:hAnsi="Times New Roman" w:cs="Times New Roman"/>
          <w:b/>
          <w:bCs/>
          <w:i/>
          <w:iCs/>
          <w:shd w:val="clear" w:color="auto" w:fill="FFFFFF"/>
        </w:rPr>
        <w:t>inconsistent</w:t>
      </w:r>
      <w:r>
        <w:rPr>
          <w:rFonts w:ascii="Times New Roman" w:hAnsi="Times New Roman" w:cs="Times New Roman"/>
          <w:b/>
          <w:bCs/>
          <w:shd w:val="clear" w:color="auto" w:fill="FFFFFF"/>
        </w:rPr>
        <w:t xml:space="preserve"> with OMB’s guidelines which are stated in 5 C.F.R. </w:t>
      </w:r>
      <w:r w:rsidRPr="00ED1F62">
        <w:rPr>
          <w:rFonts w:ascii="Times New Roman" w:hAnsi="Times New Roman" w:cs="Times New Roman"/>
          <w:b/>
          <w:bCs/>
        </w:rPr>
        <w:t>§</w:t>
      </w:r>
      <w:r>
        <w:rPr>
          <w:rFonts w:ascii="Times New Roman" w:hAnsi="Times New Roman" w:cs="Times New Roman"/>
          <w:shd w:val="clear" w:color="auto" w:fill="FFFFFF"/>
        </w:rPr>
        <w:t xml:space="preserve"> </w:t>
      </w:r>
      <w:r>
        <w:rPr>
          <w:rFonts w:ascii="Times New Roman" w:hAnsi="Times New Roman" w:cs="Times New Roman"/>
          <w:b/>
          <w:bCs/>
          <w:shd w:val="clear" w:color="auto" w:fill="FFFFFF"/>
        </w:rPr>
        <w:t>1320.5(d)(2).</w:t>
      </w:r>
      <w:r w:rsidR="00E4670D">
        <w:rPr>
          <w:rFonts w:ascii="Times New Roman" w:hAnsi="Times New Roman" w:cs="Times New Roman"/>
          <w:b/>
          <w:bCs/>
          <w:shd w:val="clear" w:color="auto" w:fill="FFFFFF"/>
        </w:rPr>
        <w:br/>
      </w:r>
    </w:p>
    <w:p w:rsidR="00767025" w:rsidP="00F9502C" w14:paraId="52D039D8" w14:textId="336CA608">
      <w:pPr>
        <w:pStyle w:val="ListParagraph"/>
        <w:tabs>
          <w:tab w:val="left" w:pos="90"/>
        </w:tabs>
        <w:ind w:left="360"/>
        <w:rPr>
          <w:rFonts w:ascii="Times New Roman" w:eastAsia="Times New Roman" w:hAnsi="Times New Roman" w:cs="Times New Roman"/>
          <w:bCs/>
        </w:rPr>
      </w:pPr>
      <w:r>
        <w:rPr>
          <w:rFonts w:ascii="Times New Roman" w:hAnsi="Times New Roman" w:cs="Times New Roman"/>
          <w:shd w:val="clear" w:color="auto" w:fill="FFFFFF"/>
        </w:rPr>
        <w:tab/>
      </w:r>
      <w:r w:rsidRPr="003C6F72" w:rsidR="00531A4E">
        <w:rPr>
          <w:rFonts w:ascii="Times New Roman" w:hAnsi="Times New Roman" w:cs="Times New Roman"/>
          <w:shd w:val="clear" w:color="auto" w:fill="FFFFFF"/>
        </w:rPr>
        <w:t xml:space="preserve">This collection of information is consistent with the guidelines in 5 CFR </w:t>
      </w:r>
      <w:r w:rsidRPr="003C6F72" w:rsidR="008E5847">
        <w:rPr>
          <w:rFonts w:ascii="Times New Roman" w:hAnsi="Times New Roman" w:cs="Times New Roman"/>
        </w:rPr>
        <w:t xml:space="preserve">§ </w:t>
      </w:r>
      <w:r w:rsidRPr="003C6F72" w:rsidR="00531A4E">
        <w:rPr>
          <w:rFonts w:ascii="Times New Roman" w:hAnsi="Times New Roman" w:cs="Times New Roman"/>
          <w:shd w:val="clear" w:color="auto" w:fill="FFFFFF"/>
        </w:rPr>
        <w:t>1320.5(d)(2).</w:t>
      </w:r>
      <w:r w:rsidR="00F9502C">
        <w:rPr>
          <w:rFonts w:ascii="Times New Roman" w:hAnsi="Times New Roman" w:cs="Times New Roman"/>
          <w:shd w:val="clear" w:color="auto" w:fill="FFFFFF"/>
        </w:rPr>
        <w:t xml:space="preserve">  </w:t>
      </w:r>
      <w:r w:rsidRPr="00F9502C" w:rsidR="005D28DC">
        <w:rPr>
          <w:rFonts w:ascii="Times New Roman" w:eastAsia="Times New Roman" w:hAnsi="Times New Roman" w:cs="Times New Roman"/>
          <w:bCs/>
        </w:rPr>
        <w:t>The collection will require providers</w:t>
      </w:r>
      <w:r w:rsidRPr="00F9502C" w:rsidR="00AB5806">
        <w:rPr>
          <w:rFonts w:ascii="Times New Roman" w:eastAsia="Times New Roman" w:hAnsi="Times New Roman" w:cs="Times New Roman"/>
          <w:bCs/>
        </w:rPr>
        <w:t xml:space="preserve"> </w:t>
      </w:r>
      <w:r w:rsidRPr="00F9502C" w:rsidR="00AB5806">
        <w:rPr>
          <w:rFonts w:ascii="Times New Roman" w:hAnsi="Times New Roman" w:cs="Times New Roman"/>
        </w:rPr>
        <w:t xml:space="preserve">to submit reports to the Commission detailing the timing, duration </w:t>
      </w:r>
      <w:r w:rsidRPr="00F9502C" w:rsidR="00AB5806">
        <w:rPr>
          <w:rFonts w:ascii="Times New Roman" w:hAnsi="Times New Roman" w:cs="Times New Roman"/>
        </w:rPr>
        <w:t>and effectiveness of their implementation of the Mandatory Disaster Response Initiative’s provisions within 60 days of when the Public Safety and Homeland Security Bureau issues a Public Notice announcing such reports must be filed for providers operating in a certain geographic area in the aftermath of a disaster</w:t>
      </w:r>
      <w:r w:rsidRPr="00F9502C" w:rsidR="00074395">
        <w:rPr>
          <w:rFonts w:ascii="Times New Roman" w:hAnsi="Times New Roman" w:cs="Times New Roman"/>
        </w:rPr>
        <w:t>.</w:t>
      </w:r>
      <w:r w:rsidRPr="00F9502C" w:rsidR="007D6010">
        <w:rPr>
          <w:rFonts w:ascii="Times New Roman" w:eastAsia="Times New Roman" w:hAnsi="Times New Roman" w:cs="Times New Roman"/>
          <w:bCs/>
        </w:rPr>
        <w:t xml:space="preserve">  </w:t>
      </w:r>
      <w:r w:rsidRPr="00F9502C" w:rsidR="005D1B51">
        <w:rPr>
          <w:rFonts w:ascii="Times New Roman" w:eastAsia="Times New Roman" w:hAnsi="Times New Roman" w:cs="Times New Roman"/>
          <w:bCs/>
        </w:rPr>
        <w:t xml:space="preserve">Because </w:t>
      </w:r>
      <w:r w:rsidRPr="00F9502C" w:rsidR="00074395">
        <w:rPr>
          <w:rFonts w:ascii="Times New Roman" w:eastAsia="Times New Roman" w:hAnsi="Times New Roman" w:cs="Times New Roman"/>
          <w:bCs/>
        </w:rPr>
        <w:t>disaster</w:t>
      </w:r>
      <w:r w:rsidRPr="00F9502C" w:rsidR="00734E17">
        <w:rPr>
          <w:rFonts w:ascii="Times New Roman" w:eastAsia="Times New Roman" w:hAnsi="Times New Roman" w:cs="Times New Roman"/>
          <w:bCs/>
        </w:rPr>
        <w:t xml:space="preserve"> events occur with an unpredictable </w:t>
      </w:r>
      <w:r w:rsidRPr="00F9502C" w:rsidR="005D1B51">
        <w:rPr>
          <w:rFonts w:ascii="Times New Roman" w:eastAsia="Times New Roman" w:hAnsi="Times New Roman" w:cs="Times New Roman"/>
          <w:bCs/>
        </w:rPr>
        <w:t>frequency</w:t>
      </w:r>
      <w:r w:rsidRPr="00F9502C" w:rsidR="00734E17">
        <w:rPr>
          <w:rFonts w:ascii="Times New Roman" w:eastAsia="Times New Roman" w:hAnsi="Times New Roman" w:cs="Times New Roman"/>
          <w:bCs/>
        </w:rPr>
        <w:t xml:space="preserve"> </w:t>
      </w:r>
      <w:r w:rsidRPr="00F9502C" w:rsidR="005D1B51">
        <w:rPr>
          <w:rFonts w:ascii="Times New Roman" w:eastAsia="Times New Roman" w:hAnsi="Times New Roman" w:cs="Times New Roman"/>
          <w:bCs/>
        </w:rPr>
        <w:t xml:space="preserve">and geographic </w:t>
      </w:r>
      <w:r w:rsidRPr="00F9502C" w:rsidR="00A7643C">
        <w:rPr>
          <w:rFonts w:ascii="Times New Roman" w:eastAsia="Times New Roman" w:hAnsi="Times New Roman" w:cs="Times New Roman"/>
          <w:bCs/>
        </w:rPr>
        <w:t>span</w:t>
      </w:r>
      <w:r w:rsidRPr="00F9502C" w:rsidR="005D1B51">
        <w:rPr>
          <w:rFonts w:ascii="Times New Roman" w:eastAsia="Times New Roman" w:hAnsi="Times New Roman" w:cs="Times New Roman"/>
          <w:bCs/>
        </w:rPr>
        <w:t xml:space="preserve">, the Commission cannot rule out the possibility that </w:t>
      </w:r>
      <w:r w:rsidRPr="00F9502C" w:rsidR="00A7643C">
        <w:rPr>
          <w:rFonts w:ascii="Times New Roman" w:eastAsia="Times New Roman" w:hAnsi="Times New Roman" w:cs="Times New Roman"/>
          <w:bCs/>
        </w:rPr>
        <w:t>providers</w:t>
      </w:r>
      <w:r w:rsidRPr="00F9502C" w:rsidR="005D1B51">
        <w:rPr>
          <w:rFonts w:ascii="Times New Roman" w:eastAsia="Times New Roman" w:hAnsi="Times New Roman" w:cs="Times New Roman"/>
          <w:bCs/>
        </w:rPr>
        <w:t xml:space="preserve"> would be required to </w:t>
      </w:r>
      <w:r w:rsidRPr="00F9502C" w:rsidR="00A7643C">
        <w:rPr>
          <w:rFonts w:ascii="Times New Roman" w:eastAsia="Times New Roman" w:hAnsi="Times New Roman" w:cs="Times New Roman"/>
          <w:bCs/>
        </w:rPr>
        <w:t>supply such reports to the Commission more often tha</w:t>
      </w:r>
      <w:r w:rsidRPr="00F9502C" w:rsidR="00933A58">
        <w:rPr>
          <w:rFonts w:ascii="Times New Roman" w:eastAsia="Times New Roman" w:hAnsi="Times New Roman" w:cs="Times New Roman"/>
          <w:bCs/>
        </w:rPr>
        <w:t>n</w:t>
      </w:r>
      <w:r w:rsidRPr="00F9502C" w:rsidR="00A7643C">
        <w:rPr>
          <w:rFonts w:ascii="Times New Roman" w:eastAsia="Times New Roman" w:hAnsi="Times New Roman" w:cs="Times New Roman"/>
          <w:bCs/>
        </w:rPr>
        <w:t xml:space="preserve"> quarterly on </w:t>
      </w:r>
      <w:r w:rsidRPr="00F9502C" w:rsidR="002337EA">
        <w:rPr>
          <w:rFonts w:ascii="Times New Roman" w:eastAsia="Times New Roman" w:hAnsi="Times New Roman" w:cs="Times New Roman"/>
          <w:bCs/>
        </w:rPr>
        <w:t>occasion</w:t>
      </w:r>
      <w:r w:rsidRPr="00F9502C" w:rsidR="00A7643C">
        <w:rPr>
          <w:rFonts w:ascii="Times New Roman" w:eastAsia="Times New Roman" w:hAnsi="Times New Roman" w:cs="Times New Roman"/>
          <w:bCs/>
        </w:rPr>
        <w:t xml:space="preserve">. </w:t>
      </w:r>
    </w:p>
    <w:p w:rsidR="007804BF" w:rsidRPr="00F9502C" w:rsidP="00F9502C" w14:paraId="3EFF9133" w14:textId="77777777">
      <w:pPr>
        <w:pStyle w:val="ListParagraph"/>
        <w:tabs>
          <w:tab w:val="left" w:pos="90"/>
        </w:tabs>
        <w:ind w:left="360"/>
        <w:rPr>
          <w:rFonts w:ascii="Times New Roman" w:eastAsia="Calibri" w:hAnsi="Times New Roman" w:cs="Times New Roman"/>
          <w:b/>
          <w:bCs/>
        </w:rPr>
      </w:pPr>
    </w:p>
    <w:p w:rsidR="00767025" w:rsidP="00767025" w14:paraId="6FFD98EC" w14:textId="6D722E49">
      <w:pPr>
        <w:pStyle w:val="ListParagraph"/>
        <w:tabs>
          <w:tab w:val="left" w:pos="90"/>
        </w:tabs>
        <w:ind w:left="360"/>
        <w:rPr>
          <w:rFonts w:ascii="Times New Roman" w:hAnsi="Times New Roman" w:cs="Times New Roman"/>
        </w:rPr>
      </w:pPr>
      <w:r>
        <w:rPr>
          <w:rFonts w:ascii="Times New Roman" w:eastAsia="Times New Roman" w:hAnsi="Times New Roman" w:cs="Times New Roman"/>
          <w:bCs/>
        </w:rPr>
        <w:tab/>
      </w:r>
      <w:r w:rsidRPr="003C6F72" w:rsidR="00023E90">
        <w:rPr>
          <w:rFonts w:ascii="Times New Roman" w:eastAsia="Times New Roman" w:hAnsi="Times New Roman" w:cs="Times New Roman"/>
          <w:bCs/>
        </w:rPr>
        <w:t xml:space="preserve">Similarly, providers may </w:t>
      </w:r>
      <w:r w:rsidRPr="003C6F72" w:rsidR="007A58BF">
        <w:rPr>
          <w:rFonts w:ascii="Times New Roman" w:eastAsia="Times New Roman" w:hAnsi="Times New Roman" w:cs="Times New Roman"/>
          <w:bCs/>
        </w:rPr>
        <w:t xml:space="preserve">include information in these reports that could constitute </w:t>
      </w:r>
      <w:r w:rsidRPr="003C6F72" w:rsidR="007D6010">
        <w:rPr>
          <w:rFonts w:ascii="Times New Roman" w:hAnsi="Times New Roman" w:cs="Times New Roman"/>
          <w:color w:val="000000"/>
        </w:rPr>
        <w:t>proprietary trade secrets</w:t>
      </w:r>
      <w:r w:rsidRPr="003C6F72" w:rsidR="007A58BF">
        <w:rPr>
          <w:rFonts w:ascii="Times New Roman" w:hAnsi="Times New Roman" w:cs="Times New Roman"/>
          <w:color w:val="000000"/>
        </w:rPr>
        <w:t xml:space="preserve"> and/</w:t>
      </w:r>
      <w:r w:rsidRPr="003C6F72" w:rsidR="007D6010">
        <w:rPr>
          <w:rFonts w:ascii="Times New Roman" w:hAnsi="Times New Roman" w:cs="Times New Roman"/>
          <w:color w:val="000000"/>
        </w:rPr>
        <w:t>or other confidential information</w:t>
      </w:r>
      <w:r w:rsidRPr="003C6F72" w:rsidR="007A58BF">
        <w:rPr>
          <w:rFonts w:ascii="Times New Roman" w:hAnsi="Times New Roman" w:cs="Times New Roman"/>
          <w:color w:val="000000"/>
        </w:rPr>
        <w:t xml:space="preserve">.  </w:t>
      </w:r>
      <w:r w:rsidRPr="003C6F72" w:rsidR="000D640E">
        <w:rPr>
          <w:rFonts w:ascii="Times New Roman" w:hAnsi="Times New Roman" w:cs="Times New Roman"/>
          <w:color w:val="000000"/>
        </w:rPr>
        <w:t xml:space="preserve">Providers </w:t>
      </w:r>
      <w:r w:rsidRPr="003C6F72" w:rsidR="00E41EC8">
        <w:rPr>
          <w:rFonts w:ascii="Times New Roman" w:hAnsi="Times New Roman" w:cs="Times New Roman"/>
          <w:color w:val="000000"/>
        </w:rPr>
        <w:t>may</w:t>
      </w:r>
      <w:r w:rsidRPr="003C6F72" w:rsidR="004A74FB">
        <w:rPr>
          <w:rFonts w:ascii="Times New Roman" w:hAnsi="Times New Roman" w:cs="Times New Roman"/>
          <w:color w:val="000000"/>
        </w:rPr>
        <w:t xml:space="preserve"> request that such reports </w:t>
      </w:r>
      <w:r w:rsidRPr="003C6F72" w:rsidR="00D06710">
        <w:rPr>
          <w:rFonts w:ascii="Times New Roman" w:hAnsi="Times New Roman" w:cs="Times New Roman"/>
        </w:rPr>
        <w:t xml:space="preserve">be withheld from public inspection (be kept confidential) </w:t>
      </w:r>
      <w:r w:rsidRPr="003C6F72" w:rsidR="004A74FB">
        <w:rPr>
          <w:rFonts w:ascii="Times New Roman" w:hAnsi="Times New Roman" w:cs="Times New Roman"/>
        </w:rPr>
        <w:t>under section 0.459 of the Commission’s rules.</w:t>
      </w:r>
      <w:r>
        <w:rPr>
          <w:rStyle w:val="FootnoteReference"/>
          <w:rFonts w:ascii="Times New Roman" w:hAnsi="Times New Roman" w:cs="Times New Roman"/>
        </w:rPr>
        <w:footnoteReference w:id="20"/>
      </w:r>
      <w:r w:rsidRPr="003C6F72" w:rsidR="004A74FB">
        <w:rPr>
          <w:rFonts w:ascii="Times New Roman" w:hAnsi="Times New Roman" w:cs="Times New Roman"/>
        </w:rPr>
        <w:t xml:space="preserve">  S</w:t>
      </w:r>
      <w:r w:rsidRPr="003C6F72" w:rsidR="00D06710">
        <w:rPr>
          <w:rFonts w:ascii="Times New Roman" w:hAnsi="Times New Roman" w:cs="Times New Roman"/>
        </w:rPr>
        <w:t>uch requests must address the substantive criteria in section 0.459(b) of the Commission’s rules and must describe the specific portion(s) of the submitted material for which confidentiality is sought.</w:t>
      </w:r>
    </w:p>
    <w:p w:rsidR="007804BF" w:rsidRPr="003C6F72" w:rsidP="00767025" w14:paraId="5066A1C7" w14:textId="77777777">
      <w:pPr>
        <w:pStyle w:val="ListParagraph"/>
        <w:tabs>
          <w:tab w:val="left" w:pos="90"/>
        </w:tabs>
        <w:ind w:left="360"/>
        <w:rPr>
          <w:rFonts w:ascii="Times New Roman" w:hAnsi="Times New Roman" w:cs="Times New Roman"/>
        </w:rPr>
      </w:pPr>
    </w:p>
    <w:p w:rsidR="007A58BF" w:rsidRPr="003C6F72" w:rsidP="00EC3C9C" w14:paraId="7CE1888E" w14:textId="3BBBF4CE">
      <w:pPr>
        <w:pStyle w:val="ListParagraph"/>
        <w:tabs>
          <w:tab w:val="left" w:pos="90"/>
        </w:tabs>
        <w:ind w:left="360"/>
        <w:rPr>
          <w:rFonts w:ascii="Times New Roman" w:eastAsia="Times New Roman" w:hAnsi="Times New Roman" w:cs="Times New Roman"/>
          <w:bCs/>
        </w:rPr>
      </w:pPr>
      <w:r>
        <w:rPr>
          <w:rFonts w:ascii="Times New Roman" w:hAnsi="Times New Roman" w:cs="Times New Roman"/>
          <w:shd w:val="clear" w:color="auto" w:fill="FFFFFF"/>
        </w:rPr>
        <w:tab/>
      </w:r>
      <w:r w:rsidRPr="003C6F72">
        <w:rPr>
          <w:rFonts w:ascii="Times New Roman" w:hAnsi="Times New Roman" w:cs="Times New Roman"/>
          <w:shd w:val="clear" w:color="auto" w:fill="FFFFFF"/>
        </w:rPr>
        <w:t>A f</w:t>
      </w:r>
      <w:r w:rsidRPr="003C6F72">
        <w:rPr>
          <w:rFonts w:ascii="Times New Roman" w:eastAsia="Times New Roman" w:hAnsi="Times New Roman" w:cs="Times New Roman"/>
          <w:bCs/>
        </w:rPr>
        <w:t>ailure to collect this information</w:t>
      </w:r>
      <w:r w:rsidRPr="003C6F72" w:rsidR="004A74FB">
        <w:rPr>
          <w:rFonts w:ascii="Times New Roman" w:eastAsia="Times New Roman" w:hAnsi="Times New Roman" w:cs="Times New Roman"/>
          <w:bCs/>
        </w:rPr>
        <w:t xml:space="preserve"> </w:t>
      </w:r>
      <w:r w:rsidRPr="003C6F72">
        <w:rPr>
          <w:rFonts w:ascii="Times New Roman" w:eastAsia="Times New Roman" w:hAnsi="Times New Roman" w:cs="Times New Roman"/>
          <w:bCs/>
        </w:rPr>
        <w:t>would adversely impact the Commission’s ability to carry out its Congressionally-mandated objective of aiding the national defense and promoting the safety of life and property by regulating wire and radio communications.</w:t>
      </w:r>
      <w:r w:rsidRPr="003C6F72" w:rsidR="00EC3C9C">
        <w:rPr>
          <w:rFonts w:ascii="Times New Roman" w:eastAsia="Times New Roman" w:hAnsi="Times New Roman" w:cs="Times New Roman"/>
          <w:bCs/>
        </w:rPr>
        <w:t xml:space="preserve">  Other than through these reports, which providers may be required to submit more often than quarterly on occasion (as described in the paragraph immediately above), </w:t>
      </w:r>
      <w:r w:rsidRPr="003C6F72">
        <w:rPr>
          <w:rFonts w:ascii="Times New Roman" w:eastAsia="Times New Roman" w:hAnsi="Times New Roman" w:cs="Times New Roman"/>
          <w:bCs/>
        </w:rPr>
        <w:t>the Commission does not expect this information collection to require that respondents report information to the Commission more often than quarterly.</w:t>
      </w:r>
    </w:p>
    <w:p w:rsidR="007A58BF" w:rsidRPr="003C6F72" w:rsidP="009C0D11" w14:paraId="03D0D0A9" w14:textId="77777777">
      <w:pPr>
        <w:pStyle w:val="ListParagraph"/>
        <w:rPr>
          <w:rFonts w:ascii="Times New Roman" w:eastAsia="Calibri" w:hAnsi="Times New Roman" w:cs="Times New Roman"/>
        </w:rPr>
      </w:pPr>
    </w:p>
    <w:p w:rsidR="00ED1F62" w:rsidP="00995F65" w14:paraId="25CCA53D" w14:textId="7FA04B5A">
      <w:pPr>
        <w:pStyle w:val="ListParagraph"/>
        <w:numPr>
          <w:ilvl w:val="0"/>
          <w:numId w:val="38"/>
        </w:numPr>
        <w:tabs>
          <w:tab w:val="left" w:pos="90"/>
        </w:tabs>
        <w:rPr>
          <w:rFonts w:ascii="Times New Roman" w:hAnsi="Times New Roman" w:cs="Times New Roman"/>
          <w:shd w:val="clear" w:color="auto" w:fill="FFFFFF"/>
        </w:rPr>
      </w:pPr>
      <w:r>
        <w:rPr>
          <w:rFonts w:ascii="Times New Roman" w:hAnsi="Times New Roman" w:cs="Times New Roman"/>
          <w:b/>
          <w:bCs/>
          <w:shd w:val="clear" w:color="auto" w:fill="FFFFFF"/>
        </w:rPr>
        <w:t xml:space="preserve">Identify the date and page number of publication in the Federal Register of the agency’s Paperwork Reduction Act (PRA) 60-day notice, required by 5 C.F.R. </w:t>
      </w:r>
      <w:r w:rsidRPr="00ED1F62">
        <w:rPr>
          <w:rFonts w:ascii="Times New Roman" w:hAnsi="Times New Roman" w:cs="Times New Roman"/>
          <w:b/>
          <w:bCs/>
        </w:rPr>
        <w:t>§</w:t>
      </w:r>
      <w:r>
        <w:rPr>
          <w:rFonts w:ascii="Times New Roman" w:hAnsi="Times New Roman" w:cs="Times New Roman"/>
          <w:shd w:val="clear" w:color="auto" w:fill="FFFFFF"/>
        </w:rPr>
        <w:t xml:space="preserve"> </w:t>
      </w:r>
      <w:r w:rsidRPr="00ED1F62">
        <w:rPr>
          <w:rFonts w:ascii="Times New Roman" w:hAnsi="Times New Roman" w:cs="Times New Roman"/>
          <w:b/>
          <w:bCs/>
          <w:shd w:val="clear" w:color="auto" w:fill="FFFFFF"/>
        </w:rPr>
        <w:t>1320.8(d), soliciting comments on the information collection requirement(s) prior to submission to OMB.</w:t>
      </w:r>
      <w:r w:rsidR="0050231D">
        <w:rPr>
          <w:rFonts w:ascii="Times New Roman" w:hAnsi="Times New Roman" w:cs="Times New Roman"/>
          <w:b/>
          <w:bCs/>
          <w:shd w:val="clear" w:color="auto" w:fill="FFFFFF"/>
        </w:rPr>
        <w:br/>
      </w:r>
    </w:p>
    <w:p w:rsidR="00B21255" w:rsidRPr="003A6449" w:rsidP="0050231D" w14:paraId="0D766C25" w14:textId="620324AA">
      <w:pPr>
        <w:ind w:left="360" w:firstLine="360"/>
        <w:rPr>
          <w:rFonts w:ascii="Times New Roman" w:hAnsi="Times New Roman" w:cs="Times New Roman"/>
        </w:rPr>
      </w:pPr>
      <w:r>
        <w:rPr>
          <w:rFonts w:ascii="Times New Roman" w:hAnsi="Times New Roman" w:cs="Times New Roman"/>
          <w:shd w:val="clear" w:color="auto" w:fill="FFFFFF"/>
        </w:rPr>
        <w:tab/>
      </w:r>
      <w:r w:rsidRPr="00995F65" w:rsidR="007757D9">
        <w:rPr>
          <w:rFonts w:ascii="Times New Roman" w:hAnsi="Times New Roman" w:cs="Times New Roman"/>
          <w:shd w:val="clear" w:color="auto" w:fill="FFFFFF"/>
        </w:rPr>
        <w:t>The Commission published a 60-day notice in the Federal Register seeking comments from the public on</w:t>
      </w:r>
      <w:r w:rsidRPr="00995F65" w:rsidR="00D03852">
        <w:rPr>
          <w:rFonts w:ascii="Times New Roman" w:hAnsi="Times New Roman" w:cs="Times New Roman"/>
          <w:shd w:val="clear" w:color="auto" w:fill="FFFFFF"/>
        </w:rPr>
        <w:t xml:space="preserve"> December 16, 2022 (87 FR 77110).  The Commission received one set of comments filed jointly by CTIA and the Competitive Carriers Association (CCA).  </w:t>
      </w:r>
      <w:r w:rsidRPr="003A6449">
        <w:rPr>
          <w:rFonts w:ascii="Times New Roman" w:hAnsi="Times New Roman" w:cs="Times New Roman"/>
        </w:rPr>
        <w:t>CCA and CTIA’s comment</w:t>
      </w:r>
      <w:r>
        <w:rPr>
          <w:rFonts w:ascii="Times New Roman" w:hAnsi="Times New Roman" w:cs="Times New Roman"/>
        </w:rPr>
        <w:t>s</w:t>
      </w:r>
      <w:r w:rsidRPr="003A6449">
        <w:rPr>
          <w:rFonts w:ascii="Times New Roman" w:hAnsi="Times New Roman" w:cs="Times New Roman"/>
        </w:rPr>
        <w:t xml:space="preserve"> claim that </w:t>
      </w:r>
      <w:r w:rsidRPr="00862865">
        <w:rPr>
          <w:rFonts w:ascii="Times New Roman" w:hAnsi="Times New Roman" w:cs="Times New Roman"/>
        </w:rPr>
        <w:t xml:space="preserve">the </w:t>
      </w:r>
      <w:r w:rsidRPr="003A6449">
        <w:rPr>
          <w:rFonts w:ascii="Times New Roman" w:hAnsi="Times New Roman" w:cs="Times New Roman"/>
          <w:i/>
          <w:iCs/>
        </w:rPr>
        <w:t xml:space="preserve">Resilient Networks Order </w:t>
      </w:r>
      <w:r w:rsidRPr="003A6449">
        <w:rPr>
          <w:rFonts w:ascii="Times New Roman" w:hAnsi="Times New Roman" w:cs="Times New Roman"/>
        </w:rPr>
        <w:t xml:space="preserve">does not </w:t>
      </w:r>
      <w:r>
        <w:rPr>
          <w:rFonts w:ascii="Times New Roman" w:hAnsi="Times New Roman" w:cs="Times New Roman"/>
        </w:rPr>
        <w:t>satisfy the requirements of the PRA.</w:t>
      </w:r>
      <w:r>
        <w:rPr>
          <w:rStyle w:val="FootnoteReference"/>
          <w:rFonts w:ascii="Times New Roman" w:hAnsi="Times New Roman" w:cs="Times New Roman"/>
        </w:rPr>
        <w:footnoteReference w:id="21"/>
      </w:r>
      <w:r w:rsidRPr="003A6449">
        <w:rPr>
          <w:rFonts w:ascii="Times New Roman" w:hAnsi="Times New Roman" w:cs="Times New Roman"/>
        </w:rPr>
        <w:t xml:space="preserve">  </w:t>
      </w:r>
      <w:r>
        <w:rPr>
          <w:rFonts w:ascii="Times New Roman" w:hAnsi="Times New Roman" w:cs="Times New Roman"/>
        </w:rPr>
        <w:t>T</w:t>
      </w:r>
      <w:r w:rsidRPr="003A6449">
        <w:rPr>
          <w:rFonts w:ascii="Times New Roman" w:hAnsi="Times New Roman" w:cs="Times New Roman"/>
        </w:rPr>
        <w:t>he</w:t>
      </w:r>
      <w:r>
        <w:rPr>
          <w:rFonts w:ascii="Times New Roman" w:hAnsi="Times New Roman" w:cs="Times New Roman"/>
        </w:rPr>
        <w:t>se</w:t>
      </w:r>
      <w:r w:rsidRPr="003A6449">
        <w:rPr>
          <w:rFonts w:ascii="Times New Roman" w:hAnsi="Times New Roman" w:cs="Times New Roman"/>
        </w:rPr>
        <w:t xml:space="preserve"> objections </w:t>
      </w:r>
      <w:r>
        <w:rPr>
          <w:rFonts w:ascii="Times New Roman" w:hAnsi="Times New Roman" w:cs="Times New Roman"/>
        </w:rPr>
        <w:t xml:space="preserve">either </w:t>
      </w:r>
      <w:r w:rsidRPr="003A6449">
        <w:rPr>
          <w:rFonts w:ascii="Times New Roman" w:hAnsi="Times New Roman" w:cs="Times New Roman"/>
        </w:rPr>
        <w:t>are not applicable</w:t>
      </w:r>
      <w:r>
        <w:rPr>
          <w:rFonts w:ascii="Times New Roman" w:hAnsi="Times New Roman" w:cs="Times New Roman"/>
        </w:rPr>
        <w:t xml:space="preserve"> to,</w:t>
      </w:r>
      <w:r w:rsidRPr="003A6449">
        <w:rPr>
          <w:rFonts w:ascii="Times New Roman" w:hAnsi="Times New Roman" w:cs="Times New Roman"/>
        </w:rPr>
        <w:t xml:space="preserve"> </w:t>
      </w:r>
      <w:r>
        <w:rPr>
          <w:rFonts w:ascii="Times New Roman" w:hAnsi="Times New Roman" w:cs="Times New Roman"/>
        </w:rPr>
        <w:t>or</w:t>
      </w:r>
      <w:r w:rsidRPr="003A6449">
        <w:rPr>
          <w:rFonts w:ascii="Times New Roman" w:hAnsi="Times New Roman" w:cs="Times New Roman"/>
        </w:rPr>
        <w:t xml:space="preserve"> do </w:t>
      </w:r>
      <w:r>
        <w:rPr>
          <w:rFonts w:ascii="Times New Roman" w:hAnsi="Times New Roman" w:cs="Times New Roman"/>
        </w:rPr>
        <w:t>not</w:t>
      </w:r>
      <w:r w:rsidRPr="003A6449">
        <w:rPr>
          <w:rFonts w:ascii="Times New Roman" w:hAnsi="Times New Roman" w:cs="Times New Roman"/>
        </w:rPr>
        <w:t xml:space="preserve"> reflect the </w:t>
      </w:r>
      <w:r>
        <w:rPr>
          <w:rFonts w:ascii="Times New Roman" w:hAnsi="Times New Roman" w:cs="Times New Roman"/>
        </w:rPr>
        <w:t>requirements</w:t>
      </w:r>
      <w:r w:rsidRPr="003A6449">
        <w:rPr>
          <w:rFonts w:ascii="Times New Roman" w:hAnsi="Times New Roman" w:cs="Times New Roman"/>
        </w:rPr>
        <w:t xml:space="preserve"> of</w:t>
      </w:r>
      <w:r>
        <w:rPr>
          <w:rFonts w:ascii="Times New Roman" w:hAnsi="Times New Roman" w:cs="Times New Roman"/>
        </w:rPr>
        <w:t>,</w:t>
      </w:r>
      <w:r w:rsidRPr="003A6449">
        <w:rPr>
          <w:rFonts w:ascii="Times New Roman" w:hAnsi="Times New Roman" w:cs="Times New Roman"/>
        </w:rPr>
        <w:t xml:space="preserve"> the Paperwork Reduction Act (PRA).  </w:t>
      </w:r>
    </w:p>
    <w:p w:rsidR="00B12B2F" w:rsidP="00B12B2F" w14:paraId="61E5E035" w14:textId="77777777">
      <w:pPr>
        <w:rPr>
          <w:rFonts w:ascii="Times New Roman" w:hAnsi="Times New Roman" w:cs="Times New Roman"/>
          <w:b/>
          <w:bCs/>
        </w:rPr>
      </w:pPr>
    </w:p>
    <w:p w:rsidR="00B21255" w:rsidP="00981068" w14:paraId="3A67D349" w14:textId="07AFFF99">
      <w:pPr>
        <w:ind w:left="360" w:firstLine="360"/>
        <w:rPr>
          <w:rFonts w:ascii="Times New Roman" w:hAnsi="Times New Roman" w:cs="Times New Roman"/>
        </w:rPr>
      </w:pPr>
      <w:r w:rsidRPr="005C140E">
        <w:rPr>
          <w:rFonts w:ascii="Times New Roman" w:hAnsi="Times New Roman" w:cs="Times New Roman"/>
          <w:i/>
          <w:iCs/>
        </w:rPr>
        <w:t>Whether the Commission Has Satisfied PRA Obligations Pertaining to the MDRI’s</w:t>
      </w:r>
      <w:r w:rsidRPr="005C140E" w:rsidR="00D9727F">
        <w:rPr>
          <w:rFonts w:ascii="Times New Roman" w:hAnsi="Times New Roman" w:cs="Times New Roman"/>
          <w:i/>
          <w:iCs/>
        </w:rPr>
        <w:t xml:space="preserve"> Roaming Agreements, Mutual Aid Arrangements, and</w:t>
      </w:r>
      <w:r w:rsidRPr="005C140E" w:rsidR="005C140E">
        <w:rPr>
          <w:rFonts w:ascii="Times New Roman" w:hAnsi="Times New Roman" w:cs="Times New Roman"/>
          <w:i/>
          <w:iCs/>
        </w:rPr>
        <w:t xml:space="preserve"> Annual Testing requirements.  </w:t>
      </w:r>
      <w:r w:rsidR="0031611A">
        <w:rPr>
          <w:rFonts w:ascii="Times New Roman" w:hAnsi="Times New Roman" w:cs="Times New Roman"/>
        </w:rPr>
        <w:t xml:space="preserve">CCA and CTIA state that </w:t>
      </w:r>
      <w:r w:rsidR="0050231D">
        <w:rPr>
          <w:rFonts w:ascii="Times New Roman" w:hAnsi="Times New Roman" w:cs="Times New Roman"/>
        </w:rPr>
        <w:t>t</w:t>
      </w:r>
      <w:r w:rsidRPr="005C140E">
        <w:rPr>
          <w:rFonts w:ascii="Times New Roman" w:hAnsi="Times New Roman" w:cs="Times New Roman"/>
        </w:rPr>
        <w:t>he Commission has not satisfied its obligations under the PRA for the MDRI requirements that facilities-based mobile wireless providers (i) enter into bilateral roaming under disaster (RuD) agreements, (ii) enter into mutual aid arrangements, and (iii) engage in annual bilateral testing of roaming capabilities.</w:t>
      </w:r>
    </w:p>
    <w:p w:rsidR="00B12B2F" w:rsidRPr="005C140E" w:rsidP="00981068" w14:paraId="3D3AF6C5" w14:textId="77777777">
      <w:pPr>
        <w:ind w:left="360" w:firstLine="360"/>
        <w:rPr>
          <w:rFonts w:ascii="Times New Roman" w:hAnsi="Times New Roman" w:cs="Times New Roman"/>
        </w:rPr>
      </w:pPr>
    </w:p>
    <w:p w:rsidR="00B21255" w:rsidP="00BC230E" w14:paraId="3C215FD3" w14:textId="14855ADC">
      <w:pPr>
        <w:ind w:left="360" w:firstLine="360"/>
        <w:rPr>
          <w:rFonts w:ascii="Times New Roman" w:hAnsi="Times New Roman" w:cs="Times New Roman"/>
        </w:rPr>
      </w:pPr>
      <w:r>
        <w:rPr>
          <w:rFonts w:ascii="Times New Roman" w:hAnsi="Times New Roman" w:cs="Times New Roman"/>
        </w:rPr>
        <w:t>Foremost, t</w:t>
      </w:r>
      <w:r w:rsidRPr="005C140E">
        <w:rPr>
          <w:rFonts w:ascii="Times New Roman" w:hAnsi="Times New Roman" w:cs="Times New Roman"/>
        </w:rPr>
        <w:t>he first two requirements do not involve “collection</w:t>
      </w:r>
      <w:r w:rsidRPr="005C140E" w:rsidR="001462A0">
        <w:rPr>
          <w:rFonts w:ascii="Times New Roman" w:hAnsi="Times New Roman" w:cs="Times New Roman"/>
        </w:rPr>
        <w:t>[</w:t>
      </w:r>
      <w:r w:rsidRPr="005C140E">
        <w:rPr>
          <w:rFonts w:ascii="Times New Roman" w:hAnsi="Times New Roman" w:cs="Times New Roman"/>
        </w:rPr>
        <w:t>s</w:t>
      </w:r>
      <w:r w:rsidRPr="005C140E" w:rsidR="001462A0">
        <w:rPr>
          <w:rFonts w:ascii="Times New Roman" w:hAnsi="Times New Roman" w:cs="Times New Roman"/>
        </w:rPr>
        <w:t>]</w:t>
      </w:r>
      <w:r w:rsidRPr="005C140E">
        <w:rPr>
          <w:rFonts w:ascii="Times New Roman" w:hAnsi="Times New Roman" w:cs="Times New Roman"/>
        </w:rPr>
        <w:t xml:space="preserve"> of information,” </w:t>
      </w:r>
      <w:r w:rsidRPr="005C140E" w:rsidR="00D76C61">
        <w:rPr>
          <w:rFonts w:ascii="Times New Roman" w:hAnsi="Times New Roman" w:cs="Times New Roman"/>
        </w:rPr>
        <w:t>and therefore</w:t>
      </w:r>
      <w:r w:rsidRPr="005C140E">
        <w:rPr>
          <w:rFonts w:ascii="Times New Roman" w:hAnsi="Times New Roman" w:cs="Times New Roman"/>
        </w:rPr>
        <w:t xml:space="preserve"> are not subject to the PRA.</w:t>
      </w:r>
      <w:r>
        <w:rPr>
          <w:rStyle w:val="FootnoteReference"/>
          <w:rFonts w:ascii="Times New Roman" w:hAnsi="Times New Roman" w:cs="Times New Roman"/>
        </w:rPr>
        <w:footnoteReference w:id="22"/>
      </w:r>
      <w:r w:rsidRPr="005C140E">
        <w:rPr>
          <w:rFonts w:ascii="Times New Roman" w:hAnsi="Times New Roman" w:cs="Times New Roman"/>
        </w:rPr>
        <w:t xml:space="preserve">  </w:t>
      </w:r>
      <w:r w:rsidR="00BC230E">
        <w:rPr>
          <w:rFonts w:ascii="Times New Roman" w:hAnsi="Times New Roman" w:cs="Times New Roman"/>
        </w:rPr>
        <w:t>T</w:t>
      </w:r>
      <w:r w:rsidRPr="005C140E">
        <w:rPr>
          <w:rFonts w:ascii="Times New Roman" w:hAnsi="Times New Roman" w:cs="Times New Roman"/>
        </w:rPr>
        <w:t xml:space="preserve">he </w:t>
      </w:r>
      <w:r w:rsidRPr="005C140E" w:rsidR="00FA4762">
        <w:rPr>
          <w:rFonts w:ascii="Times New Roman" w:hAnsi="Times New Roman" w:cs="Times New Roman"/>
        </w:rPr>
        <w:t xml:space="preserve">MDRI’s </w:t>
      </w:r>
      <w:r w:rsidRPr="005C140E">
        <w:rPr>
          <w:rFonts w:ascii="Times New Roman" w:hAnsi="Times New Roman" w:cs="Times New Roman"/>
        </w:rPr>
        <w:t xml:space="preserve">requirement </w:t>
      </w:r>
      <w:r w:rsidRPr="005C140E" w:rsidR="0044180B">
        <w:rPr>
          <w:rFonts w:ascii="Times New Roman" w:hAnsi="Times New Roman" w:cs="Times New Roman"/>
        </w:rPr>
        <w:t>that</w:t>
      </w:r>
      <w:r w:rsidRPr="005C140E">
        <w:rPr>
          <w:rFonts w:ascii="Times New Roman" w:hAnsi="Times New Roman" w:cs="Times New Roman"/>
        </w:rPr>
        <w:t xml:space="preserve"> </w:t>
      </w:r>
      <w:r w:rsidR="00BB0EC6">
        <w:rPr>
          <w:rFonts w:ascii="Times New Roman" w:hAnsi="Times New Roman" w:cs="Times New Roman"/>
        </w:rPr>
        <w:t xml:space="preserve">facilities-based mobile </w:t>
      </w:r>
      <w:r w:rsidRPr="005C140E">
        <w:rPr>
          <w:rFonts w:ascii="Times New Roman" w:hAnsi="Times New Roman" w:cs="Times New Roman"/>
        </w:rPr>
        <w:t>wireless providers</w:t>
      </w:r>
      <w:r w:rsidRPr="005C140E" w:rsidR="00DF3B40">
        <w:rPr>
          <w:rFonts w:ascii="Times New Roman" w:hAnsi="Times New Roman" w:cs="Times New Roman"/>
        </w:rPr>
        <w:t xml:space="preserve"> subject to this</w:t>
      </w:r>
      <w:r w:rsidRPr="005C140E" w:rsidR="006E13E5">
        <w:rPr>
          <w:rFonts w:ascii="Times New Roman" w:hAnsi="Times New Roman" w:cs="Times New Roman"/>
        </w:rPr>
        <w:t xml:space="preserve"> </w:t>
      </w:r>
      <w:r w:rsidRPr="005C140E">
        <w:rPr>
          <w:rFonts w:ascii="Times New Roman" w:hAnsi="Times New Roman" w:cs="Times New Roman"/>
        </w:rPr>
        <w:t>enter into agreements or arrangements with each other does not require</w:t>
      </w:r>
      <w:r w:rsidRPr="005C140E" w:rsidR="0044180B">
        <w:rPr>
          <w:rFonts w:ascii="Times New Roman" w:hAnsi="Times New Roman" w:cs="Times New Roman"/>
        </w:rPr>
        <w:t xml:space="preserve"> neither</w:t>
      </w:r>
      <w:r w:rsidRPr="005C140E">
        <w:rPr>
          <w:rFonts w:ascii="Times New Roman" w:hAnsi="Times New Roman" w:cs="Times New Roman"/>
        </w:rPr>
        <w:t xml:space="preserve"> the sharing </w:t>
      </w:r>
      <w:r w:rsidRPr="005C140E" w:rsidR="0044180B">
        <w:rPr>
          <w:rFonts w:ascii="Times New Roman" w:hAnsi="Times New Roman" w:cs="Times New Roman"/>
        </w:rPr>
        <w:t>n</w:t>
      </w:r>
      <w:r w:rsidRPr="005C140E">
        <w:rPr>
          <w:rFonts w:ascii="Times New Roman" w:hAnsi="Times New Roman" w:cs="Times New Roman"/>
        </w:rPr>
        <w:t xml:space="preserve">or disclosure of information of any kind.  To the extent that </w:t>
      </w:r>
      <w:r w:rsidR="00A01F47">
        <w:rPr>
          <w:rFonts w:ascii="Times New Roman" w:hAnsi="Times New Roman" w:cs="Times New Roman"/>
        </w:rPr>
        <w:t xml:space="preserve">facilities-based mobile </w:t>
      </w:r>
      <w:r w:rsidRPr="005C140E">
        <w:rPr>
          <w:rFonts w:ascii="Times New Roman" w:hAnsi="Times New Roman" w:cs="Times New Roman"/>
        </w:rPr>
        <w:t xml:space="preserve">wireless </w:t>
      </w:r>
      <w:r w:rsidRPr="005C140E">
        <w:rPr>
          <w:rFonts w:ascii="Times New Roman" w:hAnsi="Times New Roman" w:cs="Times New Roman"/>
        </w:rPr>
        <w:t xml:space="preserve">providers subject to this requirement decide to share information in pursuit of an agreement, that is their own choice.  </w:t>
      </w:r>
      <w:r w:rsidRPr="005C140E" w:rsidR="004A5142">
        <w:rPr>
          <w:rFonts w:ascii="Times New Roman" w:hAnsi="Times New Roman" w:cs="Times New Roman"/>
        </w:rPr>
        <w:t xml:space="preserve">The Commission is not soliciting or requiring disclosure of information to a third party, but rather requiring that providers </w:t>
      </w:r>
      <w:r w:rsidR="00BC230E">
        <w:rPr>
          <w:rFonts w:ascii="Times New Roman" w:hAnsi="Times New Roman" w:cs="Times New Roman"/>
        </w:rPr>
        <w:t>establish</w:t>
      </w:r>
      <w:r w:rsidRPr="005C140E" w:rsidR="004A5142">
        <w:rPr>
          <w:rFonts w:ascii="Times New Roman" w:hAnsi="Times New Roman" w:cs="Times New Roman"/>
        </w:rPr>
        <w:t xml:space="preserve"> aid and roaming agreements with each other.  </w:t>
      </w:r>
      <w:r w:rsidR="00BC230E">
        <w:rPr>
          <w:rFonts w:ascii="Times New Roman" w:hAnsi="Times New Roman" w:cs="Times New Roman"/>
        </w:rPr>
        <w:t>T</w:t>
      </w:r>
      <w:r w:rsidRPr="005C140E" w:rsidR="004A5142">
        <w:rPr>
          <w:rFonts w:ascii="Times New Roman" w:hAnsi="Times New Roman" w:cs="Times New Roman"/>
        </w:rPr>
        <w:t xml:space="preserve">he Commission is </w:t>
      </w:r>
      <w:r w:rsidR="00BC230E">
        <w:rPr>
          <w:rFonts w:ascii="Times New Roman" w:hAnsi="Times New Roman" w:cs="Times New Roman"/>
        </w:rPr>
        <w:t xml:space="preserve">also </w:t>
      </w:r>
      <w:r w:rsidRPr="005C140E" w:rsidR="004A5142">
        <w:rPr>
          <w:rFonts w:ascii="Times New Roman" w:hAnsi="Times New Roman" w:cs="Times New Roman"/>
        </w:rPr>
        <w:t>not seeking answers to</w:t>
      </w:r>
      <w:r w:rsidRPr="005C140E" w:rsidR="00300DCA">
        <w:rPr>
          <w:rFonts w:ascii="Times New Roman" w:hAnsi="Times New Roman" w:cs="Times New Roman"/>
        </w:rPr>
        <w:t xml:space="preserve"> a set of questions or collecting statistics.  The purpose of the MDRI is to ensure that providers can engage in mutual aid and that consumers can roam on other networks when their network is unusable in times of e</w:t>
      </w:r>
      <w:r w:rsidRPr="005C140E" w:rsidR="001B094E">
        <w:rPr>
          <w:rFonts w:ascii="Times New Roman" w:hAnsi="Times New Roman" w:cs="Times New Roman"/>
        </w:rPr>
        <w:t xml:space="preserve">mergencies and disasters.  </w:t>
      </w:r>
      <w:r w:rsidRPr="005C140E">
        <w:rPr>
          <w:rFonts w:ascii="Times New Roman" w:hAnsi="Times New Roman" w:cs="Times New Roman"/>
        </w:rPr>
        <w:t>Accordingly, CCA and CTIA’s arguments regarding the burden posed by these requirements is not relevant to OMB’s review under the PRA and are better addressed by the FCC in its own proceeding, in which these commenters have already filed a petition requesting reconsideration of these issues.</w:t>
      </w:r>
    </w:p>
    <w:p w:rsidR="00B12B2F" w:rsidRPr="005C140E" w:rsidP="00981068" w14:paraId="65C0F044" w14:textId="77777777">
      <w:pPr>
        <w:ind w:left="360" w:firstLine="360"/>
        <w:rPr>
          <w:rFonts w:ascii="Times New Roman" w:hAnsi="Times New Roman" w:cs="Times New Roman"/>
        </w:rPr>
      </w:pPr>
    </w:p>
    <w:p w:rsidR="00B21255" w:rsidRPr="005C140E" w:rsidP="006E0548" w14:paraId="6766065B" w14:textId="5AFB6304">
      <w:pPr>
        <w:ind w:left="360" w:firstLine="360"/>
        <w:rPr>
          <w:rFonts w:ascii="Times New Roman" w:hAnsi="Times New Roman" w:cs="Times New Roman"/>
          <w:i/>
          <w:iCs/>
        </w:rPr>
      </w:pPr>
      <w:r>
        <w:rPr>
          <w:rFonts w:ascii="Times New Roman" w:hAnsi="Times New Roman" w:cs="Times New Roman"/>
        </w:rPr>
        <w:t xml:space="preserve">As for </w:t>
      </w:r>
      <w:r w:rsidRPr="005C140E">
        <w:rPr>
          <w:rFonts w:ascii="Times New Roman" w:hAnsi="Times New Roman" w:cs="Times New Roman"/>
        </w:rPr>
        <w:t>CCA and CTIA’s argument</w:t>
      </w:r>
      <w:r w:rsidR="003C776D">
        <w:rPr>
          <w:rFonts w:ascii="Times New Roman" w:hAnsi="Times New Roman" w:cs="Times New Roman"/>
        </w:rPr>
        <w:t xml:space="preserve"> concerning annual testing of roaming capabilities,</w:t>
      </w:r>
      <w:r w:rsidRPr="005C140E">
        <w:rPr>
          <w:rFonts w:ascii="Times New Roman" w:hAnsi="Times New Roman" w:cs="Times New Roman"/>
        </w:rPr>
        <w:t xml:space="preserve"> </w:t>
      </w:r>
      <w:r w:rsidR="003C776D">
        <w:rPr>
          <w:rFonts w:ascii="Times New Roman" w:hAnsi="Times New Roman" w:cs="Times New Roman"/>
        </w:rPr>
        <w:t>th</w:t>
      </w:r>
      <w:r w:rsidR="00217F9A">
        <w:rPr>
          <w:rFonts w:ascii="Times New Roman" w:hAnsi="Times New Roman" w:cs="Times New Roman"/>
        </w:rPr>
        <w:t>is particular</w:t>
      </w:r>
      <w:r w:rsidR="003C776D">
        <w:rPr>
          <w:rFonts w:ascii="Times New Roman" w:hAnsi="Times New Roman" w:cs="Times New Roman"/>
        </w:rPr>
        <w:t xml:space="preserve"> concern</w:t>
      </w:r>
      <w:r w:rsidRPr="005C140E">
        <w:rPr>
          <w:rFonts w:ascii="Times New Roman" w:hAnsi="Times New Roman" w:cs="Times New Roman"/>
        </w:rPr>
        <w:t xml:space="preserve"> </w:t>
      </w:r>
      <w:r w:rsidR="00217F9A">
        <w:rPr>
          <w:rFonts w:ascii="Times New Roman" w:hAnsi="Times New Roman" w:cs="Times New Roman"/>
        </w:rPr>
        <w:t>is</w:t>
      </w:r>
      <w:r w:rsidRPr="005C140E">
        <w:rPr>
          <w:rFonts w:ascii="Times New Roman" w:hAnsi="Times New Roman" w:cs="Times New Roman"/>
        </w:rPr>
        <w:t xml:space="preserve"> not supported by any detailed challenge to the PRA burden estimate in the 60-day notice.</w:t>
      </w:r>
      <w:r>
        <w:rPr>
          <w:rStyle w:val="FootnoteReference"/>
          <w:rFonts w:ascii="Times New Roman" w:hAnsi="Times New Roman" w:cs="Times New Roman"/>
        </w:rPr>
        <w:footnoteReference w:id="23"/>
      </w:r>
      <w:r w:rsidRPr="005C140E">
        <w:rPr>
          <w:rFonts w:ascii="Times New Roman" w:hAnsi="Times New Roman" w:cs="Times New Roman"/>
        </w:rPr>
        <w:t xml:space="preserve">  </w:t>
      </w:r>
      <w:r w:rsidR="00A13842">
        <w:rPr>
          <w:rFonts w:ascii="Times New Roman" w:hAnsi="Times New Roman" w:cs="Times New Roman"/>
        </w:rPr>
        <w:t>CCA and CTIA</w:t>
      </w:r>
      <w:r w:rsidRPr="005C140E">
        <w:rPr>
          <w:rFonts w:ascii="Times New Roman" w:hAnsi="Times New Roman" w:cs="Times New Roman"/>
        </w:rPr>
        <w:t xml:space="preserve"> only critique the estimated total initial costs of compliance with </w:t>
      </w:r>
      <w:r w:rsidRPr="005C140E">
        <w:rPr>
          <w:rFonts w:ascii="Times New Roman" w:hAnsi="Times New Roman" w:cs="Times New Roman"/>
          <w:i/>
          <w:iCs/>
        </w:rPr>
        <w:t xml:space="preserve">all </w:t>
      </w:r>
      <w:r w:rsidRPr="005C140E">
        <w:rPr>
          <w:rFonts w:ascii="Times New Roman" w:hAnsi="Times New Roman" w:cs="Times New Roman"/>
        </w:rPr>
        <w:t xml:space="preserve">of the MDRI requirements and do not raise quantifiable concerns about the testing requirement specifically. </w:t>
      </w:r>
      <w:r w:rsidR="00A13842">
        <w:rPr>
          <w:rFonts w:ascii="Times New Roman" w:hAnsi="Times New Roman" w:cs="Times New Roman"/>
        </w:rPr>
        <w:t xml:space="preserve"> </w:t>
      </w:r>
      <w:r w:rsidRPr="005C140E">
        <w:rPr>
          <w:rFonts w:ascii="Times New Roman" w:hAnsi="Times New Roman" w:cs="Times New Roman"/>
        </w:rPr>
        <w:t>Accordingly, OMB should approve the collection.</w:t>
      </w:r>
      <w:r w:rsidRPr="005C140E">
        <w:rPr>
          <w:rFonts w:ascii="Times New Roman" w:hAnsi="Times New Roman" w:cs="Times New Roman"/>
        </w:rPr>
        <w:br/>
      </w:r>
    </w:p>
    <w:p w:rsidR="00B21255" w:rsidP="006E0548" w14:paraId="500EAFB1" w14:textId="35CE4A6E">
      <w:pPr>
        <w:ind w:left="360" w:firstLine="360"/>
        <w:rPr>
          <w:rFonts w:ascii="Times New Roman" w:hAnsi="Times New Roman" w:cs="Times New Roman"/>
        </w:rPr>
      </w:pPr>
      <w:r w:rsidRPr="00787570">
        <w:rPr>
          <w:rFonts w:ascii="Times New Roman" w:hAnsi="Times New Roman" w:cs="Times New Roman"/>
          <w:i/>
          <w:iCs/>
        </w:rPr>
        <w:t>Whether the</w:t>
      </w:r>
      <w:r w:rsidRPr="00787570" w:rsidR="00BC0058">
        <w:rPr>
          <w:rFonts w:ascii="Times New Roman" w:hAnsi="Times New Roman" w:cs="Times New Roman"/>
          <w:i/>
          <w:iCs/>
        </w:rPr>
        <w:t xml:space="preserve"> Commission’s Burden Estimate</w:t>
      </w:r>
      <w:r w:rsidRPr="00787570">
        <w:rPr>
          <w:rFonts w:ascii="Times New Roman" w:hAnsi="Times New Roman" w:cs="Times New Roman"/>
          <w:i/>
          <w:iCs/>
        </w:rPr>
        <w:t xml:space="preserve"> Meets PRA Standards.</w:t>
      </w:r>
      <w:r>
        <w:rPr>
          <w:rFonts w:ascii="Times New Roman" w:hAnsi="Times New Roman" w:cs="Times New Roman"/>
        </w:rPr>
        <w:t xml:space="preserve">  </w:t>
      </w:r>
      <w:r w:rsidR="00BF6E01">
        <w:rPr>
          <w:rFonts w:ascii="Times New Roman" w:hAnsi="Times New Roman" w:cs="Times New Roman"/>
        </w:rPr>
        <w:t>CCA and CTIA argue that t</w:t>
      </w:r>
      <w:r w:rsidRPr="00BC0058" w:rsidR="0088362E">
        <w:rPr>
          <w:rFonts w:ascii="Times New Roman" w:hAnsi="Times New Roman" w:cs="Times New Roman"/>
        </w:rPr>
        <w:t xml:space="preserve">he </w:t>
      </w:r>
      <w:r w:rsidRPr="00BC0058">
        <w:rPr>
          <w:rFonts w:ascii="Times New Roman" w:hAnsi="Times New Roman" w:cs="Times New Roman"/>
        </w:rPr>
        <w:t xml:space="preserve">Commission’s estimate of the burden imposed upon facilities-based </w:t>
      </w:r>
      <w:r w:rsidR="001901FE">
        <w:rPr>
          <w:rFonts w:ascii="Times New Roman" w:hAnsi="Times New Roman" w:cs="Times New Roman"/>
        </w:rPr>
        <w:t xml:space="preserve">mobile </w:t>
      </w:r>
      <w:r w:rsidRPr="00BC0058">
        <w:rPr>
          <w:rFonts w:ascii="Times New Roman" w:hAnsi="Times New Roman" w:cs="Times New Roman"/>
        </w:rPr>
        <w:t xml:space="preserve">wireless providers, particularly small facilities-based </w:t>
      </w:r>
      <w:r w:rsidR="0054554C">
        <w:rPr>
          <w:rFonts w:ascii="Times New Roman" w:hAnsi="Times New Roman" w:cs="Times New Roman"/>
        </w:rPr>
        <w:t xml:space="preserve">mobile </w:t>
      </w:r>
      <w:r w:rsidRPr="00BC0058">
        <w:rPr>
          <w:rFonts w:ascii="Times New Roman" w:hAnsi="Times New Roman" w:cs="Times New Roman"/>
        </w:rPr>
        <w:t>wireless providers, does not meet the PRA’s standard of being a “specific, objectively supported estimate” because it underestimates the burden.</w:t>
      </w:r>
      <w:r>
        <w:rPr>
          <w:rStyle w:val="FootnoteReference"/>
          <w:rFonts w:ascii="Times New Roman" w:hAnsi="Times New Roman" w:cs="Times New Roman"/>
        </w:rPr>
        <w:footnoteReference w:id="24"/>
      </w:r>
      <w:r w:rsidRPr="00BC0058">
        <w:rPr>
          <w:rFonts w:ascii="Times New Roman" w:hAnsi="Times New Roman" w:cs="Times New Roman"/>
        </w:rPr>
        <w:t xml:space="preserve">  </w:t>
      </w:r>
      <w:r w:rsidRPr="00BC0058" w:rsidR="006A4F91">
        <w:rPr>
          <w:rFonts w:ascii="Times New Roman" w:hAnsi="Times New Roman" w:cs="Times New Roman"/>
        </w:rPr>
        <w:t>Specifically, CCA and CTIA conclude that the Commission does not “account for the full extent of the burden imposed upon</w:t>
      </w:r>
      <w:r w:rsidRPr="00BC0058" w:rsidR="008D39F4">
        <w:rPr>
          <w:rFonts w:ascii="Times New Roman" w:hAnsi="Times New Roman" w:cs="Times New Roman"/>
        </w:rPr>
        <w:t xml:space="preserve"> . . . providers, especially small . . . providers” when complying with the MDRI because: 1) “the Commission does not address whether its estimate</w:t>
      </w:r>
      <w:r w:rsidRPr="00BC0058" w:rsidR="00B15026">
        <w:rPr>
          <w:rFonts w:ascii="Times New Roman" w:hAnsi="Times New Roman" w:cs="Times New Roman"/>
        </w:rPr>
        <w:t xml:space="preserve"> considers how many . . . providers a single provider must engage with and enter into bilateral RuD agreements and mutual agreements, as well as . . . initial . . . roaming testing, and 2) the Order “does not account for the complexity involved in entering” these agreements and arrangements.</w:t>
      </w:r>
      <w:r>
        <w:rPr>
          <w:rStyle w:val="FootnoteReference"/>
          <w:rFonts w:ascii="Times New Roman" w:hAnsi="Times New Roman" w:cs="Times New Roman"/>
        </w:rPr>
        <w:footnoteReference w:id="25"/>
      </w:r>
      <w:r w:rsidRPr="00BC0058" w:rsidR="00E2358D">
        <w:rPr>
          <w:rFonts w:ascii="Times New Roman" w:hAnsi="Times New Roman" w:cs="Times New Roman"/>
        </w:rPr>
        <w:t xml:space="preserve">  They argue that it is not clear whether the estimate considers the number of other providers that each provider would need to engage with to satisfy the requirement and that the Commission underestimates the burden.</w:t>
      </w:r>
      <w:r>
        <w:rPr>
          <w:rStyle w:val="FootnoteReference"/>
          <w:rFonts w:ascii="Times New Roman" w:hAnsi="Times New Roman" w:cs="Times New Roman"/>
        </w:rPr>
        <w:footnoteReference w:id="26"/>
      </w:r>
    </w:p>
    <w:p w:rsidR="00B12B2F" w:rsidRPr="00BC0058" w:rsidP="006E0548" w14:paraId="460A1CC0" w14:textId="77777777">
      <w:pPr>
        <w:ind w:left="360" w:firstLine="360"/>
        <w:rPr>
          <w:rFonts w:ascii="Times New Roman" w:hAnsi="Times New Roman" w:cs="Times New Roman"/>
        </w:rPr>
      </w:pPr>
    </w:p>
    <w:p w:rsidR="00B21255" w:rsidP="006E0548" w14:paraId="5E7702F3" w14:textId="387B3DCD">
      <w:pPr>
        <w:ind w:left="360" w:firstLine="360"/>
        <w:rPr>
          <w:rFonts w:ascii="Times New Roman" w:hAnsi="Times New Roman" w:cs="Times New Roman"/>
        </w:rPr>
      </w:pPr>
      <w:r>
        <w:rPr>
          <w:rFonts w:ascii="Times New Roman" w:hAnsi="Times New Roman" w:cs="Times New Roman"/>
        </w:rPr>
        <w:t>Conversely, the Commission</w:t>
      </w:r>
      <w:r w:rsidRPr="00A80180">
        <w:rPr>
          <w:rFonts w:ascii="Times New Roman" w:hAnsi="Times New Roman" w:cs="Times New Roman"/>
        </w:rPr>
        <w:t xml:space="preserve"> believe</w:t>
      </w:r>
      <w:r>
        <w:rPr>
          <w:rFonts w:ascii="Times New Roman" w:hAnsi="Times New Roman" w:cs="Times New Roman"/>
        </w:rPr>
        <w:t>s</w:t>
      </w:r>
      <w:r w:rsidRPr="00A80180">
        <w:rPr>
          <w:rFonts w:ascii="Times New Roman" w:hAnsi="Times New Roman" w:cs="Times New Roman"/>
        </w:rPr>
        <w:t xml:space="preserve"> the burden estimate is </w:t>
      </w:r>
      <w:r>
        <w:rPr>
          <w:rFonts w:ascii="Times New Roman" w:hAnsi="Times New Roman" w:cs="Times New Roman"/>
        </w:rPr>
        <w:t xml:space="preserve">both </w:t>
      </w:r>
      <w:r w:rsidRPr="00A80180">
        <w:rPr>
          <w:rFonts w:ascii="Times New Roman" w:hAnsi="Times New Roman" w:cs="Times New Roman"/>
        </w:rPr>
        <w:t xml:space="preserve">appropriate and satisfies the PRA’s requirements.  In presenting its cost estimate, the FCC explained how it came to its estimate using specific, objective data on the number </w:t>
      </w:r>
      <w:r w:rsidRPr="00A80180" w:rsidR="00E77282">
        <w:rPr>
          <w:rFonts w:ascii="Times New Roman" w:hAnsi="Times New Roman" w:cs="Times New Roman"/>
        </w:rPr>
        <w:t xml:space="preserve">of </w:t>
      </w:r>
      <w:r w:rsidRPr="00A80180">
        <w:rPr>
          <w:rFonts w:ascii="Times New Roman" w:hAnsi="Times New Roman" w:cs="Times New Roman"/>
        </w:rPr>
        <w:t>entities that would be subject to the requirements as derived from the FCC’s 2022 Voice Telephone Services Report and on 2021 national wage information from the Bureau of Labor and Statistics.</w:t>
      </w:r>
      <w:r>
        <w:rPr>
          <w:rStyle w:val="FootnoteReference"/>
          <w:rFonts w:ascii="Times New Roman" w:hAnsi="Times New Roman" w:cs="Times New Roman"/>
        </w:rPr>
        <w:footnoteReference w:id="27"/>
      </w:r>
      <w:r w:rsidRPr="00A80180">
        <w:rPr>
          <w:rFonts w:ascii="Times New Roman" w:hAnsi="Times New Roman" w:cs="Times New Roman"/>
        </w:rPr>
        <w:t xml:space="preserve">  </w:t>
      </w:r>
      <w:r w:rsidR="003364FF">
        <w:rPr>
          <w:rFonts w:ascii="Times New Roman" w:hAnsi="Times New Roman" w:cs="Times New Roman"/>
        </w:rPr>
        <w:t>Additionally,</w:t>
      </w:r>
      <w:r w:rsidR="000B70BD">
        <w:rPr>
          <w:rFonts w:ascii="Times New Roman" w:hAnsi="Times New Roman" w:cs="Times New Roman"/>
        </w:rPr>
        <w:t xml:space="preserve"> the </w:t>
      </w:r>
      <w:r w:rsidR="00E537F4">
        <w:rPr>
          <w:rFonts w:ascii="Times New Roman" w:hAnsi="Times New Roman" w:cs="Times New Roman"/>
        </w:rPr>
        <w:t>FCC</w:t>
      </w:r>
      <w:r w:rsidRPr="00A80180" w:rsidR="00E537F4">
        <w:rPr>
          <w:rFonts w:ascii="Times New Roman" w:hAnsi="Times New Roman" w:cs="Times New Roman"/>
        </w:rPr>
        <w:t xml:space="preserve"> </w:t>
      </w:r>
      <w:r w:rsidRPr="00A80180">
        <w:rPr>
          <w:rFonts w:ascii="Times New Roman" w:hAnsi="Times New Roman" w:cs="Times New Roman"/>
        </w:rPr>
        <w:t xml:space="preserve">also explained </w:t>
      </w:r>
      <w:r w:rsidR="00E537F4">
        <w:rPr>
          <w:rFonts w:ascii="Times New Roman" w:hAnsi="Times New Roman" w:cs="Times New Roman"/>
        </w:rPr>
        <w:t>its</w:t>
      </w:r>
      <w:r w:rsidRPr="00A80180">
        <w:rPr>
          <w:rFonts w:ascii="Times New Roman" w:hAnsi="Times New Roman" w:cs="Times New Roman"/>
        </w:rPr>
        <w:t xml:space="preserve"> reasoning for why providers subject to these requirements were unlikely to incur significant initial implementation costs.</w:t>
      </w:r>
      <w:r>
        <w:rPr>
          <w:rStyle w:val="FootnoteReference"/>
          <w:rFonts w:ascii="Times New Roman" w:hAnsi="Times New Roman" w:cs="Times New Roman"/>
        </w:rPr>
        <w:footnoteReference w:id="28"/>
      </w:r>
      <w:r w:rsidRPr="00A80180">
        <w:rPr>
          <w:rFonts w:ascii="Times New Roman" w:hAnsi="Times New Roman" w:cs="Times New Roman"/>
        </w:rPr>
        <w:t xml:space="preserve">  We note that the FCC sought comment on the costs associated with these rules and no commenters provided a detailed quantitative analysis of costs or benefits, though some provided qualitative views.</w:t>
      </w:r>
      <w:r>
        <w:rPr>
          <w:rStyle w:val="FootnoteReference"/>
          <w:rFonts w:ascii="Times New Roman" w:hAnsi="Times New Roman" w:cs="Times New Roman"/>
        </w:rPr>
        <w:footnoteReference w:id="29"/>
      </w:r>
      <w:r w:rsidRPr="00A80180">
        <w:rPr>
          <w:rFonts w:ascii="Times New Roman" w:hAnsi="Times New Roman" w:cs="Times New Roman"/>
        </w:rPr>
        <w:t xml:space="preserve">  To the extent that CCA and CTIA now argue that they can offer quantitative estimates that disagree with those of the FCC, those arguments are best addressed by the FCC in relation to the parties’ petition requesting reconsideration of these issues.</w:t>
      </w:r>
      <w:r w:rsidRPr="00A80180" w:rsidR="00CD5CB3">
        <w:rPr>
          <w:rFonts w:ascii="Times New Roman" w:hAnsi="Times New Roman" w:cs="Times New Roman"/>
        </w:rPr>
        <w:t xml:space="preserve">  </w:t>
      </w:r>
    </w:p>
    <w:p w:rsidR="00B12B2F" w:rsidRPr="00A80180" w:rsidP="006E0548" w14:paraId="00B4634E" w14:textId="77777777">
      <w:pPr>
        <w:ind w:left="360" w:firstLine="360"/>
        <w:rPr>
          <w:rFonts w:ascii="Times New Roman" w:hAnsi="Times New Roman" w:cs="Times New Roman"/>
        </w:rPr>
      </w:pPr>
    </w:p>
    <w:p w:rsidR="00B21255" w:rsidP="006E0548" w14:paraId="16B90277" w14:textId="23526168">
      <w:pPr>
        <w:ind w:left="360" w:firstLine="360"/>
        <w:rPr>
          <w:rFonts w:ascii="Times New Roman" w:hAnsi="Times New Roman" w:cs="Times New Roman"/>
        </w:rPr>
      </w:pPr>
      <w:r>
        <w:rPr>
          <w:rFonts w:ascii="Times New Roman" w:hAnsi="Times New Roman" w:cs="Times New Roman"/>
        </w:rPr>
        <w:t xml:space="preserve">Additionally, </w:t>
      </w:r>
      <w:r w:rsidRPr="00A80180">
        <w:rPr>
          <w:rFonts w:ascii="Times New Roman" w:hAnsi="Times New Roman" w:cs="Times New Roman"/>
        </w:rPr>
        <w:t>CCA and CTIA’s arguments about the sufficiency of the burden estimate are not supported by any detailed challenge to the PRA burden estimate in the 60-day notice.</w:t>
      </w:r>
      <w:r>
        <w:rPr>
          <w:rStyle w:val="FootnoteReference"/>
          <w:rFonts w:ascii="Times New Roman" w:hAnsi="Times New Roman" w:cs="Times New Roman"/>
        </w:rPr>
        <w:footnoteReference w:id="30"/>
      </w:r>
    </w:p>
    <w:p w:rsidR="00B12B2F" w:rsidRPr="00A80180" w:rsidP="006E0548" w14:paraId="2A6FA3DB" w14:textId="77777777">
      <w:pPr>
        <w:ind w:left="360" w:firstLine="360"/>
        <w:rPr>
          <w:rFonts w:ascii="Times New Roman" w:hAnsi="Times New Roman" w:cs="Times New Roman"/>
        </w:rPr>
      </w:pPr>
    </w:p>
    <w:p w:rsidR="00B21255" w:rsidRPr="00A80180" w:rsidP="006E0548" w14:paraId="52A04F12" w14:textId="77777777">
      <w:pPr>
        <w:ind w:left="360" w:firstLine="360"/>
        <w:rPr>
          <w:rFonts w:ascii="Times New Roman" w:hAnsi="Times New Roman" w:cs="Times New Roman"/>
        </w:rPr>
      </w:pPr>
      <w:r w:rsidRPr="00A80180">
        <w:rPr>
          <w:rFonts w:ascii="Times New Roman" w:hAnsi="Times New Roman" w:cs="Times New Roman"/>
        </w:rPr>
        <w:t>To the extent that CCA and CTIA suggest that the rules are burdensome to small providers, it must be noted that the FCC considered additional burdens that might be faced by small facilities-based mobile wireless providers (which is defined consistently with the Small Business Administration’s size standard)</w:t>
      </w:r>
      <w:r>
        <w:rPr>
          <w:rStyle w:val="FootnoteReference"/>
          <w:rFonts w:ascii="Times New Roman" w:hAnsi="Times New Roman" w:cs="Times New Roman"/>
        </w:rPr>
        <w:footnoteReference w:id="31"/>
      </w:r>
      <w:r w:rsidRPr="00A80180">
        <w:rPr>
          <w:rFonts w:ascii="Times New Roman" w:hAnsi="Times New Roman" w:cs="Times New Roman"/>
        </w:rPr>
        <w:t xml:space="preserve"> and allowed three additional months of compliance time for those providers.</w:t>
      </w:r>
      <w:r>
        <w:rPr>
          <w:rStyle w:val="FootnoteReference"/>
          <w:rFonts w:ascii="Times New Roman" w:hAnsi="Times New Roman" w:cs="Times New Roman"/>
        </w:rPr>
        <w:footnoteReference w:id="32"/>
      </w:r>
      <w:r w:rsidRPr="00A80180">
        <w:rPr>
          <w:rFonts w:ascii="Times New Roman" w:hAnsi="Times New Roman" w:cs="Times New Roman"/>
        </w:rPr>
        <w:t xml:space="preserve">  Like the other issues discussed above, critiques of the Commission’s definition of “small” and disagreement with the compliance deadlines are not relevant to the requirements of the PRA and are best addressed by the FCC in relation to the parties’ petition requesting reconsideration of these issues.</w:t>
      </w:r>
      <w:r w:rsidRPr="00A80180">
        <w:rPr>
          <w:rFonts w:ascii="Times New Roman" w:hAnsi="Times New Roman" w:cs="Times New Roman"/>
        </w:rPr>
        <w:br/>
      </w:r>
    </w:p>
    <w:p w:rsidR="00B21255" w:rsidP="006E0548" w14:paraId="6B063616" w14:textId="275452DE">
      <w:pPr>
        <w:ind w:left="360" w:firstLine="360"/>
        <w:rPr>
          <w:rFonts w:ascii="Times New Roman" w:hAnsi="Times New Roman" w:cs="Times New Roman"/>
        </w:rPr>
      </w:pPr>
      <w:r>
        <w:rPr>
          <w:rFonts w:ascii="Times New Roman" w:hAnsi="Times New Roman" w:cs="Times New Roman"/>
          <w:i/>
          <w:iCs/>
        </w:rPr>
        <w:t>W</w:t>
      </w:r>
      <w:r w:rsidRPr="00A27B66" w:rsidR="00A27B66">
        <w:rPr>
          <w:rFonts w:ascii="Times New Roman" w:hAnsi="Times New Roman" w:cs="Times New Roman"/>
          <w:i/>
          <w:iCs/>
        </w:rPr>
        <w:t>hether the Commission’s MDRI is coherent and unambiguous in its language.</w:t>
      </w:r>
      <w:r w:rsidR="00A27B66">
        <w:rPr>
          <w:rFonts w:ascii="Times New Roman" w:hAnsi="Times New Roman" w:cs="Times New Roman"/>
        </w:rPr>
        <w:t xml:space="preserve">  </w:t>
      </w:r>
      <w:r>
        <w:rPr>
          <w:rFonts w:ascii="Times New Roman" w:hAnsi="Times New Roman" w:cs="Times New Roman"/>
        </w:rPr>
        <w:t xml:space="preserve">CCA and CTIA argue </w:t>
      </w:r>
      <w:r w:rsidR="00AB1D64">
        <w:rPr>
          <w:rFonts w:ascii="Times New Roman" w:hAnsi="Times New Roman" w:cs="Times New Roman"/>
        </w:rPr>
        <w:t>that t</w:t>
      </w:r>
      <w:r w:rsidRPr="00A27B66">
        <w:rPr>
          <w:rFonts w:ascii="Times New Roman" w:hAnsi="Times New Roman" w:cs="Times New Roman"/>
        </w:rPr>
        <w:t>he Commission’s MDRI requirements are not written in “coherent[] and unambiguous” language that will enable providers to practically apply the rules, as required by the PRA.</w:t>
      </w:r>
      <w:r>
        <w:rPr>
          <w:rStyle w:val="FootnoteReference"/>
          <w:rFonts w:ascii="Times New Roman" w:hAnsi="Times New Roman" w:cs="Times New Roman"/>
        </w:rPr>
        <w:footnoteReference w:id="33"/>
      </w:r>
      <w:r w:rsidRPr="00A27B66">
        <w:rPr>
          <w:rFonts w:ascii="Times New Roman" w:hAnsi="Times New Roman" w:cs="Times New Roman"/>
        </w:rPr>
        <w:t xml:space="preserve">  Specifically, CCA and CTIA argue that the MDRI rules do not identify all the facilities-based mobile wireless providers to which the MDRI obligations apply.</w:t>
      </w:r>
    </w:p>
    <w:p w:rsidR="00B12B2F" w:rsidRPr="00A27B66" w:rsidP="006E0548" w14:paraId="1B204FA8" w14:textId="77777777">
      <w:pPr>
        <w:ind w:left="360" w:firstLine="360"/>
        <w:rPr>
          <w:rFonts w:ascii="Times New Roman" w:hAnsi="Times New Roman" w:cs="Times New Roman"/>
        </w:rPr>
      </w:pPr>
    </w:p>
    <w:p w:rsidR="00887689" w:rsidP="006E0548" w14:paraId="598FB48E" w14:textId="419CA933">
      <w:pPr>
        <w:ind w:left="360" w:firstLine="360"/>
        <w:rPr>
          <w:rFonts w:ascii="Times New Roman" w:hAnsi="Times New Roman" w:cs="Times New Roman"/>
        </w:rPr>
      </w:pPr>
      <w:r>
        <w:rPr>
          <w:rFonts w:ascii="Times New Roman" w:hAnsi="Times New Roman" w:cs="Times New Roman"/>
        </w:rPr>
        <w:t>In contrast,</w:t>
      </w:r>
      <w:r w:rsidR="00BD6907">
        <w:rPr>
          <w:rFonts w:ascii="Times New Roman" w:hAnsi="Times New Roman" w:cs="Times New Roman"/>
        </w:rPr>
        <w:t xml:space="preserve"> t</w:t>
      </w:r>
      <w:r w:rsidRPr="00A27B66" w:rsidR="00B21255">
        <w:rPr>
          <w:rFonts w:ascii="Times New Roman" w:hAnsi="Times New Roman" w:cs="Times New Roman"/>
        </w:rPr>
        <w:t xml:space="preserve">he MDRI requirements adopted by the Commission are coherent and unambiguous.    </w:t>
      </w:r>
      <w:r w:rsidRPr="00A27B66" w:rsidR="00AE590F">
        <w:rPr>
          <w:rFonts w:ascii="Times New Roman" w:hAnsi="Times New Roman" w:cs="Times New Roman"/>
        </w:rPr>
        <w:t>The</w:t>
      </w:r>
      <w:r w:rsidRPr="00A27B66" w:rsidR="00B21255">
        <w:rPr>
          <w:rFonts w:ascii="Times New Roman" w:hAnsi="Times New Roman" w:cs="Times New Roman"/>
          <w:i/>
          <w:iCs/>
        </w:rPr>
        <w:t xml:space="preserve"> Order</w:t>
      </w:r>
      <w:r w:rsidRPr="00A27B66" w:rsidR="00944FC4">
        <w:rPr>
          <w:rFonts w:ascii="Times New Roman" w:hAnsi="Times New Roman" w:cs="Times New Roman"/>
        </w:rPr>
        <w:t xml:space="preserve"> is broken down into clear categories that elaborate on details of the MDRI for facilities-based mobile wireless providers including: the mandatory nature of the Framework and for whom it is mandated,</w:t>
      </w:r>
      <w:r>
        <w:rPr>
          <w:rStyle w:val="FootnoteReference"/>
          <w:rFonts w:ascii="Times New Roman" w:hAnsi="Times New Roman" w:cs="Times New Roman"/>
        </w:rPr>
        <w:footnoteReference w:id="34"/>
      </w:r>
      <w:r w:rsidRPr="00A27B66" w:rsidR="00B21255">
        <w:rPr>
          <w:rFonts w:ascii="Times New Roman" w:hAnsi="Times New Roman" w:cs="Times New Roman"/>
        </w:rPr>
        <w:t xml:space="preserve"> </w:t>
      </w:r>
      <w:r w:rsidRPr="00A27B66" w:rsidR="00496D7C">
        <w:rPr>
          <w:rFonts w:ascii="Times New Roman" w:hAnsi="Times New Roman" w:cs="Times New Roman"/>
        </w:rPr>
        <w:t>a breakdown of the MDRI’s roaming provision,</w:t>
      </w:r>
      <w:r>
        <w:rPr>
          <w:rStyle w:val="FootnoteReference"/>
          <w:rFonts w:ascii="Times New Roman" w:hAnsi="Times New Roman" w:cs="Times New Roman"/>
        </w:rPr>
        <w:footnoteReference w:id="35"/>
      </w:r>
      <w:r w:rsidRPr="00A27B66" w:rsidR="00496D7C">
        <w:rPr>
          <w:rFonts w:ascii="Times New Roman" w:hAnsi="Times New Roman" w:cs="Times New Roman"/>
        </w:rPr>
        <w:t xml:space="preserve"> what constitutes “reasonable roaming”,</w:t>
      </w:r>
      <w:r>
        <w:rPr>
          <w:rStyle w:val="FootnoteReference"/>
          <w:rFonts w:ascii="Times New Roman" w:hAnsi="Times New Roman" w:cs="Times New Roman"/>
        </w:rPr>
        <w:footnoteReference w:id="36"/>
      </w:r>
      <w:r w:rsidRPr="00A27B66" w:rsidR="00645AE2">
        <w:rPr>
          <w:rFonts w:ascii="Times New Roman" w:hAnsi="Times New Roman" w:cs="Times New Roman"/>
        </w:rPr>
        <w:t xml:space="preserve"> what is required under the Mutual Aid provision,</w:t>
      </w:r>
      <w:r>
        <w:rPr>
          <w:rStyle w:val="FootnoteReference"/>
          <w:rFonts w:ascii="Times New Roman" w:hAnsi="Times New Roman" w:cs="Times New Roman"/>
        </w:rPr>
        <w:footnoteReference w:id="37"/>
      </w:r>
      <w:r w:rsidRPr="00A27B66" w:rsidR="00D04D21">
        <w:rPr>
          <w:rFonts w:ascii="Times New Roman" w:hAnsi="Times New Roman" w:cs="Times New Roman"/>
        </w:rPr>
        <w:t xml:space="preserve"> specifics of the Safe Harbor provision,</w:t>
      </w:r>
      <w:r>
        <w:rPr>
          <w:rStyle w:val="FootnoteReference"/>
          <w:rFonts w:ascii="Times New Roman" w:hAnsi="Times New Roman" w:cs="Times New Roman"/>
        </w:rPr>
        <w:footnoteReference w:id="38"/>
      </w:r>
      <w:r w:rsidRPr="00A27B66" w:rsidR="00D04D21">
        <w:rPr>
          <w:rFonts w:ascii="Times New Roman" w:hAnsi="Times New Roman" w:cs="Times New Roman"/>
        </w:rPr>
        <w:t xml:space="preserve"> details </w:t>
      </w:r>
      <w:r w:rsidRPr="00A27B66" w:rsidR="009A279D">
        <w:rPr>
          <w:rFonts w:ascii="Times New Roman" w:hAnsi="Times New Roman" w:cs="Times New Roman"/>
        </w:rPr>
        <w:t>surrounding</w:t>
      </w:r>
      <w:r w:rsidRPr="00A27B66" w:rsidR="00D04D21">
        <w:rPr>
          <w:rFonts w:ascii="Times New Roman" w:hAnsi="Times New Roman" w:cs="Times New Roman"/>
        </w:rPr>
        <w:t xml:space="preserve"> the implementation </w:t>
      </w:r>
      <w:r w:rsidRPr="00A27B66" w:rsidR="009A279D">
        <w:rPr>
          <w:rFonts w:ascii="Times New Roman" w:hAnsi="Times New Roman" w:cs="Times New Roman"/>
        </w:rPr>
        <w:t>of new testing and reporting requirements,</w:t>
      </w:r>
      <w:r>
        <w:rPr>
          <w:rStyle w:val="FootnoteReference"/>
          <w:rFonts w:ascii="Times New Roman" w:hAnsi="Times New Roman" w:cs="Times New Roman"/>
        </w:rPr>
        <w:footnoteReference w:id="39"/>
      </w:r>
      <w:r w:rsidRPr="00A27B66" w:rsidR="004B2B1A">
        <w:rPr>
          <w:rFonts w:ascii="Times New Roman" w:hAnsi="Times New Roman" w:cs="Times New Roman"/>
        </w:rPr>
        <w:t xml:space="preserve"> an explanation of how the Framework activation triggers have been expanded,</w:t>
      </w:r>
      <w:r>
        <w:rPr>
          <w:rStyle w:val="FootnoteReference"/>
          <w:rFonts w:ascii="Times New Roman" w:hAnsi="Times New Roman" w:cs="Times New Roman"/>
        </w:rPr>
        <w:footnoteReference w:id="40"/>
      </w:r>
      <w:r w:rsidRPr="00A27B66" w:rsidR="00C734B7">
        <w:rPr>
          <w:rFonts w:ascii="Times New Roman" w:hAnsi="Times New Roman" w:cs="Times New Roman"/>
        </w:rPr>
        <w:t xml:space="preserve"> and the timelines specific to compliance.</w:t>
      </w:r>
      <w:r>
        <w:rPr>
          <w:rStyle w:val="FootnoteReference"/>
          <w:rFonts w:ascii="Times New Roman" w:hAnsi="Times New Roman" w:cs="Times New Roman"/>
        </w:rPr>
        <w:footnoteReference w:id="41"/>
      </w:r>
      <w:r w:rsidRPr="00A27B66" w:rsidR="00C734B7">
        <w:rPr>
          <w:rFonts w:ascii="Times New Roman" w:hAnsi="Times New Roman" w:cs="Times New Roman"/>
        </w:rPr>
        <w:t xml:space="preserve">  The</w:t>
      </w:r>
      <w:r w:rsidRPr="00A27B66" w:rsidR="00B21255">
        <w:rPr>
          <w:rFonts w:ascii="Times New Roman" w:hAnsi="Times New Roman" w:cs="Times New Roman"/>
        </w:rPr>
        <w:t xml:space="preserve"> Commission </w:t>
      </w:r>
      <w:r w:rsidRPr="00A27B66" w:rsidR="00C734B7">
        <w:rPr>
          <w:rFonts w:ascii="Times New Roman" w:hAnsi="Times New Roman" w:cs="Times New Roman"/>
        </w:rPr>
        <w:t xml:space="preserve">goes </w:t>
      </w:r>
      <w:r w:rsidRPr="00A27B66" w:rsidR="004B656C">
        <w:rPr>
          <w:rFonts w:ascii="Times New Roman" w:hAnsi="Times New Roman" w:cs="Times New Roman"/>
        </w:rPr>
        <w:t>further into detail by providing examples of when a provision will apply, i.e., when the longer implementation timeline would go into effect because a small provider is involved</w:t>
      </w:r>
      <w:r>
        <w:rPr>
          <w:rStyle w:val="FootnoteReference"/>
          <w:rFonts w:ascii="Times New Roman" w:hAnsi="Times New Roman" w:cs="Times New Roman"/>
        </w:rPr>
        <w:footnoteReference w:id="42"/>
      </w:r>
      <w:r w:rsidRPr="00A27B66" w:rsidR="00A641DE">
        <w:rPr>
          <w:rFonts w:ascii="Times New Roman" w:hAnsi="Times New Roman" w:cs="Times New Roman"/>
        </w:rPr>
        <w:t xml:space="preserve"> or when the Safe Harbor does not apply,</w:t>
      </w:r>
      <w:r>
        <w:rPr>
          <w:rStyle w:val="FootnoteReference"/>
          <w:rFonts w:ascii="Times New Roman" w:hAnsi="Times New Roman" w:cs="Times New Roman"/>
        </w:rPr>
        <w:footnoteReference w:id="43"/>
      </w:r>
      <w:r w:rsidRPr="00A27B66" w:rsidR="00B16705">
        <w:rPr>
          <w:rFonts w:ascii="Times New Roman" w:hAnsi="Times New Roman" w:cs="Times New Roman"/>
        </w:rPr>
        <w:t xml:space="preserve"> further clarifying the requirements laid out with specific examples and exceptions.  </w:t>
      </w:r>
    </w:p>
    <w:p w:rsidR="00B12B2F" w:rsidP="006E0548" w14:paraId="3213DE76" w14:textId="77777777">
      <w:pPr>
        <w:ind w:left="360" w:firstLine="360"/>
        <w:rPr>
          <w:rFonts w:ascii="Times New Roman" w:hAnsi="Times New Roman" w:cs="Times New Roman"/>
        </w:rPr>
      </w:pPr>
    </w:p>
    <w:p w:rsidR="00B21255" w:rsidP="00845961" w14:paraId="3ECAA2BE" w14:textId="3F4A1741">
      <w:pPr>
        <w:ind w:left="360" w:firstLine="360"/>
        <w:rPr>
          <w:rFonts w:ascii="Times New Roman" w:hAnsi="Times New Roman" w:cs="Times New Roman"/>
        </w:rPr>
      </w:pPr>
      <w:r>
        <w:rPr>
          <w:rFonts w:ascii="Times New Roman" w:hAnsi="Times New Roman" w:cs="Times New Roman"/>
        </w:rPr>
        <w:t>To provide further clarity, i</w:t>
      </w:r>
      <w:r w:rsidRPr="00A27B66" w:rsidR="00B16705">
        <w:rPr>
          <w:rFonts w:ascii="Times New Roman" w:hAnsi="Times New Roman" w:cs="Times New Roman"/>
        </w:rPr>
        <w:t xml:space="preserve">n the </w:t>
      </w:r>
      <w:r w:rsidRPr="00A27B66" w:rsidR="00B16705">
        <w:rPr>
          <w:rFonts w:ascii="Times New Roman" w:hAnsi="Times New Roman" w:cs="Times New Roman"/>
          <w:i/>
          <w:iCs/>
        </w:rPr>
        <w:t xml:space="preserve">Resilient Networks </w:t>
      </w:r>
      <w:r w:rsidRPr="00A30B46" w:rsidR="00B16705">
        <w:rPr>
          <w:rFonts w:ascii="Times New Roman" w:hAnsi="Times New Roman" w:cs="Times New Roman"/>
          <w:i/>
          <w:iCs/>
        </w:rPr>
        <w:t>Orde</w:t>
      </w:r>
      <w:r w:rsidRPr="00A27B66" w:rsidR="00B16705">
        <w:rPr>
          <w:rFonts w:ascii="Times New Roman" w:hAnsi="Times New Roman" w:cs="Times New Roman"/>
        </w:rPr>
        <w:t xml:space="preserve">r, the Commission </w:t>
      </w:r>
      <w:r w:rsidRPr="00A27B66">
        <w:rPr>
          <w:rFonts w:ascii="Times New Roman" w:hAnsi="Times New Roman" w:cs="Times New Roman"/>
        </w:rPr>
        <w:t xml:space="preserve">clearly states that the requirements it adopts </w:t>
      </w:r>
      <w:r w:rsidRPr="00A27B66" w:rsidR="00221850">
        <w:rPr>
          <w:rFonts w:ascii="Times New Roman" w:hAnsi="Times New Roman" w:cs="Times New Roman"/>
        </w:rPr>
        <w:t xml:space="preserve">shall </w:t>
      </w:r>
      <w:r w:rsidRPr="00A27B66">
        <w:rPr>
          <w:rFonts w:ascii="Times New Roman" w:hAnsi="Times New Roman" w:cs="Times New Roman"/>
        </w:rPr>
        <w:t>apply to all facilities-based mobile wireless providers</w:t>
      </w:r>
      <w:r w:rsidRPr="00A27B66" w:rsidR="00221850">
        <w:rPr>
          <w:rFonts w:ascii="Times New Roman" w:hAnsi="Times New Roman" w:cs="Times New Roman"/>
        </w:rPr>
        <w:t xml:space="preserve"> </w:t>
      </w:r>
      <w:r w:rsidRPr="00A27B66" w:rsidR="005E0188">
        <w:rPr>
          <w:rFonts w:ascii="Times New Roman" w:hAnsi="Times New Roman" w:cs="Times New Roman"/>
        </w:rPr>
        <w:t>a</w:t>
      </w:r>
      <w:r w:rsidRPr="00A27B66">
        <w:rPr>
          <w:rFonts w:ascii="Times New Roman" w:hAnsi="Times New Roman" w:cs="Times New Roman"/>
        </w:rPr>
        <w:t xml:space="preserve">nd </w:t>
      </w:r>
      <w:r w:rsidRPr="00A27B66" w:rsidR="005E0188">
        <w:rPr>
          <w:rFonts w:ascii="Times New Roman" w:hAnsi="Times New Roman" w:cs="Times New Roman"/>
        </w:rPr>
        <w:t xml:space="preserve">specifically states </w:t>
      </w:r>
      <w:r w:rsidRPr="00A27B66">
        <w:rPr>
          <w:rFonts w:ascii="Times New Roman" w:hAnsi="Times New Roman" w:cs="Times New Roman"/>
        </w:rPr>
        <w:t xml:space="preserve">that the </w:t>
      </w:r>
      <w:r w:rsidRPr="00A27B66" w:rsidR="005E0188">
        <w:rPr>
          <w:rFonts w:ascii="Times New Roman" w:hAnsi="Times New Roman" w:cs="Times New Roman"/>
        </w:rPr>
        <w:t xml:space="preserve">“order requires all facilities-based mobile wireless providers, including each such </w:t>
      </w:r>
      <w:r w:rsidRPr="00A27B66" w:rsidR="005E0188">
        <w:rPr>
          <w:rFonts w:ascii="Times New Roman" w:hAnsi="Times New Roman" w:cs="Times New Roman"/>
        </w:rPr>
        <w:t>signatory to the Framework, comply with today’s MDRI.”</w:t>
      </w:r>
      <w:r>
        <w:rPr>
          <w:rStyle w:val="FootnoteReference"/>
          <w:rFonts w:ascii="Times New Roman" w:hAnsi="Times New Roman" w:cs="Times New Roman"/>
        </w:rPr>
        <w:footnoteReference w:id="44"/>
      </w:r>
      <w:r w:rsidRPr="00A27B66" w:rsidR="004B0B43">
        <w:rPr>
          <w:rFonts w:ascii="Times New Roman" w:hAnsi="Times New Roman" w:cs="Times New Roman"/>
        </w:rPr>
        <w:t xml:space="preserve">  The </w:t>
      </w:r>
      <w:r w:rsidRPr="00A27B66">
        <w:rPr>
          <w:rFonts w:ascii="Times New Roman" w:hAnsi="Times New Roman" w:cs="Times New Roman"/>
        </w:rPr>
        <w:t xml:space="preserve">obligations related to </w:t>
      </w:r>
      <w:r w:rsidRPr="00A27B66" w:rsidR="004B0B43">
        <w:rPr>
          <w:rFonts w:ascii="Times New Roman" w:hAnsi="Times New Roman" w:cs="Times New Roman"/>
        </w:rPr>
        <w:t xml:space="preserve">bilateral </w:t>
      </w:r>
      <w:r w:rsidRPr="00A27B66">
        <w:rPr>
          <w:rFonts w:ascii="Times New Roman" w:hAnsi="Times New Roman" w:cs="Times New Roman"/>
        </w:rPr>
        <w:t>RuD agreements and testing apply, without limitation, when two providers’ geographic coverage areas overlap.</w:t>
      </w:r>
      <w:r>
        <w:rPr>
          <w:rStyle w:val="FootnoteReference"/>
          <w:rFonts w:ascii="Times New Roman" w:hAnsi="Times New Roman" w:cs="Times New Roman"/>
        </w:rPr>
        <w:footnoteReference w:id="45"/>
      </w:r>
      <w:r w:rsidRPr="00A27B66">
        <w:rPr>
          <w:rFonts w:ascii="Times New Roman" w:hAnsi="Times New Roman" w:cs="Times New Roman"/>
        </w:rPr>
        <w:t xml:space="preserve">  While CCA and CTIA argue that these requirements are still too vague because the Commission does not identify which specific providers must make agreements with one another or specif</w:t>
      </w:r>
      <w:r w:rsidRPr="00A27B66" w:rsidR="00CA79B4">
        <w:rPr>
          <w:rFonts w:ascii="Times New Roman" w:hAnsi="Times New Roman" w:cs="Times New Roman"/>
        </w:rPr>
        <w:t>y</w:t>
      </w:r>
      <w:r w:rsidRPr="00A27B66">
        <w:rPr>
          <w:rFonts w:ascii="Times New Roman" w:hAnsi="Times New Roman" w:cs="Times New Roman"/>
        </w:rPr>
        <w:t xml:space="preserve"> how providers should determine when their geographic coverage areas sufficiently overlap, the Commission is under no obligation to reach that level of specificity for purposes of the PRA.  The PRA does not require an agency to identify by name every one of the potential respondents to a collection</w:t>
      </w:r>
      <w:r w:rsidRPr="00A27B66" w:rsidR="0070384A">
        <w:rPr>
          <w:rFonts w:ascii="Times New Roman" w:hAnsi="Times New Roman" w:cs="Times New Roman"/>
        </w:rPr>
        <w:t>, and further, the Commission does not deem this a collection</w:t>
      </w:r>
      <w:r w:rsidRPr="00A27B66">
        <w:rPr>
          <w:rFonts w:ascii="Times New Roman" w:hAnsi="Times New Roman" w:cs="Times New Roman"/>
        </w:rPr>
        <w:t>.  To the extent that CCA and CTIA request such a list, it is beyond the scope of the PRA process and is appropriately addressed in the reconsideration proceeding.</w:t>
      </w:r>
      <w:r w:rsidRPr="00A27B66" w:rsidR="00CE08CF">
        <w:rPr>
          <w:rFonts w:ascii="Times New Roman" w:hAnsi="Times New Roman" w:cs="Times New Roman"/>
        </w:rPr>
        <w:t xml:space="preserve">  </w:t>
      </w:r>
    </w:p>
    <w:p w:rsidR="00B12B2F" w:rsidRPr="00A27B66" w:rsidP="00845961" w14:paraId="186AEFE8" w14:textId="77777777">
      <w:pPr>
        <w:ind w:left="360" w:firstLine="360"/>
        <w:rPr>
          <w:rFonts w:ascii="Times New Roman" w:hAnsi="Times New Roman" w:cs="Times New Roman"/>
        </w:rPr>
      </w:pPr>
    </w:p>
    <w:p w:rsidR="00B21255" w:rsidP="00CC060E" w14:paraId="7ED22717" w14:textId="68FBD9E0">
      <w:pPr>
        <w:ind w:left="360" w:firstLine="360"/>
        <w:rPr>
          <w:rFonts w:ascii="Times New Roman" w:hAnsi="Times New Roman" w:cs="Times New Roman"/>
        </w:rPr>
      </w:pPr>
      <w:r w:rsidRPr="00A27B66">
        <w:rPr>
          <w:rFonts w:ascii="Times New Roman" w:hAnsi="Times New Roman" w:cs="Times New Roman"/>
        </w:rPr>
        <w:t>To the extent that CCA and CTIA argue that the requirements are vague or the burden estimate is speculative because their member companies are unable to identify 63 facilities-based mobile wireless providers that would be newly subject to the MDRI provisions,</w:t>
      </w:r>
      <w:r>
        <w:rPr>
          <w:rStyle w:val="FootnoteReference"/>
          <w:rFonts w:ascii="Times New Roman" w:hAnsi="Times New Roman" w:cs="Times New Roman"/>
        </w:rPr>
        <w:footnoteReference w:id="46"/>
      </w:r>
      <w:r w:rsidRPr="00A27B66">
        <w:rPr>
          <w:rFonts w:ascii="Times New Roman" w:hAnsi="Times New Roman" w:cs="Times New Roman"/>
        </w:rPr>
        <w:t xml:space="preserve"> we observe that the number of respondents estimated by the Commission is an upper limit and includes all possible respondents.  </w:t>
      </w:r>
      <w:r w:rsidR="00E537F4">
        <w:rPr>
          <w:rFonts w:ascii="Times New Roman" w:hAnsi="Times New Roman" w:cs="Times New Roman"/>
        </w:rPr>
        <w:t>Again, t</w:t>
      </w:r>
      <w:r w:rsidRPr="00A27B66">
        <w:rPr>
          <w:rFonts w:ascii="Times New Roman" w:hAnsi="Times New Roman" w:cs="Times New Roman"/>
        </w:rPr>
        <w:t xml:space="preserve">here is no PRA requirement to identify by name all of the potential respondents </w:t>
      </w:r>
      <w:r w:rsidRPr="00A27B66" w:rsidR="002C0577">
        <w:rPr>
          <w:rFonts w:ascii="Times New Roman" w:hAnsi="Times New Roman" w:cs="Times New Roman"/>
        </w:rPr>
        <w:t xml:space="preserve">expected to comply with a particular rule.  </w:t>
      </w:r>
    </w:p>
    <w:p w:rsidR="00B12B2F" w:rsidRPr="00A27B66" w:rsidP="00CC060E" w14:paraId="79FE7DAB" w14:textId="77777777">
      <w:pPr>
        <w:ind w:left="360" w:firstLine="360"/>
        <w:rPr>
          <w:rFonts w:ascii="Times New Roman" w:hAnsi="Times New Roman" w:cs="Times New Roman"/>
        </w:rPr>
      </w:pPr>
    </w:p>
    <w:p w:rsidR="00B21255" w:rsidRPr="00B21255" w:rsidP="00C35B5B" w14:paraId="647BF0E3" w14:textId="5CAEA1EC">
      <w:pPr>
        <w:ind w:left="360" w:firstLine="360"/>
      </w:pPr>
      <w:r>
        <w:rPr>
          <w:rFonts w:ascii="Times New Roman" w:hAnsi="Times New Roman" w:cs="Times New Roman"/>
          <w:i/>
          <w:iCs/>
        </w:rPr>
        <w:t xml:space="preserve">Proposition that the Commission maintains a provider list.  </w:t>
      </w:r>
      <w:r w:rsidRPr="00532359">
        <w:rPr>
          <w:rFonts w:ascii="Times New Roman" w:hAnsi="Times New Roman" w:cs="Times New Roman"/>
        </w:rPr>
        <w:t>CCA and CTIA propose solutions to help resolve their PRA concerns, including</w:t>
      </w:r>
      <w:r w:rsidRPr="00532359">
        <w:rPr>
          <w:rFonts w:ascii="Times New Roman" w:hAnsi="Times New Roman" w:cs="Times New Roman"/>
        </w:rPr>
        <w:t xml:space="preserve"> </w:t>
      </w:r>
      <w:r w:rsidRPr="00532359">
        <w:rPr>
          <w:rFonts w:ascii="Times New Roman" w:hAnsi="Times New Roman" w:cs="Times New Roman"/>
        </w:rPr>
        <w:t>the Commission publishing and regularly updat</w:t>
      </w:r>
      <w:r w:rsidRPr="00532359" w:rsidR="004E0B59">
        <w:rPr>
          <w:rFonts w:ascii="Times New Roman" w:hAnsi="Times New Roman" w:cs="Times New Roman"/>
        </w:rPr>
        <w:t>ing</w:t>
      </w:r>
      <w:r w:rsidRPr="00532359">
        <w:rPr>
          <w:rFonts w:ascii="Times New Roman" w:hAnsi="Times New Roman" w:cs="Times New Roman"/>
        </w:rPr>
        <w:t xml:space="preserve"> a list of facilities-based mobile wireless providers to which MDRI obligations apply, clarifying and extending compliance deadlines, and revising the types of entities that are defined as “small.”</w:t>
      </w:r>
      <w:r>
        <w:rPr>
          <w:rStyle w:val="FootnoteReference"/>
          <w:rFonts w:ascii="Times New Roman" w:hAnsi="Times New Roman" w:cs="Times New Roman"/>
        </w:rPr>
        <w:footnoteReference w:id="47"/>
      </w:r>
      <w:r>
        <w:t xml:space="preserve">  </w:t>
      </w:r>
      <w:r w:rsidRPr="00D51C92">
        <w:rPr>
          <w:rFonts w:ascii="Times New Roman" w:hAnsi="Times New Roman" w:cs="Times New Roman"/>
        </w:rPr>
        <w:t>None of these solutions are necessary to ensure compliance with the PRA, so they are best addressed by the FCC in relation to the parties’ petition requesting reconsideration of these issues.</w:t>
      </w:r>
    </w:p>
    <w:p w:rsidR="009C0D11" w:rsidP="009C0D11" w14:paraId="36E4BB8A" w14:textId="5FA297CB">
      <w:pPr>
        <w:pStyle w:val="ListParagraph"/>
        <w:rPr>
          <w:rFonts w:ascii="Times New Roman" w:eastAsia="Calibri" w:hAnsi="Times New Roman" w:cs="Times New Roman"/>
        </w:rPr>
      </w:pPr>
    </w:p>
    <w:p w:rsidR="00B3588D" w:rsidRPr="00B21255" w:rsidP="00B3588D" w14:paraId="6E69C544" w14:textId="294013B1">
      <w:pPr>
        <w:pStyle w:val="ListParagraph"/>
        <w:tabs>
          <w:tab w:val="left" w:pos="90"/>
        </w:tabs>
        <w:ind w:left="360"/>
        <w:rPr>
          <w:rFonts w:ascii="Times New Roman" w:eastAsia="Calibri" w:hAnsi="Times New Roman" w:cs="Times New Roman"/>
        </w:rPr>
      </w:pPr>
      <w:r>
        <w:rPr>
          <w:rFonts w:ascii="Times New Roman" w:hAnsi="Times New Roman" w:cs="Times New Roman"/>
          <w:shd w:val="clear" w:color="auto" w:fill="FFFFFF"/>
        </w:rPr>
        <w:tab/>
      </w:r>
      <w:r w:rsidRPr="003C6F72">
        <w:rPr>
          <w:rFonts w:ascii="Times New Roman" w:hAnsi="Times New Roman" w:cs="Times New Roman"/>
          <w:shd w:val="clear" w:color="auto" w:fill="FFFFFF"/>
        </w:rPr>
        <w:t>In addition</w:t>
      </w:r>
      <w:r w:rsidR="00F9741F">
        <w:rPr>
          <w:rFonts w:ascii="Times New Roman" w:hAnsi="Times New Roman" w:cs="Times New Roman"/>
          <w:shd w:val="clear" w:color="auto" w:fill="FFFFFF"/>
        </w:rPr>
        <w:t xml:space="preserve"> to the comment</w:t>
      </w:r>
      <w:r w:rsidR="00CC50D8">
        <w:rPr>
          <w:rFonts w:ascii="Times New Roman" w:hAnsi="Times New Roman" w:cs="Times New Roman"/>
          <w:shd w:val="clear" w:color="auto" w:fill="FFFFFF"/>
        </w:rPr>
        <w:t>s addressed above</w:t>
      </w:r>
      <w:r w:rsidRPr="003C6F72">
        <w:rPr>
          <w:rFonts w:ascii="Times New Roman" w:hAnsi="Times New Roman" w:cs="Times New Roman"/>
          <w:shd w:val="clear" w:color="auto" w:fill="FFFFFF"/>
        </w:rPr>
        <w:t xml:space="preserve">, the Commission has solicited information from a diverse range of stakeholders regarding the appropriate scope of resiliency measures in a Virtual Field Hearing on Disaster Communications held during the </w:t>
      </w:r>
      <w:r w:rsidRPr="003C6F72">
        <w:rPr>
          <w:rFonts w:ascii="Times New Roman" w:hAnsi="Times New Roman" w:cs="Times New Roman"/>
        </w:rPr>
        <w:t>Commission’s October Open Commission Meeting on Tuesday, October 26, 2021.</w:t>
      </w:r>
      <w:r>
        <w:rPr>
          <w:rStyle w:val="FootnoteReference"/>
          <w:rFonts w:ascii="Times New Roman" w:hAnsi="Times New Roman" w:cs="Times New Roman"/>
          <w:shd w:val="clear" w:color="auto" w:fill="FFFFFF"/>
        </w:rPr>
        <w:footnoteReference w:id="48"/>
      </w:r>
      <w:r w:rsidRPr="003C6F72">
        <w:rPr>
          <w:rFonts w:ascii="Times New Roman" w:hAnsi="Times New Roman" w:cs="Times New Roman"/>
          <w:shd w:val="clear" w:color="auto" w:fill="FFFFFF"/>
        </w:rPr>
        <w:t xml:space="preserve">  </w:t>
      </w:r>
    </w:p>
    <w:p w:rsidR="001A68D4" w:rsidRPr="003C6F72" w:rsidP="009C0D11" w14:paraId="5980B5CA" w14:textId="77777777">
      <w:pPr>
        <w:pStyle w:val="ListParagraph"/>
        <w:rPr>
          <w:rFonts w:ascii="Times New Roman" w:eastAsia="Calibri" w:hAnsi="Times New Roman" w:cs="Times New Roman"/>
        </w:rPr>
      </w:pPr>
    </w:p>
    <w:p w:rsidR="002F4CE5" w:rsidRPr="002F4CE5" w:rsidP="0017082F" w14:paraId="755C0576" w14:textId="6094E8E7">
      <w:pPr>
        <w:pStyle w:val="ListParagraph"/>
        <w:numPr>
          <w:ilvl w:val="0"/>
          <w:numId w:val="38"/>
        </w:numPr>
        <w:autoSpaceDE w:val="0"/>
        <w:autoSpaceDN w:val="0"/>
        <w:adjustRightInd w:val="0"/>
        <w:spacing w:after="0"/>
        <w:rPr>
          <w:rFonts w:ascii="Times New Roman" w:hAnsi="Times New Roman" w:cs="Times New Roman"/>
          <w:b/>
          <w:bCs/>
          <w:color w:val="000000"/>
        </w:rPr>
      </w:pPr>
      <w:r>
        <w:rPr>
          <w:rFonts w:ascii="Times New Roman" w:hAnsi="Times New Roman" w:cs="Times New Roman"/>
          <w:b/>
          <w:bCs/>
          <w:shd w:val="clear" w:color="auto" w:fill="FFFFFF"/>
        </w:rPr>
        <w:t>Explain any decision to provide any payment or gift to respondents, other than the remuneration of contractors or grantees.</w:t>
      </w:r>
      <w:r w:rsidR="00E4670D">
        <w:rPr>
          <w:rFonts w:ascii="Times New Roman" w:hAnsi="Times New Roman" w:cs="Times New Roman"/>
          <w:b/>
          <w:bCs/>
          <w:shd w:val="clear" w:color="auto" w:fill="FFFFFF"/>
        </w:rPr>
        <w:br/>
      </w:r>
    </w:p>
    <w:p w:rsidR="006000AB" w:rsidRPr="003C6F72" w:rsidP="00C35B5B" w14:paraId="76696A57" w14:textId="5AE3EF31">
      <w:pPr>
        <w:pStyle w:val="ListParagraph"/>
        <w:autoSpaceDE w:val="0"/>
        <w:autoSpaceDN w:val="0"/>
        <w:adjustRightInd w:val="0"/>
        <w:spacing w:after="0"/>
        <w:ind w:left="360" w:firstLine="360"/>
        <w:rPr>
          <w:rFonts w:ascii="Times New Roman" w:hAnsi="Times New Roman" w:cs="Times New Roman"/>
          <w:b/>
          <w:bCs/>
          <w:color w:val="000000"/>
        </w:rPr>
      </w:pPr>
      <w:r w:rsidRPr="003C6F72">
        <w:rPr>
          <w:rFonts w:ascii="Times New Roman" w:hAnsi="Times New Roman" w:cs="Times New Roman"/>
          <w:shd w:val="clear" w:color="auto" w:fill="FFFFFF"/>
        </w:rPr>
        <w:t>The Commission will not provide any p</w:t>
      </w:r>
      <w:r w:rsidRPr="003C6F72">
        <w:rPr>
          <w:rFonts w:ascii="Times New Roman" w:hAnsi="Times New Roman" w:cs="Times New Roman"/>
          <w:shd w:val="clear" w:color="auto" w:fill="FFFFFF"/>
        </w:rPr>
        <w:t>ayment or gift</w:t>
      </w:r>
      <w:r w:rsidRPr="003C6F72" w:rsidR="006B5793">
        <w:rPr>
          <w:rFonts w:ascii="Times New Roman" w:hAnsi="Times New Roman" w:cs="Times New Roman"/>
          <w:shd w:val="clear" w:color="auto" w:fill="FFFFFF"/>
        </w:rPr>
        <w:t xml:space="preserve"> to respondents</w:t>
      </w:r>
      <w:r w:rsidRPr="003C6F72">
        <w:rPr>
          <w:rFonts w:ascii="Times New Roman" w:hAnsi="Times New Roman" w:cs="Times New Roman"/>
          <w:shd w:val="clear" w:color="auto" w:fill="FFFFFF"/>
        </w:rPr>
        <w:t>.</w:t>
      </w:r>
    </w:p>
    <w:p w:rsidR="009C0D11" w:rsidRPr="003C6F72" w:rsidP="009C0D11" w14:paraId="4518F37D" w14:textId="77777777">
      <w:pPr>
        <w:pStyle w:val="ListParagraph"/>
        <w:rPr>
          <w:rFonts w:ascii="Times New Roman" w:eastAsia="Calibri" w:hAnsi="Times New Roman" w:cs="Times New Roman"/>
        </w:rPr>
      </w:pPr>
    </w:p>
    <w:p w:rsidR="002F4CE5" w:rsidRPr="002F4CE5" w:rsidP="0017082F" w14:paraId="403807E2" w14:textId="65EB7C90">
      <w:pPr>
        <w:pStyle w:val="ListParagraph"/>
        <w:numPr>
          <w:ilvl w:val="0"/>
          <w:numId w:val="38"/>
        </w:numPr>
        <w:tabs>
          <w:tab w:val="left" w:pos="90"/>
        </w:tabs>
        <w:rPr>
          <w:rFonts w:ascii="Times New Roman" w:eastAsia="Calibri" w:hAnsi="Times New Roman" w:cs="Times New Roman"/>
        </w:rPr>
      </w:pPr>
      <w:r>
        <w:rPr>
          <w:rFonts w:ascii="Times New Roman" w:hAnsi="Times New Roman" w:cs="Times New Roman"/>
          <w:b/>
          <w:bCs/>
          <w:color w:val="000000"/>
        </w:rPr>
        <w:t>Describe any assurance of confidentiality provided to respondents and the basis for the assurance in statute, regulation, or agency policy.</w:t>
      </w:r>
      <w:r w:rsidR="00E4670D">
        <w:rPr>
          <w:rFonts w:ascii="Times New Roman" w:hAnsi="Times New Roman" w:cs="Times New Roman"/>
          <w:b/>
          <w:bCs/>
          <w:color w:val="000000"/>
        </w:rPr>
        <w:br/>
      </w:r>
    </w:p>
    <w:p w:rsidR="00F70818" w:rsidP="009B763E" w14:paraId="3E55D4F4" w14:textId="39CAF3C7">
      <w:pPr>
        <w:pStyle w:val="ListParagraph"/>
        <w:tabs>
          <w:tab w:val="left" w:pos="90"/>
        </w:tabs>
        <w:ind w:left="360"/>
        <w:rPr>
          <w:rFonts w:ascii="Times New Roman" w:hAnsi="Times New Roman" w:cs="Times New Roman"/>
          <w:color w:val="000000"/>
        </w:rPr>
      </w:pPr>
      <w:r>
        <w:rPr>
          <w:rFonts w:ascii="Times New Roman" w:hAnsi="Times New Roman" w:cs="Times New Roman"/>
          <w:color w:val="000000"/>
        </w:rPr>
        <w:tab/>
      </w:r>
      <w:r w:rsidRPr="003C6F72" w:rsidR="003D2218">
        <w:rPr>
          <w:rFonts w:ascii="Times New Roman" w:hAnsi="Times New Roman" w:cs="Times New Roman"/>
          <w:color w:val="000000"/>
        </w:rPr>
        <w:t>The</w:t>
      </w:r>
      <w:r w:rsidRPr="003C6F72" w:rsidR="003B40E7">
        <w:rPr>
          <w:rFonts w:ascii="Times New Roman" w:hAnsi="Times New Roman" w:cs="Times New Roman"/>
          <w:color w:val="000000"/>
        </w:rPr>
        <w:t xml:space="preserve"> collection does not require a System of Records Notice (SORN) or </w:t>
      </w:r>
      <w:r w:rsidRPr="003C6F72" w:rsidR="00442742">
        <w:rPr>
          <w:rFonts w:ascii="Times New Roman" w:hAnsi="Times New Roman" w:cs="Times New Roman"/>
          <w:color w:val="000000"/>
        </w:rPr>
        <w:t>Privacy Impact Assessment (PIA)</w:t>
      </w:r>
      <w:r w:rsidRPr="003C6F72" w:rsidR="003B40E7">
        <w:rPr>
          <w:rFonts w:ascii="Times New Roman" w:hAnsi="Times New Roman" w:cs="Times New Roman"/>
          <w:color w:val="000000"/>
        </w:rPr>
        <w:t>.</w:t>
      </w:r>
    </w:p>
    <w:p w:rsidR="001A68D4" w:rsidRPr="009B763E" w:rsidP="009B763E" w14:paraId="39F6FAA0" w14:textId="77777777">
      <w:pPr>
        <w:pStyle w:val="ListParagraph"/>
        <w:tabs>
          <w:tab w:val="left" w:pos="90"/>
        </w:tabs>
        <w:ind w:left="360"/>
        <w:rPr>
          <w:rFonts w:ascii="Times New Roman" w:eastAsia="Calibri" w:hAnsi="Times New Roman" w:cs="Times New Roman"/>
        </w:rPr>
      </w:pPr>
    </w:p>
    <w:p w:rsidR="003D2218" w:rsidRPr="003C6F72" w:rsidP="00F70818" w14:paraId="2669518C" w14:textId="2076D7DF">
      <w:pPr>
        <w:pStyle w:val="ListParagraph"/>
        <w:tabs>
          <w:tab w:val="left" w:pos="90"/>
        </w:tabs>
        <w:ind w:left="360"/>
        <w:rPr>
          <w:rFonts w:ascii="Times New Roman" w:hAnsi="Times New Roman" w:cs="Times New Roman"/>
          <w:color w:val="000000"/>
        </w:rPr>
      </w:pPr>
      <w:r>
        <w:rPr>
          <w:rFonts w:ascii="Times New Roman" w:eastAsia="Times New Roman" w:hAnsi="Times New Roman" w:cs="Times New Roman"/>
          <w:bCs/>
        </w:rPr>
        <w:tab/>
      </w:r>
      <w:r w:rsidRPr="003C6F72">
        <w:rPr>
          <w:rFonts w:ascii="Times New Roman" w:eastAsia="Times New Roman" w:hAnsi="Times New Roman" w:cs="Times New Roman"/>
          <w:bCs/>
        </w:rPr>
        <w:t xml:space="preserve">The collection will require providers </w:t>
      </w:r>
      <w:r w:rsidRPr="003C6F72">
        <w:rPr>
          <w:rFonts w:ascii="Times New Roman" w:hAnsi="Times New Roman" w:cs="Times New Roman"/>
        </w:rPr>
        <w:t>to submit reports to the Commission detailing the timing, duration and effectiveness of their implementation of the Mandatory Disaster Response Initiative’s provisions within 60 days of when the Public Safety and Homeland Security Bureau issues a Public Notice announcing such reports must be filed for providers operating in a certain geographic area in the aftermath of a disaster</w:t>
      </w:r>
      <w:r w:rsidRPr="003C6F72" w:rsidR="00F70818">
        <w:rPr>
          <w:rFonts w:ascii="Times New Roman" w:hAnsi="Times New Roman" w:cs="Times New Roman"/>
        </w:rPr>
        <w:t xml:space="preserve">.  </w:t>
      </w:r>
      <w:r w:rsidRPr="003C6F72">
        <w:rPr>
          <w:rFonts w:ascii="Times New Roman" w:eastAsia="Times New Roman" w:hAnsi="Times New Roman" w:cs="Times New Roman"/>
          <w:bCs/>
        </w:rPr>
        <w:t xml:space="preserve">Providers may include information in these reports that could constitute </w:t>
      </w:r>
      <w:r w:rsidRPr="003C6F72">
        <w:rPr>
          <w:rFonts w:ascii="Times New Roman" w:hAnsi="Times New Roman" w:cs="Times New Roman"/>
          <w:color w:val="000000"/>
        </w:rPr>
        <w:t xml:space="preserve">proprietary trade secrets and/or other confidential information.  Providers are free to request that such reports </w:t>
      </w:r>
      <w:r w:rsidRPr="003C6F72">
        <w:rPr>
          <w:rFonts w:ascii="Times New Roman" w:hAnsi="Times New Roman" w:cs="Times New Roman"/>
        </w:rPr>
        <w:t>be withheld from public inspection (be kept confidential) under section 0.459 of the Commission’s rules.</w:t>
      </w:r>
      <w:r>
        <w:rPr>
          <w:rStyle w:val="FootnoteReference"/>
          <w:rFonts w:ascii="Times New Roman" w:hAnsi="Times New Roman" w:cs="Times New Roman"/>
        </w:rPr>
        <w:footnoteReference w:id="49"/>
      </w:r>
      <w:r w:rsidRPr="003C6F72">
        <w:rPr>
          <w:rFonts w:ascii="Times New Roman" w:hAnsi="Times New Roman" w:cs="Times New Roman"/>
        </w:rPr>
        <w:t xml:space="preserve">  Such requests must address the substantive criteria in section 0.459(b) of the Commission’s rules and must describe the specific portion(s) of the submitted material for which confidentiality is sought.</w:t>
      </w:r>
    </w:p>
    <w:p w:rsidR="003D2218" w:rsidRPr="003C6F72" w:rsidP="009C0D11" w14:paraId="5A9355DE" w14:textId="77777777">
      <w:pPr>
        <w:pStyle w:val="ListParagraph"/>
        <w:rPr>
          <w:rFonts w:ascii="Times New Roman" w:eastAsia="Calibri" w:hAnsi="Times New Roman" w:cs="Times New Roman"/>
        </w:rPr>
      </w:pPr>
    </w:p>
    <w:p w:rsidR="002F4CE5" w:rsidRPr="002F4CE5" w:rsidP="0017082F" w14:paraId="4FF1FBEA" w14:textId="1781B963">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shd w:val="clear" w:color="auto" w:fill="FFFFFF"/>
        </w:rPr>
        <w:t>Provide additional justification for any questions of a sensitive nature.</w:t>
      </w:r>
      <w:r w:rsidR="00E4670D">
        <w:rPr>
          <w:rFonts w:ascii="Times New Roman" w:hAnsi="Times New Roman" w:cs="Times New Roman"/>
          <w:b/>
          <w:bCs/>
          <w:shd w:val="clear" w:color="auto" w:fill="FFFFFF"/>
        </w:rPr>
        <w:br/>
      </w:r>
    </w:p>
    <w:p w:rsidR="00442742" w:rsidRPr="003C6F72" w:rsidP="002F4CE5" w14:paraId="3936E284" w14:textId="0A4457B0">
      <w:pPr>
        <w:pStyle w:val="ListParagraph"/>
        <w:tabs>
          <w:tab w:val="left" w:pos="90"/>
        </w:tabs>
        <w:ind w:left="360"/>
        <w:rPr>
          <w:rFonts w:ascii="Times New Roman" w:eastAsia="Calibri" w:hAnsi="Times New Roman" w:cs="Times New Roman"/>
          <w:b/>
          <w:bCs/>
        </w:rPr>
      </w:pPr>
      <w:r>
        <w:rPr>
          <w:rFonts w:ascii="Times New Roman" w:hAnsi="Times New Roman" w:cs="Times New Roman"/>
          <w:shd w:val="clear" w:color="auto" w:fill="FFFFFF"/>
        </w:rPr>
        <w:tab/>
      </w:r>
      <w:r w:rsidRPr="003C6F72" w:rsidR="00750D35">
        <w:rPr>
          <w:rFonts w:ascii="Times New Roman" w:hAnsi="Times New Roman" w:cs="Times New Roman"/>
          <w:shd w:val="clear" w:color="auto" w:fill="FFFFFF"/>
        </w:rPr>
        <w:t xml:space="preserve">There </w:t>
      </w:r>
      <w:r w:rsidRPr="003C6F72" w:rsidR="00813DE6">
        <w:rPr>
          <w:rFonts w:ascii="Times New Roman" w:hAnsi="Times New Roman" w:cs="Times New Roman"/>
          <w:shd w:val="clear" w:color="auto" w:fill="FFFFFF"/>
        </w:rPr>
        <w:t>are no questions of a sensitive nature involved with this collection of information.</w:t>
      </w:r>
      <w:r w:rsidRPr="003C6F72">
        <w:rPr>
          <w:rFonts w:ascii="Times New Roman" w:hAnsi="Times New Roman" w:cs="Times New Roman"/>
          <w:shd w:val="clear" w:color="auto" w:fill="FFFFFF"/>
        </w:rPr>
        <w:t xml:space="preserve">  </w:t>
      </w:r>
    </w:p>
    <w:p w:rsidR="009C0D11" w:rsidRPr="003C6F72" w:rsidP="009C0D11" w14:paraId="5391E27A" w14:textId="77777777">
      <w:pPr>
        <w:pStyle w:val="ListParagraph"/>
        <w:rPr>
          <w:rFonts w:ascii="Times New Roman" w:eastAsia="Calibri" w:hAnsi="Times New Roman" w:cs="Times New Roman"/>
        </w:rPr>
      </w:pPr>
    </w:p>
    <w:p w:rsidR="001E12ED" w:rsidRPr="001E12ED" w:rsidP="0017082F" w14:paraId="2DABA556" w14:textId="77777777">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rPr>
        <w:t>Provide estimates of the burden hours for the collection of</w:t>
      </w:r>
      <w:r>
        <w:rPr>
          <w:rFonts w:ascii="Times New Roman" w:hAnsi="Times New Roman" w:cs="Times New Roman"/>
          <w:b/>
          <w:bCs/>
        </w:rPr>
        <w:t xml:space="preserve"> information.</w:t>
      </w:r>
    </w:p>
    <w:p w:rsidR="00796664" w:rsidRPr="003C6F72" w:rsidP="001E12ED" w14:paraId="25757E6C" w14:textId="48DC5BDE">
      <w:pPr>
        <w:pStyle w:val="ListParagraph"/>
        <w:tabs>
          <w:tab w:val="left" w:pos="90"/>
        </w:tabs>
        <w:ind w:left="360"/>
        <w:rPr>
          <w:rFonts w:ascii="Times New Roman" w:eastAsia="Calibri" w:hAnsi="Times New Roman" w:cs="Times New Roman"/>
          <w:b/>
          <w:bCs/>
        </w:rPr>
      </w:pPr>
      <w:r>
        <w:rPr>
          <w:rFonts w:ascii="Times New Roman" w:hAnsi="Times New Roman" w:cs="Times New Roman"/>
        </w:rPr>
        <w:tab/>
      </w:r>
      <w:r w:rsidRPr="00BD2053" w:rsidR="00AD1887">
        <w:rPr>
          <w:rFonts w:ascii="Times New Roman" w:hAnsi="Times New Roman" w:cs="Times New Roman"/>
        </w:rPr>
        <w:t xml:space="preserve">Burden estimates are calculated below.  As noted above, providers may obtain “safe harbor” as to certain provisions of the MDRI if they implement, or continue their implementation of, corresponding provisions of the Framework.  </w:t>
      </w:r>
      <w:r w:rsidRPr="00BD2053" w:rsidR="00B64ED7">
        <w:rPr>
          <w:rFonts w:ascii="Times New Roman" w:hAnsi="Times New Roman" w:cs="Times New Roman"/>
        </w:rPr>
        <w:t xml:space="preserve">The </w:t>
      </w:r>
      <w:r w:rsidRPr="00BD2053" w:rsidR="00AD1887">
        <w:rPr>
          <w:rFonts w:ascii="Times New Roman" w:hAnsi="Times New Roman" w:cs="Times New Roman"/>
        </w:rPr>
        <w:t xml:space="preserve">estimates below assume that all respondents </w:t>
      </w:r>
      <w:r w:rsidRPr="00BD2053" w:rsidR="00B64ED7">
        <w:rPr>
          <w:rFonts w:ascii="Times New Roman" w:hAnsi="Times New Roman" w:cs="Times New Roman"/>
        </w:rPr>
        <w:t>implement the safe harbor provisions</w:t>
      </w:r>
      <w:r w:rsidRPr="00BD2053">
        <w:rPr>
          <w:rFonts w:ascii="Times New Roman" w:hAnsi="Times New Roman" w:cs="Times New Roman"/>
        </w:rPr>
        <w:t>.  While t</w:t>
      </w:r>
      <w:r w:rsidRPr="00BD2053" w:rsidR="0002421B">
        <w:rPr>
          <w:rFonts w:ascii="Times New Roman" w:hAnsi="Times New Roman" w:cs="Times New Roman"/>
        </w:rPr>
        <w:t xml:space="preserve">he Commission </w:t>
      </w:r>
      <w:r w:rsidRPr="00BD2053" w:rsidR="00AD1887">
        <w:rPr>
          <w:rFonts w:ascii="Times New Roman" w:hAnsi="Times New Roman" w:cs="Times New Roman"/>
        </w:rPr>
        <w:t xml:space="preserve">does not have an estimate of how many respondents will elect </w:t>
      </w:r>
      <w:r w:rsidRPr="00BD2053">
        <w:rPr>
          <w:rFonts w:ascii="Times New Roman" w:hAnsi="Times New Roman" w:cs="Times New Roman"/>
        </w:rPr>
        <w:t>to implement the safe harbor provision</w:t>
      </w:r>
      <w:r w:rsidRPr="00BD2053" w:rsidR="00720E6C">
        <w:rPr>
          <w:rFonts w:ascii="Times New Roman" w:hAnsi="Times New Roman" w:cs="Times New Roman"/>
        </w:rPr>
        <w:t xml:space="preserve">s, it notes that the safe harbor provisions </w:t>
      </w:r>
      <w:r w:rsidRPr="00BD2053" w:rsidR="00D4536C">
        <w:rPr>
          <w:rFonts w:ascii="Times New Roman" w:hAnsi="Times New Roman" w:cs="Times New Roman"/>
        </w:rPr>
        <w:t xml:space="preserve">implicate </w:t>
      </w:r>
      <w:r w:rsidR="00C850BE">
        <w:rPr>
          <w:rFonts w:ascii="Times New Roman" w:hAnsi="Times New Roman" w:cs="Times New Roman"/>
        </w:rPr>
        <w:t xml:space="preserve">the </w:t>
      </w:r>
      <w:r w:rsidRPr="00BD2053" w:rsidR="00D4536C">
        <w:rPr>
          <w:rFonts w:ascii="Times New Roman" w:hAnsi="Times New Roman" w:cs="Times New Roman"/>
        </w:rPr>
        <w:t>PRA burden whereas implementing th</w:t>
      </w:r>
      <w:r w:rsidRPr="00BD2053" w:rsidR="007D31E8">
        <w:rPr>
          <w:rFonts w:ascii="Times New Roman" w:hAnsi="Times New Roman" w:cs="Times New Roman"/>
        </w:rPr>
        <w:t>ose provisions of</w:t>
      </w:r>
      <w:r w:rsidRPr="00BD2053" w:rsidR="00D4536C">
        <w:rPr>
          <w:rFonts w:ascii="Times New Roman" w:hAnsi="Times New Roman" w:cs="Times New Roman"/>
        </w:rPr>
        <w:t xml:space="preserve"> MDRI does not.  Thus, calculations of </w:t>
      </w:r>
      <w:r w:rsidR="00B327E2">
        <w:rPr>
          <w:rFonts w:ascii="Times New Roman" w:hAnsi="Times New Roman" w:cs="Times New Roman"/>
        </w:rPr>
        <w:t xml:space="preserve">the </w:t>
      </w:r>
      <w:r w:rsidRPr="00BD2053" w:rsidR="00D4536C">
        <w:rPr>
          <w:rFonts w:ascii="Times New Roman" w:hAnsi="Times New Roman" w:cs="Times New Roman"/>
        </w:rPr>
        <w:t>estimated burden below are an upper limit</w:t>
      </w:r>
      <w:r w:rsidRPr="003C6F72" w:rsidR="00D4536C">
        <w:rPr>
          <w:rFonts w:ascii="Times New Roman" w:hAnsi="Times New Roman" w:cs="Times New Roman"/>
        </w:rPr>
        <w:t xml:space="preserve"> on the actual burden to respondents in practice.  </w:t>
      </w:r>
    </w:p>
    <w:p w:rsidR="00796664" w:rsidRPr="003C6F72" w:rsidP="0017082F" w14:paraId="277FB141" w14:textId="77777777">
      <w:pPr>
        <w:pStyle w:val="ListParagraph"/>
        <w:rPr>
          <w:rFonts w:ascii="Times New Roman" w:hAnsi="Times New Roman" w:cs="Times New Roman"/>
        </w:rPr>
      </w:pPr>
    </w:p>
    <w:p w:rsidR="009529B6" w:rsidRPr="003C6F72" w:rsidP="001C3D4E" w14:paraId="5DB8E89C" w14:textId="73C88618">
      <w:pPr>
        <w:pStyle w:val="ListParagraph"/>
        <w:numPr>
          <w:ilvl w:val="1"/>
          <w:numId w:val="37"/>
        </w:numPr>
        <w:tabs>
          <w:tab w:val="left" w:pos="90"/>
        </w:tabs>
        <w:rPr>
          <w:rFonts w:ascii="Times New Roman" w:eastAsia="Calibri" w:hAnsi="Times New Roman" w:cs="Times New Roman"/>
          <w:b/>
          <w:bCs/>
        </w:rPr>
      </w:pPr>
      <w:r w:rsidRPr="003C6F72">
        <w:rPr>
          <w:rFonts w:ascii="Times New Roman" w:hAnsi="Times New Roman" w:cs="Times New Roman"/>
          <w:b/>
          <w:bCs/>
          <w:color w:val="000000"/>
        </w:rPr>
        <w:t xml:space="preserve">Provision </w:t>
      </w:r>
      <w:r w:rsidRPr="003C6F72" w:rsidR="00C21DD6">
        <w:rPr>
          <w:rFonts w:ascii="Times New Roman" w:hAnsi="Times New Roman" w:cs="Times New Roman"/>
          <w:b/>
          <w:bCs/>
          <w:color w:val="000000"/>
        </w:rPr>
        <w:t>F</w:t>
      </w:r>
      <w:r w:rsidRPr="003C6F72" w:rsidR="00321B6A">
        <w:rPr>
          <w:rFonts w:ascii="Times New Roman" w:hAnsi="Times New Roman" w:cs="Times New Roman"/>
          <w:b/>
          <w:bCs/>
          <w:color w:val="000000"/>
        </w:rPr>
        <w:t>2</w:t>
      </w:r>
      <w:r w:rsidRPr="003C6F72" w:rsidR="003C105E">
        <w:rPr>
          <w:rFonts w:ascii="Times New Roman" w:hAnsi="Times New Roman" w:cs="Times New Roman"/>
          <w:b/>
          <w:bCs/>
          <w:color w:val="000000"/>
        </w:rPr>
        <w:t xml:space="preserve"> of the </w:t>
      </w:r>
      <w:r w:rsidRPr="003C6F72" w:rsidR="00C21DD6">
        <w:rPr>
          <w:rFonts w:ascii="Times New Roman" w:hAnsi="Times New Roman" w:cs="Times New Roman"/>
          <w:b/>
          <w:bCs/>
          <w:color w:val="000000"/>
        </w:rPr>
        <w:t>Framework</w:t>
      </w:r>
    </w:p>
    <w:p w:rsidR="00AD1887" w:rsidRPr="003C6F72" w:rsidP="00AD1887" w14:paraId="3CAD0928" w14:textId="55451C2C">
      <w:pPr>
        <w:pStyle w:val="ListParagraph"/>
        <w:tabs>
          <w:tab w:val="left" w:pos="90"/>
        </w:tabs>
        <w:ind w:left="1080"/>
        <w:rPr>
          <w:rFonts w:ascii="Times New Roman" w:hAnsi="Times New Roman" w:cs="Times New Roman"/>
          <w:b/>
          <w:bCs/>
          <w:color w:val="000000"/>
        </w:rPr>
      </w:pPr>
    </w:p>
    <w:tbl>
      <w:tblPr>
        <w:tblStyle w:val="TableGrid"/>
        <w:tblW w:w="5949" w:type="dxa"/>
        <w:tblInd w:w="1327" w:type="dxa"/>
        <w:tblLayout w:type="fixed"/>
        <w:tblLook w:val="04A0"/>
      </w:tblPr>
      <w:tblGrid>
        <w:gridCol w:w="1186"/>
        <w:gridCol w:w="4763"/>
      </w:tblGrid>
      <w:tr w14:paraId="32205EA2" w14:textId="77777777" w:rsidTr="00614EC4">
        <w:tblPrEx>
          <w:tblW w:w="5949" w:type="dxa"/>
          <w:tblInd w:w="1327" w:type="dxa"/>
          <w:tblLayout w:type="fixed"/>
          <w:tblLook w:val="04A0"/>
        </w:tblPrEx>
        <w:trPr>
          <w:cantSplit/>
          <w:trHeight w:val="165"/>
        </w:trPr>
        <w:tc>
          <w:tcPr>
            <w:tcW w:w="1186" w:type="dxa"/>
            <w:shd w:val="clear" w:color="auto" w:fill="D9D9D9" w:themeFill="background1" w:themeFillShade="D9"/>
          </w:tcPr>
          <w:p w:rsidR="00EC66C3" w:rsidRPr="003C6F72" w:rsidP="0058139A" w14:paraId="535A229C" w14:textId="77777777">
            <w:pPr>
              <w:pStyle w:val="ListParagraph"/>
              <w:keepNext/>
              <w:keepLines/>
              <w:tabs>
                <w:tab w:val="left" w:pos="90"/>
              </w:tabs>
              <w:rPr>
                <w:rFonts w:ascii="Times New Roman" w:hAnsi="Times New Roman" w:cs="Times New Roman"/>
                <w:b/>
                <w:bCs/>
              </w:rPr>
            </w:pPr>
            <w:r w:rsidRPr="003C6F72">
              <w:rPr>
                <w:rFonts w:ascii="Times New Roman" w:hAnsi="Times New Roman" w:cs="Times New Roman"/>
                <w:b/>
                <w:bCs/>
              </w:rPr>
              <w:t>Provision</w:t>
            </w:r>
          </w:p>
        </w:tc>
        <w:tc>
          <w:tcPr>
            <w:tcW w:w="4763" w:type="dxa"/>
            <w:shd w:val="clear" w:color="auto" w:fill="D9D9D9" w:themeFill="background1" w:themeFillShade="D9"/>
          </w:tcPr>
          <w:p w:rsidR="00EC66C3" w:rsidRPr="003C6F72" w:rsidP="0058139A" w14:paraId="43EE903D" w14:textId="66E574E6">
            <w:pPr>
              <w:pStyle w:val="ListParagraph"/>
              <w:keepNext/>
              <w:keepLines/>
              <w:tabs>
                <w:tab w:val="left" w:pos="90"/>
              </w:tabs>
              <w:rPr>
                <w:rFonts w:ascii="Times New Roman" w:hAnsi="Times New Roman" w:cs="Times New Roman"/>
                <w:b/>
                <w:bCs/>
              </w:rPr>
            </w:pPr>
            <w:r w:rsidRPr="003C6F72">
              <w:rPr>
                <w:rFonts w:ascii="Times New Roman" w:hAnsi="Times New Roman" w:cs="Times New Roman"/>
                <w:b/>
                <w:bCs/>
              </w:rPr>
              <w:t>Framework</w:t>
            </w:r>
          </w:p>
        </w:tc>
      </w:tr>
      <w:tr w14:paraId="599A75DA" w14:textId="77777777" w:rsidTr="00391259">
        <w:tblPrEx>
          <w:tblW w:w="5949" w:type="dxa"/>
          <w:tblInd w:w="1327" w:type="dxa"/>
          <w:tblLayout w:type="fixed"/>
          <w:tblLook w:val="04A0"/>
        </w:tblPrEx>
        <w:trPr>
          <w:cantSplit/>
          <w:trHeight w:val="509"/>
        </w:trPr>
        <w:tc>
          <w:tcPr>
            <w:tcW w:w="1186" w:type="dxa"/>
          </w:tcPr>
          <w:p w:rsidR="00EC66C3" w:rsidRPr="003C6F72" w:rsidP="0058139A" w14:paraId="63341DC8" w14:textId="6ECD4592">
            <w:pPr>
              <w:pStyle w:val="ListParagraph"/>
              <w:keepNext/>
              <w:keepLines/>
              <w:tabs>
                <w:tab w:val="left" w:pos="90"/>
              </w:tabs>
              <w:rPr>
                <w:rFonts w:ascii="Times New Roman" w:hAnsi="Times New Roman" w:cs="Times New Roman"/>
              </w:rPr>
            </w:pPr>
            <w:r w:rsidRPr="003C6F72">
              <w:rPr>
                <w:rFonts w:ascii="Times New Roman" w:hAnsi="Times New Roman" w:cs="Times New Roman"/>
              </w:rPr>
              <w:t>F</w:t>
            </w:r>
            <w:r w:rsidRPr="003C6F72" w:rsidR="00321B6A">
              <w:rPr>
                <w:rFonts w:ascii="Times New Roman" w:hAnsi="Times New Roman" w:cs="Times New Roman"/>
              </w:rPr>
              <w:t>2</w:t>
            </w:r>
          </w:p>
        </w:tc>
        <w:tc>
          <w:tcPr>
            <w:tcW w:w="4763" w:type="dxa"/>
          </w:tcPr>
          <w:p w:rsidR="00EC66C3" w:rsidRPr="003C6F72" w:rsidP="0058139A" w14:paraId="61677904"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 xml:space="preserve">enhancing municipal preparedness and restoration by convening with local government public safety representatives to develop best practices, and establishing a provider/PSAP contact database </w:t>
            </w:r>
          </w:p>
        </w:tc>
      </w:tr>
    </w:tbl>
    <w:p w:rsidR="00AD1887" w:rsidRPr="003C6F72" w:rsidP="00AD1887" w14:paraId="7B160CFC" w14:textId="77777777">
      <w:pPr>
        <w:pStyle w:val="ListParagraph"/>
        <w:tabs>
          <w:tab w:val="left" w:pos="90"/>
        </w:tabs>
        <w:ind w:left="360"/>
        <w:rPr>
          <w:rFonts w:ascii="Times New Roman" w:eastAsia="Calibri" w:hAnsi="Times New Roman" w:cs="Times New Roman"/>
          <w:highlight w:val="yellow"/>
        </w:rPr>
      </w:pPr>
    </w:p>
    <w:p w:rsidR="00AD1887" w:rsidRPr="003C6F72" w:rsidP="00AD1887" w14:paraId="17FD0CDF" w14:textId="69F0A6AC">
      <w:pPr>
        <w:pStyle w:val="ListParagraph"/>
        <w:tabs>
          <w:tab w:val="left" w:pos="90"/>
        </w:tabs>
        <w:ind w:left="360"/>
        <w:rPr>
          <w:rFonts w:ascii="Times New Roman" w:hAnsi="Times New Roman" w:cs="Times New Roman"/>
        </w:rPr>
      </w:pPr>
      <w:bookmarkStart w:id="4" w:name="_Hlk120001906"/>
      <w:r>
        <w:rPr>
          <w:rFonts w:ascii="Times New Roman" w:eastAsia="Calibri" w:hAnsi="Times New Roman" w:cs="Times New Roman"/>
        </w:rPr>
        <w:tab/>
      </w:r>
      <w:r w:rsidRPr="003C6F72">
        <w:rPr>
          <w:rFonts w:ascii="Times New Roman" w:eastAsia="Calibri" w:hAnsi="Times New Roman" w:cs="Times New Roman"/>
        </w:rPr>
        <w:t xml:space="preserve">Providers </w:t>
      </w:r>
      <w:r w:rsidRPr="003C6F72" w:rsidR="00D54FDF">
        <w:rPr>
          <w:rFonts w:ascii="Times New Roman" w:eastAsia="Calibri" w:hAnsi="Times New Roman" w:cs="Times New Roman"/>
        </w:rPr>
        <w:t xml:space="preserve">who implement </w:t>
      </w:r>
      <w:r w:rsidR="00B327E2">
        <w:rPr>
          <w:rFonts w:ascii="Times New Roman" w:eastAsia="Calibri" w:hAnsi="Times New Roman" w:cs="Times New Roman"/>
        </w:rPr>
        <w:t xml:space="preserve">the </w:t>
      </w:r>
      <w:r w:rsidRPr="003C6F72" w:rsidR="00D54FDF">
        <w:rPr>
          <w:rFonts w:ascii="Times New Roman" w:eastAsia="Calibri" w:hAnsi="Times New Roman" w:cs="Times New Roman"/>
        </w:rPr>
        <w:t>safe harbor are</w:t>
      </w:r>
      <w:r w:rsidRPr="003C6F72">
        <w:rPr>
          <w:rFonts w:ascii="Times New Roman" w:eastAsia="Calibri" w:hAnsi="Times New Roman" w:cs="Times New Roman"/>
        </w:rPr>
        <w:t xml:space="preserve"> estimated to incur a one-time or initial burden to “</w:t>
      </w:r>
      <w:r w:rsidRPr="003C6F72">
        <w:rPr>
          <w:rFonts w:ascii="Times New Roman" w:hAnsi="Times New Roman" w:cs="Times New Roman"/>
        </w:rPr>
        <w:t>establish[] a provider/PSAP contact database</w:t>
      </w:r>
      <w:r w:rsidRPr="003C6F72" w:rsidR="00D50A50">
        <w:rPr>
          <w:rFonts w:ascii="Times New Roman" w:hAnsi="Times New Roman" w:cs="Times New Roman"/>
        </w:rPr>
        <w:t>.</w:t>
      </w:r>
      <w:r w:rsidRPr="003C6F72">
        <w:rPr>
          <w:rFonts w:ascii="Times New Roman" w:hAnsi="Times New Roman" w:cs="Times New Roman"/>
        </w:rPr>
        <w:t xml:space="preserve">” </w:t>
      </w:r>
      <w:r w:rsidRPr="003C6F72" w:rsidR="00DE5A37">
        <w:rPr>
          <w:rFonts w:ascii="Times New Roman" w:hAnsi="Times New Roman" w:cs="Times New Roman"/>
        </w:rPr>
        <w:t xml:space="preserve"> </w:t>
      </w:r>
      <w:bookmarkEnd w:id="4"/>
      <w:r w:rsidRPr="003C6F72" w:rsidR="00A27056">
        <w:rPr>
          <w:rFonts w:ascii="Times New Roman" w:hAnsi="Times New Roman" w:cs="Times New Roman"/>
        </w:rPr>
        <w:t>This</w:t>
      </w:r>
      <w:r w:rsidRPr="003C6F72" w:rsidR="00DE5A37">
        <w:rPr>
          <w:rFonts w:ascii="Times New Roman" w:hAnsi="Times New Roman" w:cs="Times New Roman"/>
        </w:rPr>
        <w:t xml:space="preserve"> represent</w:t>
      </w:r>
      <w:r w:rsidRPr="003C6F72" w:rsidR="00A27056">
        <w:rPr>
          <w:rFonts w:ascii="Times New Roman" w:hAnsi="Times New Roman" w:cs="Times New Roman"/>
        </w:rPr>
        <w:t>s</w:t>
      </w:r>
      <w:r w:rsidRPr="003C6F72" w:rsidR="00DE5A37">
        <w:rPr>
          <w:rFonts w:ascii="Times New Roman" w:hAnsi="Times New Roman" w:cs="Times New Roman"/>
        </w:rPr>
        <w:t xml:space="preserve"> the burden for </w:t>
      </w:r>
      <w:r w:rsidRPr="003C6F72" w:rsidR="00C2251E">
        <w:rPr>
          <w:rFonts w:ascii="Times New Roman" w:hAnsi="Times New Roman" w:cs="Times New Roman"/>
        </w:rPr>
        <w:t xml:space="preserve">entering </w:t>
      </w:r>
      <w:r w:rsidRPr="003C6F72" w:rsidR="00DE5A37">
        <w:rPr>
          <w:rFonts w:ascii="Times New Roman" w:hAnsi="Times New Roman" w:cs="Times New Roman"/>
        </w:rPr>
        <w:t>information that a provider already has</w:t>
      </w:r>
      <w:r w:rsidRPr="003C6F72" w:rsidR="008C0BC4">
        <w:rPr>
          <w:rFonts w:ascii="Times New Roman" w:hAnsi="Times New Roman" w:cs="Times New Roman"/>
        </w:rPr>
        <w:t xml:space="preserve"> available</w:t>
      </w:r>
      <w:r w:rsidRPr="003C6F72" w:rsidR="00DE5A37">
        <w:rPr>
          <w:rFonts w:ascii="Times New Roman" w:hAnsi="Times New Roman" w:cs="Times New Roman"/>
        </w:rPr>
        <w:t xml:space="preserve"> </w:t>
      </w:r>
      <w:r w:rsidRPr="003C6F72" w:rsidR="009A5AEA">
        <w:rPr>
          <w:rFonts w:ascii="Times New Roman" w:hAnsi="Times New Roman" w:cs="Times New Roman"/>
        </w:rPr>
        <w:t>regarding</w:t>
      </w:r>
      <w:r w:rsidRPr="003C6F72" w:rsidR="00DE5A37">
        <w:rPr>
          <w:rFonts w:ascii="Times New Roman" w:hAnsi="Times New Roman" w:cs="Times New Roman"/>
        </w:rPr>
        <w:t xml:space="preserve"> PSAP contact information</w:t>
      </w:r>
      <w:r w:rsidRPr="003C6F72" w:rsidR="004A1D1C">
        <w:rPr>
          <w:rFonts w:ascii="Times New Roman" w:hAnsi="Times New Roman" w:cs="Times New Roman"/>
        </w:rPr>
        <w:t xml:space="preserve"> in database form</w:t>
      </w:r>
      <w:r w:rsidRPr="003C6F72" w:rsidR="00DE5A37">
        <w:rPr>
          <w:rFonts w:ascii="Times New Roman" w:hAnsi="Times New Roman" w:cs="Times New Roman"/>
        </w:rPr>
        <w:t xml:space="preserve">. </w:t>
      </w:r>
    </w:p>
    <w:p w:rsidR="001E30F7" w:rsidRPr="003C6F72" w:rsidP="00AD1887" w14:paraId="56424CA1" w14:textId="77777777">
      <w:pPr>
        <w:pStyle w:val="ListParagraph"/>
        <w:tabs>
          <w:tab w:val="left" w:pos="90"/>
        </w:tabs>
        <w:ind w:left="360"/>
        <w:rPr>
          <w:rFonts w:ascii="Times New Roman" w:eastAsia="Calibri" w:hAnsi="Times New Roman" w:cs="Times New Roman"/>
        </w:rPr>
      </w:pPr>
    </w:p>
    <w:p w:rsidR="00AD1887" w:rsidRPr="003C6F72" w:rsidP="00AD1887" w14:paraId="6EF5DE0B" w14:textId="77777777">
      <w:pPr>
        <w:tabs>
          <w:tab w:val="left" w:pos="360"/>
        </w:tabs>
        <w:spacing w:after="0"/>
        <w:rPr>
          <w:rFonts w:ascii="Times New Roman" w:hAnsi="Times New Roman" w:cs="Times New Roman"/>
          <w:bCs/>
          <w:kern w:val="1"/>
          <w:u w:val="single"/>
          <w:shd w:val="clear" w:color="auto" w:fill="FFFFFF"/>
        </w:rPr>
      </w:pPr>
      <w:r w:rsidRPr="003C6F72">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Burden Estimate for Establishing a Provider/PSAP Contact Database</w:t>
      </w:r>
    </w:p>
    <w:p w:rsidR="00AD1887" w:rsidRPr="003C6F72" w:rsidP="00AD1887" w14:paraId="69545124"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AD1887" w:rsidRPr="003C6F72" w:rsidP="00AD1887" w14:paraId="62B9C9BD" w14:textId="77777777">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Frequency of response: One-time</w:t>
      </w:r>
    </w:p>
    <w:p w:rsidR="00AD1887" w:rsidRPr="003C6F72" w:rsidP="00AD1887" w14:paraId="0C7D3493" w14:textId="77777777">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1 response/respondent = 75 total responses</w:t>
      </w:r>
    </w:p>
    <w:p w:rsidR="00AD1887" w:rsidRPr="003C6F72" w:rsidP="00AD1887" w14:paraId="3A56A7DF" w14:textId="3EEB06DA">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Average response time per response: 20 hours</w:t>
      </w:r>
    </w:p>
    <w:p w:rsidR="00AD1887" w:rsidRPr="003C6F72" w:rsidP="00AD1887" w14:paraId="2972DFE5" w14:textId="324AB983">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One-Time </w:t>
      </w:r>
      <w:r w:rsidRPr="003C6F72">
        <w:rPr>
          <w:rFonts w:ascii="Times New Roman" w:hAnsi="Times New Roman" w:cs="Times New Roman"/>
          <w:bCs/>
          <w:shd w:val="clear" w:color="auto" w:fill="FFFFFF"/>
        </w:rPr>
        <w:t xml:space="preserve">Hour Burden: 75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20 hours/response = 1,500 hours</w:t>
      </w:r>
    </w:p>
    <w:p w:rsidR="001A68D4" w:rsidP="00AD1887" w14:paraId="4E18E9A3" w14:textId="77777777">
      <w:pPr>
        <w:tabs>
          <w:tab w:val="left" w:pos="360"/>
        </w:tabs>
        <w:spacing w:after="0"/>
        <w:rPr>
          <w:rFonts w:ascii="Times New Roman" w:hAnsi="Times New Roman" w:cs="Times New Roman"/>
          <w:kern w:val="1"/>
          <w:shd w:val="clear" w:color="auto" w:fill="FFFFFF"/>
        </w:rPr>
      </w:pPr>
      <w:bookmarkStart w:id="5" w:name="_Hlk112235325"/>
      <w:r w:rsidRPr="003C6F72">
        <w:rPr>
          <w:rFonts w:ascii="Times New Roman" w:hAnsi="Times New Roman" w:cs="Times New Roman"/>
          <w:kern w:val="1"/>
          <w:shd w:val="clear" w:color="auto" w:fill="FFFFFF"/>
        </w:rPr>
        <w:tab/>
      </w:r>
    </w:p>
    <w:p w:rsidR="00AD1887" w:rsidRPr="003C6F72" w:rsidP="00AD1887" w14:paraId="0FA3C0DD" w14:textId="2CC7DF8B">
      <w:pPr>
        <w:tabs>
          <w:tab w:val="left" w:pos="360"/>
        </w:tabs>
        <w:spacing w:after="0"/>
        <w:rPr>
          <w:rFonts w:ascii="Times New Roman" w:hAnsi="Times New Roman" w:cs="Times New Roman"/>
          <w:color w:val="000000"/>
          <w:u w:val="single"/>
        </w:rPr>
      </w:pPr>
      <w:r>
        <w:rPr>
          <w:rFonts w:ascii="Times New Roman" w:hAnsi="Times New Roman" w:cs="Times New Roman"/>
          <w:kern w:val="1"/>
          <w:shd w:val="clear" w:color="auto" w:fill="FFFFFF"/>
        </w:rPr>
        <w:tab/>
      </w:r>
      <w:r w:rsidRPr="003C6F72">
        <w:rPr>
          <w:rFonts w:ascii="Times New Roman" w:hAnsi="Times New Roman" w:cs="Times New Roman"/>
          <w:color w:val="000000"/>
          <w:u w:val="single"/>
        </w:rPr>
        <w:t xml:space="preserve">Estimate of cost across all respondents for provision </w:t>
      </w:r>
      <w:r w:rsidRPr="003C6F72" w:rsidR="00650E35">
        <w:rPr>
          <w:rFonts w:ascii="Times New Roman" w:hAnsi="Times New Roman" w:cs="Times New Roman"/>
          <w:color w:val="000000"/>
          <w:u w:val="single"/>
        </w:rPr>
        <w:t>F</w:t>
      </w:r>
      <w:r w:rsidRPr="003C6F72" w:rsidR="00C26DD1">
        <w:rPr>
          <w:rFonts w:ascii="Times New Roman" w:hAnsi="Times New Roman" w:cs="Times New Roman"/>
          <w:color w:val="000000"/>
          <w:u w:val="single"/>
        </w:rPr>
        <w:t>2</w:t>
      </w:r>
      <w:r w:rsidRPr="003C6F72">
        <w:rPr>
          <w:rFonts w:ascii="Times New Roman" w:hAnsi="Times New Roman" w:cs="Times New Roman"/>
          <w:color w:val="000000"/>
          <w:u w:val="single"/>
        </w:rPr>
        <w:t>:</w:t>
      </w:r>
    </w:p>
    <w:p w:rsidR="00AD1887" w:rsidRPr="003C6F72" w:rsidP="00AD1887" w14:paraId="182A8B05" w14:textId="5D59B4CB">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hAnsi="Times New Roman" w:cs="Times New Roman"/>
          <w:color w:val="000000"/>
        </w:rPr>
        <w:t xml:space="preserve">One time cost: </w:t>
      </w:r>
      <w:r w:rsidRPr="003C6F72" w:rsidR="001E30F7">
        <w:rPr>
          <w:rFonts w:ascii="Times New Roman" w:hAnsi="Times New Roman" w:cs="Times New Roman"/>
          <w:shd w:val="clear" w:color="auto" w:fill="FFFFFF"/>
        </w:rPr>
        <w:t>1,500 hours</w:t>
      </w:r>
      <w:r w:rsidRPr="003C6F72">
        <w:rPr>
          <w:rFonts w:ascii="Times New Roman" w:hAnsi="Times New Roman" w:cs="Times New Roman"/>
          <w:bCs/>
          <w:shd w:val="clear" w:color="auto" w:fill="FFFFFF"/>
        </w:rPr>
        <w:t xml:space="preserve">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$87/hour = $130,500</w:t>
      </w:r>
    </w:p>
    <w:bookmarkEnd w:id="5"/>
    <w:p w:rsidR="00D100D6" w:rsidP="0018074E" w14:paraId="1D6ED9F8" w14:textId="77777777">
      <w:pPr>
        <w:rPr>
          <w:rFonts w:ascii="Times New Roman" w:hAnsi="Times New Roman" w:cs="Times New Roman"/>
          <w:u w:val="single"/>
          <w:shd w:val="clear" w:color="auto" w:fill="FFFFFF"/>
        </w:rPr>
      </w:pPr>
    </w:p>
    <w:p w:rsidR="00AD1887" w:rsidP="00D100D6" w14:paraId="2FC73A29" w14:textId="33B7A842">
      <w:pPr>
        <w:ind w:left="360"/>
        <w:rPr>
          <w:rFonts w:ascii="Times New Roman" w:eastAsia="Calibri" w:hAnsi="Times New Roman" w:cs="Times New Roman"/>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 xml:space="preserve">: </w:t>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C35B5B">
        <w:rPr>
          <w:rFonts w:ascii="Times New Roman" w:hAnsi="Times New Roman" w:cs="Times New Roman"/>
          <w:shd w:val="clear" w:color="auto" w:fill="FFFFFF"/>
        </w:rPr>
        <w:tab/>
      </w:r>
      <w:r w:rsidR="0018074E">
        <w:rPr>
          <w:rFonts w:ascii="Times New Roman" w:hAnsi="Times New Roman" w:cs="Times New Roman"/>
          <w:shd w:val="clear" w:color="auto" w:fill="FFFFFF"/>
        </w:rPr>
        <w:tab/>
      </w:r>
      <w:r w:rsidR="0018074E">
        <w:rPr>
          <w:rFonts w:ascii="Times New Roman" w:hAnsi="Times New Roman" w:cs="Times New Roman"/>
          <w:shd w:val="clear" w:color="auto" w:fill="FFFFFF"/>
        </w:rPr>
        <w:tab/>
      </w:r>
      <w:r w:rsidRPr="003C6F72">
        <w:rPr>
          <w:rFonts w:ascii="Times New Roman" w:hAnsi="Times New Roman" w:cs="Times New Roman"/>
          <w:shd w:val="clear" w:color="auto" w:fill="FFFFFF"/>
        </w:rPr>
        <w:br/>
        <w:t xml:space="preserve">We estimate that each provider will incur a one-time burden of 20 hours </w:t>
      </w:r>
      <w:r w:rsidRPr="003C6F72" w:rsidR="00192485">
        <w:rPr>
          <w:rFonts w:ascii="Times New Roman" w:hAnsi="Times New Roman" w:cs="Times New Roman"/>
          <w:shd w:val="clear" w:color="auto" w:fill="FFFFFF"/>
        </w:rPr>
        <w:t>to enter information it</w:t>
      </w:r>
      <w:r w:rsidRPr="003C6F72" w:rsidR="00836D7A">
        <w:rPr>
          <w:rFonts w:ascii="Times New Roman" w:hAnsi="Times New Roman" w:cs="Times New Roman"/>
          <w:shd w:val="clear" w:color="auto" w:fill="FFFFFF"/>
        </w:rPr>
        <w:t xml:space="preserve"> already has on-hand on PSAP contact information</w:t>
      </w:r>
      <w:r w:rsidRPr="003C6F72" w:rsidR="00192485">
        <w:rPr>
          <w:rFonts w:ascii="Times New Roman" w:hAnsi="Times New Roman" w:cs="Times New Roman"/>
          <w:shd w:val="clear" w:color="auto" w:fill="FFFFFF"/>
        </w:rPr>
        <w:t xml:space="preserve"> into a database</w:t>
      </w:r>
      <w:r w:rsidRPr="003C6F72">
        <w:rPr>
          <w:rFonts w:ascii="Times New Roman" w:hAnsi="Times New Roman" w:cs="Times New Roman"/>
          <w:shd w:val="clear" w:color="auto" w:fill="FFFFFF"/>
        </w:rPr>
        <w:t xml:space="preserve">.  In arriving at </w:t>
      </w:r>
      <w:r w:rsidRPr="003C6F72" w:rsidR="00973A47">
        <w:rPr>
          <w:rFonts w:ascii="Times New Roman" w:hAnsi="Times New Roman" w:cs="Times New Roman"/>
          <w:shd w:val="clear" w:color="auto" w:fill="FFFFFF"/>
        </w:rPr>
        <w:t>this</w:t>
      </w:r>
      <w:r w:rsidRPr="003C6F72">
        <w:rPr>
          <w:rFonts w:ascii="Times New Roman" w:hAnsi="Times New Roman" w:cs="Times New Roman"/>
          <w:shd w:val="clear" w:color="auto" w:fill="FFFFFF"/>
        </w:rPr>
        <w:t xml:space="preserve"> estimate, we have taken into account that such </w:t>
      </w:r>
      <w:r w:rsidRPr="003C6F72" w:rsidR="00836D7A">
        <w:rPr>
          <w:rFonts w:ascii="Times New Roman" w:hAnsi="Times New Roman" w:cs="Times New Roman"/>
          <w:shd w:val="clear" w:color="auto" w:fill="FFFFFF"/>
        </w:rPr>
        <w:t>information w</w:t>
      </w:r>
      <w:r w:rsidRPr="003C6F72" w:rsidR="00E27AC2">
        <w:rPr>
          <w:rFonts w:ascii="Times New Roman" w:hAnsi="Times New Roman" w:cs="Times New Roman"/>
          <w:shd w:val="clear" w:color="auto" w:fill="FFFFFF"/>
        </w:rPr>
        <w:t>ill likely</w:t>
      </w:r>
      <w:r w:rsidRPr="003C6F72">
        <w:rPr>
          <w:rFonts w:ascii="Times New Roman" w:hAnsi="Times New Roman" w:cs="Times New Roman"/>
          <w:shd w:val="clear" w:color="auto" w:fill="FFFFFF"/>
        </w:rPr>
        <w:t xml:space="preserve"> be </w:t>
      </w:r>
      <w:r w:rsidRPr="003C6F72" w:rsidR="00192485">
        <w:rPr>
          <w:rFonts w:ascii="Times New Roman" w:hAnsi="Times New Roman" w:cs="Times New Roman"/>
          <w:shd w:val="clear" w:color="auto" w:fill="FFFFFF"/>
        </w:rPr>
        <w:t>entered</w:t>
      </w:r>
      <w:r w:rsidRPr="003C6F72">
        <w:rPr>
          <w:rFonts w:ascii="Times New Roman" w:hAnsi="Times New Roman" w:cs="Times New Roman"/>
          <w:shd w:val="clear" w:color="auto" w:fill="FFFFFF"/>
        </w:rPr>
        <w:t xml:space="preserve"> in electronic form.  The Commission estimates the </w:t>
      </w:r>
      <w:r w:rsidRPr="003C6F72">
        <w:rPr>
          <w:rFonts w:ascii="Times New Roman" w:hAnsi="Times New Roman" w:cs="Times New Roman"/>
        </w:rPr>
        <w:t xml:space="preserve">hourly wage of a </w:t>
      </w:r>
      <w:r w:rsidRPr="003C6F72" w:rsidR="00E27AC2">
        <w:rPr>
          <w:rFonts w:ascii="Times New Roman" w:hAnsi="Times New Roman" w:cs="Times New Roman"/>
        </w:rPr>
        <w:t xml:space="preserve">full-time employee who </w:t>
      </w:r>
      <w:r w:rsidRPr="003C6F72">
        <w:rPr>
          <w:rFonts w:ascii="Times New Roman" w:hAnsi="Times New Roman" w:cs="Times New Roman"/>
        </w:rPr>
        <w:t>will be responsible for these efforts as $87/hour, inclusive of benefits.  In developing this estimate, the Commission has relied on data on 2021 national wage information from the Bureau of Labor and Statistics.  The median hourly cost for software developers is $87, which is the median hourly wage of $58 increased by 50% to include benefits.</w:t>
      </w:r>
      <w:r>
        <w:rPr>
          <w:rStyle w:val="FootnoteReference"/>
          <w:rFonts w:ascii="Times New Roman" w:hAnsi="Times New Roman" w:cs="Times New Roman"/>
        </w:rPr>
        <w:footnoteReference w:id="50"/>
      </w:r>
      <w:r w:rsidRPr="003C6F72" w:rsidR="00630E8D">
        <w:rPr>
          <w:rFonts w:ascii="Times New Roman" w:hAnsi="Times New Roman" w:cs="Times New Roman"/>
        </w:rPr>
        <w:t xml:space="preserve">  In arriving at this estimate, we have assumed that each provider will undertake </w:t>
      </w:r>
      <w:r w:rsidRPr="003C6F72" w:rsidR="00192485">
        <w:rPr>
          <w:rFonts w:ascii="Times New Roman" w:hAnsi="Times New Roman" w:cs="Times New Roman"/>
        </w:rPr>
        <w:t>the step of creating a database for the first time</w:t>
      </w:r>
      <w:r w:rsidRPr="003C6F72" w:rsidR="00CE505F">
        <w:rPr>
          <w:rFonts w:ascii="Times New Roman" w:hAnsi="Times New Roman" w:cs="Times New Roman"/>
        </w:rPr>
        <w:t xml:space="preserve">.  We </w:t>
      </w:r>
      <w:r w:rsidRPr="003C6F72" w:rsidR="00973A47">
        <w:rPr>
          <w:rFonts w:ascii="Times New Roman" w:hAnsi="Times New Roman" w:cs="Times New Roman"/>
        </w:rPr>
        <w:t>note</w:t>
      </w:r>
      <w:r w:rsidRPr="003C6F72" w:rsidR="00CE505F">
        <w:rPr>
          <w:rFonts w:ascii="Times New Roman" w:hAnsi="Times New Roman" w:cs="Times New Roman"/>
        </w:rPr>
        <w:t>, however,</w:t>
      </w:r>
      <w:r w:rsidRPr="003C6F72" w:rsidR="00973A47">
        <w:rPr>
          <w:rFonts w:ascii="Times New Roman" w:hAnsi="Times New Roman" w:cs="Times New Roman"/>
        </w:rPr>
        <w:t xml:space="preserve"> that many providers </w:t>
      </w:r>
      <w:r w:rsidRPr="003C6F72" w:rsidR="00CE505F">
        <w:rPr>
          <w:rFonts w:ascii="Times New Roman" w:hAnsi="Times New Roman" w:cs="Times New Roman"/>
        </w:rPr>
        <w:t xml:space="preserve">already </w:t>
      </w:r>
      <w:r w:rsidRPr="003C6F72" w:rsidR="00707A4A">
        <w:rPr>
          <w:rFonts w:ascii="Times New Roman" w:hAnsi="Times New Roman" w:cs="Times New Roman"/>
        </w:rPr>
        <w:t xml:space="preserve">likely </w:t>
      </w:r>
      <w:r w:rsidRPr="003C6F72" w:rsidR="00CE505F">
        <w:rPr>
          <w:rFonts w:ascii="Times New Roman" w:hAnsi="Times New Roman" w:cs="Times New Roman"/>
        </w:rPr>
        <w:t xml:space="preserve">implement this step as a matter of existing business practices and so will incur </w:t>
      </w:r>
      <w:r w:rsidRPr="003C6F72" w:rsidR="00F712E7">
        <w:rPr>
          <w:rFonts w:ascii="Times New Roman" w:hAnsi="Times New Roman" w:cs="Times New Roman"/>
        </w:rPr>
        <w:t xml:space="preserve">no or only minimal incremental costs to implement </w:t>
      </w:r>
      <w:r w:rsidRPr="003C6F72" w:rsidR="00F712E7">
        <w:rPr>
          <w:rFonts w:ascii="Times New Roman" w:eastAsia="Calibri" w:hAnsi="Times New Roman" w:cs="Times New Roman"/>
        </w:rPr>
        <w:t>the provision of the Framework corresponding to p</w:t>
      </w:r>
      <w:r w:rsidRPr="003C6F72" w:rsidR="00BB0E22">
        <w:rPr>
          <w:rFonts w:ascii="Times New Roman" w:eastAsia="Calibri" w:hAnsi="Times New Roman" w:cs="Times New Roman"/>
        </w:rPr>
        <w:t xml:space="preserve">rovision (a)(3).  </w:t>
      </w:r>
    </w:p>
    <w:p w:rsidR="00D106EC" w:rsidRPr="003C6F72" w:rsidP="00D100D6" w14:paraId="27BEAF1D" w14:textId="77777777">
      <w:pPr>
        <w:ind w:left="360"/>
        <w:rPr>
          <w:rFonts w:ascii="Times New Roman" w:hAnsi="Times New Roman" w:cs="Times New Roman"/>
        </w:rPr>
      </w:pPr>
    </w:p>
    <w:p w:rsidR="00A15A01" w:rsidRPr="003C6F72" w:rsidP="001C3D4E" w14:paraId="27DAFD8D" w14:textId="31F5690A">
      <w:pPr>
        <w:pStyle w:val="ListParagraph"/>
        <w:numPr>
          <w:ilvl w:val="1"/>
          <w:numId w:val="37"/>
        </w:numPr>
        <w:tabs>
          <w:tab w:val="left" w:pos="90"/>
        </w:tabs>
        <w:rPr>
          <w:rFonts w:ascii="Times New Roman" w:eastAsia="Calibri" w:hAnsi="Times New Roman" w:cs="Times New Roman"/>
          <w:b/>
          <w:bCs/>
        </w:rPr>
      </w:pPr>
      <w:r w:rsidRPr="003C6F72">
        <w:rPr>
          <w:rFonts w:ascii="Times New Roman" w:hAnsi="Times New Roman" w:cs="Times New Roman"/>
          <w:b/>
          <w:bCs/>
          <w:color w:val="000000"/>
        </w:rPr>
        <w:t xml:space="preserve">Provision </w:t>
      </w:r>
      <w:r w:rsidRPr="003C6F72" w:rsidR="0006786C">
        <w:rPr>
          <w:rFonts w:ascii="Times New Roman" w:hAnsi="Times New Roman" w:cs="Times New Roman"/>
          <w:b/>
          <w:bCs/>
          <w:color w:val="000000"/>
        </w:rPr>
        <w:t>F</w:t>
      </w:r>
      <w:r w:rsidRPr="003C6F72" w:rsidR="00AB6251">
        <w:rPr>
          <w:rFonts w:ascii="Times New Roman" w:hAnsi="Times New Roman" w:cs="Times New Roman"/>
          <w:b/>
          <w:bCs/>
          <w:color w:val="000000"/>
        </w:rPr>
        <w:t>3</w:t>
      </w:r>
      <w:r w:rsidRPr="003C6F72">
        <w:rPr>
          <w:rFonts w:ascii="Times New Roman" w:hAnsi="Times New Roman" w:cs="Times New Roman"/>
          <w:b/>
          <w:bCs/>
          <w:color w:val="000000"/>
        </w:rPr>
        <w:t xml:space="preserve"> of the </w:t>
      </w:r>
      <w:r w:rsidRPr="003C6F72" w:rsidR="003C79BB">
        <w:rPr>
          <w:rFonts w:ascii="Times New Roman" w:hAnsi="Times New Roman" w:cs="Times New Roman"/>
          <w:b/>
          <w:bCs/>
          <w:color w:val="000000"/>
        </w:rPr>
        <w:t>Framework</w:t>
      </w:r>
    </w:p>
    <w:p w:rsidR="00A15A01" w:rsidRPr="003C6F72" w:rsidP="00A15A01" w14:paraId="173DCB30" w14:textId="77777777">
      <w:pPr>
        <w:pStyle w:val="ListParagraph"/>
        <w:tabs>
          <w:tab w:val="left" w:pos="90"/>
        </w:tabs>
        <w:ind w:left="1080"/>
        <w:rPr>
          <w:rFonts w:ascii="Times New Roman" w:hAnsi="Times New Roman" w:cs="Times New Roman"/>
          <w:b/>
          <w:bCs/>
          <w:color w:val="000000"/>
        </w:rPr>
      </w:pPr>
    </w:p>
    <w:tbl>
      <w:tblPr>
        <w:tblStyle w:val="TableGrid"/>
        <w:tblW w:w="5267" w:type="dxa"/>
        <w:tblInd w:w="1327" w:type="dxa"/>
        <w:tblLayout w:type="fixed"/>
        <w:tblLook w:val="04A0"/>
      </w:tblPr>
      <w:tblGrid>
        <w:gridCol w:w="1188"/>
        <w:gridCol w:w="4079"/>
      </w:tblGrid>
      <w:tr w14:paraId="0B77C1EB" w14:textId="77777777" w:rsidTr="00D7546D">
        <w:tblPrEx>
          <w:tblW w:w="5267" w:type="dxa"/>
          <w:tblInd w:w="1327" w:type="dxa"/>
          <w:tblLayout w:type="fixed"/>
          <w:tblLook w:val="04A0"/>
        </w:tblPrEx>
        <w:trPr>
          <w:cantSplit/>
          <w:trHeight w:val="169"/>
        </w:trPr>
        <w:tc>
          <w:tcPr>
            <w:tcW w:w="1188" w:type="dxa"/>
            <w:shd w:val="clear" w:color="auto" w:fill="D9D9D9" w:themeFill="background1" w:themeFillShade="D9"/>
          </w:tcPr>
          <w:p w:rsidR="00D64C61" w:rsidRPr="003C6F72" w:rsidP="0058139A" w14:paraId="241AFD8E" w14:textId="77777777">
            <w:pPr>
              <w:pStyle w:val="ListParagraph"/>
              <w:keepNext/>
              <w:keepLines/>
              <w:tabs>
                <w:tab w:val="left" w:pos="90"/>
              </w:tabs>
              <w:rPr>
                <w:rFonts w:ascii="Times New Roman" w:hAnsi="Times New Roman" w:cs="Times New Roman"/>
                <w:b/>
                <w:bCs/>
              </w:rPr>
            </w:pPr>
            <w:r w:rsidRPr="003C6F72">
              <w:rPr>
                <w:rFonts w:ascii="Times New Roman" w:hAnsi="Times New Roman" w:cs="Times New Roman"/>
                <w:b/>
                <w:bCs/>
              </w:rPr>
              <w:t>Provision</w:t>
            </w:r>
          </w:p>
        </w:tc>
        <w:tc>
          <w:tcPr>
            <w:tcW w:w="4079" w:type="dxa"/>
            <w:shd w:val="clear" w:color="auto" w:fill="D9D9D9" w:themeFill="background1" w:themeFillShade="D9"/>
          </w:tcPr>
          <w:p w:rsidR="00D64C61" w:rsidRPr="003C6F72" w:rsidP="0058139A" w14:paraId="3A7DE99B" w14:textId="020E5EEC">
            <w:pPr>
              <w:pStyle w:val="ListParagraph"/>
              <w:keepNext/>
              <w:keepLines/>
              <w:tabs>
                <w:tab w:val="left" w:pos="90"/>
              </w:tabs>
              <w:rPr>
                <w:rFonts w:ascii="Times New Roman" w:hAnsi="Times New Roman" w:cs="Times New Roman"/>
                <w:b/>
                <w:bCs/>
              </w:rPr>
            </w:pPr>
            <w:r w:rsidRPr="003C6F72">
              <w:rPr>
                <w:rFonts w:ascii="Times New Roman" w:hAnsi="Times New Roman" w:cs="Times New Roman"/>
                <w:b/>
                <w:bCs/>
              </w:rPr>
              <w:t>Framework</w:t>
            </w:r>
          </w:p>
        </w:tc>
      </w:tr>
      <w:tr w14:paraId="3DE6794A" w14:textId="77777777" w:rsidTr="00D7546D">
        <w:tblPrEx>
          <w:tblW w:w="5267" w:type="dxa"/>
          <w:tblInd w:w="1327" w:type="dxa"/>
          <w:tblLayout w:type="fixed"/>
          <w:tblLook w:val="04A0"/>
        </w:tblPrEx>
        <w:trPr>
          <w:cantSplit/>
          <w:trHeight w:val="523"/>
        </w:trPr>
        <w:tc>
          <w:tcPr>
            <w:tcW w:w="1188" w:type="dxa"/>
          </w:tcPr>
          <w:p w:rsidR="00D64C61" w:rsidRPr="003C6F72" w:rsidP="0058139A" w14:paraId="0BAEEA71" w14:textId="2ECB6AFE">
            <w:pPr>
              <w:pStyle w:val="ListParagraph"/>
              <w:keepNext/>
              <w:keepLines/>
              <w:tabs>
                <w:tab w:val="left" w:pos="90"/>
              </w:tabs>
              <w:rPr>
                <w:rFonts w:ascii="Times New Roman" w:hAnsi="Times New Roman" w:cs="Times New Roman"/>
              </w:rPr>
            </w:pPr>
            <w:r w:rsidRPr="003C6F72">
              <w:rPr>
                <w:rFonts w:ascii="Times New Roman" w:hAnsi="Times New Roman" w:cs="Times New Roman"/>
              </w:rPr>
              <w:t>F</w:t>
            </w:r>
            <w:r w:rsidRPr="003C6F72" w:rsidR="00AB6251">
              <w:rPr>
                <w:rFonts w:ascii="Times New Roman" w:hAnsi="Times New Roman" w:cs="Times New Roman"/>
              </w:rPr>
              <w:t>3</w:t>
            </w:r>
          </w:p>
        </w:tc>
        <w:tc>
          <w:tcPr>
            <w:tcW w:w="4079" w:type="dxa"/>
          </w:tcPr>
          <w:p w:rsidR="00D64C61" w:rsidRPr="003C6F72" w:rsidP="0058139A" w14:paraId="5064964A"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 xml:space="preserve">increasing consumer readiness and preparation through development and dissemination with consumer groups of a Consumer Readiness Checklist </w:t>
            </w:r>
          </w:p>
        </w:tc>
      </w:tr>
    </w:tbl>
    <w:p w:rsidR="00A15A01" w:rsidRPr="003C6F72" w:rsidP="00A15A01" w14:paraId="34FBA30F" w14:textId="77777777">
      <w:pPr>
        <w:pStyle w:val="ListParagraph"/>
        <w:tabs>
          <w:tab w:val="left" w:pos="90"/>
        </w:tabs>
        <w:ind w:left="360"/>
        <w:rPr>
          <w:rFonts w:ascii="Times New Roman" w:eastAsia="Calibri" w:hAnsi="Times New Roman" w:cs="Times New Roman"/>
          <w:highlight w:val="yellow"/>
        </w:rPr>
      </w:pPr>
    </w:p>
    <w:p w:rsidR="00A15A01" w:rsidRPr="003C6F72" w:rsidP="00847176" w14:paraId="34AB4619" w14:textId="43C07770">
      <w:pPr>
        <w:pStyle w:val="ListParagraph"/>
        <w:tabs>
          <w:tab w:val="left" w:pos="90"/>
        </w:tabs>
        <w:ind w:left="360"/>
        <w:rPr>
          <w:rFonts w:ascii="Times New Roman" w:eastAsia="Calibri" w:hAnsi="Times New Roman" w:cs="Times New Roman"/>
        </w:rPr>
      </w:pPr>
      <w:r>
        <w:rPr>
          <w:rFonts w:ascii="Times New Roman" w:eastAsia="Calibri" w:hAnsi="Times New Roman" w:cs="Times New Roman"/>
        </w:rPr>
        <w:tab/>
      </w:r>
      <w:r w:rsidRPr="003C6F72">
        <w:rPr>
          <w:rFonts w:ascii="Times New Roman" w:eastAsia="Calibri" w:hAnsi="Times New Roman" w:cs="Times New Roman"/>
        </w:rPr>
        <w:t xml:space="preserve">Providers </w:t>
      </w:r>
      <w:r w:rsidRPr="003C6F72" w:rsidR="00D54FDF">
        <w:rPr>
          <w:rFonts w:ascii="Times New Roman" w:eastAsia="Calibri" w:hAnsi="Times New Roman" w:cs="Times New Roman"/>
        </w:rPr>
        <w:t xml:space="preserve">who implement safe harbor </w:t>
      </w:r>
      <w:r w:rsidRPr="003C6F72">
        <w:rPr>
          <w:rFonts w:ascii="Times New Roman" w:eastAsia="Calibri" w:hAnsi="Times New Roman" w:cs="Times New Roman"/>
        </w:rPr>
        <w:t xml:space="preserve">are estimated to incur a </w:t>
      </w:r>
      <w:r w:rsidRPr="003C6F72" w:rsidR="000719E2">
        <w:rPr>
          <w:rFonts w:ascii="Times New Roman" w:eastAsia="Calibri" w:hAnsi="Times New Roman" w:cs="Times New Roman"/>
        </w:rPr>
        <w:t>recurring burden to</w:t>
      </w:r>
      <w:r w:rsidRPr="003C6F72" w:rsidR="009605A5">
        <w:rPr>
          <w:rFonts w:ascii="Times New Roman" w:eastAsia="Calibri" w:hAnsi="Times New Roman" w:cs="Times New Roman"/>
        </w:rPr>
        <w:t xml:space="preserve"> generate and</w:t>
      </w:r>
      <w:r w:rsidRPr="003C6F72" w:rsidR="000719E2">
        <w:rPr>
          <w:rFonts w:ascii="Times New Roman" w:eastAsia="Calibri" w:hAnsi="Times New Roman" w:cs="Times New Roman"/>
        </w:rPr>
        <w:t xml:space="preserve"> </w:t>
      </w:r>
      <w:r w:rsidRPr="003C6F72" w:rsidR="001129AD">
        <w:rPr>
          <w:rFonts w:ascii="Times New Roman" w:eastAsia="Calibri" w:hAnsi="Times New Roman" w:cs="Times New Roman"/>
        </w:rPr>
        <w:t xml:space="preserve">disseminate with consumer groups a Consumer Readiness Checklist.  </w:t>
      </w:r>
    </w:p>
    <w:p w:rsidR="001A68D4" w:rsidP="00847176" w14:paraId="0C962621" w14:textId="77777777">
      <w:pPr>
        <w:tabs>
          <w:tab w:val="left" w:pos="360"/>
        </w:tabs>
        <w:spacing w:after="0"/>
        <w:rPr>
          <w:rFonts w:ascii="Times New Roman" w:hAnsi="Times New Roman" w:cs="Times New Roman"/>
          <w:bCs/>
          <w:kern w:val="1"/>
          <w:shd w:val="clear" w:color="auto" w:fill="FFFFFF"/>
        </w:rPr>
      </w:pPr>
      <w:r w:rsidRPr="003C6F72">
        <w:rPr>
          <w:rFonts w:ascii="Times New Roman" w:hAnsi="Times New Roman" w:cs="Times New Roman"/>
          <w:bCs/>
          <w:kern w:val="1"/>
          <w:shd w:val="clear" w:color="auto" w:fill="FFFFFF"/>
        </w:rPr>
        <w:tab/>
      </w:r>
    </w:p>
    <w:p w:rsidR="00847176" w:rsidRPr="003C6F72" w:rsidP="00847176" w14:paraId="155B6B3A" w14:textId="77417602">
      <w:pPr>
        <w:tabs>
          <w:tab w:val="left" w:pos="360"/>
        </w:tabs>
        <w:spacing w:after="0"/>
        <w:rPr>
          <w:rFonts w:ascii="Times New Roman" w:eastAsia="Times New Roman" w:hAnsi="Times New Roman" w:cs="Times New Roman"/>
          <w:b/>
          <w:kern w:val="1"/>
          <w:highlight w:val="yellow"/>
          <w:shd w:val="clear" w:color="auto" w:fill="FFFFFF"/>
          <w:lang w:eastAsia="ar-SA"/>
        </w:rPr>
      </w:pPr>
      <w:r>
        <w:rPr>
          <w:rFonts w:ascii="Times New Roman" w:hAnsi="Times New Roman" w:cs="Times New Roman"/>
          <w:bCs/>
          <w:kern w:val="1"/>
          <w:shd w:val="clear" w:color="auto" w:fill="FFFFFF"/>
        </w:rPr>
        <w:tab/>
      </w:r>
      <w:r w:rsidRPr="003C6F72" w:rsidR="008C0D41">
        <w:rPr>
          <w:rFonts w:ascii="Times New Roman" w:hAnsi="Times New Roman" w:cs="Times New Roman"/>
          <w:bCs/>
          <w:kern w:val="1"/>
          <w:u w:val="single"/>
          <w:shd w:val="clear" w:color="auto" w:fill="FFFFFF"/>
        </w:rPr>
        <w:t>Burden</w:t>
      </w:r>
      <w:r w:rsidRPr="003C6F72">
        <w:rPr>
          <w:rFonts w:ascii="Times New Roman" w:hAnsi="Times New Roman" w:cs="Times New Roman"/>
          <w:bCs/>
          <w:kern w:val="1"/>
          <w:u w:val="single"/>
          <w:shd w:val="clear" w:color="auto" w:fill="FFFFFF"/>
        </w:rPr>
        <w:t xml:space="preserve"> Estimate for </w:t>
      </w:r>
      <w:r w:rsidRPr="003C6F72" w:rsidR="008C0D41">
        <w:rPr>
          <w:rFonts w:ascii="Times New Roman" w:hAnsi="Times New Roman" w:cs="Times New Roman"/>
          <w:bCs/>
          <w:kern w:val="1"/>
          <w:u w:val="single"/>
          <w:shd w:val="clear" w:color="auto" w:fill="FFFFFF"/>
        </w:rPr>
        <w:t>Generating</w:t>
      </w:r>
      <w:r w:rsidRPr="003C6F72">
        <w:rPr>
          <w:rFonts w:ascii="Times New Roman" w:hAnsi="Times New Roman" w:cs="Times New Roman"/>
          <w:bCs/>
          <w:kern w:val="1"/>
          <w:u w:val="single"/>
          <w:shd w:val="clear" w:color="auto" w:fill="FFFFFF"/>
        </w:rPr>
        <w:t xml:space="preserve"> a Consumer Readiness Checklist</w:t>
      </w:r>
    </w:p>
    <w:p w:rsidR="00847176" w:rsidRPr="003C6F72" w:rsidP="00847176" w14:paraId="6F2D4B90"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847176" w:rsidRPr="003C6F72" w:rsidP="00847176" w14:paraId="37B8B5B2" w14:textId="0EA70797">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Frequency of response: </w:t>
      </w:r>
      <w:r w:rsidRPr="003C6F72" w:rsidR="000819C4">
        <w:rPr>
          <w:rFonts w:ascii="Times New Roman" w:hAnsi="Times New Roman" w:cs="Times New Roman"/>
          <w:shd w:val="clear" w:color="auto" w:fill="FFFFFF"/>
        </w:rPr>
        <w:t>One-time</w:t>
      </w:r>
    </w:p>
    <w:p w:rsidR="00847176" w:rsidRPr="003C6F72" w:rsidP="00847176" w14:paraId="441F342C" w14:textId="77777777">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1 response/respondent = 75 total responses</w:t>
      </w:r>
    </w:p>
    <w:p w:rsidR="00847176" w:rsidRPr="003C6F72" w:rsidP="00847176" w14:paraId="7C2152E6" w14:textId="3F7294B0">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Average response time per response: </w:t>
      </w:r>
      <w:r w:rsidRPr="003C6F72" w:rsidR="002E5607">
        <w:rPr>
          <w:rFonts w:ascii="Times New Roman" w:hAnsi="Times New Roman" w:cs="Times New Roman"/>
          <w:bCs/>
          <w:shd w:val="clear" w:color="auto" w:fill="FFFFFF"/>
        </w:rPr>
        <w:t>1</w:t>
      </w:r>
      <w:r w:rsidRPr="003C6F72">
        <w:rPr>
          <w:rFonts w:ascii="Times New Roman" w:hAnsi="Times New Roman" w:cs="Times New Roman"/>
          <w:bCs/>
          <w:shd w:val="clear" w:color="auto" w:fill="FFFFFF"/>
        </w:rPr>
        <w:t xml:space="preserve"> hour</w:t>
      </w:r>
    </w:p>
    <w:p w:rsidR="00847176" w:rsidRPr="003C6F72" w:rsidP="00847176" w14:paraId="2576365F" w14:textId="19652929">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Annual Hour Burden: 75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1 hours/response = </w:t>
      </w:r>
      <w:r w:rsidRPr="003C6F72" w:rsidR="009B6AEB">
        <w:rPr>
          <w:rFonts w:ascii="Times New Roman" w:hAnsi="Times New Roman" w:cs="Times New Roman"/>
          <w:bCs/>
          <w:shd w:val="clear" w:color="auto" w:fill="FFFFFF"/>
        </w:rPr>
        <w:t>75</w:t>
      </w:r>
      <w:r w:rsidRPr="003C6F72">
        <w:rPr>
          <w:rFonts w:ascii="Times New Roman" w:hAnsi="Times New Roman" w:cs="Times New Roman"/>
          <w:bCs/>
          <w:shd w:val="clear" w:color="auto" w:fill="FFFFFF"/>
        </w:rPr>
        <w:t xml:space="preserve"> hours</w:t>
      </w:r>
    </w:p>
    <w:p w:rsidR="001A68D4" w:rsidP="00A15A01" w14:paraId="689A2096" w14:textId="77777777">
      <w:pPr>
        <w:tabs>
          <w:tab w:val="left" w:pos="360"/>
        </w:tabs>
        <w:spacing w:after="0"/>
        <w:rPr>
          <w:rFonts w:ascii="Times New Roman" w:hAnsi="Times New Roman" w:cs="Times New Roman"/>
          <w:bCs/>
          <w:kern w:val="1"/>
          <w:shd w:val="clear" w:color="auto" w:fill="FFFFFF"/>
        </w:rPr>
      </w:pPr>
      <w:r w:rsidRPr="003C6F72">
        <w:rPr>
          <w:rFonts w:ascii="Times New Roman" w:hAnsi="Times New Roman" w:cs="Times New Roman"/>
          <w:bCs/>
          <w:kern w:val="1"/>
          <w:shd w:val="clear" w:color="auto" w:fill="FFFFFF"/>
        </w:rPr>
        <w:tab/>
      </w:r>
    </w:p>
    <w:p w:rsidR="00A15A01" w:rsidRPr="003C6F72" w:rsidP="00A15A01" w14:paraId="3559D827" w14:textId="7BE11BD1">
      <w:pPr>
        <w:tabs>
          <w:tab w:val="left" w:pos="360"/>
        </w:tabs>
        <w:spacing w:after="0"/>
        <w:rPr>
          <w:rFonts w:ascii="Times New Roman" w:eastAsia="Times New Roman" w:hAnsi="Times New Roman" w:cs="Times New Roman"/>
          <w:b/>
          <w:kern w:val="1"/>
          <w:highlight w:val="yellow"/>
          <w:shd w:val="clear" w:color="auto" w:fill="FFFFFF"/>
          <w:lang w:eastAsia="ar-SA"/>
        </w:rPr>
      </w:pPr>
      <w:r>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 xml:space="preserve">Burden Estimate for </w:t>
      </w:r>
      <w:r w:rsidRPr="003C6F72" w:rsidR="00046ACC">
        <w:rPr>
          <w:rFonts w:ascii="Times New Roman" w:hAnsi="Times New Roman" w:cs="Times New Roman"/>
          <w:bCs/>
          <w:kern w:val="1"/>
          <w:u w:val="single"/>
          <w:shd w:val="clear" w:color="auto" w:fill="FFFFFF"/>
        </w:rPr>
        <w:t>Disseminating a Consumer Readiness Checklist</w:t>
      </w:r>
    </w:p>
    <w:p w:rsidR="00A15A01" w:rsidRPr="003C6F72" w:rsidP="00A15A01" w14:paraId="52C62E5A"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A15A01" w:rsidRPr="003C6F72" w:rsidP="00A15A01" w14:paraId="17ED18E6" w14:textId="77777777">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Frequency of response: Once annually</w:t>
      </w:r>
    </w:p>
    <w:p w:rsidR="00A15A01" w:rsidRPr="003C6F72" w:rsidP="00A15A01" w14:paraId="7DE10019" w14:textId="77777777">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1 response/respondent = 75 total responses</w:t>
      </w:r>
    </w:p>
    <w:p w:rsidR="00A15A01" w:rsidRPr="003C6F72" w:rsidP="00A15A01" w14:paraId="3BCDC966" w14:textId="22B79B1D">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Average response time per response: </w:t>
      </w:r>
      <w:r w:rsidRPr="003C6F72" w:rsidR="006A0FEB">
        <w:rPr>
          <w:rFonts w:ascii="Times New Roman" w:hAnsi="Times New Roman" w:cs="Times New Roman"/>
          <w:bCs/>
          <w:shd w:val="clear" w:color="auto" w:fill="FFFFFF"/>
        </w:rPr>
        <w:t>1</w:t>
      </w:r>
      <w:r w:rsidRPr="003C6F72">
        <w:rPr>
          <w:rFonts w:ascii="Times New Roman" w:hAnsi="Times New Roman" w:cs="Times New Roman"/>
          <w:bCs/>
          <w:shd w:val="clear" w:color="auto" w:fill="FFFFFF"/>
        </w:rPr>
        <w:t xml:space="preserve"> hours</w:t>
      </w:r>
    </w:p>
    <w:p w:rsidR="00A15A01" w:rsidRPr="003C6F72" w:rsidP="00A15A01" w14:paraId="60B433E1" w14:textId="10341B9B">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Annual Hour Burden: 75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6A0FEB">
        <w:rPr>
          <w:rFonts w:ascii="Times New Roman" w:hAnsi="Times New Roman" w:cs="Times New Roman"/>
          <w:bCs/>
          <w:shd w:val="clear" w:color="auto" w:fill="FFFFFF"/>
        </w:rPr>
        <w:t>1</w:t>
      </w:r>
      <w:r w:rsidRPr="003C6F72">
        <w:rPr>
          <w:rFonts w:ascii="Times New Roman" w:hAnsi="Times New Roman" w:cs="Times New Roman"/>
          <w:bCs/>
          <w:shd w:val="clear" w:color="auto" w:fill="FFFFFF"/>
        </w:rPr>
        <w:t xml:space="preserve"> hours/response = </w:t>
      </w:r>
      <w:r w:rsidRPr="003C6F72" w:rsidR="006A0FEB">
        <w:rPr>
          <w:rFonts w:ascii="Times New Roman" w:hAnsi="Times New Roman" w:cs="Times New Roman"/>
          <w:bCs/>
          <w:shd w:val="clear" w:color="auto" w:fill="FFFFFF"/>
        </w:rPr>
        <w:t>75</w:t>
      </w:r>
      <w:r w:rsidRPr="003C6F72">
        <w:rPr>
          <w:rFonts w:ascii="Times New Roman" w:hAnsi="Times New Roman" w:cs="Times New Roman"/>
          <w:bCs/>
          <w:shd w:val="clear" w:color="auto" w:fill="FFFFFF"/>
        </w:rPr>
        <w:t xml:space="preserve"> hours</w:t>
      </w:r>
    </w:p>
    <w:p w:rsidR="001A68D4" w:rsidP="00A15A01" w14:paraId="25362112" w14:textId="77777777">
      <w:pPr>
        <w:tabs>
          <w:tab w:val="left" w:pos="360"/>
        </w:tabs>
        <w:spacing w:after="0"/>
        <w:rPr>
          <w:rFonts w:ascii="Times New Roman" w:eastAsia="Times New Roman" w:hAnsi="Times New Roman" w:cs="Times New Roman"/>
          <w:b/>
          <w:kern w:val="1"/>
          <w:shd w:val="clear" w:color="auto" w:fill="FFFFFF"/>
          <w:lang w:eastAsia="ar-SA"/>
        </w:rPr>
      </w:pPr>
      <w:r>
        <w:rPr>
          <w:rFonts w:ascii="Times New Roman" w:eastAsia="Times New Roman" w:hAnsi="Times New Roman" w:cs="Times New Roman"/>
          <w:b/>
          <w:kern w:val="1"/>
          <w:shd w:val="clear" w:color="auto" w:fill="FFFFFF"/>
          <w:lang w:eastAsia="ar-SA"/>
        </w:rPr>
        <w:tab/>
      </w:r>
    </w:p>
    <w:p w:rsidR="00A15A01" w:rsidRPr="003C6F72" w:rsidP="00A15A01" w14:paraId="6D991F2E" w14:textId="289F63FE">
      <w:pPr>
        <w:tabs>
          <w:tab w:val="left" w:pos="360"/>
        </w:tabs>
        <w:spacing w:after="0"/>
        <w:rPr>
          <w:rFonts w:ascii="Times New Roman" w:hAnsi="Times New Roman" w:cs="Times New Roman"/>
          <w:color w:val="000000"/>
          <w:u w:val="single"/>
        </w:rPr>
      </w:pPr>
      <w:r>
        <w:rPr>
          <w:rFonts w:ascii="Times New Roman" w:eastAsia="Times New Roman" w:hAnsi="Times New Roman" w:cs="Times New Roman"/>
          <w:b/>
          <w:kern w:val="1"/>
          <w:shd w:val="clear" w:color="auto" w:fill="FFFFFF"/>
          <w:lang w:eastAsia="ar-SA"/>
        </w:rPr>
        <w:tab/>
      </w:r>
      <w:r w:rsidRPr="003C6F72">
        <w:rPr>
          <w:rFonts w:ascii="Times New Roman" w:hAnsi="Times New Roman" w:cs="Times New Roman"/>
          <w:color w:val="000000"/>
          <w:u w:val="single"/>
        </w:rPr>
        <w:t xml:space="preserve">Estimate of cost across all respondents for provision </w:t>
      </w:r>
      <w:r w:rsidRPr="003C6F72" w:rsidR="00650E35">
        <w:rPr>
          <w:rFonts w:ascii="Times New Roman" w:hAnsi="Times New Roman" w:cs="Times New Roman"/>
          <w:color w:val="000000"/>
          <w:u w:val="single"/>
        </w:rPr>
        <w:t>F</w:t>
      </w:r>
      <w:r w:rsidRPr="003C6F72" w:rsidR="00C26DD1">
        <w:rPr>
          <w:rFonts w:ascii="Times New Roman" w:hAnsi="Times New Roman" w:cs="Times New Roman"/>
          <w:color w:val="000000"/>
          <w:u w:val="single"/>
        </w:rPr>
        <w:t>3</w:t>
      </w:r>
      <w:r w:rsidRPr="003C6F72">
        <w:rPr>
          <w:rFonts w:ascii="Times New Roman" w:hAnsi="Times New Roman" w:cs="Times New Roman"/>
          <w:color w:val="000000"/>
          <w:u w:val="single"/>
        </w:rPr>
        <w:t>:</w:t>
      </w:r>
    </w:p>
    <w:p w:rsidR="00355B02" w:rsidRPr="003C6F72" w:rsidP="006B7163" w14:paraId="36B948E1" w14:textId="2A8C93C8">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hAnsi="Times New Roman" w:cs="Times New Roman"/>
          <w:color w:val="000000"/>
        </w:rPr>
        <w:t xml:space="preserve">One-time cost for generating: </w:t>
      </w:r>
      <w:r w:rsidRPr="003C6F72" w:rsidR="00222084">
        <w:rPr>
          <w:rFonts w:ascii="Times New Roman" w:hAnsi="Times New Roman" w:cs="Times New Roman"/>
          <w:shd w:val="clear" w:color="auto" w:fill="FFFFFF"/>
        </w:rPr>
        <w:t xml:space="preserve">75 </w:t>
      </w:r>
      <w:r w:rsidRPr="003C6F72" w:rsidR="00650E35">
        <w:rPr>
          <w:rFonts w:ascii="Times New Roman" w:hAnsi="Times New Roman" w:cs="Times New Roman"/>
          <w:shd w:val="clear" w:color="auto" w:fill="FFFFFF"/>
        </w:rPr>
        <w:t>hours</w:t>
      </w:r>
      <w:r w:rsidRPr="003C6F72" w:rsidR="00222084">
        <w:rPr>
          <w:rFonts w:ascii="Times New Roman" w:hAnsi="Times New Roman" w:cs="Times New Roman"/>
          <w:bCs/>
          <w:shd w:val="clear" w:color="auto" w:fill="FFFFFF"/>
        </w:rPr>
        <w:t xml:space="preserve"> </w:t>
      </w:r>
      <w:r w:rsidRPr="003C6F72" w:rsidR="00222084">
        <w:rPr>
          <w:rFonts w:ascii="Times New Roman" w:hAnsi="Times New Roman" w:cs="Times New Roman"/>
          <w:bCs/>
        </w:rPr>
        <w:t>×</w:t>
      </w:r>
      <w:r w:rsidRPr="003C6F72" w:rsidR="00222084">
        <w:rPr>
          <w:rFonts w:ascii="Times New Roman" w:hAnsi="Times New Roman" w:cs="Times New Roman"/>
          <w:bCs/>
          <w:shd w:val="clear" w:color="auto" w:fill="FFFFFF"/>
        </w:rPr>
        <w:t xml:space="preserve"> $53/hour = $</w:t>
      </w:r>
      <w:r w:rsidRPr="003C6F72" w:rsidR="00F42170">
        <w:rPr>
          <w:rFonts w:ascii="Times New Roman" w:hAnsi="Times New Roman" w:cs="Times New Roman"/>
          <w:bCs/>
          <w:shd w:val="clear" w:color="auto" w:fill="FFFFFF"/>
        </w:rPr>
        <w:t>3,975</w:t>
      </w:r>
    </w:p>
    <w:p w:rsidR="00302C75" w:rsidRPr="003C6F72" w:rsidP="006B7163" w14:paraId="2FB6BC97" w14:textId="4F85366F">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eastAsia="Times New Roman" w:hAnsi="Times New Roman" w:cs="Times New Roman"/>
          <w:kern w:val="1"/>
          <w:shd w:val="clear" w:color="auto" w:fill="FFFFFF"/>
          <w:lang w:eastAsia="ar-SA"/>
        </w:rPr>
        <w:t>Annualized cost</w:t>
      </w:r>
      <w:r w:rsidRPr="003C6F72" w:rsidR="00355B02">
        <w:rPr>
          <w:rFonts w:ascii="Times New Roman" w:eastAsia="Times New Roman" w:hAnsi="Times New Roman" w:cs="Times New Roman"/>
          <w:kern w:val="1"/>
          <w:shd w:val="clear" w:color="auto" w:fill="FFFFFF"/>
          <w:lang w:eastAsia="ar-SA"/>
        </w:rPr>
        <w:t xml:space="preserve"> for disseminating</w:t>
      </w:r>
      <w:r w:rsidRPr="003C6F72">
        <w:rPr>
          <w:rFonts w:ascii="Times New Roman" w:eastAsia="Times New Roman" w:hAnsi="Times New Roman" w:cs="Times New Roman"/>
          <w:kern w:val="1"/>
          <w:shd w:val="clear" w:color="auto" w:fill="FFFFFF"/>
          <w:lang w:eastAsia="ar-SA"/>
        </w:rPr>
        <w:t xml:space="preserve">: </w:t>
      </w:r>
      <w:r w:rsidRPr="003C6F72">
        <w:rPr>
          <w:rFonts w:ascii="Times New Roman" w:hAnsi="Times New Roman" w:cs="Times New Roman"/>
          <w:shd w:val="clear" w:color="auto" w:fill="FFFFFF"/>
        </w:rPr>
        <w:t xml:space="preserve">75 </w:t>
      </w:r>
      <w:r w:rsidRPr="003C6F72" w:rsidR="00D12C0B">
        <w:rPr>
          <w:rFonts w:ascii="Times New Roman" w:hAnsi="Times New Roman" w:cs="Times New Roman"/>
          <w:shd w:val="clear" w:color="auto" w:fill="FFFFFF"/>
        </w:rPr>
        <w:t>hours</w:t>
      </w:r>
      <w:r w:rsidRPr="003C6F72">
        <w:rPr>
          <w:rFonts w:ascii="Times New Roman" w:hAnsi="Times New Roman" w:cs="Times New Roman"/>
          <w:shd w:val="clear" w:color="auto" w:fill="FFFFFF"/>
        </w:rPr>
        <w:t xml:space="preserve">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w:t>
      </w:r>
      <w:r w:rsidRPr="003C6F72">
        <w:rPr>
          <w:rFonts w:ascii="Times New Roman" w:hAnsi="Times New Roman" w:cs="Times New Roman"/>
          <w:bCs/>
          <w:shd w:val="clear" w:color="auto" w:fill="FFFFFF"/>
        </w:rPr>
        <w:t>$</w:t>
      </w:r>
      <w:r w:rsidRPr="003C6F72">
        <w:rPr>
          <w:rFonts w:ascii="Times New Roman" w:hAnsi="Times New Roman" w:cs="Times New Roman"/>
          <w:bCs/>
          <w:shd w:val="clear" w:color="auto" w:fill="FFFFFF"/>
        </w:rPr>
        <w:t>53</w:t>
      </w:r>
      <w:r w:rsidRPr="003C6F72">
        <w:rPr>
          <w:rFonts w:ascii="Times New Roman" w:hAnsi="Times New Roman" w:cs="Times New Roman"/>
          <w:bCs/>
          <w:shd w:val="clear" w:color="auto" w:fill="FFFFFF"/>
        </w:rPr>
        <w:t>/hour = $3,</w:t>
      </w:r>
      <w:r w:rsidRPr="003C6F72" w:rsidR="00BA79BE">
        <w:rPr>
          <w:rFonts w:ascii="Times New Roman" w:hAnsi="Times New Roman" w:cs="Times New Roman"/>
          <w:bCs/>
          <w:shd w:val="clear" w:color="auto" w:fill="FFFFFF"/>
        </w:rPr>
        <w:t>975</w:t>
      </w:r>
      <w:r w:rsidRPr="003C6F72" w:rsidR="006B7163">
        <w:rPr>
          <w:rFonts w:ascii="Times New Roman" w:hAnsi="Times New Roman" w:cs="Times New Roman"/>
          <w:bCs/>
          <w:shd w:val="clear" w:color="auto" w:fill="FFFFFF"/>
        </w:rPr>
        <w:br/>
      </w:r>
    </w:p>
    <w:p w:rsidR="00A15A01" w:rsidP="00D100D6" w14:paraId="1258D06B" w14:textId="655B4AA1">
      <w:pPr>
        <w:ind w:left="360"/>
        <w:rPr>
          <w:rFonts w:ascii="Times New Roman" w:hAnsi="Times New Roman" w:cs="Times New Roman"/>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w:t>
      </w:r>
      <w:r w:rsidRPr="003C6F72" w:rsidR="00477819">
        <w:rPr>
          <w:rFonts w:ascii="Times New Roman" w:hAnsi="Times New Roman" w:cs="Times New Roman"/>
          <w:shd w:val="clear" w:color="auto" w:fill="FFFFFF"/>
        </w:rPr>
        <w:t xml:space="preserve">  </w:t>
      </w:r>
      <w:r w:rsidRPr="003C6F72" w:rsidR="00477819">
        <w:rPr>
          <w:rFonts w:ascii="Times New Roman" w:hAnsi="Times New Roman" w:cs="Times New Roman"/>
          <w:shd w:val="clear" w:color="auto" w:fill="FFFFFF"/>
        </w:rPr>
        <w:br/>
      </w:r>
      <w:r w:rsidRPr="003C6F72" w:rsidR="004063DC">
        <w:rPr>
          <w:rFonts w:ascii="Times New Roman" w:hAnsi="Times New Roman" w:cs="Times New Roman"/>
        </w:rPr>
        <w:t xml:space="preserve">We </w:t>
      </w:r>
      <w:r w:rsidRPr="003C6F72" w:rsidR="00BF1D61">
        <w:rPr>
          <w:rFonts w:ascii="Times New Roman" w:hAnsi="Times New Roman" w:cs="Times New Roman"/>
        </w:rPr>
        <w:t xml:space="preserve">estimate that providers will, on average, </w:t>
      </w:r>
      <w:r w:rsidRPr="003C6F72" w:rsidR="004063DC">
        <w:rPr>
          <w:rFonts w:ascii="Times New Roman" w:hAnsi="Times New Roman" w:cs="Times New Roman"/>
        </w:rPr>
        <w:t xml:space="preserve">require </w:t>
      </w:r>
      <w:r w:rsidRPr="003C6F72" w:rsidR="00F42170">
        <w:rPr>
          <w:rFonts w:ascii="Times New Roman" w:hAnsi="Times New Roman" w:cs="Times New Roman"/>
        </w:rPr>
        <w:t>one hour</w:t>
      </w:r>
      <w:r w:rsidRPr="003C6F72" w:rsidR="004063DC">
        <w:rPr>
          <w:rFonts w:ascii="Times New Roman" w:hAnsi="Times New Roman" w:cs="Times New Roman"/>
        </w:rPr>
        <w:t xml:space="preserve"> to gather the necessary information</w:t>
      </w:r>
      <w:r w:rsidRPr="003C6F72" w:rsidR="00E26489">
        <w:rPr>
          <w:rFonts w:ascii="Times New Roman" w:hAnsi="Times New Roman" w:cs="Times New Roman"/>
        </w:rPr>
        <w:t xml:space="preserve"> to draft the </w:t>
      </w:r>
      <w:r w:rsidRPr="003C6F72" w:rsidR="00E26489">
        <w:rPr>
          <w:rFonts w:ascii="Times New Roman" w:hAnsi="Times New Roman" w:cs="Times New Roman"/>
          <w:shd w:val="clear" w:color="auto" w:fill="FFFFFF"/>
        </w:rPr>
        <w:t>Consumer Readiness Checklist</w:t>
      </w:r>
      <w:r w:rsidRPr="003C6F72" w:rsidR="004063DC">
        <w:rPr>
          <w:rFonts w:ascii="Times New Roman" w:hAnsi="Times New Roman" w:cs="Times New Roman"/>
        </w:rPr>
        <w:t xml:space="preserve">, </w:t>
      </w:r>
      <w:r w:rsidRPr="003C6F72" w:rsidR="00145F67">
        <w:rPr>
          <w:rFonts w:ascii="Times New Roman" w:hAnsi="Times New Roman" w:cs="Times New Roman"/>
        </w:rPr>
        <w:t>reflecting that</w:t>
      </w:r>
      <w:r w:rsidRPr="003C6F72" w:rsidR="004063DC">
        <w:rPr>
          <w:rFonts w:ascii="Times New Roman" w:hAnsi="Times New Roman" w:cs="Times New Roman"/>
        </w:rPr>
        <w:t xml:space="preserve"> much of this information has likely already been gathered in the normal course of business and is readily available to respondents.</w:t>
      </w:r>
      <w:r>
        <w:rPr>
          <w:rStyle w:val="FootnoteReference"/>
          <w:rFonts w:ascii="Times New Roman" w:hAnsi="Times New Roman" w:cs="Times New Roman"/>
        </w:rPr>
        <w:footnoteReference w:id="51"/>
      </w:r>
      <w:r w:rsidRPr="003C6F72" w:rsidR="00E26489">
        <w:rPr>
          <w:rFonts w:ascii="Times New Roman" w:hAnsi="Times New Roman" w:cs="Times New Roman"/>
        </w:rPr>
        <w:t xml:space="preserve">  </w:t>
      </w:r>
      <w:r w:rsidRPr="003C6F72">
        <w:rPr>
          <w:rFonts w:ascii="Times New Roman" w:hAnsi="Times New Roman" w:cs="Times New Roman"/>
          <w:shd w:val="clear" w:color="auto" w:fill="FFFFFF"/>
        </w:rPr>
        <w:t>We estimate that each provider will</w:t>
      </w:r>
      <w:r w:rsidRPr="003C6F72" w:rsidR="00BA79BE">
        <w:rPr>
          <w:rFonts w:ascii="Times New Roman" w:hAnsi="Times New Roman" w:cs="Times New Roman"/>
          <w:shd w:val="clear" w:color="auto" w:fill="FFFFFF"/>
        </w:rPr>
        <w:t xml:space="preserve">, on average, engage in dissemination </w:t>
      </w:r>
      <w:r w:rsidRPr="003C6F72" w:rsidR="00354CFD">
        <w:rPr>
          <w:rFonts w:ascii="Times New Roman" w:hAnsi="Times New Roman" w:cs="Times New Roman"/>
          <w:shd w:val="clear" w:color="auto" w:fill="FFFFFF"/>
        </w:rPr>
        <w:t xml:space="preserve">of a Consumer Readiness Checklist </w:t>
      </w:r>
      <w:r w:rsidRPr="003C6F72" w:rsidR="00BA79BE">
        <w:rPr>
          <w:rFonts w:ascii="Times New Roman" w:hAnsi="Times New Roman" w:cs="Times New Roman"/>
          <w:shd w:val="clear" w:color="auto" w:fill="FFFFFF"/>
        </w:rPr>
        <w:t>once annually</w:t>
      </w:r>
      <w:r w:rsidRPr="003C6F72" w:rsidR="00BD2F5F">
        <w:rPr>
          <w:rFonts w:ascii="Times New Roman" w:hAnsi="Times New Roman" w:cs="Times New Roman"/>
          <w:shd w:val="clear" w:color="auto" w:fill="FFFFFF"/>
        </w:rPr>
        <w:t xml:space="preserve"> and that the burden of dissemination is </w:t>
      </w:r>
      <w:r w:rsidRPr="003C6F72" w:rsidR="00145F67">
        <w:rPr>
          <w:rFonts w:ascii="Times New Roman" w:hAnsi="Times New Roman" w:cs="Times New Roman"/>
          <w:shd w:val="clear" w:color="auto" w:fill="FFFFFF"/>
        </w:rPr>
        <w:t>also one</w:t>
      </w:r>
      <w:r w:rsidRPr="003C6F72">
        <w:rPr>
          <w:rFonts w:ascii="Times New Roman" w:hAnsi="Times New Roman" w:cs="Times New Roman"/>
          <w:shd w:val="clear" w:color="auto" w:fill="FFFFFF"/>
        </w:rPr>
        <w:t xml:space="preserve"> hour</w:t>
      </w:r>
      <w:r w:rsidRPr="003C6F72" w:rsidR="00BD2F5F">
        <w:rPr>
          <w:rFonts w:ascii="Times New Roman" w:hAnsi="Times New Roman" w:cs="Times New Roman"/>
          <w:shd w:val="clear" w:color="auto" w:fill="FFFFFF"/>
        </w:rPr>
        <w:t>.</w:t>
      </w:r>
      <w:r w:rsidRPr="003C6F72">
        <w:rPr>
          <w:rFonts w:ascii="Times New Roman" w:hAnsi="Times New Roman" w:cs="Times New Roman"/>
          <w:shd w:val="clear" w:color="auto" w:fill="FFFFFF"/>
        </w:rPr>
        <w:t xml:space="preserve">  In arriving at these estimates, we have taken into account that </w:t>
      </w:r>
      <w:r w:rsidRPr="003C6F72" w:rsidR="00BD2F5F">
        <w:rPr>
          <w:rFonts w:ascii="Times New Roman" w:hAnsi="Times New Roman" w:cs="Times New Roman"/>
          <w:shd w:val="clear" w:color="auto" w:fill="FFFFFF"/>
        </w:rPr>
        <w:t>such dissemination may occur through electronic distribution lists (e.g., e-ma</w:t>
      </w:r>
      <w:r w:rsidRPr="003C6F72" w:rsidR="008E1994">
        <w:rPr>
          <w:rFonts w:ascii="Times New Roman" w:hAnsi="Times New Roman" w:cs="Times New Roman"/>
          <w:shd w:val="clear" w:color="auto" w:fill="FFFFFF"/>
        </w:rPr>
        <w:t>i</w:t>
      </w:r>
      <w:r w:rsidRPr="003C6F72" w:rsidR="00BD2F5F">
        <w:rPr>
          <w:rFonts w:ascii="Times New Roman" w:hAnsi="Times New Roman" w:cs="Times New Roman"/>
          <w:shd w:val="clear" w:color="auto" w:fill="FFFFFF"/>
        </w:rPr>
        <w:t>l), social media channels and other forms of communications</w:t>
      </w:r>
      <w:r w:rsidRPr="003C6F72">
        <w:rPr>
          <w:rFonts w:ascii="Times New Roman" w:hAnsi="Times New Roman" w:cs="Times New Roman"/>
          <w:shd w:val="clear" w:color="auto" w:fill="FFFFFF"/>
        </w:rPr>
        <w:t xml:space="preserve">.  The Commission estimates the </w:t>
      </w:r>
      <w:r w:rsidRPr="003C6F72">
        <w:rPr>
          <w:rFonts w:ascii="Times New Roman" w:hAnsi="Times New Roman" w:cs="Times New Roman"/>
        </w:rPr>
        <w:t xml:space="preserve">hourly wage of a </w:t>
      </w:r>
      <w:r w:rsidRPr="003C6F72" w:rsidR="00E27AC2">
        <w:rPr>
          <w:rFonts w:ascii="Times New Roman" w:hAnsi="Times New Roman" w:cs="Times New Roman"/>
        </w:rPr>
        <w:t xml:space="preserve">full-time employee who </w:t>
      </w:r>
      <w:r w:rsidRPr="003C6F72">
        <w:rPr>
          <w:rFonts w:ascii="Times New Roman" w:hAnsi="Times New Roman" w:cs="Times New Roman"/>
        </w:rPr>
        <w:t>will be responsible for these efforts as $</w:t>
      </w:r>
      <w:r w:rsidRPr="003C6F72" w:rsidR="00FB3A82">
        <w:rPr>
          <w:rFonts w:ascii="Times New Roman" w:hAnsi="Times New Roman" w:cs="Times New Roman"/>
        </w:rPr>
        <w:t>53</w:t>
      </w:r>
      <w:r w:rsidRPr="003C6F72">
        <w:rPr>
          <w:rFonts w:ascii="Times New Roman" w:hAnsi="Times New Roman" w:cs="Times New Roman"/>
        </w:rPr>
        <w:t xml:space="preserve">/hour, inclusive of benefits.  In developing this estimate, the Commission has relied on data on 2021 national wage information from the Bureau of Labor and Statistics.  The median hourly cost for </w:t>
      </w:r>
      <w:r w:rsidRPr="003C6F72" w:rsidR="006B7163">
        <w:rPr>
          <w:rFonts w:ascii="Times New Roman" w:hAnsi="Times New Roman" w:cs="Times New Roman"/>
        </w:rPr>
        <w:t xml:space="preserve">public relation specialists </w:t>
      </w:r>
      <w:r w:rsidRPr="003C6F72">
        <w:rPr>
          <w:rFonts w:ascii="Times New Roman" w:hAnsi="Times New Roman" w:cs="Times New Roman"/>
        </w:rPr>
        <w:t>is $</w:t>
      </w:r>
      <w:r w:rsidRPr="003C6F72" w:rsidR="00A40B8C">
        <w:rPr>
          <w:rFonts w:ascii="Times New Roman" w:hAnsi="Times New Roman" w:cs="Times New Roman"/>
        </w:rPr>
        <w:t>53</w:t>
      </w:r>
      <w:r w:rsidRPr="003C6F72">
        <w:rPr>
          <w:rFonts w:ascii="Times New Roman" w:hAnsi="Times New Roman" w:cs="Times New Roman"/>
        </w:rPr>
        <w:t>, which is the median hourly wage of $</w:t>
      </w:r>
      <w:r w:rsidRPr="003C6F72" w:rsidR="00245208">
        <w:rPr>
          <w:rFonts w:ascii="Times New Roman" w:hAnsi="Times New Roman" w:cs="Times New Roman"/>
        </w:rPr>
        <w:t>35</w:t>
      </w:r>
      <w:r w:rsidRPr="003C6F72">
        <w:rPr>
          <w:rFonts w:ascii="Times New Roman" w:hAnsi="Times New Roman" w:cs="Times New Roman"/>
        </w:rPr>
        <w:t xml:space="preserve"> increased by 50% to include benefits.</w:t>
      </w:r>
      <w:r>
        <w:rPr>
          <w:rStyle w:val="FootnoteReference"/>
          <w:rFonts w:ascii="Times New Roman" w:hAnsi="Times New Roman" w:cs="Times New Roman"/>
        </w:rPr>
        <w:footnoteReference w:id="52"/>
      </w:r>
      <w:r w:rsidRPr="003C6F72">
        <w:rPr>
          <w:rFonts w:ascii="Times New Roman" w:hAnsi="Times New Roman" w:cs="Times New Roman"/>
        </w:rPr>
        <w:t xml:space="preserve">  </w:t>
      </w:r>
    </w:p>
    <w:p w:rsidR="00AA140A" w:rsidRPr="003C6F72" w:rsidP="00D100D6" w14:paraId="7A4B0250" w14:textId="77777777">
      <w:pPr>
        <w:ind w:left="360"/>
        <w:rPr>
          <w:rFonts w:ascii="Times New Roman" w:hAnsi="Times New Roman" w:cs="Times New Roman"/>
          <w:shd w:val="clear" w:color="auto" w:fill="FFFFFF"/>
        </w:rPr>
      </w:pPr>
    </w:p>
    <w:p w:rsidR="00E81E17" w:rsidRPr="003C6F72" w:rsidP="001C3D4E" w14:paraId="2159400A" w14:textId="55AC185A">
      <w:pPr>
        <w:pStyle w:val="ListParagraph"/>
        <w:numPr>
          <w:ilvl w:val="1"/>
          <w:numId w:val="37"/>
        </w:numPr>
        <w:tabs>
          <w:tab w:val="left" w:pos="90"/>
        </w:tabs>
        <w:rPr>
          <w:rFonts w:ascii="Times New Roman" w:eastAsia="Calibri" w:hAnsi="Times New Roman" w:cs="Times New Roman"/>
          <w:b/>
          <w:bCs/>
        </w:rPr>
      </w:pPr>
      <w:r w:rsidRPr="003C6F72">
        <w:rPr>
          <w:rFonts w:ascii="Times New Roman" w:hAnsi="Times New Roman" w:cs="Times New Roman"/>
          <w:b/>
          <w:bCs/>
          <w:color w:val="000000"/>
        </w:rPr>
        <w:t>Provision (</w:t>
      </w:r>
      <w:r w:rsidRPr="003C6F72" w:rsidR="000E1869">
        <w:rPr>
          <w:rFonts w:ascii="Times New Roman" w:hAnsi="Times New Roman" w:cs="Times New Roman"/>
          <w:b/>
          <w:bCs/>
          <w:color w:val="000000"/>
        </w:rPr>
        <w:t>b</w:t>
      </w:r>
      <w:r w:rsidRPr="003C6F72">
        <w:rPr>
          <w:rFonts w:ascii="Times New Roman" w:hAnsi="Times New Roman" w:cs="Times New Roman"/>
          <w:b/>
          <w:bCs/>
          <w:color w:val="000000"/>
        </w:rPr>
        <w:t>) of the MDRI</w:t>
      </w:r>
      <w:r w:rsidRPr="003C6F72" w:rsidR="0006786C">
        <w:rPr>
          <w:rFonts w:ascii="Times New Roman" w:hAnsi="Times New Roman" w:cs="Times New Roman"/>
          <w:b/>
          <w:bCs/>
          <w:color w:val="000000"/>
        </w:rPr>
        <w:t xml:space="preserve"> Rule</w:t>
      </w:r>
    </w:p>
    <w:p w:rsidR="00E81E17" w:rsidRPr="003C6F72" w:rsidP="00E81E17" w14:paraId="77FA859D" w14:textId="77777777">
      <w:pPr>
        <w:pStyle w:val="ListParagraph"/>
        <w:tabs>
          <w:tab w:val="left" w:pos="90"/>
        </w:tabs>
        <w:ind w:left="1080"/>
        <w:rPr>
          <w:rFonts w:ascii="Times New Roman" w:hAnsi="Times New Roman" w:cs="Times New Roman"/>
          <w:b/>
          <w:bCs/>
          <w:color w:val="000000"/>
        </w:rPr>
      </w:pPr>
    </w:p>
    <w:tbl>
      <w:tblPr>
        <w:tblStyle w:val="TableGrid"/>
        <w:tblW w:w="6228" w:type="dxa"/>
        <w:tblInd w:w="1327" w:type="dxa"/>
        <w:tblLayout w:type="fixed"/>
        <w:tblLook w:val="04A0"/>
      </w:tblPr>
      <w:tblGrid>
        <w:gridCol w:w="1188"/>
        <w:gridCol w:w="5040"/>
      </w:tblGrid>
      <w:tr w14:paraId="66F8188F" w14:textId="77777777" w:rsidTr="00A4428D">
        <w:tblPrEx>
          <w:tblW w:w="6228" w:type="dxa"/>
          <w:tblInd w:w="1327" w:type="dxa"/>
          <w:tblLayout w:type="fixed"/>
          <w:tblLook w:val="04A0"/>
        </w:tblPrEx>
        <w:trPr>
          <w:trHeight w:val="423"/>
        </w:trPr>
        <w:tc>
          <w:tcPr>
            <w:tcW w:w="1188" w:type="dxa"/>
            <w:shd w:val="clear" w:color="auto" w:fill="D9D9D9" w:themeFill="background1" w:themeFillShade="D9"/>
          </w:tcPr>
          <w:p w:rsidR="00D64C61" w:rsidRPr="003C6F72" w:rsidP="0058139A" w14:paraId="588FA432"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b/>
                <w:bCs/>
              </w:rPr>
              <w:t>Provision</w:t>
            </w:r>
          </w:p>
        </w:tc>
        <w:tc>
          <w:tcPr>
            <w:tcW w:w="5040" w:type="dxa"/>
            <w:shd w:val="clear" w:color="auto" w:fill="D9D9D9" w:themeFill="background1" w:themeFillShade="D9"/>
          </w:tcPr>
          <w:p w:rsidR="00D64C61" w:rsidRPr="003C6F72" w:rsidP="0058139A" w14:paraId="199AE962"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b/>
                <w:bCs/>
              </w:rPr>
              <w:t>MDRI Rule</w:t>
            </w:r>
          </w:p>
        </w:tc>
      </w:tr>
      <w:tr w14:paraId="4AE9920F" w14:textId="77777777" w:rsidTr="00A4428D">
        <w:tblPrEx>
          <w:tblW w:w="6228" w:type="dxa"/>
          <w:tblInd w:w="1327" w:type="dxa"/>
          <w:tblLayout w:type="fixed"/>
          <w:tblLook w:val="04A0"/>
        </w:tblPrEx>
        <w:trPr>
          <w:trHeight w:val="956"/>
        </w:trPr>
        <w:tc>
          <w:tcPr>
            <w:tcW w:w="1188" w:type="dxa"/>
          </w:tcPr>
          <w:p w:rsidR="00D64C61" w:rsidRPr="003C6F72" w:rsidP="0058139A" w14:paraId="500A1464"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(b)</w:t>
            </w:r>
          </w:p>
        </w:tc>
        <w:tc>
          <w:tcPr>
            <w:tcW w:w="5040" w:type="dxa"/>
          </w:tcPr>
          <w:p w:rsidR="00D64C61" w:rsidRPr="003C6F72" w:rsidP="0058139A" w14:paraId="2DBD1C0B"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Providers subject to the requirements of subsection (a) are required to perform annual testing of their roaming capabilities and related coordination processes, with such testing performed bilaterally with other providers that may foreseeably roam, or request roaming from, the provider during times of disaster or other exigency</w:t>
            </w:r>
          </w:p>
        </w:tc>
      </w:tr>
    </w:tbl>
    <w:p w:rsidR="002A61C4" w:rsidRPr="003C6F72" w:rsidP="00E81E17" w14:paraId="5943FF3C" w14:textId="20A38A13">
      <w:pPr>
        <w:pStyle w:val="ListParagraph"/>
        <w:tabs>
          <w:tab w:val="left" w:pos="90"/>
        </w:tabs>
        <w:ind w:left="360"/>
        <w:rPr>
          <w:rFonts w:ascii="Times New Roman" w:eastAsia="Calibri" w:hAnsi="Times New Roman" w:cs="Times New Roman"/>
          <w:highlight w:val="yellow"/>
        </w:rPr>
      </w:pPr>
    </w:p>
    <w:p w:rsidR="003B21EB" w:rsidP="00542B42" w14:paraId="6E960255" w14:textId="064FF1A7">
      <w:pPr>
        <w:pStyle w:val="ListParagraph"/>
        <w:tabs>
          <w:tab w:val="left" w:pos="90"/>
        </w:tabs>
        <w:ind w:left="360"/>
        <w:rPr>
          <w:rFonts w:ascii="Times New Roman" w:hAnsi="Times New Roman" w:cs="Times New Roman"/>
        </w:rPr>
      </w:pPr>
      <w:r>
        <w:rPr>
          <w:rFonts w:ascii="Times New Roman" w:eastAsia="Calibri" w:hAnsi="Times New Roman" w:cs="Times New Roman"/>
        </w:rPr>
        <w:tab/>
      </w:r>
      <w:r w:rsidRPr="003C6F72" w:rsidR="00E81E17">
        <w:rPr>
          <w:rFonts w:ascii="Times New Roman" w:eastAsia="Calibri" w:hAnsi="Times New Roman" w:cs="Times New Roman"/>
        </w:rPr>
        <w:t xml:space="preserve">Providers are estimated to incur a recurring burden to </w:t>
      </w:r>
      <w:r w:rsidRPr="003C6F72" w:rsidR="00102A04">
        <w:rPr>
          <w:rFonts w:ascii="Times New Roman" w:eastAsia="Calibri" w:hAnsi="Times New Roman" w:cs="Times New Roman"/>
        </w:rPr>
        <w:t xml:space="preserve">perform annual testing of their roaming capabilities </w:t>
      </w:r>
      <w:r w:rsidRPr="003C6F72" w:rsidR="003502B9">
        <w:rPr>
          <w:rFonts w:ascii="Times New Roman" w:hAnsi="Times New Roman" w:cs="Times New Roman"/>
        </w:rPr>
        <w:t>and related coordination processes as described in provision</w:t>
      </w:r>
      <w:r w:rsidRPr="003C6F72" w:rsidR="000A303F">
        <w:rPr>
          <w:rFonts w:ascii="Times New Roman" w:hAnsi="Times New Roman" w:cs="Times New Roman"/>
        </w:rPr>
        <w:t xml:space="preserve"> (b)</w:t>
      </w:r>
      <w:r w:rsidRPr="003C6F72" w:rsidR="006B7163">
        <w:rPr>
          <w:rFonts w:ascii="Times New Roman" w:hAnsi="Times New Roman" w:cs="Times New Roman"/>
        </w:rPr>
        <w:t xml:space="preserve"> of the MDRI</w:t>
      </w:r>
      <w:r w:rsidRPr="003C6F72" w:rsidR="003502B9">
        <w:rPr>
          <w:rFonts w:ascii="Times New Roman" w:hAnsi="Times New Roman" w:cs="Times New Roman"/>
        </w:rPr>
        <w:t>.</w:t>
      </w:r>
      <w:r w:rsidRPr="003C6F72">
        <w:rPr>
          <w:rFonts w:ascii="Times New Roman" w:hAnsi="Times New Roman" w:cs="Times New Roman"/>
        </w:rPr>
        <w:t xml:space="preserve">  This testing must be performed bilaterally with other providers that may foreseeably roam, or request roaming from, a given provider including, without limitation, between providers whose geographic coverage areas overlap.</w:t>
      </w:r>
      <w:r>
        <w:rPr>
          <w:rStyle w:val="FootnoteReference"/>
          <w:rFonts w:ascii="Times New Roman" w:hAnsi="Times New Roman" w:cs="Times New Roman"/>
        </w:rPr>
        <w:footnoteReference w:id="53"/>
      </w:r>
    </w:p>
    <w:p w:rsidR="00544B28" w:rsidRPr="003C6F72" w:rsidP="00542B42" w14:paraId="43F63B88" w14:textId="77777777">
      <w:pPr>
        <w:pStyle w:val="ListParagraph"/>
        <w:tabs>
          <w:tab w:val="left" w:pos="90"/>
        </w:tabs>
        <w:ind w:left="360"/>
        <w:rPr>
          <w:rFonts w:ascii="Times New Roman" w:hAnsi="Times New Roman" w:cs="Times New Roman"/>
        </w:rPr>
      </w:pPr>
    </w:p>
    <w:p w:rsidR="00E81E17" w:rsidRPr="003C6F72" w:rsidP="00E81E17" w14:paraId="3521CC3D" w14:textId="04CC04F1">
      <w:pPr>
        <w:tabs>
          <w:tab w:val="left" w:pos="360"/>
        </w:tabs>
        <w:spacing w:after="0"/>
        <w:rPr>
          <w:rFonts w:ascii="Times New Roman" w:eastAsia="Times New Roman" w:hAnsi="Times New Roman" w:cs="Times New Roman"/>
          <w:b/>
          <w:kern w:val="1"/>
          <w:highlight w:val="yellow"/>
          <w:shd w:val="clear" w:color="auto" w:fill="FFFFFF"/>
          <w:lang w:eastAsia="ar-SA"/>
        </w:rPr>
      </w:pPr>
      <w:r w:rsidRPr="003C6F72">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 xml:space="preserve">Burden Estimate for </w:t>
      </w:r>
      <w:r w:rsidRPr="003C6F72" w:rsidR="008E3A31">
        <w:rPr>
          <w:rFonts w:ascii="Times New Roman" w:hAnsi="Times New Roman" w:cs="Times New Roman"/>
          <w:bCs/>
          <w:kern w:val="1"/>
          <w:u w:val="single"/>
          <w:shd w:val="clear" w:color="auto" w:fill="FFFFFF"/>
        </w:rPr>
        <w:t>Annual Testing</w:t>
      </w:r>
    </w:p>
    <w:p w:rsidR="00E81E17" w:rsidRPr="003C6F72" w:rsidP="00E81E17" w14:paraId="6CA519B2"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E81E17" w:rsidRPr="003C6F72" w:rsidP="00E81E17" w14:paraId="14D7C431" w14:textId="77777777">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Frequency of response: Once annually</w:t>
      </w:r>
    </w:p>
    <w:p w:rsidR="00E81E17" w:rsidRPr="003C6F72" w:rsidP="00E81E17" w14:paraId="348E4F76" w14:textId="47DC7AC2">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w:t>
      </w:r>
      <w:r w:rsidRPr="003C6F72" w:rsidR="00543748">
        <w:rPr>
          <w:rFonts w:ascii="Times New Roman" w:hAnsi="Times New Roman" w:cs="Times New Roman"/>
          <w:shd w:val="clear" w:color="auto" w:fill="FFFFFF"/>
        </w:rPr>
        <w:t>5</w:t>
      </w:r>
      <w:r w:rsidRPr="003C6F72">
        <w:rPr>
          <w:rFonts w:ascii="Times New Roman" w:hAnsi="Times New Roman" w:cs="Times New Roman"/>
          <w:shd w:val="clear" w:color="auto" w:fill="FFFFFF"/>
        </w:rPr>
        <w:t xml:space="preserve"> response</w:t>
      </w:r>
      <w:r w:rsidRPr="003C6F72" w:rsidR="003502B9">
        <w:rPr>
          <w:rFonts w:ascii="Times New Roman" w:hAnsi="Times New Roman" w:cs="Times New Roman"/>
          <w:shd w:val="clear" w:color="auto" w:fill="FFFFFF"/>
        </w:rPr>
        <w:t>s</w:t>
      </w:r>
      <w:r w:rsidRPr="003C6F72">
        <w:rPr>
          <w:rFonts w:ascii="Times New Roman" w:hAnsi="Times New Roman" w:cs="Times New Roman"/>
          <w:shd w:val="clear" w:color="auto" w:fill="FFFFFF"/>
        </w:rPr>
        <w:t xml:space="preserve">/respondent = </w:t>
      </w:r>
      <w:r w:rsidRPr="003C6F72" w:rsidR="008E3A31">
        <w:rPr>
          <w:rFonts w:ascii="Times New Roman" w:hAnsi="Times New Roman" w:cs="Times New Roman"/>
          <w:shd w:val="clear" w:color="auto" w:fill="FFFFFF"/>
        </w:rPr>
        <w:t>375</w:t>
      </w:r>
      <w:r w:rsidRPr="003C6F72">
        <w:rPr>
          <w:rFonts w:ascii="Times New Roman" w:hAnsi="Times New Roman" w:cs="Times New Roman"/>
          <w:shd w:val="clear" w:color="auto" w:fill="FFFFFF"/>
        </w:rPr>
        <w:t xml:space="preserve"> total responses</w:t>
      </w:r>
    </w:p>
    <w:p w:rsidR="00E81E17" w:rsidRPr="003C6F72" w:rsidP="00E81E17" w14:paraId="528B3C88" w14:textId="305F4520">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Average response time per response: </w:t>
      </w:r>
      <w:r w:rsidRPr="003C6F72" w:rsidR="008B16FA">
        <w:rPr>
          <w:rFonts w:ascii="Times New Roman" w:hAnsi="Times New Roman" w:cs="Times New Roman"/>
          <w:bCs/>
          <w:shd w:val="clear" w:color="auto" w:fill="FFFFFF"/>
        </w:rPr>
        <w:t>3</w:t>
      </w:r>
      <w:r w:rsidRPr="003C6F72">
        <w:rPr>
          <w:rFonts w:ascii="Times New Roman" w:hAnsi="Times New Roman" w:cs="Times New Roman"/>
          <w:bCs/>
          <w:shd w:val="clear" w:color="auto" w:fill="FFFFFF"/>
        </w:rPr>
        <w:t xml:space="preserve"> hours</w:t>
      </w:r>
    </w:p>
    <w:p w:rsidR="00316891" w:rsidRPr="001A68D4" w:rsidP="001A68D4" w14:paraId="4D956F2B" w14:textId="4A02C9C0">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Annual Hour Burden: </w:t>
      </w:r>
      <w:r w:rsidRPr="003C6F72" w:rsidR="008E3A31">
        <w:rPr>
          <w:rFonts w:ascii="Times New Roman" w:hAnsi="Times New Roman" w:cs="Times New Roman"/>
          <w:bCs/>
          <w:shd w:val="clear" w:color="auto" w:fill="FFFFFF"/>
        </w:rPr>
        <w:t xml:space="preserve">375 </w:t>
      </w:r>
      <w:r w:rsidRPr="003C6F72">
        <w:rPr>
          <w:rFonts w:ascii="Times New Roman" w:hAnsi="Times New Roman" w:cs="Times New Roman"/>
          <w:bCs/>
          <w:shd w:val="clear" w:color="auto" w:fill="FFFFFF"/>
        </w:rPr>
        <w:t xml:space="preserve">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8B16FA">
        <w:rPr>
          <w:rFonts w:ascii="Times New Roman" w:hAnsi="Times New Roman" w:cs="Times New Roman"/>
          <w:bCs/>
          <w:shd w:val="clear" w:color="auto" w:fill="FFFFFF"/>
        </w:rPr>
        <w:t>3</w:t>
      </w:r>
      <w:r w:rsidRPr="003C6F72">
        <w:rPr>
          <w:rFonts w:ascii="Times New Roman" w:hAnsi="Times New Roman" w:cs="Times New Roman"/>
          <w:bCs/>
          <w:shd w:val="clear" w:color="auto" w:fill="FFFFFF"/>
        </w:rPr>
        <w:t xml:space="preserve"> hours/response = </w:t>
      </w:r>
      <w:r w:rsidRPr="003C6F72" w:rsidR="003F5F3A">
        <w:rPr>
          <w:rFonts w:ascii="Times New Roman" w:hAnsi="Times New Roman" w:cs="Times New Roman"/>
          <w:bCs/>
          <w:shd w:val="clear" w:color="auto" w:fill="FFFFFF"/>
        </w:rPr>
        <w:t>1,125</w:t>
      </w:r>
      <w:r w:rsidRPr="003C6F72">
        <w:rPr>
          <w:rFonts w:ascii="Times New Roman" w:hAnsi="Times New Roman" w:cs="Times New Roman"/>
          <w:bCs/>
          <w:shd w:val="clear" w:color="auto" w:fill="FFFFFF"/>
        </w:rPr>
        <w:t xml:space="preserve"> hours</w:t>
      </w:r>
    </w:p>
    <w:p w:rsidR="00E81E17" w:rsidRPr="003C6F72" w:rsidP="00E81E17" w14:paraId="1001405E" w14:textId="78D6B0E4">
      <w:pPr>
        <w:tabs>
          <w:tab w:val="left" w:pos="360"/>
        </w:tabs>
        <w:spacing w:after="0"/>
        <w:rPr>
          <w:rFonts w:ascii="Times New Roman" w:hAnsi="Times New Roman" w:cs="Times New Roman"/>
          <w:color w:val="000000"/>
          <w:u w:val="single"/>
        </w:rPr>
      </w:pPr>
      <w:r>
        <w:rPr>
          <w:rFonts w:ascii="Times New Roman" w:hAnsi="Times New Roman" w:cs="Times New Roman"/>
          <w:b/>
          <w:bCs/>
          <w:color w:val="000000"/>
        </w:rPr>
        <w:tab/>
      </w:r>
      <w:r w:rsidRPr="003C6F72">
        <w:rPr>
          <w:rFonts w:ascii="Times New Roman" w:hAnsi="Times New Roman" w:cs="Times New Roman"/>
          <w:color w:val="000000"/>
          <w:u w:val="single"/>
        </w:rPr>
        <w:t xml:space="preserve">Estimate of cost across all respondents for provision </w:t>
      </w:r>
      <w:r w:rsidRPr="003C6F72" w:rsidR="007F2CEE">
        <w:rPr>
          <w:rFonts w:ascii="Times New Roman" w:hAnsi="Times New Roman" w:cs="Times New Roman"/>
          <w:color w:val="000000"/>
          <w:u w:val="single"/>
        </w:rPr>
        <w:t>(b):</w:t>
      </w:r>
    </w:p>
    <w:p w:rsidR="00AB1237" w:rsidRPr="003C6F72" w:rsidP="00C1553A" w14:paraId="6F7D810A" w14:textId="6E75F1F5">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eastAsia="Times New Roman" w:hAnsi="Times New Roman" w:cs="Times New Roman"/>
          <w:kern w:val="1"/>
          <w:shd w:val="clear" w:color="auto" w:fill="FFFFFF"/>
          <w:lang w:eastAsia="ar-SA"/>
        </w:rPr>
        <w:t xml:space="preserve">Annualized cost: </w:t>
      </w:r>
      <w:r w:rsidRPr="003C6F72" w:rsidR="006D042F">
        <w:rPr>
          <w:rFonts w:ascii="Times New Roman" w:hAnsi="Times New Roman" w:cs="Times New Roman"/>
          <w:shd w:val="clear" w:color="auto" w:fill="FFFFFF"/>
        </w:rPr>
        <w:t>1,125 hours</w:t>
      </w:r>
      <w:r w:rsidRPr="003C6F72">
        <w:rPr>
          <w:rFonts w:ascii="Times New Roman" w:hAnsi="Times New Roman" w:cs="Times New Roman"/>
          <w:bCs/>
          <w:shd w:val="clear" w:color="auto" w:fill="FFFFFF"/>
        </w:rPr>
        <w:t xml:space="preserve">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674322">
        <w:rPr>
          <w:rFonts w:ascii="Times New Roman" w:hAnsi="Times New Roman" w:cs="Times New Roman"/>
          <w:bCs/>
          <w:shd w:val="clear" w:color="auto" w:fill="FFFFFF"/>
        </w:rPr>
        <w:t>87</w:t>
      </w:r>
      <w:r w:rsidRPr="003C6F72">
        <w:rPr>
          <w:rFonts w:ascii="Times New Roman" w:hAnsi="Times New Roman" w:cs="Times New Roman"/>
          <w:bCs/>
          <w:shd w:val="clear" w:color="auto" w:fill="FFFFFF"/>
        </w:rPr>
        <w:t>/hour = $</w:t>
      </w:r>
      <w:r w:rsidRPr="003C6F72" w:rsidR="003F5F3A">
        <w:rPr>
          <w:rFonts w:ascii="Times New Roman" w:hAnsi="Times New Roman" w:cs="Times New Roman"/>
          <w:bCs/>
          <w:shd w:val="clear" w:color="auto" w:fill="FFFFFF"/>
        </w:rPr>
        <w:t>97,875</w:t>
      </w:r>
      <w:r w:rsidRPr="003C6F72" w:rsidR="00C1553A">
        <w:rPr>
          <w:rFonts w:ascii="Times New Roman" w:hAnsi="Times New Roman" w:cs="Times New Roman"/>
          <w:bCs/>
          <w:shd w:val="clear" w:color="auto" w:fill="FFFFFF"/>
        </w:rPr>
        <w:br/>
      </w:r>
    </w:p>
    <w:p w:rsidR="0036756D" w:rsidP="00D100D6" w14:paraId="7E000111" w14:textId="5F4D06B9">
      <w:pPr>
        <w:ind w:left="360"/>
        <w:rPr>
          <w:rFonts w:ascii="Times New Roman" w:hAnsi="Times New Roman" w:cs="Times New Roman"/>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 xml:space="preserve">: </w:t>
      </w:r>
      <w:r w:rsidRPr="003C6F72">
        <w:rPr>
          <w:rFonts w:ascii="Times New Roman" w:hAnsi="Times New Roman" w:cs="Times New Roman"/>
          <w:shd w:val="clear" w:color="auto" w:fill="FFFFFF"/>
        </w:rPr>
        <w:br/>
      </w:r>
      <w:r w:rsidRPr="003C6F72" w:rsidR="00F96AB7">
        <w:rPr>
          <w:rFonts w:ascii="Times New Roman" w:hAnsi="Times New Roman" w:cs="Times New Roman"/>
          <w:shd w:val="clear" w:color="auto" w:fill="FFFFFF"/>
        </w:rPr>
        <w:t xml:space="preserve">This estimate assumes that each provider will perform testing annually, as required in </w:t>
      </w:r>
      <w:r w:rsidRPr="003C6F72" w:rsidR="000A303F">
        <w:rPr>
          <w:rFonts w:ascii="Times New Roman" w:hAnsi="Times New Roman" w:cs="Times New Roman"/>
          <w:shd w:val="clear" w:color="auto" w:fill="FFFFFF"/>
        </w:rPr>
        <w:t xml:space="preserve">the MDRI’s </w:t>
      </w:r>
      <w:r w:rsidRPr="003C6F72" w:rsidR="00F96AB7">
        <w:rPr>
          <w:rFonts w:ascii="Times New Roman" w:hAnsi="Times New Roman" w:cs="Times New Roman"/>
          <w:shd w:val="clear" w:color="auto" w:fill="FFFFFF"/>
        </w:rPr>
        <w:t>provision (b), and will condu</w:t>
      </w:r>
      <w:r w:rsidRPr="003C6F72" w:rsidR="00086529">
        <w:rPr>
          <w:rFonts w:ascii="Times New Roman" w:hAnsi="Times New Roman" w:cs="Times New Roman"/>
          <w:shd w:val="clear" w:color="auto" w:fill="FFFFFF"/>
        </w:rPr>
        <w:t>ct the described bilateral testing with</w:t>
      </w:r>
      <w:r w:rsidRPr="003C6F72" w:rsidR="00A47041">
        <w:rPr>
          <w:rFonts w:ascii="Times New Roman" w:hAnsi="Times New Roman" w:cs="Times New Roman"/>
          <w:shd w:val="clear" w:color="auto" w:fill="FFFFFF"/>
        </w:rPr>
        <w:t xml:space="preserve"> five</w:t>
      </w:r>
      <w:r w:rsidRPr="003C6F72" w:rsidR="00086529">
        <w:rPr>
          <w:rFonts w:ascii="Times New Roman" w:hAnsi="Times New Roman" w:cs="Times New Roman"/>
          <w:shd w:val="clear" w:color="auto" w:fill="FFFFFF"/>
        </w:rPr>
        <w:t xml:space="preserve"> other providers, on average.  We further assume that the testing will require</w:t>
      </w:r>
      <w:r w:rsidRPr="003C6F72">
        <w:rPr>
          <w:rFonts w:ascii="Times New Roman" w:hAnsi="Times New Roman" w:cs="Times New Roman"/>
          <w:shd w:val="clear" w:color="auto" w:fill="FFFFFF"/>
        </w:rPr>
        <w:t xml:space="preserve"> </w:t>
      </w:r>
      <w:r w:rsidRPr="003C6F72" w:rsidR="003F5F3A">
        <w:rPr>
          <w:rFonts w:ascii="Times New Roman" w:hAnsi="Times New Roman" w:cs="Times New Roman"/>
          <w:shd w:val="clear" w:color="auto" w:fill="FFFFFF"/>
        </w:rPr>
        <w:t>3 hours</w:t>
      </w:r>
      <w:r w:rsidRPr="003C6F72" w:rsidR="00086529">
        <w:rPr>
          <w:rFonts w:ascii="Times New Roman" w:hAnsi="Times New Roman" w:cs="Times New Roman"/>
          <w:shd w:val="clear" w:color="auto" w:fill="FFFFFF"/>
        </w:rPr>
        <w:t xml:space="preserve"> per </w:t>
      </w:r>
      <w:r w:rsidRPr="003C6F72" w:rsidR="00B2208C">
        <w:rPr>
          <w:rFonts w:ascii="Times New Roman" w:hAnsi="Times New Roman" w:cs="Times New Roman"/>
          <w:shd w:val="clear" w:color="auto" w:fill="FFFFFF"/>
        </w:rPr>
        <w:t>testing partner</w:t>
      </w:r>
      <w:r w:rsidRPr="003C6F72">
        <w:rPr>
          <w:rFonts w:ascii="Times New Roman" w:hAnsi="Times New Roman" w:cs="Times New Roman"/>
          <w:shd w:val="clear" w:color="auto" w:fill="FFFFFF"/>
        </w:rPr>
        <w:t xml:space="preserve">.  In arriving at these estimates, we have taken into account that such </w:t>
      </w:r>
      <w:r w:rsidRPr="003C6F72" w:rsidR="00B2208C">
        <w:rPr>
          <w:rFonts w:ascii="Times New Roman" w:hAnsi="Times New Roman" w:cs="Times New Roman"/>
          <w:shd w:val="clear" w:color="auto" w:fill="FFFFFF"/>
        </w:rPr>
        <w:t xml:space="preserve">testing will </w:t>
      </w:r>
      <w:r w:rsidRPr="003C6F72" w:rsidR="000A303F">
        <w:rPr>
          <w:rFonts w:ascii="Times New Roman" w:hAnsi="Times New Roman" w:cs="Times New Roman"/>
          <w:shd w:val="clear" w:color="auto" w:fill="FFFFFF"/>
        </w:rPr>
        <w:t>likely take</w:t>
      </w:r>
      <w:r w:rsidRPr="003C6F72" w:rsidR="00B2208C">
        <w:rPr>
          <w:rFonts w:ascii="Times New Roman" w:hAnsi="Times New Roman" w:cs="Times New Roman"/>
          <w:shd w:val="clear" w:color="auto" w:fill="FFFFFF"/>
        </w:rPr>
        <w:t xml:space="preserve"> advantage of electronic and other automated means</w:t>
      </w:r>
      <w:r w:rsidRPr="003C6F72">
        <w:rPr>
          <w:rFonts w:ascii="Times New Roman" w:hAnsi="Times New Roman" w:cs="Times New Roman"/>
          <w:shd w:val="clear" w:color="auto" w:fill="FFFFFF"/>
        </w:rPr>
        <w:t>.</w:t>
      </w:r>
      <w:r w:rsidRPr="003C6F72">
        <w:rPr>
          <w:rFonts w:ascii="Times New Roman" w:hAnsi="Times New Roman" w:cs="Times New Roman"/>
          <w:shd w:val="clear" w:color="auto" w:fill="FFFFFF"/>
        </w:rPr>
        <w:t xml:space="preserve">  The Commission estimates the </w:t>
      </w:r>
      <w:r w:rsidRPr="003C6F72">
        <w:rPr>
          <w:rFonts w:ascii="Times New Roman" w:hAnsi="Times New Roman" w:cs="Times New Roman"/>
        </w:rPr>
        <w:t xml:space="preserve">hourly wage of a </w:t>
      </w:r>
      <w:r w:rsidRPr="003C6F72" w:rsidR="00E27AC2">
        <w:rPr>
          <w:rFonts w:ascii="Times New Roman" w:hAnsi="Times New Roman" w:cs="Times New Roman"/>
        </w:rPr>
        <w:t xml:space="preserve">full-time employee who </w:t>
      </w:r>
      <w:r w:rsidRPr="003C6F72">
        <w:rPr>
          <w:rFonts w:ascii="Times New Roman" w:hAnsi="Times New Roman" w:cs="Times New Roman"/>
        </w:rPr>
        <w:t>will be responsible for these efforts as $87/hour, inclusive of benefits.  In developing this estimate, the Commission has relied on data on 2021 national wage information from the Bureau of Labor and Statistics.  The median hourly cost for software developers is $87, which is the median hourly wage of $58 increased by 50% to include benefits.</w:t>
      </w:r>
      <w:r>
        <w:rPr>
          <w:rStyle w:val="FootnoteReference"/>
          <w:rFonts w:ascii="Times New Roman" w:hAnsi="Times New Roman" w:cs="Times New Roman"/>
        </w:rPr>
        <w:footnoteReference w:id="54"/>
      </w:r>
      <w:r w:rsidRPr="003C6F72">
        <w:rPr>
          <w:rFonts w:ascii="Times New Roman" w:hAnsi="Times New Roman" w:cs="Times New Roman"/>
        </w:rPr>
        <w:t xml:space="preserve">  </w:t>
      </w:r>
    </w:p>
    <w:p w:rsidR="00316891" w:rsidRPr="003C6F72" w:rsidP="00D100D6" w14:paraId="2907D6A1" w14:textId="77777777">
      <w:pPr>
        <w:ind w:left="360"/>
        <w:rPr>
          <w:rFonts w:ascii="Times New Roman" w:hAnsi="Times New Roman" w:cs="Times New Roman"/>
          <w:shd w:val="clear" w:color="auto" w:fill="FFFFFF"/>
        </w:rPr>
      </w:pPr>
    </w:p>
    <w:p w:rsidR="0074077E" w:rsidRPr="003C6F72" w:rsidP="001C3D4E" w14:paraId="0905B93A" w14:textId="172770AE">
      <w:pPr>
        <w:pStyle w:val="ListParagraph"/>
        <w:numPr>
          <w:ilvl w:val="1"/>
          <w:numId w:val="37"/>
        </w:numPr>
        <w:tabs>
          <w:tab w:val="left" w:pos="90"/>
        </w:tabs>
        <w:rPr>
          <w:rFonts w:ascii="Times New Roman" w:eastAsia="Calibri" w:hAnsi="Times New Roman" w:cs="Times New Roman"/>
          <w:b/>
          <w:bCs/>
        </w:rPr>
      </w:pPr>
      <w:r w:rsidRPr="003C6F72">
        <w:rPr>
          <w:rFonts w:ascii="Times New Roman" w:hAnsi="Times New Roman" w:cs="Times New Roman"/>
          <w:b/>
          <w:bCs/>
          <w:color w:val="000000"/>
        </w:rPr>
        <w:t>Provision (c) of the MDRI</w:t>
      </w:r>
      <w:r w:rsidRPr="003C6F72" w:rsidR="0006786C">
        <w:rPr>
          <w:rFonts w:ascii="Times New Roman" w:hAnsi="Times New Roman" w:cs="Times New Roman"/>
          <w:b/>
          <w:bCs/>
          <w:color w:val="000000"/>
        </w:rPr>
        <w:t xml:space="preserve"> Rule</w:t>
      </w:r>
    </w:p>
    <w:p w:rsidR="008F3786" w:rsidRPr="003C6F72" w:rsidP="008F3786" w14:paraId="34F35043" w14:textId="77777777">
      <w:pPr>
        <w:pStyle w:val="ListParagraph"/>
        <w:tabs>
          <w:tab w:val="left" w:pos="90"/>
        </w:tabs>
        <w:ind w:left="1080"/>
        <w:rPr>
          <w:rFonts w:ascii="Times New Roman" w:eastAsia="Calibri" w:hAnsi="Times New Roman" w:cs="Times New Roman"/>
          <w:b/>
          <w:bCs/>
        </w:rPr>
      </w:pPr>
    </w:p>
    <w:tbl>
      <w:tblPr>
        <w:tblStyle w:val="TableGrid"/>
        <w:tblW w:w="6228" w:type="dxa"/>
        <w:tblInd w:w="1327" w:type="dxa"/>
        <w:tblLayout w:type="fixed"/>
        <w:tblLook w:val="04A0"/>
      </w:tblPr>
      <w:tblGrid>
        <w:gridCol w:w="1188"/>
        <w:gridCol w:w="5040"/>
      </w:tblGrid>
      <w:tr w14:paraId="1C28DE3A" w14:textId="77777777" w:rsidTr="00A4428D">
        <w:tblPrEx>
          <w:tblW w:w="6228" w:type="dxa"/>
          <w:tblInd w:w="1327" w:type="dxa"/>
          <w:tblLayout w:type="fixed"/>
          <w:tblLook w:val="04A0"/>
        </w:tblPrEx>
        <w:trPr>
          <w:trHeight w:val="423"/>
        </w:trPr>
        <w:tc>
          <w:tcPr>
            <w:tcW w:w="1188" w:type="dxa"/>
            <w:shd w:val="clear" w:color="auto" w:fill="D9D9D9" w:themeFill="background1" w:themeFillShade="D9"/>
          </w:tcPr>
          <w:p w:rsidR="00D64C61" w:rsidRPr="003C6F72" w:rsidP="0058139A" w14:paraId="2FFE2B27"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b/>
                <w:bCs/>
              </w:rPr>
              <w:t>Provision</w:t>
            </w:r>
          </w:p>
        </w:tc>
        <w:tc>
          <w:tcPr>
            <w:tcW w:w="5040" w:type="dxa"/>
            <w:shd w:val="clear" w:color="auto" w:fill="D9D9D9" w:themeFill="background1" w:themeFillShade="D9"/>
          </w:tcPr>
          <w:p w:rsidR="00D64C61" w:rsidRPr="003C6F72" w:rsidP="0058139A" w14:paraId="44CA338F"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b/>
                <w:bCs/>
              </w:rPr>
              <w:t>MDRI Rule</w:t>
            </w:r>
          </w:p>
        </w:tc>
      </w:tr>
      <w:tr w14:paraId="0A906697" w14:textId="77777777" w:rsidTr="00A4428D">
        <w:tblPrEx>
          <w:tblW w:w="6228" w:type="dxa"/>
          <w:tblInd w:w="1327" w:type="dxa"/>
          <w:tblLayout w:type="fixed"/>
          <w:tblLook w:val="04A0"/>
        </w:tblPrEx>
        <w:trPr>
          <w:trHeight w:val="1355"/>
        </w:trPr>
        <w:tc>
          <w:tcPr>
            <w:tcW w:w="1188" w:type="dxa"/>
          </w:tcPr>
          <w:p w:rsidR="00D64C61" w:rsidRPr="003C6F72" w:rsidP="0058139A" w14:paraId="77407682"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(c)</w:t>
            </w:r>
          </w:p>
        </w:tc>
        <w:tc>
          <w:tcPr>
            <w:tcW w:w="5040" w:type="dxa"/>
          </w:tcPr>
          <w:p w:rsidR="00D64C61" w:rsidRPr="003C6F72" w:rsidP="0058139A" w14:paraId="7F0F572D"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Providers subject to the requirements of subsection (a) are required to submit reports to the Commission detailing the timing, duration and effectiveness of their implementation of the Mandatory Disaster Response Initiative’s provisions within 60 days of when the Public Safety and Homeland Security Bureau issues a Public Notice announcing such reports must be filed for providers operating in a certain geographic area in the aftermath of a disaster</w:t>
            </w:r>
          </w:p>
        </w:tc>
      </w:tr>
    </w:tbl>
    <w:p w:rsidR="0074077E" w:rsidRPr="003C6F72" w:rsidP="0074077E" w14:paraId="5530591F" w14:textId="06B197AA">
      <w:pPr>
        <w:pStyle w:val="ListParagraph"/>
        <w:tabs>
          <w:tab w:val="left" w:pos="90"/>
        </w:tabs>
        <w:ind w:left="360"/>
        <w:rPr>
          <w:rFonts w:ascii="Times New Roman" w:eastAsia="Calibri" w:hAnsi="Times New Roman" w:cs="Times New Roman"/>
          <w:highlight w:val="yellow"/>
        </w:rPr>
      </w:pPr>
    </w:p>
    <w:p w:rsidR="000958ED" w:rsidP="000958ED" w14:paraId="69F87438" w14:textId="1AB7AD09">
      <w:pPr>
        <w:pStyle w:val="ListParagraph"/>
        <w:tabs>
          <w:tab w:val="left" w:pos="90"/>
        </w:tabs>
        <w:ind w:left="360"/>
        <w:rPr>
          <w:rFonts w:ascii="Times New Roman" w:hAnsi="Times New Roman" w:cs="Times New Roman"/>
        </w:rPr>
      </w:pPr>
      <w:r>
        <w:rPr>
          <w:rFonts w:ascii="Times New Roman" w:eastAsia="Calibri" w:hAnsi="Times New Roman" w:cs="Times New Roman"/>
        </w:rPr>
        <w:tab/>
      </w:r>
      <w:r w:rsidRPr="003C6F72">
        <w:rPr>
          <w:rFonts w:ascii="Times New Roman" w:eastAsia="Calibri" w:hAnsi="Times New Roman" w:cs="Times New Roman"/>
        </w:rPr>
        <w:t xml:space="preserve">Providers are estimated to incur a recurring burden to </w:t>
      </w:r>
      <w:r w:rsidRPr="003C6F72" w:rsidR="00A4159C">
        <w:rPr>
          <w:rFonts w:ascii="Times New Roman" w:eastAsia="Calibri" w:hAnsi="Times New Roman" w:cs="Times New Roman"/>
        </w:rPr>
        <w:t>prepare and transmit reports to the Commission</w:t>
      </w:r>
      <w:r w:rsidRPr="003C6F72">
        <w:rPr>
          <w:rFonts w:ascii="Times New Roman" w:hAnsi="Times New Roman" w:cs="Times New Roman"/>
        </w:rPr>
        <w:t xml:space="preserve"> as described in </w:t>
      </w:r>
      <w:r w:rsidRPr="003C6F72" w:rsidR="000A303F">
        <w:rPr>
          <w:rFonts w:ascii="Times New Roman" w:hAnsi="Times New Roman" w:cs="Times New Roman"/>
        </w:rPr>
        <w:t>provision (c) of the MDRI</w:t>
      </w:r>
      <w:r w:rsidRPr="003C6F72">
        <w:rPr>
          <w:rFonts w:ascii="Times New Roman" w:hAnsi="Times New Roman" w:cs="Times New Roman"/>
        </w:rPr>
        <w:t>.</w:t>
      </w:r>
    </w:p>
    <w:p w:rsidR="00AA1A4D" w:rsidRPr="003C6F72" w:rsidP="000958ED" w14:paraId="1375FC9A" w14:textId="77777777">
      <w:pPr>
        <w:pStyle w:val="ListParagraph"/>
        <w:tabs>
          <w:tab w:val="left" w:pos="90"/>
        </w:tabs>
        <w:ind w:left="360"/>
        <w:rPr>
          <w:rFonts w:ascii="Times New Roman" w:eastAsia="Calibri" w:hAnsi="Times New Roman" w:cs="Times New Roman"/>
        </w:rPr>
      </w:pPr>
    </w:p>
    <w:p w:rsidR="00AA1A4D" w:rsidRPr="00AA1A4D" w:rsidP="000958ED" w14:paraId="7BD51FF8" w14:textId="05B20D5F">
      <w:pPr>
        <w:tabs>
          <w:tab w:val="left" w:pos="360"/>
        </w:tabs>
        <w:spacing w:after="0"/>
        <w:rPr>
          <w:rFonts w:ascii="Times New Roman" w:hAnsi="Times New Roman" w:cs="Times New Roman"/>
          <w:bCs/>
          <w:kern w:val="1"/>
          <w:u w:val="single"/>
          <w:shd w:val="clear" w:color="auto" w:fill="FFFFFF"/>
        </w:rPr>
      </w:pPr>
      <w:r w:rsidRPr="003C6F72">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 xml:space="preserve">Burden Estimate for </w:t>
      </w:r>
      <w:r w:rsidRPr="003C6F72" w:rsidR="0099065A">
        <w:rPr>
          <w:rFonts w:ascii="Times New Roman" w:hAnsi="Times New Roman" w:cs="Times New Roman"/>
          <w:bCs/>
          <w:kern w:val="1"/>
          <w:u w:val="single"/>
          <w:shd w:val="clear" w:color="auto" w:fill="FFFFFF"/>
        </w:rPr>
        <w:t>Reporting</w:t>
      </w:r>
    </w:p>
    <w:p w:rsidR="000958ED" w:rsidRPr="003C6F72" w:rsidP="000958ED" w14:paraId="4BEC3ABD"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0958ED" w:rsidRPr="003C6F72" w:rsidP="000958ED" w14:paraId="40964432" w14:textId="2CEEE8F1">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Frequency of response: </w:t>
      </w:r>
      <w:r w:rsidRPr="003C6F72" w:rsidR="0005731A">
        <w:rPr>
          <w:rFonts w:ascii="Times New Roman" w:hAnsi="Times New Roman" w:cs="Times New Roman"/>
          <w:shd w:val="clear" w:color="auto" w:fill="FFFFFF"/>
        </w:rPr>
        <w:t>Four times</w:t>
      </w:r>
      <w:r w:rsidRPr="003C6F72">
        <w:rPr>
          <w:rFonts w:ascii="Times New Roman" w:hAnsi="Times New Roman" w:cs="Times New Roman"/>
          <w:shd w:val="clear" w:color="auto" w:fill="FFFFFF"/>
        </w:rPr>
        <w:t xml:space="preserve"> annually</w:t>
      </w:r>
    </w:p>
    <w:p w:rsidR="000958ED" w:rsidRPr="003C6F72" w:rsidP="000958ED" w14:paraId="5FC2FC57" w14:textId="7D2A453B">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w:t>
      </w:r>
      <w:r w:rsidRPr="003C6F72" w:rsidR="00C86D4A">
        <w:rPr>
          <w:rFonts w:ascii="Times New Roman" w:hAnsi="Times New Roman" w:cs="Times New Roman"/>
          <w:shd w:val="clear" w:color="auto" w:fill="FFFFFF"/>
        </w:rPr>
        <w:t>4</w:t>
      </w:r>
      <w:r w:rsidRPr="003C6F72">
        <w:rPr>
          <w:rFonts w:ascii="Times New Roman" w:hAnsi="Times New Roman" w:cs="Times New Roman"/>
          <w:shd w:val="clear" w:color="auto" w:fill="FFFFFF"/>
        </w:rPr>
        <w:t xml:space="preserve"> responses/respondent = </w:t>
      </w:r>
      <w:r w:rsidRPr="003C6F72" w:rsidR="00C86D4A">
        <w:rPr>
          <w:rFonts w:ascii="Times New Roman" w:hAnsi="Times New Roman" w:cs="Times New Roman"/>
          <w:shd w:val="clear" w:color="auto" w:fill="FFFFFF"/>
        </w:rPr>
        <w:t>300</w:t>
      </w:r>
      <w:r w:rsidRPr="003C6F72">
        <w:rPr>
          <w:rFonts w:ascii="Times New Roman" w:hAnsi="Times New Roman" w:cs="Times New Roman"/>
          <w:shd w:val="clear" w:color="auto" w:fill="FFFFFF"/>
        </w:rPr>
        <w:t xml:space="preserve"> total responses</w:t>
      </w:r>
    </w:p>
    <w:p w:rsidR="000958ED" w:rsidRPr="003C6F72" w:rsidP="000958ED" w14:paraId="56578F10" w14:textId="663CF5F9">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Average response time per response: </w:t>
      </w:r>
      <w:r w:rsidRPr="003C6F72" w:rsidR="00017299">
        <w:rPr>
          <w:rFonts w:ascii="Times New Roman" w:hAnsi="Times New Roman" w:cs="Times New Roman"/>
          <w:bCs/>
          <w:shd w:val="clear" w:color="auto" w:fill="FFFFFF"/>
        </w:rPr>
        <w:t>5</w:t>
      </w:r>
      <w:r w:rsidRPr="003C6F72">
        <w:rPr>
          <w:rFonts w:ascii="Times New Roman" w:hAnsi="Times New Roman" w:cs="Times New Roman"/>
          <w:bCs/>
          <w:shd w:val="clear" w:color="auto" w:fill="FFFFFF"/>
        </w:rPr>
        <w:t xml:space="preserve"> hours</w:t>
      </w:r>
    </w:p>
    <w:p w:rsidR="000958ED" w:rsidRPr="00B9611F" w:rsidP="000958ED" w14:paraId="78184382" w14:textId="38ADBBA4">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Annual Hour Burden: </w:t>
      </w:r>
      <w:r w:rsidRPr="003C6F72" w:rsidR="00C86D4A">
        <w:rPr>
          <w:rFonts w:ascii="Times New Roman" w:hAnsi="Times New Roman" w:cs="Times New Roman"/>
          <w:bCs/>
          <w:shd w:val="clear" w:color="auto" w:fill="FFFFFF"/>
        </w:rPr>
        <w:t>300</w:t>
      </w:r>
      <w:r w:rsidRPr="003C6F72">
        <w:rPr>
          <w:rFonts w:ascii="Times New Roman" w:hAnsi="Times New Roman" w:cs="Times New Roman"/>
          <w:bCs/>
          <w:shd w:val="clear" w:color="auto" w:fill="FFFFFF"/>
        </w:rPr>
        <w:t xml:space="preserve">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017299">
        <w:rPr>
          <w:rFonts w:ascii="Times New Roman" w:hAnsi="Times New Roman" w:cs="Times New Roman"/>
          <w:bCs/>
          <w:shd w:val="clear" w:color="auto" w:fill="FFFFFF"/>
        </w:rPr>
        <w:t>5</w:t>
      </w:r>
      <w:r w:rsidRPr="003C6F72">
        <w:rPr>
          <w:rFonts w:ascii="Times New Roman" w:hAnsi="Times New Roman" w:cs="Times New Roman"/>
          <w:bCs/>
          <w:shd w:val="clear" w:color="auto" w:fill="FFFFFF"/>
        </w:rPr>
        <w:t xml:space="preserve"> hours/response = </w:t>
      </w:r>
      <w:r w:rsidRPr="003C6F72" w:rsidR="00E76698">
        <w:rPr>
          <w:rFonts w:ascii="Times New Roman" w:hAnsi="Times New Roman" w:cs="Times New Roman"/>
          <w:bCs/>
          <w:shd w:val="clear" w:color="auto" w:fill="FFFFFF"/>
        </w:rPr>
        <w:t>1,500</w:t>
      </w:r>
      <w:r w:rsidRPr="003C6F72">
        <w:rPr>
          <w:rFonts w:ascii="Times New Roman" w:hAnsi="Times New Roman" w:cs="Times New Roman"/>
          <w:bCs/>
          <w:shd w:val="clear" w:color="auto" w:fill="FFFFFF"/>
        </w:rPr>
        <w:t xml:space="preserve"> hours</w:t>
      </w:r>
    </w:p>
    <w:p w:rsidR="00B9611F" w:rsidRPr="003C6F72" w:rsidP="00B9611F" w14:paraId="7C0445A3" w14:textId="77777777">
      <w:pPr>
        <w:pStyle w:val="ListParagraph"/>
        <w:ind w:left="720"/>
        <w:jc w:val="both"/>
        <w:rPr>
          <w:rFonts w:ascii="Times New Roman" w:hAnsi="Times New Roman" w:cs="Times New Roman"/>
          <w:shd w:val="clear" w:color="auto" w:fill="FFFFFF"/>
        </w:rPr>
      </w:pPr>
    </w:p>
    <w:p w:rsidR="000958ED" w:rsidRPr="003C6F72" w:rsidP="000958ED" w14:paraId="77B5AE77" w14:textId="5805502D">
      <w:pPr>
        <w:tabs>
          <w:tab w:val="left" w:pos="360"/>
        </w:tabs>
        <w:spacing w:after="0"/>
        <w:rPr>
          <w:rFonts w:ascii="Times New Roman" w:hAnsi="Times New Roman" w:cs="Times New Roman"/>
          <w:color w:val="000000"/>
          <w:u w:val="single"/>
        </w:rPr>
      </w:pPr>
      <w:r>
        <w:rPr>
          <w:rFonts w:ascii="Times New Roman" w:hAnsi="Times New Roman" w:cs="Times New Roman"/>
          <w:b/>
          <w:kern w:val="1"/>
          <w:shd w:val="clear" w:color="auto" w:fill="FFFFFF"/>
        </w:rPr>
        <w:tab/>
      </w:r>
      <w:r w:rsidRPr="003C6F72">
        <w:rPr>
          <w:rFonts w:ascii="Times New Roman" w:hAnsi="Times New Roman" w:cs="Times New Roman"/>
          <w:color w:val="000000"/>
          <w:u w:val="single"/>
        </w:rPr>
        <w:t>Estimate of cost across all respondents for provision (</w:t>
      </w:r>
      <w:r w:rsidRPr="003C6F72" w:rsidR="009D7F8A">
        <w:rPr>
          <w:rFonts w:ascii="Times New Roman" w:hAnsi="Times New Roman" w:cs="Times New Roman"/>
          <w:color w:val="000000"/>
          <w:u w:val="single"/>
        </w:rPr>
        <w:t>c</w:t>
      </w:r>
      <w:r w:rsidRPr="003C6F72">
        <w:rPr>
          <w:rFonts w:ascii="Times New Roman" w:hAnsi="Times New Roman" w:cs="Times New Roman"/>
          <w:color w:val="000000"/>
          <w:u w:val="single"/>
        </w:rPr>
        <w:t>):</w:t>
      </w:r>
    </w:p>
    <w:p w:rsidR="00743580" w:rsidRPr="00B9611F" w:rsidP="00A47041" w14:paraId="3146F54A" w14:textId="4AF06DDC">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eastAsia="Times New Roman" w:hAnsi="Times New Roman" w:cs="Times New Roman"/>
          <w:kern w:val="1"/>
          <w:shd w:val="clear" w:color="auto" w:fill="FFFFFF"/>
          <w:lang w:eastAsia="ar-SA"/>
        </w:rPr>
        <w:t xml:space="preserve">Annualized cost: </w:t>
      </w:r>
      <w:r w:rsidRPr="003C6F72" w:rsidR="00796939">
        <w:rPr>
          <w:rFonts w:ascii="Times New Roman" w:hAnsi="Times New Roman" w:cs="Times New Roman"/>
          <w:shd w:val="clear" w:color="auto" w:fill="FFFFFF"/>
        </w:rPr>
        <w:t>1,500 hours</w:t>
      </w:r>
      <w:r w:rsidRPr="003C6F72">
        <w:rPr>
          <w:rFonts w:ascii="Times New Roman" w:hAnsi="Times New Roman" w:cs="Times New Roman"/>
          <w:bCs/>
          <w:shd w:val="clear" w:color="auto" w:fill="FFFFFF"/>
        </w:rPr>
        <w:t xml:space="preserve">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081CA3">
        <w:rPr>
          <w:rFonts w:ascii="Times New Roman" w:hAnsi="Times New Roman" w:cs="Times New Roman"/>
          <w:bCs/>
          <w:shd w:val="clear" w:color="auto" w:fill="FFFFFF"/>
        </w:rPr>
        <w:t>107</w:t>
      </w:r>
      <w:r w:rsidRPr="003C6F72">
        <w:rPr>
          <w:rFonts w:ascii="Times New Roman" w:hAnsi="Times New Roman" w:cs="Times New Roman"/>
          <w:bCs/>
          <w:shd w:val="clear" w:color="auto" w:fill="FFFFFF"/>
        </w:rPr>
        <w:t>/hour = $</w:t>
      </w:r>
      <w:r w:rsidRPr="003C6F72" w:rsidR="00AC57BC">
        <w:rPr>
          <w:rFonts w:ascii="Times New Roman" w:hAnsi="Times New Roman" w:cs="Times New Roman"/>
          <w:bCs/>
          <w:shd w:val="clear" w:color="auto" w:fill="FFFFFF"/>
        </w:rPr>
        <w:t>160,500</w:t>
      </w:r>
    </w:p>
    <w:p w:rsidR="00B9611F" w:rsidP="00B9611F" w14:paraId="04B35D47" w14:textId="700E23CA">
      <w:pPr>
        <w:pStyle w:val="ListParagraph"/>
        <w:tabs>
          <w:tab w:val="left" w:pos="360"/>
        </w:tabs>
        <w:spacing w:after="0"/>
        <w:ind w:left="720"/>
        <w:rPr>
          <w:rFonts w:ascii="Times New Roman" w:hAnsi="Times New Roman" w:cs="Times New Roman"/>
          <w:bCs/>
          <w:shd w:val="clear" w:color="auto" w:fill="FFFFFF"/>
        </w:rPr>
      </w:pPr>
    </w:p>
    <w:p w:rsidR="00B9611F" w:rsidRPr="003C6F72" w:rsidP="00B9611F" w14:paraId="697FE2A8" w14:textId="77777777">
      <w:pPr>
        <w:pStyle w:val="ListParagraph"/>
        <w:tabs>
          <w:tab w:val="left" w:pos="360"/>
        </w:tabs>
        <w:spacing w:after="0"/>
        <w:ind w:left="720"/>
        <w:rPr>
          <w:rFonts w:ascii="Times New Roman" w:hAnsi="Times New Roman" w:cs="Times New Roman"/>
          <w:color w:val="000000"/>
        </w:rPr>
      </w:pPr>
    </w:p>
    <w:p w:rsidR="0074077E" w:rsidP="00A533A5" w14:paraId="090B5BE4" w14:textId="758C1824">
      <w:pPr>
        <w:ind w:left="360"/>
        <w:rPr>
          <w:rFonts w:ascii="Times New Roman" w:hAnsi="Times New Roman" w:cs="Times New Roman"/>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 xml:space="preserve">: </w:t>
      </w:r>
      <w:r w:rsidRPr="003C6F72">
        <w:rPr>
          <w:rFonts w:ascii="Times New Roman" w:hAnsi="Times New Roman" w:cs="Times New Roman"/>
          <w:shd w:val="clear" w:color="auto" w:fill="FFFFFF"/>
        </w:rPr>
        <w:br/>
        <w:t>This estimate assumes that each provider will</w:t>
      </w:r>
      <w:r w:rsidRPr="003C6F72" w:rsidR="005162E9">
        <w:rPr>
          <w:rFonts w:ascii="Times New Roman" w:hAnsi="Times New Roman" w:cs="Times New Roman"/>
          <w:shd w:val="clear" w:color="auto" w:fill="FFFFFF"/>
        </w:rPr>
        <w:t xml:space="preserve"> be required to complete </w:t>
      </w:r>
      <w:r w:rsidRPr="003C6F72" w:rsidR="0005731A">
        <w:rPr>
          <w:rFonts w:ascii="Times New Roman" w:hAnsi="Times New Roman" w:cs="Times New Roman"/>
          <w:shd w:val="clear" w:color="auto" w:fill="FFFFFF"/>
        </w:rPr>
        <w:t xml:space="preserve">four reports </w:t>
      </w:r>
      <w:r w:rsidRPr="003C6F72" w:rsidR="00D871B5">
        <w:rPr>
          <w:rFonts w:ascii="Times New Roman" w:hAnsi="Times New Roman" w:cs="Times New Roman"/>
          <w:shd w:val="clear" w:color="auto" w:fill="FFFFFF"/>
        </w:rPr>
        <w:t xml:space="preserve">annually </w:t>
      </w:r>
      <w:r w:rsidRPr="003C6F72" w:rsidR="0005731A">
        <w:rPr>
          <w:rFonts w:ascii="Times New Roman" w:hAnsi="Times New Roman" w:cs="Times New Roman"/>
          <w:shd w:val="clear" w:color="auto" w:fill="FFFFFF"/>
        </w:rPr>
        <w:t xml:space="preserve">in response to </w:t>
      </w:r>
      <w:r w:rsidRPr="003C6F72" w:rsidR="00D871B5">
        <w:rPr>
          <w:rFonts w:ascii="Times New Roman" w:hAnsi="Times New Roman" w:cs="Times New Roman"/>
          <w:shd w:val="clear" w:color="auto" w:fill="FFFFFF"/>
        </w:rPr>
        <w:t xml:space="preserve">a </w:t>
      </w:r>
      <w:r w:rsidRPr="003C6F72" w:rsidR="00D871B5">
        <w:rPr>
          <w:rFonts w:ascii="Times New Roman" w:hAnsi="Times New Roman" w:cs="Times New Roman"/>
        </w:rPr>
        <w:t>Public Safety and Homeland Security Bureau issue</w:t>
      </w:r>
      <w:r w:rsidRPr="003C6F72" w:rsidR="00B37671">
        <w:rPr>
          <w:rFonts w:ascii="Times New Roman" w:hAnsi="Times New Roman" w:cs="Times New Roman"/>
        </w:rPr>
        <w:t>d</w:t>
      </w:r>
      <w:r w:rsidRPr="003C6F72" w:rsidR="00D871B5">
        <w:rPr>
          <w:rFonts w:ascii="Times New Roman" w:hAnsi="Times New Roman" w:cs="Times New Roman"/>
        </w:rPr>
        <w:t xml:space="preserve"> Public Notice.  </w:t>
      </w:r>
      <w:r w:rsidRPr="003C6F72" w:rsidR="008A0896">
        <w:rPr>
          <w:rFonts w:ascii="Times New Roman" w:hAnsi="Times New Roman" w:cs="Times New Roman"/>
        </w:rPr>
        <w:t xml:space="preserve">The exact number of such reports is unknowable given the variation in disaster events and the possibility that the Public Safety and Homeland Security Bureau will take a case-by-case approach </w:t>
      </w:r>
      <w:r w:rsidRPr="003C6F72" w:rsidR="00E74E80">
        <w:rPr>
          <w:rFonts w:ascii="Times New Roman" w:hAnsi="Times New Roman" w:cs="Times New Roman"/>
        </w:rPr>
        <w:t xml:space="preserve">on whether to make a </w:t>
      </w:r>
      <w:r w:rsidRPr="003C6F72" w:rsidR="008A0896">
        <w:rPr>
          <w:rFonts w:ascii="Times New Roman" w:hAnsi="Times New Roman" w:cs="Times New Roman"/>
        </w:rPr>
        <w:t>request</w:t>
      </w:r>
      <w:r w:rsidRPr="003C6F72" w:rsidR="00E74E80">
        <w:rPr>
          <w:rFonts w:ascii="Times New Roman" w:hAnsi="Times New Roman" w:cs="Times New Roman"/>
        </w:rPr>
        <w:t xml:space="preserve"> for reports in response to each disaster.  The estimate above is therefore an expected upper limit on the total number of responses</w:t>
      </w:r>
      <w:r w:rsidRPr="003C6F72" w:rsidR="001662B3">
        <w:rPr>
          <w:rFonts w:ascii="Times New Roman" w:hAnsi="Times New Roman" w:cs="Times New Roman"/>
        </w:rPr>
        <w:t xml:space="preserve"> that the Commission expects to collect from each provider, on average, on an annual basis.</w:t>
      </w:r>
      <w:r w:rsidRPr="003C6F72" w:rsidR="001662B3">
        <w:rPr>
          <w:rFonts w:ascii="Times New Roman" w:hAnsi="Times New Roman" w:cs="Times New Roman"/>
          <w:shd w:val="clear" w:color="auto" w:fill="FFFFFF"/>
        </w:rPr>
        <w:t xml:space="preserve">  </w:t>
      </w:r>
      <w:r w:rsidRPr="003C6F72" w:rsidR="00E005E6">
        <w:rPr>
          <w:rFonts w:ascii="Times New Roman" w:hAnsi="Times New Roman" w:cs="Times New Roman"/>
          <w:shd w:val="clear" w:color="auto" w:fill="FFFFFF"/>
        </w:rPr>
        <w:t>In arriving at these estimates, we have taken into account that such testing will likely take advantage of electronic and other automated means.</w:t>
      </w:r>
      <w:r w:rsidRPr="003C6F72" w:rsidR="00962D90">
        <w:rPr>
          <w:rFonts w:ascii="Times New Roman" w:hAnsi="Times New Roman" w:cs="Times New Roman"/>
          <w:shd w:val="clear" w:color="auto" w:fill="FFFFFF"/>
        </w:rPr>
        <w:t xml:space="preserve">  </w:t>
      </w:r>
      <w:r w:rsidRPr="003C6F72" w:rsidR="00954B95">
        <w:rPr>
          <w:rFonts w:ascii="Times New Roman" w:hAnsi="Times New Roman" w:cs="Times New Roman"/>
          <w:shd w:val="clear" w:color="auto" w:fill="FFFFFF"/>
        </w:rPr>
        <w:t xml:space="preserve">The Commission estimates the </w:t>
      </w:r>
      <w:r w:rsidRPr="003C6F72" w:rsidR="00954B95">
        <w:rPr>
          <w:rFonts w:ascii="Times New Roman" w:hAnsi="Times New Roman" w:cs="Times New Roman"/>
        </w:rPr>
        <w:t>hourly wage of a full-time employee who will be responsible for these efforts as $107/hour, inclusive of benefits.  In developing this estimate, the Commission has relied on data on 2021 national wage information from the Bureau of Labor and Statistics.  The median hourly cost for lawyers is $107, which is the median hourly wage of $71 increased by 50% to include benefits.</w:t>
      </w:r>
      <w:r>
        <w:rPr>
          <w:rStyle w:val="FootnoteReference"/>
          <w:rFonts w:ascii="Times New Roman" w:hAnsi="Times New Roman" w:cs="Times New Roman"/>
        </w:rPr>
        <w:footnoteReference w:id="55"/>
      </w:r>
      <w:r w:rsidRPr="003C6F72" w:rsidR="00954B95">
        <w:rPr>
          <w:rFonts w:ascii="Times New Roman" w:hAnsi="Times New Roman" w:cs="Times New Roman"/>
        </w:rPr>
        <w:t xml:space="preserve"> </w:t>
      </w:r>
      <w:r w:rsidRPr="003C6F72">
        <w:rPr>
          <w:rFonts w:ascii="Times New Roman" w:hAnsi="Times New Roman" w:cs="Times New Roman"/>
        </w:rPr>
        <w:t xml:space="preserve">  </w:t>
      </w:r>
    </w:p>
    <w:p w:rsidR="00A533A5" w:rsidRPr="003C6F72" w:rsidP="00A533A5" w14:paraId="1A871D22" w14:textId="77777777">
      <w:pPr>
        <w:ind w:left="360"/>
        <w:rPr>
          <w:rFonts w:ascii="Times New Roman" w:hAnsi="Times New Roman" w:cs="Times New Roman"/>
        </w:rPr>
      </w:pPr>
    </w:p>
    <w:p w:rsidR="002A610D" w:rsidRPr="003C6F72" w:rsidP="001C3D4E" w14:paraId="02AC6AC3" w14:textId="42DCA6A0">
      <w:pPr>
        <w:pStyle w:val="ListParagraph"/>
        <w:numPr>
          <w:ilvl w:val="1"/>
          <w:numId w:val="37"/>
        </w:numPr>
        <w:tabs>
          <w:tab w:val="left" w:pos="90"/>
        </w:tabs>
        <w:rPr>
          <w:rFonts w:ascii="Times New Roman" w:eastAsia="Calibri" w:hAnsi="Times New Roman" w:cs="Times New Roman"/>
          <w:b/>
          <w:bCs/>
        </w:rPr>
      </w:pPr>
      <w:r w:rsidRPr="003C6F72">
        <w:rPr>
          <w:rFonts w:ascii="Times New Roman" w:hAnsi="Times New Roman" w:cs="Times New Roman"/>
          <w:b/>
          <w:bCs/>
          <w:color w:val="000000"/>
        </w:rPr>
        <w:t>Provision (d) of the MDRI</w:t>
      </w:r>
      <w:r w:rsidRPr="003C6F72" w:rsidR="0006786C">
        <w:rPr>
          <w:rFonts w:ascii="Times New Roman" w:hAnsi="Times New Roman" w:cs="Times New Roman"/>
          <w:b/>
          <w:bCs/>
          <w:color w:val="000000"/>
        </w:rPr>
        <w:t xml:space="preserve"> Rule</w:t>
      </w:r>
    </w:p>
    <w:p w:rsidR="009529B6" w:rsidRPr="003C6F72" w:rsidP="009529B6" w14:paraId="07FD6A53" w14:textId="77777777">
      <w:pPr>
        <w:pStyle w:val="ListParagraph"/>
        <w:tabs>
          <w:tab w:val="left" w:pos="90"/>
        </w:tabs>
        <w:ind w:left="1080"/>
        <w:rPr>
          <w:rFonts w:ascii="Times New Roman" w:eastAsia="Calibri" w:hAnsi="Times New Roman" w:cs="Times New Roman"/>
          <w:b/>
          <w:bCs/>
        </w:rPr>
      </w:pPr>
    </w:p>
    <w:tbl>
      <w:tblPr>
        <w:tblStyle w:val="TableGrid"/>
        <w:tblW w:w="6228" w:type="dxa"/>
        <w:tblInd w:w="1327" w:type="dxa"/>
        <w:tblLayout w:type="fixed"/>
        <w:tblLook w:val="04A0"/>
      </w:tblPr>
      <w:tblGrid>
        <w:gridCol w:w="1188"/>
        <w:gridCol w:w="5040"/>
      </w:tblGrid>
      <w:tr w14:paraId="3898D6BB" w14:textId="77777777" w:rsidTr="00A4428D">
        <w:tblPrEx>
          <w:tblW w:w="6228" w:type="dxa"/>
          <w:tblInd w:w="1327" w:type="dxa"/>
          <w:tblLayout w:type="fixed"/>
          <w:tblLook w:val="04A0"/>
        </w:tblPrEx>
        <w:trPr>
          <w:trHeight w:val="423"/>
        </w:trPr>
        <w:tc>
          <w:tcPr>
            <w:tcW w:w="1188" w:type="dxa"/>
            <w:shd w:val="clear" w:color="auto" w:fill="D9D9D9" w:themeFill="background1" w:themeFillShade="D9"/>
          </w:tcPr>
          <w:p w:rsidR="00D64C61" w:rsidRPr="003C6F72" w:rsidP="0058139A" w14:paraId="42FDD7F3"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b/>
                <w:bCs/>
              </w:rPr>
              <w:t>Provision</w:t>
            </w:r>
          </w:p>
        </w:tc>
        <w:tc>
          <w:tcPr>
            <w:tcW w:w="5040" w:type="dxa"/>
            <w:shd w:val="clear" w:color="auto" w:fill="D9D9D9" w:themeFill="background1" w:themeFillShade="D9"/>
          </w:tcPr>
          <w:p w:rsidR="00D64C61" w:rsidRPr="003C6F72" w:rsidP="0058139A" w14:paraId="1F526FD4"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b/>
                <w:bCs/>
              </w:rPr>
              <w:t>MDRI Rule</w:t>
            </w:r>
          </w:p>
        </w:tc>
      </w:tr>
      <w:tr w14:paraId="5D0164F5" w14:textId="77777777" w:rsidTr="00A4428D">
        <w:tblPrEx>
          <w:tblW w:w="6228" w:type="dxa"/>
          <w:tblInd w:w="1327" w:type="dxa"/>
          <w:tblLayout w:type="fixed"/>
          <w:tblLook w:val="04A0"/>
        </w:tblPrEx>
        <w:trPr>
          <w:trHeight w:val="765"/>
        </w:trPr>
        <w:tc>
          <w:tcPr>
            <w:tcW w:w="1188" w:type="dxa"/>
          </w:tcPr>
          <w:p w:rsidR="00D64C61" w:rsidRPr="003C6F72" w:rsidP="0058139A" w14:paraId="6F8702BE"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(d)</w:t>
            </w:r>
          </w:p>
        </w:tc>
        <w:tc>
          <w:tcPr>
            <w:tcW w:w="5040" w:type="dxa"/>
          </w:tcPr>
          <w:p w:rsidR="00D64C61" w:rsidRPr="003C6F72" w:rsidP="0058139A" w14:paraId="29813600" w14:textId="77777777">
            <w:pPr>
              <w:pStyle w:val="ListParagraph"/>
              <w:keepNext/>
              <w:keepLines/>
              <w:tabs>
                <w:tab w:val="left" w:pos="90"/>
              </w:tabs>
              <w:rPr>
                <w:rFonts w:ascii="Times New Roman" w:hAnsi="Times New Roman" w:cs="Times New Roman"/>
              </w:rPr>
            </w:pPr>
            <w:r w:rsidRPr="003C6F72">
              <w:rPr>
                <w:rFonts w:ascii="Times New Roman" w:hAnsi="Times New Roman" w:cs="Times New Roman"/>
              </w:rPr>
              <w:t>Providers subject to the requirements of subsection (a) are required retain RuDs for a period of at least one year after their expiration and supply copies of such agreements to the Commission promptly upon Commission request</w:t>
            </w:r>
          </w:p>
        </w:tc>
      </w:tr>
    </w:tbl>
    <w:p w:rsidR="0074077E" w:rsidRPr="003C6F72" w:rsidP="0074077E" w14:paraId="6A98BD3A" w14:textId="77777777">
      <w:pPr>
        <w:pStyle w:val="ListParagraph"/>
        <w:tabs>
          <w:tab w:val="left" w:pos="90"/>
        </w:tabs>
        <w:ind w:left="360"/>
        <w:rPr>
          <w:rFonts w:ascii="Times New Roman" w:eastAsia="Calibri" w:hAnsi="Times New Roman" w:cs="Times New Roman"/>
        </w:rPr>
      </w:pPr>
    </w:p>
    <w:p w:rsidR="00295A4F" w:rsidP="00295A4F" w14:paraId="5C790F8E" w14:textId="6A2744FC">
      <w:pPr>
        <w:pStyle w:val="ListParagraph"/>
        <w:tabs>
          <w:tab w:val="left" w:pos="90"/>
        </w:tabs>
        <w:ind w:left="360"/>
        <w:rPr>
          <w:rFonts w:ascii="Times New Roman" w:eastAsia="Calibri" w:hAnsi="Times New Roman" w:cs="Times New Roman"/>
        </w:rPr>
      </w:pPr>
      <w:r>
        <w:rPr>
          <w:rFonts w:ascii="Times New Roman" w:eastAsia="Calibri" w:hAnsi="Times New Roman" w:cs="Times New Roman"/>
        </w:rPr>
        <w:tab/>
      </w:r>
      <w:r w:rsidRPr="003C6F72">
        <w:rPr>
          <w:rFonts w:ascii="Times New Roman" w:eastAsia="Calibri" w:hAnsi="Times New Roman" w:cs="Times New Roman"/>
        </w:rPr>
        <w:t xml:space="preserve">Providers are estimated to incur a recurring burden to </w:t>
      </w:r>
      <w:r w:rsidRPr="003C6F72" w:rsidR="00F957FA">
        <w:rPr>
          <w:rFonts w:ascii="Times New Roman" w:eastAsia="Calibri" w:hAnsi="Times New Roman" w:cs="Times New Roman"/>
        </w:rPr>
        <w:t>retain RuDs</w:t>
      </w:r>
      <w:r w:rsidRPr="003C6F72" w:rsidR="000A194E">
        <w:rPr>
          <w:rFonts w:ascii="Times New Roman" w:eastAsia="Calibri" w:hAnsi="Times New Roman" w:cs="Times New Roman"/>
        </w:rPr>
        <w:t xml:space="preserve"> and supply them to the Commission upon request.</w:t>
      </w:r>
    </w:p>
    <w:p w:rsidR="00B9611F" w:rsidRPr="003C6F72" w:rsidP="00295A4F" w14:paraId="7F8E5E58" w14:textId="77777777">
      <w:pPr>
        <w:pStyle w:val="ListParagraph"/>
        <w:tabs>
          <w:tab w:val="left" w:pos="90"/>
        </w:tabs>
        <w:ind w:left="360"/>
        <w:rPr>
          <w:rFonts w:ascii="Times New Roman" w:eastAsia="Calibri" w:hAnsi="Times New Roman" w:cs="Times New Roman"/>
        </w:rPr>
      </w:pPr>
    </w:p>
    <w:p w:rsidR="00295A4F" w:rsidRPr="003C6F72" w:rsidP="00295A4F" w14:paraId="2B56A9A2" w14:textId="4D42FFAA">
      <w:pPr>
        <w:tabs>
          <w:tab w:val="left" w:pos="360"/>
        </w:tabs>
        <w:spacing w:after="0"/>
        <w:rPr>
          <w:rFonts w:ascii="Times New Roman" w:eastAsia="Times New Roman" w:hAnsi="Times New Roman" w:cs="Times New Roman"/>
          <w:b/>
          <w:kern w:val="1"/>
          <w:shd w:val="clear" w:color="auto" w:fill="FFFFFF"/>
          <w:lang w:eastAsia="ar-SA"/>
        </w:rPr>
      </w:pPr>
      <w:r w:rsidRPr="003C6F72">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 xml:space="preserve">Burden Estimate for </w:t>
      </w:r>
      <w:r w:rsidRPr="003C6F72" w:rsidR="00591D69">
        <w:rPr>
          <w:rFonts w:ascii="Times New Roman" w:hAnsi="Times New Roman" w:cs="Times New Roman"/>
          <w:bCs/>
          <w:kern w:val="1"/>
          <w:u w:val="single"/>
          <w:shd w:val="clear" w:color="auto" w:fill="FFFFFF"/>
        </w:rPr>
        <w:t>RuDs</w:t>
      </w:r>
    </w:p>
    <w:p w:rsidR="00295A4F" w:rsidRPr="003C6F72" w:rsidP="00295A4F" w14:paraId="36B666AC"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295A4F" w:rsidRPr="003C6F72" w:rsidP="00295A4F" w14:paraId="0E8D9E84" w14:textId="1BEC8C54">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Frequency of response: </w:t>
      </w:r>
      <w:r w:rsidRPr="003C6F72" w:rsidR="000A194E">
        <w:rPr>
          <w:rFonts w:ascii="Times New Roman" w:hAnsi="Times New Roman" w:cs="Times New Roman"/>
          <w:shd w:val="clear" w:color="auto" w:fill="FFFFFF"/>
        </w:rPr>
        <w:t>One time annually.</w:t>
      </w:r>
    </w:p>
    <w:p w:rsidR="00295A4F" w:rsidRPr="003C6F72" w:rsidP="00295A4F" w14:paraId="6A06F31C" w14:textId="394E23D9">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w:t>
      </w:r>
      <w:r w:rsidRPr="003C6F72" w:rsidR="000A194E">
        <w:rPr>
          <w:rFonts w:ascii="Times New Roman" w:hAnsi="Times New Roman" w:cs="Times New Roman"/>
          <w:shd w:val="clear" w:color="auto" w:fill="FFFFFF"/>
        </w:rPr>
        <w:t>1</w:t>
      </w:r>
      <w:r w:rsidRPr="003C6F72">
        <w:rPr>
          <w:rFonts w:ascii="Times New Roman" w:hAnsi="Times New Roman" w:cs="Times New Roman"/>
          <w:shd w:val="clear" w:color="auto" w:fill="FFFFFF"/>
        </w:rPr>
        <w:t xml:space="preserve"> responses/respondent = </w:t>
      </w:r>
      <w:r w:rsidRPr="003C6F72" w:rsidR="000A194E">
        <w:rPr>
          <w:rFonts w:ascii="Times New Roman" w:hAnsi="Times New Roman" w:cs="Times New Roman"/>
          <w:shd w:val="clear" w:color="auto" w:fill="FFFFFF"/>
        </w:rPr>
        <w:t>75</w:t>
      </w:r>
      <w:r w:rsidRPr="003C6F72">
        <w:rPr>
          <w:rFonts w:ascii="Times New Roman" w:hAnsi="Times New Roman" w:cs="Times New Roman"/>
          <w:shd w:val="clear" w:color="auto" w:fill="FFFFFF"/>
        </w:rPr>
        <w:t xml:space="preserve"> total responses</w:t>
      </w:r>
    </w:p>
    <w:p w:rsidR="00295A4F" w:rsidRPr="003C6F72" w:rsidP="00295A4F" w14:paraId="27A96C1D" w14:textId="0D09BAF9">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Average response time per response: 1 hour</w:t>
      </w:r>
    </w:p>
    <w:p w:rsidR="00295A4F" w:rsidRPr="00B9611F" w:rsidP="00801F46" w14:paraId="4871829A" w14:textId="4956A525">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Annual Hour Burden: </w:t>
      </w:r>
      <w:r w:rsidRPr="003C6F72" w:rsidR="00756B2E">
        <w:rPr>
          <w:rFonts w:ascii="Times New Roman" w:hAnsi="Times New Roman" w:cs="Times New Roman"/>
          <w:bCs/>
          <w:shd w:val="clear" w:color="auto" w:fill="FFFFFF"/>
        </w:rPr>
        <w:t>75</w:t>
      </w:r>
      <w:r w:rsidRPr="003C6F72">
        <w:rPr>
          <w:rFonts w:ascii="Times New Roman" w:hAnsi="Times New Roman" w:cs="Times New Roman"/>
          <w:bCs/>
          <w:shd w:val="clear" w:color="auto" w:fill="FFFFFF"/>
        </w:rPr>
        <w:t xml:space="preserve">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1 hour/response = </w:t>
      </w:r>
      <w:r w:rsidRPr="003C6F72" w:rsidR="00756B2E">
        <w:rPr>
          <w:rFonts w:ascii="Times New Roman" w:hAnsi="Times New Roman" w:cs="Times New Roman"/>
          <w:bCs/>
          <w:shd w:val="clear" w:color="auto" w:fill="FFFFFF"/>
        </w:rPr>
        <w:t>75</w:t>
      </w:r>
      <w:r w:rsidRPr="003C6F72">
        <w:rPr>
          <w:rFonts w:ascii="Times New Roman" w:hAnsi="Times New Roman" w:cs="Times New Roman"/>
          <w:bCs/>
          <w:shd w:val="clear" w:color="auto" w:fill="FFFFFF"/>
        </w:rPr>
        <w:t xml:space="preserve"> hours</w:t>
      </w:r>
    </w:p>
    <w:p w:rsidR="00B9611F" w:rsidRPr="00801F46" w:rsidP="00B9611F" w14:paraId="3C1B19C4" w14:textId="77777777">
      <w:pPr>
        <w:pStyle w:val="ListParagraph"/>
        <w:ind w:left="720"/>
        <w:jc w:val="both"/>
        <w:rPr>
          <w:rFonts w:ascii="Times New Roman" w:hAnsi="Times New Roman" w:cs="Times New Roman"/>
          <w:shd w:val="clear" w:color="auto" w:fill="FFFFFF"/>
        </w:rPr>
      </w:pPr>
    </w:p>
    <w:p w:rsidR="00295A4F" w:rsidRPr="003C6F72" w:rsidP="00295A4F" w14:paraId="45AC2696" w14:textId="399F54CF">
      <w:pPr>
        <w:tabs>
          <w:tab w:val="left" w:pos="360"/>
        </w:tabs>
        <w:spacing w:after="0"/>
        <w:rPr>
          <w:rFonts w:ascii="Times New Roman" w:hAnsi="Times New Roman" w:cs="Times New Roman"/>
          <w:color w:val="000000"/>
          <w:u w:val="single"/>
        </w:rPr>
      </w:pPr>
      <w:r w:rsidRPr="003C6F72">
        <w:rPr>
          <w:rFonts w:ascii="Times New Roman" w:hAnsi="Times New Roman" w:cs="Times New Roman"/>
          <w:b/>
          <w:bCs/>
          <w:color w:val="000000"/>
        </w:rPr>
        <w:tab/>
      </w:r>
      <w:r w:rsidRPr="003C6F72">
        <w:rPr>
          <w:rFonts w:ascii="Times New Roman" w:hAnsi="Times New Roman" w:cs="Times New Roman"/>
          <w:color w:val="000000"/>
          <w:u w:val="single"/>
        </w:rPr>
        <w:t>Estimate of cost across all respondents for provision (</w:t>
      </w:r>
      <w:r w:rsidRPr="003C6F72" w:rsidR="0005336E">
        <w:rPr>
          <w:rFonts w:ascii="Times New Roman" w:hAnsi="Times New Roman" w:cs="Times New Roman"/>
          <w:color w:val="000000"/>
          <w:u w:val="single"/>
        </w:rPr>
        <w:t>d</w:t>
      </w:r>
      <w:r w:rsidRPr="003C6F72">
        <w:rPr>
          <w:rFonts w:ascii="Times New Roman" w:hAnsi="Times New Roman" w:cs="Times New Roman"/>
          <w:color w:val="000000"/>
          <w:u w:val="single"/>
        </w:rPr>
        <w:t>):</w:t>
      </w:r>
    </w:p>
    <w:p w:rsidR="00295A4F" w:rsidRPr="00B9611F" w:rsidP="00E66696" w14:paraId="5AEF9070" w14:textId="074C8C75">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eastAsia="Times New Roman" w:hAnsi="Times New Roman" w:cs="Times New Roman"/>
          <w:kern w:val="1"/>
          <w:shd w:val="clear" w:color="auto" w:fill="FFFFFF"/>
          <w:lang w:eastAsia="ar-SA"/>
        </w:rPr>
        <w:t xml:space="preserve">Annualized cost: </w:t>
      </w:r>
      <w:r w:rsidRPr="003C6F72">
        <w:rPr>
          <w:rFonts w:ascii="Times New Roman" w:hAnsi="Times New Roman" w:cs="Times New Roman"/>
          <w:shd w:val="clear" w:color="auto" w:fill="FFFFFF"/>
        </w:rPr>
        <w:t xml:space="preserve">75 </w:t>
      </w:r>
      <w:r w:rsidRPr="003C6F72" w:rsidR="00035AC3">
        <w:rPr>
          <w:rFonts w:ascii="Times New Roman" w:hAnsi="Times New Roman" w:cs="Times New Roman"/>
          <w:shd w:val="clear" w:color="auto" w:fill="FFFFFF"/>
        </w:rPr>
        <w:t>hours</w:t>
      </w:r>
      <w:r w:rsidRPr="003C6F72">
        <w:rPr>
          <w:rFonts w:ascii="Times New Roman" w:hAnsi="Times New Roman" w:cs="Times New Roman"/>
          <w:bCs/>
          <w:shd w:val="clear" w:color="auto" w:fill="FFFFFF"/>
        </w:rPr>
        <w:t xml:space="preserve">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745431">
        <w:rPr>
          <w:rFonts w:ascii="Times New Roman" w:hAnsi="Times New Roman" w:cs="Times New Roman"/>
          <w:bCs/>
          <w:shd w:val="clear" w:color="auto" w:fill="FFFFFF"/>
        </w:rPr>
        <w:t>10</w:t>
      </w:r>
      <w:r w:rsidRPr="003C6F72">
        <w:rPr>
          <w:rFonts w:ascii="Times New Roman" w:hAnsi="Times New Roman" w:cs="Times New Roman"/>
          <w:bCs/>
          <w:shd w:val="clear" w:color="auto" w:fill="FFFFFF"/>
        </w:rPr>
        <w:t>7/hour = $</w:t>
      </w:r>
      <w:r w:rsidRPr="003C6F72" w:rsidR="00A968CA">
        <w:rPr>
          <w:rFonts w:ascii="Times New Roman" w:hAnsi="Times New Roman" w:cs="Times New Roman"/>
          <w:bCs/>
          <w:shd w:val="clear" w:color="auto" w:fill="FFFFFF"/>
        </w:rPr>
        <w:t>8,025</w:t>
      </w:r>
    </w:p>
    <w:p w:rsidR="00B9611F" w:rsidRPr="003C6F72" w:rsidP="00B9611F" w14:paraId="151B8A40" w14:textId="77777777">
      <w:pPr>
        <w:pStyle w:val="ListParagraph"/>
        <w:tabs>
          <w:tab w:val="left" w:pos="360"/>
        </w:tabs>
        <w:spacing w:after="0"/>
        <w:ind w:left="720"/>
        <w:rPr>
          <w:rFonts w:ascii="Times New Roman" w:hAnsi="Times New Roman" w:cs="Times New Roman"/>
          <w:color w:val="000000"/>
        </w:rPr>
      </w:pPr>
    </w:p>
    <w:p w:rsidR="00295A4F" w:rsidP="00FD6CFE" w14:paraId="3385075C" w14:textId="5C9388BF">
      <w:pPr>
        <w:ind w:left="360"/>
        <w:rPr>
          <w:rFonts w:ascii="Times New Roman" w:hAnsi="Times New Roman" w:cs="Times New Roman"/>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 xml:space="preserve">: </w:t>
      </w:r>
      <w:r w:rsidRPr="003C6F72">
        <w:rPr>
          <w:rFonts w:ascii="Times New Roman" w:hAnsi="Times New Roman" w:cs="Times New Roman"/>
          <w:shd w:val="clear" w:color="auto" w:fill="FFFFFF"/>
        </w:rPr>
        <w:br/>
      </w:r>
      <w:bookmarkStart w:id="6" w:name="_Hlk114738230"/>
      <w:r w:rsidRPr="003C6F72">
        <w:rPr>
          <w:rFonts w:ascii="Times New Roman" w:hAnsi="Times New Roman" w:cs="Times New Roman"/>
          <w:shd w:val="clear" w:color="auto" w:fill="FFFFFF"/>
        </w:rPr>
        <w:t xml:space="preserve">This estimate assumes that each provider will </w:t>
      </w:r>
      <w:r w:rsidRPr="003C6F72" w:rsidR="00A501AB">
        <w:rPr>
          <w:rFonts w:ascii="Times New Roman" w:hAnsi="Times New Roman" w:cs="Times New Roman"/>
          <w:shd w:val="clear" w:color="auto" w:fill="FFFFFF"/>
        </w:rPr>
        <w:t>store a copy of RuDs by paper or electronic methods and supply a copy to the Commission once annually.  While the Commission expects that providers will submit copies to the Commission less than once annually</w:t>
      </w:r>
      <w:r w:rsidRPr="003C6F72" w:rsidR="00157135">
        <w:rPr>
          <w:rFonts w:ascii="Times New Roman" w:hAnsi="Times New Roman" w:cs="Times New Roman"/>
          <w:shd w:val="clear" w:color="auto" w:fill="FFFFFF"/>
        </w:rPr>
        <w:t xml:space="preserve"> on average</w:t>
      </w:r>
      <w:r w:rsidRPr="003C6F72" w:rsidR="00A501AB">
        <w:rPr>
          <w:rFonts w:ascii="Times New Roman" w:hAnsi="Times New Roman" w:cs="Times New Roman"/>
          <w:shd w:val="clear" w:color="auto" w:fill="FFFFFF"/>
        </w:rPr>
        <w:t>, this assumption is used for simplicity and is expected to yield an upper limit on actual bu</w:t>
      </w:r>
      <w:r w:rsidRPr="003C6F72" w:rsidR="00AB4A2F">
        <w:rPr>
          <w:rFonts w:ascii="Times New Roman" w:hAnsi="Times New Roman" w:cs="Times New Roman"/>
          <w:shd w:val="clear" w:color="auto" w:fill="FFFFFF"/>
        </w:rPr>
        <w:t>r</w:t>
      </w:r>
      <w:r w:rsidRPr="003C6F72" w:rsidR="00A501AB">
        <w:rPr>
          <w:rFonts w:ascii="Times New Roman" w:hAnsi="Times New Roman" w:cs="Times New Roman"/>
          <w:shd w:val="clear" w:color="auto" w:fill="FFFFFF"/>
        </w:rPr>
        <w:t>den.</w:t>
      </w:r>
      <w:r w:rsidRPr="003C6F72" w:rsidR="00FD6CFE">
        <w:rPr>
          <w:rFonts w:ascii="Times New Roman" w:hAnsi="Times New Roman" w:cs="Times New Roman"/>
          <w:shd w:val="clear" w:color="auto" w:fill="FFFFFF"/>
        </w:rPr>
        <w:t xml:space="preserve">  </w:t>
      </w:r>
      <w:r w:rsidRPr="003C6F72" w:rsidR="00FE327F">
        <w:rPr>
          <w:rFonts w:ascii="Times New Roman" w:hAnsi="Times New Roman" w:cs="Times New Roman"/>
          <w:shd w:val="clear" w:color="auto" w:fill="FFFFFF"/>
        </w:rPr>
        <w:t xml:space="preserve">In arriving at these estimates, we have taken into account that such </w:t>
      </w:r>
      <w:r w:rsidRPr="003C6F72" w:rsidR="00EB0285">
        <w:rPr>
          <w:rFonts w:ascii="Times New Roman" w:hAnsi="Times New Roman" w:cs="Times New Roman"/>
          <w:shd w:val="clear" w:color="auto" w:fill="FFFFFF"/>
        </w:rPr>
        <w:t>retaining and supplying of RuDs</w:t>
      </w:r>
      <w:r w:rsidRPr="003C6F72" w:rsidR="00FE327F">
        <w:rPr>
          <w:rFonts w:ascii="Times New Roman" w:hAnsi="Times New Roman" w:cs="Times New Roman"/>
          <w:shd w:val="clear" w:color="auto" w:fill="FFFFFF"/>
        </w:rPr>
        <w:t xml:space="preserve"> will likely take advantage of </w:t>
      </w:r>
      <w:r w:rsidRPr="003C6F72" w:rsidR="00FE327F">
        <w:rPr>
          <w:rFonts w:ascii="Times New Roman" w:hAnsi="Times New Roman" w:cs="Times New Roman"/>
          <w:shd w:val="clear" w:color="auto" w:fill="FFFFFF"/>
        </w:rPr>
        <w:t xml:space="preserve">electronic and other automated means.  </w:t>
      </w:r>
      <w:r w:rsidRPr="003C6F72">
        <w:rPr>
          <w:rFonts w:ascii="Times New Roman" w:hAnsi="Times New Roman" w:cs="Times New Roman"/>
          <w:shd w:val="clear" w:color="auto" w:fill="FFFFFF"/>
        </w:rPr>
        <w:t xml:space="preserve">The Commission estimates the </w:t>
      </w:r>
      <w:r w:rsidRPr="003C6F72">
        <w:rPr>
          <w:rFonts w:ascii="Times New Roman" w:hAnsi="Times New Roman" w:cs="Times New Roman"/>
        </w:rPr>
        <w:t xml:space="preserve">hourly wage of a </w:t>
      </w:r>
      <w:r w:rsidRPr="003C6F72" w:rsidR="00E27AC2">
        <w:rPr>
          <w:rFonts w:ascii="Times New Roman" w:hAnsi="Times New Roman" w:cs="Times New Roman"/>
        </w:rPr>
        <w:t xml:space="preserve">full-time employee who </w:t>
      </w:r>
      <w:r w:rsidRPr="003C6F72">
        <w:rPr>
          <w:rFonts w:ascii="Times New Roman" w:hAnsi="Times New Roman" w:cs="Times New Roman"/>
        </w:rPr>
        <w:t>will be responsible for these efforts as $</w:t>
      </w:r>
      <w:r w:rsidRPr="003C6F72" w:rsidR="00A85E12">
        <w:rPr>
          <w:rFonts w:ascii="Times New Roman" w:hAnsi="Times New Roman" w:cs="Times New Roman"/>
        </w:rPr>
        <w:t>10</w:t>
      </w:r>
      <w:r w:rsidRPr="003C6F72">
        <w:rPr>
          <w:rFonts w:ascii="Times New Roman" w:hAnsi="Times New Roman" w:cs="Times New Roman"/>
        </w:rPr>
        <w:t xml:space="preserve">7/hour, inclusive of benefits.  In developing this estimate, the Commission has relied on data on 2021 national wage information from the Bureau of Labor and Statistics.  The median hourly cost for </w:t>
      </w:r>
      <w:r w:rsidRPr="003C6F72" w:rsidR="005D2EC3">
        <w:rPr>
          <w:rFonts w:ascii="Times New Roman" w:hAnsi="Times New Roman" w:cs="Times New Roman"/>
        </w:rPr>
        <w:t>lawyers</w:t>
      </w:r>
      <w:r w:rsidRPr="003C6F72">
        <w:rPr>
          <w:rFonts w:ascii="Times New Roman" w:hAnsi="Times New Roman" w:cs="Times New Roman"/>
        </w:rPr>
        <w:t xml:space="preserve"> is $</w:t>
      </w:r>
      <w:r w:rsidRPr="003C6F72" w:rsidR="00AB4A2F">
        <w:rPr>
          <w:rFonts w:ascii="Times New Roman" w:hAnsi="Times New Roman" w:cs="Times New Roman"/>
        </w:rPr>
        <w:t>10</w:t>
      </w:r>
      <w:r w:rsidRPr="003C6F72">
        <w:rPr>
          <w:rFonts w:ascii="Times New Roman" w:hAnsi="Times New Roman" w:cs="Times New Roman"/>
        </w:rPr>
        <w:t>7, which is the median hourly wage of $</w:t>
      </w:r>
      <w:r w:rsidRPr="003C6F72" w:rsidR="00AB4A2F">
        <w:rPr>
          <w:rFonts w:ascii="Times New Roman" w:hAnsi="Times New Roman" w:cs="Times New Roman"/>
        </w:rPr>
        <w:t>71</w:t>
      </w:r>
      <w:r w:rsidRPr="003C6F72">
        <w:rPr>
          <w:rFonts w:ascii="Times New Roman" w:hAnsi="Times New Roman" w:cs="Times New Roman"/>
        </w:rPr>
        <w:t xml:space="preserve"> increased by 50% to include benefits.</w:t>
      </w:r>
      <w:r>
        <w:rPr>
          <w:rStyle w:val="FootnoteReference"/>
          <w:rFonts w:ascii="Times New Roman" w:hAnsi="Times New Roman" w:cs="Times New Roman"/>
        </w:rPr>
        <w:footnoteReference w:id="56"/>
      </w:r>
      <w:r w:rsidRPr="003C6F72">
        <w:rPr>
          <w:rFonts w:ascii="Times New Roman" w:hAnsi="Times New Roman" w:cs="Times New Roman"/>
        </w:rPr>
        <w:t xml:space="preserve">  </w:t>
      </w:r>
    </w:p>
    <w:p w:rsidR="00B9611F" w:rsidRPr="003C6F72" w:rsidP="00FD6CFE" w14:paraId="22F1FCE0" w14:textId="77777777">
      <w:pPr>
        <w:ind w:left="360"/>
        <w:rPr>
          <w:rFonts w:ascii="Times New Roman" w:hAnsi="Times New Roman" w:cs="Times New Roman"/>
        </w:rPr>
      </w:pPr>
    </w:p>
    <w:p w:rsidR="008F18D2" w:rsidRPr="003C6F72" w:rsidP="001C3D4E" w14:paraId="13960614" w14:textId="7DEB5E3D">
      <w:pPr>
        <w:pStyle w:val="ListParagraph"/>
        <w:numPr>
          <w:ilvl w:val="1"/>
          <w:numId w:val="37"/>
        </w:numPr>
        <w:tabs>
          <w:tab w:val="left" w:pos="90"/>
        </w:tabs>
        <w:rPr>
          <w:rFonts w:ascii="Times New Roman" w:eastAsia="Calibri" w:hAnsi="Times New Roman" w:cs="Times New Roman"/>
          <w:b/>
          <w:bCs/>
        </w:rPr>
      </w:pPr>
      <w:bookmarkStart w:id="7" w:name="_Hlk112075832"/>
      <w:bookmarkEnd w:id="6"/>
      <w:r w:rsidRPr="003C6F72">
        <w:rPr>
          <w:rFonts w:ascii="Times New Roman" w:hAnsi="Times New Roman" w:cs="Times New Roman"/>
          <w:b/>
          <w:bCs/>
          <w:color w:val="000000"/>
        </w:rPr>
        <w:t>Written Denial of Roaming Requests</w:t>
      </w:r>
    </w:p>
    <w:p w:rsidR="00D1250B" w:rsidP="00D100D6" w14:paraId="1357F1AA" w14:textId="0748BCC7">
      <w:pPr>
        <w:ind w:left="360" w:firstLine="360"/>
        <w:rPr>
          <w:rFonts w:ascii="Times New Roman" w:hAnsi="Times New Roman" w:cs="Times New Roman"/>
        </w:rPr>
      </w:pPr>
      <w:r w:rsidRPr="003C6F72">
        <w:rPr>
          <w:rFonts w:ascii="Times New Roman" w:hAnsi="Times New Roman" w:cs="Times New Roman"/>
        </w:rPr>
        <w:t xml:space="preserve">The </w:t>
      </w:r>
      <w:r w:rsidRPr="003C6F72" w:rsidR="00D02949">
        <w:rPr>
          <w:rFonts w:ascii="Times New Roman" w:hAnsi="Times New Roman" w:cs="Times New Roman"/>
        </w:rPr>
        <w:t>MDRI specifies that when a provider receiving a roaming request denies the request, it</w:t>
      </w:r>
      <w:r w:rsidRPr="003C6F72" w:rsidR="003B6460">
        <w:rPr>
          <w:rFonts w:ascii="Times New Roman" w:hAnsi="Times New Roman" w:cs="Times New Roman"/>
        </w:rPr>
        <w:t xml:space="preserve"> must</w:t>
      </w:r>
      <w:r w:rsidRPr="003C6F72" w:rsidR="00D02949">
        <w:rPr>
          <w:rFonts w:ascii="Times New Roman" w:hAnsi="Times New Roman" w:cs="Times New Roman"/>
        </w:rPr>
        <w:t xml:space="preserve"> specify so in writing to the requesting provider, preferably with the specific reasons why roaming is infeasible.</w:t>
      </w:r>
      <w:r>
        <w:rPr>
          <w:rStyle w:val="FootnoteReference"/>
          <w:rFonts w:ascii="Times New Roman" w:hAnsi="Times New Roman" w:cs="Times New Roman"/>
        </w:rPr>
        <w:footnoteReference w:id="57"/>
      </w:r>
      <w:r w:rsidRPr="003C6F72" w:rsidR="00D02949">
        <w:rPr>
          <w:rFonts w:ascii="Times New Roman" w:hAnsi="Times New Roman" w:cs="Times New Roman"/>
        </w:rPr>
        <w:t xml:space="preserve">  </w:t>
      </w:r>
      <w:r w:rsidRPr="003C6F72">
        <w:rPr>
          <w:rFonts w:ascii="Times New Roman" w:eastAsia="Calibri" w:hAnsi="Times New Roman" w:cs="Times New Roman"/>
        </w:rPr>
        <w:t xml:space="preserve">Providers are estimated to incur a recurring burden to prepare and transmit </w:t>
      </w:r>
      <w:r w:rsidRPr="003C6F72" w:rsidR="003F53CC">
        <w:rPr>
          <w:rFonts w:ascii="Times New Roman" w:eastAsia="Calibri" w:hAnsi="Times New Roman" w:cs="Times New Roman"/>
        </w:rPr>
        <w:t>such written denial requests</w:t>
      </w:r>
      <w:r w:rsidRPr="003C6F72">
        <w:rPr>
          <w:rFonts w:ascii="Times New Roman" w:hAnsi="Times New Roman" w:cs="Times New Roman"/>
        </w:rPr>
        <w:t>.</w:t>
      </w:r>
    </w:p>
    <w:p w:rsidR="00B9611F" w:rsidRPr="003C6F72" w:rsidP="00D100D6" w14:paraId="0C7EC303" w14:textId="77777777">
      <w:pPr>
        <w:ind w:left="360" w:firstLine="360"/>
        <w:rPr>
          <w:rFonts w:ascii="Times New Roman" w:hAnsi="Times New Roman" w:cs="Times New Roman"/>
        </w:rPr>
      </w:pPr>
    </w:p>
    <w:p w:rsidR="00D1250B" w:rsidRPr="003C6F72" w:rsidP="00D1250B" w14:paraId="2FDEC061" w14:textId="6A056908">
      <w:pPr>
        <w:tabs>
          <w:tab w:val="left" w:pos="360"/>
        </w:tabs>
        <w:spacing w:after="0"/>
        <w:rPr>
          <w:rFonts w:ascii="Times New Roman" w:eastAsia="Times New Roman" w:hAnsi="Times New Roman" w:cs="Times New Roman"/>
          <w:b/>
          <w:kern w:val="1"/>
          <w:shd w:val="clear" w:color="auto" w:fill="FFFFFF"/>
          <w:lang w:eastAsia="ar-SA"/>
        </w:rPr>
      </w:pPr>
      <w:r w:rsidRPr="003C6F72">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 xml:space="preserve">Burden Estimate for </w:t>
      </w:r>
      <w:r w:rsidRPr="003C6F72" w:rsidR="002D0BD3">
        <w:rPr>
          <w:rFonts w:ascii="Times New Roman" w:hAnsi="Times New Roman" w:cs="Times New Roman"/>
          <w:bCs/>
          <w:kern w:val="1"/>
          <w:u w:val="single"/>
          <w:shd w:val="clear" w:color="auto" w:fill="FFFFFF"/>
        </w:rPr>
        <w:t>Written Denials</w:t>
      </w:r>
    </w:p>
    <w:p w:rsidR="00D1250B" w:rsidRPr="003C6F72" w:rsidP="00D1250B" w14:paraId="0F8716DE"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D1250B" w:rsidRPr="003C6F72" w:rsidP="00D1250B" w14:paraId="4C84FD04" w14:textId="50249ECE">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Frequency of response: </w:t>
      </w:r>
      <w:r w:rsidRPr="003C6F72" w:rsidR="003F53CC">
        <w:rPr>
          <w:rFonts w:ascii="Times New Roman" w:hAnsi="Times New Roman" w:cs="Times New Roman"/>
          <w:shd w:val="clear" w:color="auto" w:fill="FFFFFF"/>
        </w:rPr>
        <w:t>12</w:t>
      </w:r>
      <w:r w:rsidRPr="003C6F72">
        <w:rPr>
          <w:rFonts w:ascii="Times New Roman" w:hAnsi="Times New Roman" w:cs="Times New Roman"/>
          <w:shd w:val="clear" w:color="auto" w:fill="FFFFFF"/>
        </w:rPr>
        <w:t xml:space="preserve"> times annually</w:t>
      </w:r>
    </w:p>
    <w:p w:rsidR="00D1250B" w:rsidRPr="003C6F72" w:rsidP="00D1250B" w14:paraId="24EB6F67" w14:textId="026ACE3B">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w:t>
      </w:r>
      <w:r w:rsidRPr="003C6F72" w:rsidR="00290192">
        <w:rPr>
          <w:rFonts w:ascii="Times New Roman" w:hAnsi="Times New Roman" w:cs="Times New Roman"/>
          <w:shd w:val="clear" w:color="auto" w:fill="FFFFFF"/>
        </w:rPr>
        <w:t>12</w:t>
      </w:r>
      <w:r w:rsidRPr="003C6F72">
        <w:rPr>
          <w:rFonts w:ascii="Times New Roman" w:hAnsi="Times New Roman" w:cs="Times New Roman"/>
          <w:shd w:val="clear" w:color="auto" w:fill="FFFFFF"/>
        </w:rPr>
        <w:t xml:space="preserve"> responses/respondent = </w:t>
      </w:r>
      <w:r w:rsidRPr="003C6F72" w:rsidR="00290192">
        <w:rPr>
          <w:rFonts w:ascii="Times New Roman" w:hAnsi="Times New Roman" w:cs="Times New Roman"/>
          <w:shd w:val="clear" w:color="auto" w:fill="FFFFFF"/>
        </w:rPr>
        <w:t>9</w:t>
      </w:r>
      <w:r w:rsidRPr="003C6F72">
        <w:rPr>
          <w:rFonts w:ascii="Times New Roman" w:hAnsi="Times New Roman" w:cs="Times New Roman"/>
          <w:shd w:val="clear" w:color="auto" w:fill="FFFFFF"/>
        </w:rPr>
        <w:t>00 total responses</w:t>
      </w:r>
    </w:p>
    <w:p w:rsidR="00D1250B" w:rsidRPr="003C6F72" w:rsidP="00D1250B" w14:paraId="771D79F0" w14:textId="08852CDF">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Average response time per response: </w:t>
      </w:r>
      <w:r w:rsidRPr="003C6F72" w:rsidR="00901B58">
        <w:rPr>
          <w:rFonts w:ascii="Times New Roman" w:hAnsi="Times New Roman" w:cs="Times New Roman"/>
          <w:bCs/>
          <w:shd w:val="clear" w:color="auto" w:fill="FFFFFF"/>
        </w:rPr>
        <w:t>2</w:t>
      </w:r>
      <w:r w:rsidRPr="003C6F72" w:rsidR="005275A2">
        <w:rPr>
          <w:rFonts w:ascii="Times New Roman" w:hAnsi="Times New Roman" w:cs="Times New Roman"/>
          <w:bCs/>
          <w:shd w:val="clear" w:color="auto" w:fill="FFFFFF"/>
        </w:rPr>
        <w:t xml:space="preserve"> </w:t>
      </w:r>
      <w:r w:rsidRPr="003C6F72" w:rsidR="00901B58">
        <w:rPr>
          <w:rFonts w:ascii="Times New Roman" w:hAnsi="Times New Roman" w:cs="Times New Roman"/>
          <w:bCs/>
          <w:shd w:val="clear" w:color="auto" w:fill="FFFFFF"/>
        </w:rPr>
        <w:t>hours</w:t>
      </w:r>
    </w:p>
    <w:p w:rsidR="00D1250B" w:rsidRPr="00B9611F" w:rsidP="006A170C" w14:paraId="4DB584C5" w14:textId="402E8481">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Annual Hour Burden: </w:t>
      </w:r>
      <w:r w:rsidRPr="003C6F72" w:rsidR="00290192">
        <w:rPr>
          <w:rFonts w:ascii="Times New Roman" w:hAnsi="Times New Roman" w:cs="Times New Roman"/>
          <w:bCs/>
          <w:shd w:val="clear" w:color="auto" w:fill="FFFFFF"/>
        </w:rPr>
        <w:t>9</w:t>
      </w:r>
      <w:r w:rsidRPr="003C6F72">
        <w:rPr>
          <w:rFonts w:ascii="Times New Roman" w:hAnsi="Times New Roman" w:cs="Times New Roman"/>
          <w:bCs/>
          <w:shd w:val="clear" w:color="auto" w:fill="FFFFFF"/>
        </w:rPr>
        <w:t xml:space="preserve">00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676CA0">
        <w:rPr>
          <w:rFonts w:ascii="Times New Roman" w:hAnsi="Times New Roman" w:cs="Times New Roman"/>
          <w:bCs/>
          <w:shd w:val="clear" w:color="auto" w:fill="FFFFFF"/>
        </w:rPr>
        <w:t>2</w:t>
      </w:r>
      <w:r w:rsidRPr="003C6F72" w:rsidR="0017167A">
        <w:rPr>
          <w:rFonts w:ascii="Times New Roman" w:hAnsi="Times New Roman" w:cs="Times New Roman"/>
          <w:bCs/>
          <w:shd w:val="clear" w:color="auto" w:fill="FFFFFF"/>
        </w:rPr>
        <w:t xml:space="preserve"> </w:t>
      </w:r>
      <w:r w:rsidRPr="003C6F72" w:rsidR="00676CA0">
        <w:rPr>
          <w:rFonts w:ascii="Times New Roman" w:hAnsi="Times New Roman" w:cs="Times New Roman"/>
          <w:bCs/>
          <w:shd w:val="clear" w:color="auto" w:fill="FFFFFF"/>
        </w:rPr>
        <w:t>hours</w:t>
      </w:r>
      <w:r w:rsidRPr="003C6F72" w:rsidR="0017167A">
        <w:rPr>
          <w:rFonts w:ascii="Times New Roman" w:hAnsi="Times New Roman" w:cs="Times New Roman"/>
          <w:bCs/>
          <w:shd w:val="clear" w:color="auto" w:fill="FFFFFF"/>
        </w:rPr>
        <w:t xml:space="preserve"> </w:t>
      </w:r>
      <w:r w:rsidRPr="003C6F72">
        <w:rPr>
          <w:rFonts w:ascii="Times New Roman" w:hAnsi="Times New Roman" w:cs="Times New Roman"/>
          <w:bCs/>
          <w:shd w:val="clear" w:color="auto" w:fill="FFFFFF"/>
        </w:rPr>
        <w:t>/</w:t>
      </w:r>
      <w:r w:rsidRPr="003C6F72" w:rsidR="0017167A">
        <w:rPr>
          <w:rFonts w:ascii="Times New Roman" w:hAnsi="Times New Roman" w:cs="Times New Roman"/>
          <w:bCs/>
          <w:shd w:val="clear" w:color="auto" w:fill="FFFFFF"/>
        </w:rPr>
        <w:t xml:space="preserve"> </w:t>
      </w:r>
      <w:r w:rsidRPr="003C6F72">
        <w:rPr>
          <w:rFonts w:ascii="Times New Roman" w:hAnsi="Times New Roman" w:cs="Times New Roman"/>
          <w:bCs/>
          <w:shd w:val="clear" w:color="auto" w:fill="FFFFFF"/>
        </w:rPr>
        <w:t xml:space="preserve">response = </w:t>
      </w:r>
      <w:r w:rsidRPr="003C6F72" w:rsidR="00CA796E">
        <w:rPr>
          <w:rFonts w:ascii="Times New Roman" w:hAnsi="Times New Roman" w:cs="Times New Roman"/>
          <w:bCs/>
          <w:shd w:val="clear" w:color="auto" w:fill="FFFFFF"/>
        </w:rPr>
        <w:t>1,800</w:t>
      </w:r>
      <w:r w:rsidRPr="003C6F72">
        <w:rPr>
          <w:rFonts w:ascii="Times New Roman" w:hAnsi="Times New Roman" w:cs="Times New Roman"/>
          <w:bCs/>
          <w:shd w:val="clear" w:color="auto" w:fill="FFFFFF"/>
        </w:rPr>
        <w:t xml:space="preserve"> hours</w:t>
      </w:r>
    </w:p>
    <w:p w:rsidR="00B9611F" w:rsidRPr="006A170C" w:rsidP="00B9611F" w14:paraId="539E17D6" w14:textId="77777777">
      <w:pPr>
        <w:pStyle w:val="ListParagraph"/>
        <w:ind w:left="720"/>
        <w:jc w:val="both"/>
        <w:rPr>
          <w:rFonts w:ascii="Times New Roman" w:hAnsi="Times New Roman" w:cs="Times New Roman"/>
          <w:shd w:val="clear" w:color="auto" w:fill="FFFFFF"/>
        </w:rPr>
      </w:pPr>
    </w:p>
    <w:p w:rsidR="00D1250B" w:rsidRPr="003C6F72" w:rsidP="00D1250B" w14:paraId="47B35C06" w14:textId="3598840C">
      <w:pPr>
        <w:tabs>
          <w:tab w:val="left" w:pos="360"/>
        </w:tabs>
        <w:spacing w:after="0"/>
        <w:rPr>
          <w:rFonts w:ascii="Times New Roman" w:hAnsi="Times New Roman" w:cs="Times New Roman"/>
          <w:color w:val="000000"/>
          <w:u w:val="single"/>
        </w:rPr>
      </w:pPr>
      <w:r w:rsidRPr="003C6F72">
        <w:rPr>
          <w:rFonts w:ascii="Times New Roman" w:hAnsi="Times New Roman" w:cs="Times New Roman"/>
          <w:b/>
          <w:bCs/>
          <w:color w:val="000000"/>
        </w:rPr>
        <w:tab/>
      </w:r>
      <w:r w:rsidRPr="003C6F72">
        <w:rPr>
          <w:rFonts w:ascii="Times New Roman" w:hAnsi="Times New Roman" w:cs="Times New Roman"/>
          <w:color w:val="000000"/>
          <w:u w:val="single"/>
        </w:rPr>
        <w:t xml:space="preserve">Estimate of cost across all respondents for </w:t>
      </w:r>
      <w:r w:rsidRPr="003C6F72" w:rsidR="0046345D">
        <w:rPr>
          <w:rFonts w:ascii="Times New Roman" w:hAnsi="Times New Roman" w:cs="Times New Roman"/>
          <w:color w:val="000000"/>
          <w:u w:val="single"/>
        </w:rPr>
        <w:t>this provision</w:t>
      </w:r>
      <w:r w:rsidRPr="003C6F72">
        <w:rPr>
          <w:rFonts w:ascii="Times New Roman" w:hAnsi="Times New Roman" w:cs="Times New Roman"/>
          <w:color w:val="000000"/>
          <w:u w:val="single"/>
        </w:rPr>
        <w:t>:</w:t>
      </w:r>
    </w:p>
    <w:p w:rsidR="0047158D" w:rsidRPr="008F5EB4" w:rsidP="006A170C" w14:paraId="2AD62730" w14:textId="780A48E8">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eastAsia="Times New Roman" w:hAnsi="Times New Roman" w:cs="Times New Roman"/>
          <w:kern w:val="1"/>
          <w:shd w:val="clear" w:color="auto" w:fill="FFFFFF"/>
          <w:lang w:eastAsia="ar-SA"/>
        </w:rPr>
        <w:t xml:space="preserve">Annualized cost: </w:t>
      </w:r>
      <w:r w:rsidRPr="003C6F72" w:rsidR="009445D6">
        <w:rPr>
          <w:rFonts w:ascii="Times New Roman" w:hAnsi="Times New Roman" w:cs="Times New Roman"/>
          <w:shd w:val="clear" w:color="auto" w:fill="FFFFFF"/>
        </w:rPr>
        <w:t xml:space="preserve">1,800 hours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$87/hour = $</w:t>
      </w:r>
      <w:r w:rsidRPr="003C6F72" w:rsidR="009B71CF">
        <w:rPr>
          <w:rFonts w:ascii="Times New Roman" w:hAnsi="Times New Roman" w:cs="Times New Roman"/>
          <w:bCs/>
          <w:shd w:val="clear" w:color="auto" w:fill="FFFFFF"/>
        </w:rPr>
        <w:t>156,600</w:t>
      </w:r>
    </w:p>
    <w:p w:rsidR="008F5EB4" w:rsidRPr="006A170C" w:rsidP="008F5EB4" w14:paraId="3D9BF52D" w14:textId="77777777">
      <w:pPr>
        <w:pStyle w:val="ListParagraph"/>
        <w:tabs>
          <w:tab w:val="left" w:pos="360"/>
        </w:tabs>
        <w:spacing w:after="0"/>
        <w:ind w:left="720"/>
        <w:rPr>
          <w:rFonts w:ascii="Times New Roman" w:hAnsi="Times New Roman" w:cs="Times New Roman"/>
          <w:color w:val="000000"/>
        </w:rPr>
      </w:pPr>
    </w:p>
    <w:p w:rsidR="008F5EB4" w:rsidRPr="003C6F72" w:rsidP="008F5EB4" w14:paraId="15BA6D92" w14:textId="241C9845">
      <w:pPr>
        <w:ind w:left="360"/>
        <w:rPr>
          <w:rFonts w:ascii="Times New Roman" w:hAnsi="Times New Roman" w:cs="Times New Roman"/>
          <w:shd w:val="clear" w:color="auto" w:fill="FFFFFF"/>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 xml:space="preserve">: </w:t>
      </w:r>
    </w:p>
    <w:p w:rsidR="00D1250B" w:rsidP="006A170C" w14:paraId="6FD723F2" w14:textId="3294E224">
      <w:pPr>
        <w:ind w:left="360"/>
        <w:rPr>
          <w:rFonts w:ascii="Times New Roman" w:hAnsi="Times New Roman" w:cs="Times New Roman"/>
        </w:rPr>
      </w:pPr>
      <w:r w:rsidRPr="003C6F72">
        <w:rPr>
          <w:rFonts w:ascii="Times New Roman" w:hAnsi="Times New Roman" w:cs="Times New Roman"/>
          <w:shd w:val="clear" w:color="auto" w:fill="FFFFFF"/>
        </w:rPr>
        <w:t xml:space="preserve">This estimate assumes that each provider </w:t>
      </w:r>
      <w:r w:rsidRPr="003C6F72" w:rsidR="00891B61">
        <w:rPr>
          <w:rFonts w:ascii="Times New Roman" w:hAnsi="Times New Roman" w:cs="Times New Roman"/>
          <w:shd w:val="clear" w:color="auto" w:fill="FFFFFF"/>
        </w:rPr>
        <w:t>will deny</w:t>
      </w:r>
      <w:r w:rsidRPr="003C6F72" w:rsidR="0051608D">
        <w:rPr>
          <w:rFonts w:ascii="Times New Roman" w:hAnsi="Times New Roman" w:cs="Times New Roman"/>
          <w:shd w:val="clear" w:color="auto" w:fill="FFFFFF"/>
        </w:rPr>
        <w:t xml:space="preserve"> up to</w:t>
      </w:r>
      <w:r w:rsidRPr="003C6F72" w:rsidR="00891B61">
        <w:rPr>
          <w:rFonts w:ascii="Times New Roman" w:hAnsi="Times New Roman" w:cs="Times New Roman"/>
          <w:shd w:val="clear" w:color="auto" w:fill="FFFFFF"/>
        </w:rPr>
        <w:t xml:space="preserve"> 12 roaming requests per year</w:t>
      </w:r>
      <w:r w:rsidRPr="003C6F72">
        <w:rPr>
          <w:rFonts w:ascii="Times New Roman" w:hAnsi="Times New Roman" w:cs="Times New Roman"/>
        </w:rPr>
        <w:t xml:space="preserve">.  The exact number of such </w:t>
      </w:r>
      <w:r w:rsidRPr="003C6F72" w:rsidR="00891B61">
        <w:rPr>
          <w:rFonts w:ascii="Times New Roman" w:hAnsi="Times New Roman" w:cs="Times New Roman"/>
        </w:rPr>
        <w:t>denials</w:t>
      </w:r>
      <w:r w:rsidRPr="003C6F72">
        <w:rPr>
          <w:rFonts w:ascii="Times New Roman" w:hAnsi="Times New Roman" w:cs="Times New Roman"/>
        </w:rPr>
        <w:t xml:space="preserve"> is unknowable given the variation in disaster events</w:t>
      </w:r>
      <w:r w:rsidRPr="003C6F72" w:rsidR="0051608D">
        <w:rPr>
          <w:rFonts w:ascii="Times New Roman" w:hAnsi="Times New Roman" w:cs="Times New Roman"/>
        </w:rPr>
        <w:t xml:space="preserve"> and </w:t>
      </w:r>
      <w:r w:rsidRPr="003C6F72" w:rsidR="008A01F8">
        <w:rPr>
          <w:rFonts w:ascii="Times New Roman" w:hAnsi="Times New Roman" w:cs="Times New Roman"/>
        </w:rPr>
        <w:t>the inability to know exactly how a given</w:t>
      </w:r>
      <w:r w:rsidRPr="003C6F72" w:rsidR="0051608D">
        <w:rPr>
          <w:rFonts w:ascii="Times New Roman" w:hAnsi="Times New Roman" w:cs="Times New Roman"/>
        </w:rPr>
        <w:t xml:space="preserve"> provider’s</w:t>
      </w:r>
      <w:r w:rsidRPr="003C6F72" w:rsidR="00891B61">
        <w:rPr>
          <w:rFonts w:ascii="Times New Roman" w:hAnsi="Times New Roman" w:cs="Times New Roman"/>
        </w:rPr>
        <w:t xml:space="preserve"> network capabilities</w:t>
      </w:r>
      <w:r w:rsidRPr="003C6F72" w:rsidR="0051608D">
        <w:rPr>
          <w:rFonts w:ascii="Times New Roman" w:hAnsi="Times New Roman" w:cs="Times New Roman"/>
        </w:rPr>
        <w:t xml:space="preserve"> will be impacted by </w:t>
      </w:r>
      <w:r w:rsidRPr="003C6F72" w:rsidR="008A01F8">
        <w:rPr>
          <w:rFonts w:ascii="Times New Roman" w:hAnsi="Times New Roman" w:cs="Times New Roman"/>
        </w:rPr>
        <w:t xml:space="preserve">specific </w:t>
      </w:r>
      <w:r w:rsidRPr="003C6F72" w:rsidR="0051608D">
        <w:rPr>
          <w:rFonts w:ascii="Times New Roman" w:hAnsi="Times New Roman" w:cs="Times New Roman"/>
        </w:rPr>
        <w:t>disaster</w:t>
      </w:r>
      <w:r w:rsidRPr="003C6F72" w:rsidR="008A01F8">
        <w:rPr>
          <w:rFonts w:ascii="Times New Roman" w:hAnsi="Times New Roman" w:cs="Times New Roman"/>
        </w:rPr>
        <w:t xml:space="preserve"> events</w:t>
      </w:r>
      <w:r w:rsidRPr="003C6F72">
        <w:rPr>
          <w:rFonts w:ascii="Times New Roman" w:hAnsi="Times New Roman" w:cs="Times New Roman"/>
        </w:rPr>
        <w:t>.</w:t>
      </w:r>
      <w:r w:rsidRPr="003C6F72" w:rsidR="0051608D">
        <w:rPr>
          <w:rFonts w:ascii="Times New Roman" w:hAnsi="Times New Roman" w:cs="Times New Roman"/>
        </w:rPr>
        <w:t xml:space="preserve">  </w:t>
      </w:r>
      <w:r w:rsidRPr="003C6F72">
        <w:rPr>
          <w:rFonts w:ascii="Times New Roman" w:hAnsi="Times New Roman" w:cs="Times New Roman"/>
        </w:rPr>
        <w:t xml:space="preserve">The estimate above is an expected upper limit on the total number of </w:t>
      </w:r>
      <w:r w:rsidRPr="003C6F72" w:rsidR="00891B61">
        <w:rPr>
          <w:rFonts w:ascii="Times New Roman" w:hAnsi="Times New Roman" w:cs="Times New Roman"/>
        </w:rPr>
        <w:t>denials that the Commission expects providers will issue</w:t>
      </w:r>
      <w:r w:rsidRPr="003C6F72">
        <w:rPr>
          <w:rFonts w:ascii="Times New Roman" w:hAnsi="Times New Roman" w:cs="Times New Roman"/>
        </w:rPr>
        <w:t>, on average, on an annual basis.</w:t>
      </w:r>
      <w:r w:rsidRPr="003C6F72" w:rsidR="007A6263">
        <w:rPr>
          <w:rFonts w:ascii="Times New Roman" w:hAnsi="Times New Roman" w:cs="Times New Roman"/>
        </w:rPr>
        <w:t xml:space="preserve">  </w:t>
      </w:r>
      <w:r w:rsidRPr="003C6F72" w:rsidR="007A6263">
        <w:rPr>
          <w:rFonts w:ascii="Times New Roman" w:hAnsi="Times New Roman" w:cs="Times New Roman"/>
          <w:shd w:val="clear" w:color="auto" w:fill="FFFFFF"/>
        </w:rPr>
        <w:t xml:space="preserve">In arriving at these estimates, we have taken into account that </w:t>
      </w:r>
      <w:r w:rsidRPr="003C6F72" w:rsidR="00EB0285">
        <w:rPr>
          <w:rFonts w:ascii="Times New Roman" w:hAnsi="Times New Roman" w:cs="Times New Roman"/>
          <w:shd w:val="clear" w:color="auto" w:fill="FFFFFF"/>
        </w:rPr>
        <w:t xml:space="preserve">preparation and transmittal </w:t>
      </w:r>
      <w:r w:rsidRPr="003C6F72" w:rsidR="007A6263">
        <w:rPr>
          <w:rFonts w:ascii="Times New Roman" w:hAnsi="Times New Roman" w:cs="Times New Roman"/>
          <w:shd w:val="clear" w:color="auto" w:fill="FFFFFF"/>
        </w:rPr>
        <w:t xml:space="preserve">will likely take advantage of electronic and other automated means.  </w:t>
      </w:r>
      <w:r w:rsidRPr="003C6F72">
        <w:rPr>
          <w:rFonts w:ascii="Times New Roman" w:hAnsi="Times New Roman" w:cs="Times New Roman"/>
          <w:shd w:val="clear" w:color="auto" w:fill="FFFFFF"/>
        </w:rPr>
        <w:t xml:space="preserve">The Commission estimates the </w:t>
      </w:r>
      <w:r w:rsidRPr="003C6F72">
        <w:rPr>
          <w:rFonts w:ascii="Times New Roman" w:hAnsi="Times New Roman" w:cs="Times New Roman"/>
        </w:rPr>
        <w:t xml:space="preserve">hourly wage of a </w:t>
      </w:r>
      <w:r w:rsidRPr="003C6F72" w:rsidR="00E27AC2">
        <w:rPr>
          <w:rFonts w:ascii="Times New Roman" w:hAnsi="Times New Roman" w:cs="Times New Roman"/>
        </w:rPr>
        <w:t xml:space="preserve">full-time employee who </w:t>
      </w:r>
      <w:r w:rsidRPr="003C6F72">
        <w:rPr>
          <w:rFonts w:ascii="Times New Roman" w:hAnsi="Times New Roman" w:cs="Times New Roman"/>
        </w:rPr>
        <w:t>will be responsible for these efforts as $87/hour, inclusive of benefits.  In developing this estimate, the Commission has relied on data on 2021 national wage information from the Bureau of Labor and Statistics.  The median hourly cost for software developers is $87, which is the median hourly wage of $58 increased by 50% to include benefits.</w:t>
      </w:r>
      <w:r>
        <w:rPr>
          <w:rStyle w:val="FootnoteReference"/>
          <w:rFonts w:ascii="Times New Roman" w:hAnsi="Times New Roman" w:cs="Times New Roman"/>
        </w:rPr>
        <w:footnoteReference w:id="58"/>
      </w:r>
      <w:r w:rsidRPr="003C6F72">
        <w:rPr>
          <w:rFonts w:ascii="Times New Roman" w:hAnsi="Times New Roman" w:cs="Times New Roman"/>
        </w:rPr>
        <w:t xml:space="preserve">  </w:t>
      </w:r>
    </w:p>
    <w:p w:rsidR="006A170C" w:rsidRPr="003C6F72" w:rsidP="006A170C" w14:paraId="14B44584" w14:textId="77777777">
      <w:pPr>
        <w:ind w:left="360"/>
        <w:rPr>
          <w:rFonts w:ascii="Times New Roman" w:hAnsi="Times New Roman" w:cs="Times New Roman"/>
          <w:shd w:val="clear" w:color="auto" w:fill="FFFFFF"/>
        </w:rPr>
      </w:pPr>
    </w:p>
    <w:p w:rsidR="008F18D2" w:rsidRPr="003C6F72" w:rsidP="001C3D4E" w14:paraId="5AAECB4C" w14:textId="1F4B4FE0">
      <w:pPr>
        <w:pStyle w:val="ListParagraph"/>
        <w:numPr>
          <w:ilvl w:val="1"/>
          <w:numId w:val="37"/>
        </w:numPr>
        <w:tabs>
          <w:tab w:val="left" w:pos="90"/>
        </w:tabs>
        <w:rPr>
          <w:rFonts w:ascii="Times New Roman" w:eastAsia="Calibri" w:hAnsi="Times New Roman" w:cs="Times New Roman"/>
          <w:b/>
          <w:bCs/>
        </w:rPr>
      </w:pPr>
      <w:r w:rsidRPr="003C6F72">
        <w:rPr>
          <w:rFonts w:ascii="Times New Roman" w:hAnsi="Times New Roman" w:cs="Times New Roman"/>
          <w:b/>
          <w:bCs/>
          <w:color w:val="000000"/>
        </w:rPr>
        <w:t>Safe Harbor Letters</w:t>
      </w:r>
    </w:p>
    <w:p w:rsidR="00170980" w:rsidRPr="00B52D4A" w:rsidP="00B52D4A" w14:paraId="7C9BBB73" w14:textId="6A5381BF">
      <w:pPr>
        <w:ind w:left="360" w:firstLine="360"/>
        <w:rPr>
          <w:rFonts w:ascii="Times New Roman" w:eastAsia="Calibri" w:hAnsi="Times New Roman" w:cs="Times New Roman"/>
        </w:rPr>
      </w:pPr>
      <w:r w:rsidRPr="003C6F72">
        <w:rPr>
          <w:rFonts w:ascii="Times New Roman" w:hAnsi="Times New Roman" w:cs="Times New Roman"/>
        </w:rPr>
        <w:t xml:space="preserve">As noted above, </w:t>
      </w:r>
      <w:r w:rsidRPr="003C6F72" w:rsidR="005E6F24">
        <w:rPr>
          <w:rFonts w:ascii="Times New Roman" w:hAnsi="Times New Roman" w:cs="Times New Roman"/>
        </w:rPr>
        <w:t>p</w:t>
      </w:r>
      <w:r w:rsidRPr="003C6F72" w:rsidR="00E447AE">
        <w:rPr>
          <w:rFonts w:ascii="Times New Roman" w:hAnsi="Times New Roman" w:cs="Times New Roman"/>
        </w:rPr>
        <w:t xml:space="preserve">roviders </w:t>
      </w:r>
      <w:r w:rsidRPr="003C6F72" w:rsidR="001A7FD2">
        <w:rPr>
          <w:rFonts w:ascii="Times New Roman" w:hAnsi="Times New Roman" w:cs="Times New Roman"/>
        </w:rPr>
        <w:t xml:space="preserve">may </w:t>
      </w:r>
      <w:r w:rsidRPr="003C6F72" w:rsidR="00E447AE">
        <w:rPr>
          <w:rFonts w:ascii="Times New Roman" w:hAnsi="Times New Roman" w:cs="Times New Roman"/>
        </w:rPr>
        <w:t>obtain “safe harbor” as to certain provisions of the MDRI if they implement, or continue their implementation of, provisions of the Framework.  Namely, a provider that files a letter with the Commission truthfully and accurately asserting, pursuant to section 1.16 of the Commission’s rules,</w:t>
      </w:r>
      <w:r>
        <w:rPr>
          <w:rStyle w:val="FootnoteReference"/>
          <w:rFonts w:ascii="Times New Roman" w:hAnsi="Times New Roman" w:cs="Times New Roman"/>
        </w:rPr>
        <w:footnoteReference w:id="59"/>
      </w:r>
      <w:r w:rsidRPr="003C6F72" w:rsidR="00E447AE">
        <w:rPr>
          <w:rFonts w:ascii="Times New Roman" w:hAnsi="Times New Roman" w:cs="Times New Roman"/>
        </w:rPr>
        <w:t xml:space="preserve"> that it complies with the Framework’s existing provisions corresponding to MDRI </w:t>
      </w:r>
      <w:r w:rsidRPr="003C6F72" w:rsidR="00A11118">
        <w:rPr>
          <w:rFonts w:ascii="Times New Roman" w:hAnsi="Times New Roman" w:cs="Times New Roman"/>
        </w:rPr>
        <w:t>provision</w:t>
      </w:r>
      <w:r w:rsidRPr="003C6F72" w:rsidR="00E447AE">
        <w:rPr>
          <w:rFonts w:ascii="Times New Roman" w:hAnsi="Times New Roman" w:cs="Times New Roman"/>
        </w:rPr>
        <w:t>s (a)(2)-(a)(5</w:t>
      </w:r>
      <w:r w:rsidRPr="003C6F72">
        <w:rPr>
          <w:rFonts w:ascii="Times New Roman" w:hAnsi="Times New Roman" w:cs="Times New Roman"/>
        </w:rPr>
        <w:t xml:space="preserve">) </w:t>
      </w:r>
      <w:r w:rsidRPr="003C6F72" w:rsidR="00E447AE">
        <w:rPr>
          <w:rFonts w:ascii="Times New Roman" w:hAnsi="Times New Roman" w:cs="Times New Roman"/>
        </w:rPr>
        <w:t xml:space="preserve">and has implemented internal procedures to ensure that it remains in compliance with these provisions, is presumed </w:t>
      </w:r>
      <w:r w:rsidRPr="003C6F72">
        <w:rPr>
          <w:rFonts w:ascii="Times New Roman" w:hAnsi="Times New Roman" w:cs="Times New Roman"/>
        </w:rPr>
        <w:t xml:space="preserve">by the Commission </w:t>
      </w:r>
      <w:r w:rsidRPr="003C6F72" w:rsidR="00E447AE">
        <w:rPr>
          <w:rFonts w:ascii="Times New Roman" w:hAnsi="Times New Roman" w:cs="Times New Roman"/>
        </w:rPr>
        <w:t>to have complied with the MDRI’s provisions (a)(2)-(a)(5).</w:t>
      </w:r>
      <w:r>
        <w:rPr>
          <w:rStyle w:val="FootnoteReference"/>
          <w:rFonts w:ascii="Times New Roman" w:hAnsi="Times New Roman" w:cs="Times New Roman"/>
        </w:rPr>
        <w:footnoteReference w:id="60"/>
      </w:r>
      <w:bookmarkEnd w:id="7"/>
      <w:r w:rsidRPr="003C6F72" w:rsidR="00665291">
        <w:rPr>
          <w:rFonts w:ascii="Times New Roman" w:hAnsi="Times New Roman" w:cs="Times New Roman"/>
        </w:rPr>
        <w:t xml:space="preserve">  </w:t>
      </w:r>
      <w:r w:rsidRPr="003C6F72" w:rsidR="00A27EF9">
        <w:rPr>
          <w:rFonts w:ascii="Times New Roman" w:eastAsia="Calibri" w:hAnsi="Times New Roman" w:cs="Times New Roman"/>
        </w:rPr>
        <w:t xml:space="preserve">Providers are estimated to incur a </w:t>
      </w:r>
      <w:r w:rsidRPr="003C6F72" w:rsidR="00665291">
        <w:rPr>
          <w:rFonts w:ascii="Times New Roman" w:eastAsia="Calibri" w:hAnsi="Times New Roman" w:cs="Times New Roman"/>
        </w:rPr>
        <w:t>one</w:t>
      </w:r>
      <w:r w:rsidRPr="003C6F72" w:rsidR="00485E7B">
        <w:rPr>
          <w:rFonts w:ascii="Times New Roman" w:eastAsia="Calibri" w:hAnsi="Times New Roman" w:cs="Times New Roman"/>
        </w:rPr>
        <w:t>-</w:t>
      </w:r>
      <w:r w:rsidRPr="003C6F72" w:rsidR="00665291">
        <w:rPr>
          <w:rFonts w:ascii="Times New Roman" w:eastAsia="Calibri" w:hAnsi="Times New Roman" w:cs="Times New Roman"/>
        </w:rPr>
        <w:t xml:space="preserve">time burden </w:t>
      </w:r>
      <w:r w:rsidRPr="003C6F72" w:rsidR="00A27EF9">
        <w:rPr>
          <w:rFonts w:ascii="Times New Roman" w:eastAsia="Calibri" w:hAnsi="Times New Roman" w:cs="Times New Roman"/>
        </w:rPr>
        <w:t xml:space="preserve">to prepare and transmit such </w:t>
      </w:r>
      <w:r w:rsidRPr="003C6F72" w:rsidR="00665291">
        <w:rPr>
          <w:rFonts w:ascii="Times New Roman" w:eastAsia="Calibri" w:hAnsi="Times New Roman" w:cs="Times New Roman"/>
        </w:rPr>
        <w:t>letters to the Commission.</w:t>
      </w:r>
    </w:p>
    <w:p w:rsidR="00E12976" w:rsidP="002D0BD3" w14:paraId="467A7912" w14:textId="77777777">
      <w:pPr>
        <w:tabs>
          <w:tab w:val="left" w:pos="360"/>
        </w:tabs>
        <w:spacing w:after="0"/>
        <w:rPr>
          <w:rFonts w:ascii="Times New Roman" w:hAnsi="Times New Roman" w:cs="Times New Roman"/>
          <w:bCs/>
          <w:kern w:val="1"/>
          <w:shd w:val="clear" w:color="auto" w:fill="FFFFFF"/>
        </w:rPr>
      </w:pPr>
      <w:r w:rsidRPr="003C6F72">
        <w:rPr>
          <w:rFonts w:ascii="Times New Roman" w:hAnsi="Times New Roman" w:cs="Times New Roman"/>
          <w:bCs/>
          <w:kern w:val="1"/>
          <w:shd w:val="clear" w:color="auto" w:fill="FFFFFF"/>
        </w:rPr>
        <w:tab/>
      </w:r>
    </w:p>
    <w:p w:rsidR="002D0BD3" w:rsidRPr="003C6F72" w:rsidP="002D0BD3" w14:paraId="355B782C" w14:textId="63838725">
      <w:pPr>
        <w:tabs>
          <w:tab w:val="left" w:pos="360"/>
        </w:tabs>
        <w:spacing w:after="0"/>
        <w:rPr>
          <w:rFonts w:ascii="Times New Roman" w:hAnsi="Times New Roman" w:cs="Times New Roman"/>
          <w:bCs/>
          <w:kern w:val="1"/>
          <w:u w:val="single"/>
          <w:shd w:val="clear" w:color="auto" w:fill="FFFFFF"/>
        </w:rPr>
      </w:pPr>
      <w:r>
        <w:rPr>
          <w:rFonts w:ascii="Times New Roman" w:hAnsi="Times New Roman" w:cs="Times New Roman"/>
          <w:bCs/>
          <w:kern w:val="1"/>
          <w:shd w:val="clear" w:color="auto" w:fill="FFFFFF"/>
        </w:rPr>
        <w:tab/>
      </w:r>
      <w:r w:rsidRPr="003C6F72">
        <w:rPr>
          <w:rFonts w:ascii="Times New Roman" w:hAnsi="Times New Roman" w:cs="Times New Roman"/>
          <w:bCs/>
          <w:kern w:val="1"/>
          <w:u w:val="single"/>
          <w:shd w:val="clear" w:color="auto" w:fill="FFFFFF"/>
        </w:rPr>
        <w:t xml:space="preserve">Burden Estimate for </w:t>
      </w:r>
      <w:r w:rsidRPr="003C6F72" w:rsidR="004952E5">
        <w:rPr>
          <w:rFonts w:ascii="Times New Roman" w:hAnsi="Times New Roman" w:cs="Times New Roman"/>
          <w:bCs/>
          <w:kern w:val="1"/>
          <w:u w:val="single"/>
          <w:shd w:val="clear" w:color="auto" w:fill="FFFFFF"/>
        </w:rPr>
        <w:t>Safe Harbor Letters</w:t>
      </w:r>
    </w:p>
    <w:p w:rsidR="002D0BD3" w:rsidRPr="003C6F72" w:rsidP="002D0BD3" w14:paraId="111DF9F1" w14:textId="77777777">
      <w:pPr>
        <w:pStyle w:val="ListParagraph"/>
        <w:numPr>
          <w:ilvl w:val="0"/>
          <w:numId w:val="13"/>
        </w:numPr>
        <w:spacing w:after="0"/>
        <w:jc w:val="both"/>
        <w:rPr>
          <w:rFonts w:ascii="Times New Roman" w:hAnsi="Times New Roman" w:cs="Times New Roman"/>
          <w:shd w:val="clear" w:color="auto" w:fill="FFFFFF"/>
        </w:rPr>
      </w:pPr>
      <w:r w:rsidRPr="003C6F72">
        <w:rPr>
          <w:rFonts w:ascii="Times New Roman" w:hAnsi="Times New Roman" w:cs="Times New Roman"/>
          <w:shd w:val="clear" w:color="auto" w:fill="FFFFFF"/>
        </w:rPr>
        <w:t>Number of Respondents: 75</w:t>
      </w:r>
      <w:r w:rsidRPr="003C6F72">
        <w:rPr>
          <w:rFonts w:ascii="Times New Roman" w:hAnsi="Times New Roman" w:cs="Times New Roman"/>
          <w:shd w:val="clear" w:color="auto" w:fill="FFFFFF"/>
        </w:rPr>
        <w:tab/>
        <w:t xml:space="preserve"> </w:t>
      </w:r>
    </w:p>
    <w:p w:rsidR="002D0BD3" w:rsidRPr="003C6F72" w:rsidP="002D0BD3" w14:paraId="460A50BE" w14:textId="0921C2C1">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shd w:val="clear" w:color="auto" w:fill="FFFFFF"/>
        </w:rPr>
        <w:t>Frequency of response: One-time</w:t>
      </w:r>
      <w:r w:rsidR="001F3BF6">
        <w:rPr>
          <w:rFonts w:ascii="Times New Roman" w:hAnsi="Times New Roman" w:cs="Times New Roman"/>
          <w:shd w:val="clear" w:color="auto" w:fill="FFFFFF"/>
        </w:rPr>
        <w:t>, on occasion and annual reporting requirements.</w:t>
      </w:r>
    </w:p>
    <w:p w:rsidR="002D0BD3" w:rsidRPr="003C6F72" w:rsidP="002D0BD3" w14:paraId="14C859B9" w14:textId="77777777">
      <w:pPr>
        <w:pStyle w:val="ListParagraph"/>
        <w:numPr>
          <w:ilvl w:val="0"/>
          <w:numId w:val="13"/>
        </w:numPr>
        <w:rPr>
          <w:rFonts w:ascii="Times New Roman" w:hAnsi="Times New Roman" w:cs="Times New Roman"/>
          <w:shd w:val="clear" w:color="auto" w:fill="FFFFFF"/>
        </w:rPr>
      </w:pPr>
      <w:r w:rsidRPr="003C6F72">
        <w:rPr>
          <w:rFonts w:ascii="Times New Roman" w:hAnsi="Times New Roman" w:cs="Times New Roman"/>
          <w:shd w:val="clear" w:color="auto" w:fill="FFFFFF"/>
        </w:rPr>
        <w:t xml:space="preserve">Total Number of Responses: 75 respondents </w:t>
      </w:r>
      <w:r w:rsidRPr="003C6F72">
        <w:rPr>
          <w:rFonts w:ascii="Times New Roman" w:hAnsi="Times New Roman" w:cs="Times New Roman"/>
          <w:bCs/>
        </w:rPr>
        <w:t>×</w:t>
      </w:r>
      <w:r w:rsidRPr="003C6F72">
        <w:rPr>
          <w:rFonts w:ascii="Times New Roman" w:hAnsi="Times New Roman" w:cs="Times New Roman"/>
          <w:shd w:val="clear" w:color="auto" w:fill="FFFFFF"/>
        </w:rPr>
        <w:t xml:space="preserve"> 1 response/respondent = 75 total responses</w:t>
      </w:r>
    </w:p>
    <w:p w:rsidR="002D0BD3" w:rsidRPr="003C6F72" w:rsidP="002D0BD3" w14:paraId="6526D9BC" w14:textId="7F0C11D6">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 xml:space="preserve">Average response time per response: </w:t>
      </w:r>
      <w:r w:rsidRPr="003C6F72" w:rsidR="004952E5">
        <w:rPr>
          <w:rFonts w:ascii="Times New Roman" w:hAnsi="Times New Roman" w:cs="Times New Roman"/>
          <w:bCs/>
          <w:shd w:val="clear" w:color="auto" w:fill="FFFFFF"/>
        </w:rPr>
        <w:t>3</w:t>
      </w:r>
      <w:r w:rsidRPr="003C6F72">
        <w:rPr>
          <w:rFonts w:ascii="Times New Roman" w:hAnsi="Times New Roman" w:cs="Times New Roman"/>
          <w:bCs/>
          <w:shd w:val="clear" w:color="auto" w:fill="FFFFFF"/>
        </w:rPr>
        <w:t xml:space="preserve"> hours</w:t>
      </w:r>
    </w:p>
    <w:p w:rsidR="002D0BD3" w:rsidRPr="008F5EB4" w:rsidP="0046345D" w14:paraId="111C992F" w14:textId="231993CB">
      <w:pPr>
        <w:pStyle w:val="ListParagraph"/>
        <w:numPr>
          <w:ilvl w:val="0"/>
          <w:numId w:val="13"/>
        </w:numPr>
        <w:jc w:val="both"/>
        <w:rPr>
          <w:rFonts w:ascii="Times New Roman" w:hAnsi="Times New Roman" w:cs="Times New Roman"/>
          <w:shd w:val="clear" w:color="auto" w:fill="FFFFFF"/>
        </w:rPr>
      </w:pPr>
      <w:r w:rsidRPr="003C6F72">
        <w:rPr>
          <w:rFonts w:ascii="Times New Roman" w:hAnsi="Times New Roman" w:cs="Times New Roman"/>
          <w:bCs/>
          <w:shd w:val="clear" w:color="auto" w:fill="FFFFFF"/>
        </w:rPr>
        <w:t>One-Time</w:t>
      </w:r>
      <w:r w:rsidRPr="003C6F72">
        <w:rPr>
          <w:rFonts w:ascii="Times New Roman" w:hAnsi="Times New Roman" w:cs="Times New Roman"/>
          <w:bCs/>
          <w:shd w:val="clear" w:color="auto" w:fill="FFFFFF"/>
        </w:rPr>
        <w:t xml:space="preserve"> Hour Burden: 75 responses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4952E5">
        <w:rPr>
          <w:rFonts w:ascii="Times New Roman" w:hAnsi="Times New Roman" w:cs="Times New Roman"/>
          <w:bCs/>
          <w:shd w:val="clear" w:color="auto" w:fill="FFFFFF"/>
        </w:rPr>
        <w:t>3</w:t>
      </w:r>
      <w:r w:rsidRPr="003C6F72">
        <w:rPr>
          <w:rFonts w:ascii="Times New Roman" w:hAnsi="Times New Roman" w:cs="Times New Roman"/>
          <w:bCs/>
          <w:shd w:val="clear" w:color="auto" w:fill="FFFFFF"/>
        </w:rPr>
        <w:t xml:space="preserve"> hours/response = </w:t>
      </w:r>
      <w:r w:rsidRPr="003C6F72" w:rsidR="004952E5">
        <w:rPr>
          <w:rFonts w:ascii="Times New Roman" w:hAnsi="Times New Roman" w:cs="Times New Roman"/>
          <w:bCs/>
          <w:shd w:val="clear" w:color="auto" w:fill="FFFFFF"/>
        </w:rPr>
        <w:t>225</w:t>
      </w:r>
      <w:r w:rsidRPr="003C6F72">
        <w:rPr>
          <w:rFonts w:ascii="Times New Roman" w:hAnsi="Times New Roman" w:cs="Times New Roman"/>
          <w:bCs/>
          <w:shd w:val="clear" w:color="auto" w:fill="FFFFFF"/>
        </w:rPr>
        <w:t xml:space="preserve"> hours</w:t>
      </w:r>
    </w:p>
    <w:p w:rsidR="008F5EB4" w:rsidRPr="003C6F72" w:rsidP="008F5EB4" w14:paraId="2747A16C" w14:textId="77777777">
      <w:pPr>
        <w:pStyle w:val="ListParagraph"/>
        <w:ind w:left="720"/>
        <w:jc w:val="both"/>
        <w:rPr>
          <w:rFonts w:ascii="Times New Roman" w:hAnsi="Times New Roman" w:cs="Times New Roman"/>
          <w:shd w:val="clear" w:color="auto" w:fill="FFFFFF"/>
        </w:rPr>
      </w:pPr>
    </w:p>
    <w:p w:rsidR="002D0BD3" w:rsidRPr="003C6F72" w:rsidP="002D0BD3" w14:paraId="51F2DD7A" w14:textId="377298AA">
      <w:pPr>
        <w:tabs>
          <w:tab w:val="left" w:pos="360"/>
        </w:tabs>
        <w:spacing w:after="0"/>
        <w:rPr>
          <w:rFonts w:ascii="Times New Roman" w:hAnsi="Times New Roman" w:cs="Times New Roman"/>
          <w:color w:val="000000"/>
          <w:u w:val="single"/>
        </w:rPr>
      </w:pPr>
      <w:r w:rsidRPr="003C6F72">
        <w:rPr>
          <w:rFonts w:ascii="Times New Roman" w:hAnsi="Times New Roman" w:cs="Times New Roman"/>
          <w:b/>
          <w:bCs/>
          <w:color w:val="000000"/>
        </w:rPr>
        <w:tab/>
      </w:r>
      <w:r w:rsidRPr="003C6F72">
        <w:rPr>
          <w:rFonts w:ascii="Times New Roman" w:hAnsi="Times New Roman" w:cs="Times New Roman"/>
          <w:color w:val="000000"/>
          <w:u w:val="single"/>
        </w:rPr>
        <w:t xml:space="preserve">Estimate of cost across all respondents for </w:t>
      </w:r>
      <w:r w:rsidRPr="003C6F72" w:rsidR="0046345D">
        <w:rPr>
          <w:rFonts w:ascii="Times New Roman" w:hAnsi="Times New Roman" w:cs="Times New Roman"/>
          <w:color w:val="000000"/>
          <w:u w:val="single"/>
        </w:rPr>
        <w:t>this provision:</w:t>
      </w:r>
    </w:p>
    <w:p w:rsidR="00485E7B" w:rsidRPr="008F5EB4" w:rsidP="00E12976" w14:paraId="12610DA8" w14:textId="02087B70">
      <w:pPr>
        <w:pStyle w:val="ListParagraph"/>
        <w:numPr>
          <w:ilvl w:val="0"/>
          <w:numId w:val="26"/>
        </w:numPr>
        <w:tabs>
          <w:tab w:val="left" w:pos="360"/>
        </w:tabs>
        <w:spacing w:after="0"/>
        <w:rPr>
          <w:rFonts w:ascii="Times New Roman" w:hAnsi="Times New Roman" w:cs="Times New Roman"/>
          <w:color w:val="000000"/>
        </w:rPr>
      </w:pPr>
      <w:r w:rsidRPr="003C6F72">
        <w:rPr>
          <w:rFonts w:ascii="Times New Roman" w:hAnsi="Times New Roman" w:cs="Times New Roman"/>
          <w:color w:val="000000"/>
        </w:rPr>
        <w:t xml:space="preserve">One time cost: </w:t>
      </w:r>
      <w:r w:rsidRPr="003C6F72" w:rsidR="009445D6">
        <w:rPr>
          <w:rFonts w:ascii="Times New Roman" w:hAnsi="Times New Roman" w:cs="Times New Roman"/>
          <w:shd w:val="clear" w:color="auto" w:fill="FFFFFF"/>
        </w:rPr>
        <w:t>225 hours</w:t>
      </w:r>
      <w:r w:rsidRPr="003C6F72">
        <w:rPr>
          <w:rFonts w:ascii="Times New Roman" w:hAnsi="Times New Roman" w:cs="Times New Roman"/>
          <w:bCs/>
          <w:shd w:val="clear" w:color="auto" w:fill="FFFFFF"/>
        </w:rPr>
        <w:t xml:space="preserve"> </w:t>
      </w:r>
      <w:r w:rsidRPr="003C6F72">
        <w:rPr>
          <w:rFonts w:ascii="Times New Roman" w:hAnsi="Times New Roman" w:cs="Times New Roman"/>
          <w:bCs/>
        </w:rPr>
        <w:t>×</w:t>
      </w:r>
      <w:r w:rsidRPr="003C6F72">
        <w:rPr>
          <w:rFonts w:ascii="Times New Roman" w:hAnsi="Times New Roman" w:cs="Times New Roman"/>
          <w:bCs/>
          <w:shd w:val="clear" w:color="auto" w:fill="FFFFFF"/>
        </w:rPr>
        <w:t xml:space="preserve"> $</w:t>
      </w:r>
      <w:r w:rsidRPr="003C6F72" w:rsidR="00086FE4">
        <w:rPr>
          <w:rFonts w:ascii="Times New Roman" w:hAnsi="Times New Roman" w:cs="Times New Roman"/>
          <w:bCs/>
          <w:shd w:val="clear" w:color="auto" w:fill="FFFFFF"/>
        </w:rPr>
        <w:t>107</w:t>
      </w:r>
      <w:r w:rsidRPr="003C6F72">
        <w:rPr>
          <w:rFonts w:ascii="Times New Roman" w:hAnsi="Times New Roman" w:cs="Times New Roman"/>
          <w:bCs/>
          <w:shd w:val="clear" w:color="auto" w:fill="FFFFFF"/>
        </w:rPr>
        <w:t>/hour = $</w:t>
      </w:r>
      <w:r w:rsidRPr="003C6F72" w:rsidR="00DE720D">
        <w:rPr>
          <w:rFonts w:ascii="Times New Roman" w:hAnsi="Times New Roman" w:cs="Times New Roman"/>
          <w:bCs/>
          <w:shd w:val="clear" w:color="auto" w:fill="FFFFFF"/>
        </w:rPr>
        <w:t>24,075.</w:t>
      </w:r>
    </w:p>
    <w:p w:rsidR="008F5EB4" w:rsidRPr="00E12976" w:rsidP="008F5EB4" w14:paraId="1A742AF1" w14:textId="77777777">
      <w:pPr>
        <w:pStyle w:val="ListParagraph"/>
        <w:tabs>
          <w:tab w:val="left" w:pos="360"/>
        </w:tabs>
        <w:spacing w:after="0"/>
        <w:ind w:left="720"/>
        <w:rPr>
          <w:rFonts w:ascii="Times New Roman" w:hAnsi="Times New Roman" w:cs="Times New Roman"/>
          <w:color w:val="000000"/>
        </w:rPr>
      </w:pPr>
    </w:p>
    <w:p w:rsidR="0058245C" w:rsidP="001C6D78" w14:paraId="64C098E3" w14:textId="45326489">
      <w:pPr>
        <w:ind w:left="360"/>
        <w:rPr>
          <w:rFonts w:ascii="Times New Roman" w:hAnsi="Times New Roman" w:cs="Times New Roman"/>
        </w:rPr>
      </w:pPr>
      <w:r w:rsidRPr="003C6F72">
        <w:rPr>
          <w:rFonts w:ascii="Times New Roman" w:hAnsi="Times New Roman" w:cs="Times New Roman"/>
          <w:u w:val="single"/>
          <w:shd w:val="clear" w:color="auto" w:fill="FFFFFF"/>
        </w:rPr>
        <w:t>Method of estimation</w:t>
      </w:r>
      <w:r w:rsidRPr="003C6F72">
        <w:rPr>
          <w:rFonts w:ascii="Times New Roman" w:hAnsi="Times New Roman" w:cs="Times New Roman"/>
          <w:shd w:val="clear" w:color="auto" w:fill="FFFFFF"/>
        </w:rPr>
        <w:t xml:space="preserve">: </w:t>
      </w:r>
      <w:r w:rsidRPr="003C6F72">
        <w:rPr>
          <w:rFonts w:ascii="Times New Roman" w:hAnsi="Times New Roman" w:cs="Times New Roman"/>
          <w:shd w:val="clear" w:color="auto" w:fill="FFFFFF"/>
        </w:rPr>
        <w:br/>
        <w:t xml:space="preserve">This estimate assumes that </w:t>
      </w:r>
      <w:r w:rsidRPr="003C6F72" w:rsidR="00BF0BD4">
        <w:rPr>
          <w:rFonts w:ascii="Times New Roman" w:hAnsi="Times New Roman" w:cs="Times New Roman"/>
          <w:shd w:val="clear" w:color="auto" w:fill="FFFFFF"/>
        </w:rPr>
        <w:t>75 providers</w:t>
      </w:r>
      <w:r w:rsidRPr="003C6F72">
        <w:rPr>
          <w:rFonts w:ascii="Times New Roman" w:hAnsi="Times New Roman" w:cs="Times New Roman"/>
          <w:shd w:val="clear" w:color="auto" w:fill="FFFFFF"/>
        </w:rPr>
        <w:t xml:space="preserve"> will </w:t>
      </w:r>
      <w:r w:rsidRPr="003C6F72" w:rsidR="00097B78">
        <w:rPr>
          <w:rFonts w:ascii="Times New Roman" w:hAnsi="Times New Roman" w:cs="Times New Roman"/>
          <w:shd w:val="clear" w:color="auto" w:fill="FFFFFF"/>
        </w:rPr>
        <w:t>apply for safe harbor, and hence file a letter.  This is an</w:t>
      </w:r>
      <w:r w:rsidRPr="003C6F72" w:rsidR="00BF0BD4">
        <w:rPr>
          <w:rFonts w:ascii="Times New Roman" w:hAnsi="Times New Roman" w:cs="Times New Roman"/>
          <w:shd w:val="clear" w:color="auto" w:fill="FFFFFF"/>
        </w:rPr>
        <w:t xml:space="preserve"> expected</w:t>
      </w:r>
      <w:r w:rsidRPr="003C6F72" w:rsidR="00097B78">
        <w:rPr>
          <w:rFonts w:ascii="Times New Roman" w:hAnsi="Times New Roman" w:cs="Times New Roman"/>
          <w:shd w:val="clear" w:color="auto" w:fill="FFFFFF"/>
        </w:rPr>
        <w:t xml:space="preserve"> upper estimate on the number of providers that will seek safe harbor and thus an upper estimate on total burden.  </w:t>
      </w:r>
      <w:r w:rsidRPr="003C6F72" w:rsidR="008164F9">
        <w:rPr>
          <w:rFonts w:ascii="Times New Roman" w:hAnsi="Times New Roman" w:cs="Times New Roman"/>
          <w:shd w:val="clear" w:color="auto" w:fill="FFFFFF"/>
        </w:rPr>
        <w:t xml:space="preserve">In arriving at these estimates, we have taken into account that preparing and transmitting letters will likely take advantage of electronic and other automated means.  </w:t>
      </w:r>
      <w:r w:rsidRPr="003C6F72">
        <w:rPr>
          <w:rFonts w:ascii="Times New Roman" w:hAnsi="Times New Roman" w:cs="Times New Roman"/>
          <w:shd w:val="clear" w:color="auto" w:fill="FFFFFF"/>
        </w:rPr>
        <w:t xml:space="preserve">The Commission estimates the </w:t>
      </w:r>
      <w:r w:rsidRPr="003C6F72">
        <w:rPr>
          <w:rFonts w:ascii="Times New Roman" w:hAnsi="Times New Roman" w:cs="Times New Roman"/>
        </w:rPr>
        <w:t xml:space="preserve">hourly wage of a full-time </w:t>
      </w:r>
      <w:r w:rsidRPr="003C6F72" w:rsidR="00086FE4">
        <w:rPr>
          <w:rFonts w:ascii="Times New Roman" w:hAnsi="Times New Roman" w:cs="Times New Roman"/>
        </w:rPr>
        <w:t xml:space="preserve">employee </w:t>
      </w:r>
      <w:r w:rsidRPr="003C6F72">
        <w:rPr>
          <w:rFonts w:ascii="Times New Roman" w:hAnsi="Times New Roman" w:cs="Times New Roman"/>
        </w:rPr>
        <w:t>who will be responsible for these efforts as $107/hour, inclusive of benefits.  In developing this estimate, the Commission has relied on data on 2021 national wage information from the Bureau of Labor and Statistics.  The median hourly cost for lawyers is $107, which is the median hourly wage of $71 increased by 50% to include benefits.</w:t>
      </w:r>
      <w:r>
        <w:rPr>
          <w:rStyle w:val="FootnoteReference"/>
          <w:rFonts w:ascii="Times New Roman" w:hAnsi="Times New Roman" w:cs="Times New Roman"/>
        </w:rPr>
        <w:footnoteReference w:id="61"/>
      </w:r>
      <w:r w:rsidRPr="003C6F72">
        <w:rPr>
          <w:rFonts w:ascii="Times New Roman" w:hAnsi="Times New Roman" w:cs="Times New Roman"/>
        </w:rPr>
        <w:t xml:space="preserve">  </w:t>
      </w:r>
    </w:p>
    <w:p w:rsidR="00E12976" w:rsidRPr="001C6D78" w:rsidP="001C6D78" w14:paraId="3947A700" w14:textId="77777777">
      <w:pPr>
        <w:ind w:left="360"/>
        <w:rPr>
          <w:rFonts w:ascii="Times New Roman" w:hAnsi="Times New Roman" w:cs="Times New Roman"/>
          <w:shd w:val="clear" w:color="auto" w:fill="FFFFFF"/>
        </w:rPr>
      </w:pPr>
    </w:p>
    <w:p w:rsidR="00566992" w:rsidRPr="003C6F72" w:rsidP="005E48C0" w14:paraId="465E93BA" w14:textId="04495BAF">
      <w:pPr>
        <w:suppressAutoHyphens/>
        <w:spacing w:after="0"/>
        <w:ind w:firstLine="360"/>
        <w:jc w:val="both"/>
        <w:rPr>
          <w:rFonts w:ascii="Times New Roman" w:eastAsia="Times New Roman" w:hAnsi="Times New Roman" w:cs="Times New Roman"/>
          <w:b/>
          <w:kern w:val="1"/>
          <w:u w:val="single"/>
          <w:shd w:val="clear" w:color="auto" w:fill="FFFFFF"/>
          <w:lang w:eastAsia="ar-SA"/>
        </w:rPr>
      </w:pPr>
      <w:bookmarkStart w:id="8" w:name="_Hlk121216236"/>
      <w:r w:rsidRPr="003C6F72">
        <w:rPr>
          <w:rFonts w:ascii="Times New Roman" w:hAnsi="Times New Roman" w:cs="Times New Roman"/>
          <w:b/>
          <w:iCs/>
          <w:u w:val="single"/>
        </w:rPr>
        <w:t xml:space="preserve">Cumulative </w:t>
      </w:r>
      <w:r w:rsidRPr="003C6F72" w:rsidR="00FC7059">
        <w:rPr>
          <w:rFonts w:ascii="Times New Roman" w:hAnsi="Times New Roman" w:cs="Times New Roman"/>
          <w:b/>
          <w:iCs/>
          <w:u w:val="single"/>
        </w:rPr>
        <w:t xml:space="preserve">Estimated </w:t>
      </w:r>
      <w:r w:rsidR="006A366E">
        <w:rPr>
          <w:rFonts w:ascii="Times New Roman" w:hAnsi="Times New Roman" w:cs="Times New Roman"/>
          <w:b/>
          <w:iCs/>
          <w:u w:val="single"/>
        </w:rPr>
        <w:t xml:space="preserve">One-Time </w:t>
      </w:r>
      <w:r w:rsidRPr="003C6F72" w:rsidR="00FC7059">
        <w:rPr>
          <w:rFonts w:ascii="Times New Roman" w:hAnsi="Times New Roman" w:cs="Times New Roman"/>
          <w:b/>
          <w:iCs/>
          <w:u w:val="single"/>
        </w:rPr>
        <w:t>Burden (</w:t>
      </w:r>
      <w:r w:rsidRPr="003C6F72">
        <w:rPr>
          <w:rFonts w:ascii="Times New Roman" w:hAnsi="Times New Roman" w:cs="Times New Roman"/>
          <w:b/>
          <w:iCs/>
          <w:u w:val="single"/>
        </w:rPr>
        <w:t>Totals</w:t>
      </w:r>
      <w:r w:rsidRPr="003C6F72" w:rsidR="00FC7059">
        <w:rPr>
          <w:rFonts w:ascii="Times New Roman" w:hAnsi="Times New Roman" w:cs="Times New Roman"/>
          <w:b/>
          <w:iCs/>
          <w:u w:val="single"/>
        </w:rPr>
        <w:t>)</w:t>
      </w:r>
    </w:p>
    <w:p w:rsidR="006A366E" w:rsidP="00566992" w14:paraId="4490FE18" w14:textId="2C74A2D8">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Pr>
          <w:rFonts w:ascii="Times New Roman" w:eastAsia="Times New Roman" w:hAnsi="Times New Roman" w:cs="Times New Roman"/>
          <w:kern w:val="1"/>
          <w:shd w:val="clear" w:color="auto" w:fill="FFFFFF"/>
          <w:lang w:eastAsia="ar-SA"/>
        </w:rPr>
        <w:t xml:space="preserve">Total one-time respondents: </w:t>
      </w:r>
      <w:r w:rsidRPr="006A366E">
        <w:rPr>
          <w:rFonts w:ascii="Times New Roman" w:eastAsia="Times New Roman" w:hAnsi="Times New Roman" w:cs="Times New Roman"/>
          <w:b/>
          <w:bCs/>
          <w:kern w:val="1"/>
          <w:shd w:val="clear" w:color="auto" w:fill="FFFFFF"/>
          <w:lang w:eastAsia="ar-SA"/>
        </w:rPr>
        <w:t>75</w:t>
      </w:r>
    </w:p>
    <w:p w:rsidR="006A366E" w:rsidP="00566992" w14:paraId="1EE770CB" w14:textId="055D8440">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Pr>
          <w:rFonts w:ascii="Times New Roman" w:eastAsia="Times New Roman" w:hAnsi="Times New Roman" w:cs="Times New Roman"/>
          <w:kern w:val="1"/>
          <w:shd w:val="clear" w:color="auto" w:fill="FFFFFF"/>
          <w:lang w:eastAsia="ar-SA"/>
        </w:rPr>
        <w:t xml:space="preserve">Total one-time responses: 75 + 75 + 75 = </w:t>
      </w:r>
      <w:r w:rsidRPr="006A366E">
        <w:rPr>
          <w:rFonts w:ascii="Times New Roman" w:eastAsia="Times New Roman" w:hAnsi="Times New Roman" w:cs="Times New Roman"/>
          <w:b/>
          <w:bCs/>
          <w:kern w:val="1"/>
          <w:shd w:val="clear" w:color="auto" w:fill="FFFFFF"/>
          <w:lang w:eastAsia="ar-SA"/>
        </w:rPr>
        <w:t>225</w:t>
      </w:r>
    </w:p>
    <w:p w:rsidR="006A366E" w:rsidP="00566992" w14:paraId="24EBC1C7" w14:textId="4F00DC3A">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Pr>
          <w:rFonts w:ascii="Times New Roman" w:eastAsia="Times New Roman" w:hAnsi="Times New Roman" w:cs="Times New Roman"/>
          <w:kern w:val="1"/>
          <w:shd w:val="clear" w:color="auto" w:fill="FFFFFF"/>
          <w:lang w:eastAsia="ar-SA"/>
        </w:rPr>
        <w:t xml:space="preserve">Total one-time hours burden = 1,500 + 75 + 225 = </w:t>
      </w:r>
      <w:r w:rsidRPr="006A366E">
        <w:rPr>
          <w:rFonts w:ascii="Times New Roman" w:eastAsia="Times New Roman" w:hAnsi="Times New Roman" w:cs="Times New Roman"/>
          <w:b/>
          <w:bCs/>
          <w:kern w:val="1"/>
          <w:shd w:val="clear" w:color="auto" w:fill="FFFFFF"/>
          <w:lang w:eastAsia="ar-SA"/>
        </w:rPr>
        <w:t>1,800</w:t>
      </w:r>
      <w:r w:rsidR="00DF1035">
        <w:rPr>
          <w:rFonts w:ascii="Times New Roman" w:eastAsia="Times New Roman" w:hAnsi="Times New Roman" w:cs="Times New Roman"/>
          <w:b/>
          <w:bCs/>
          <w:kern w:val="1"/>
          <w:shd w:val="clear" w:color="auto" w:fill="FFFFFF"/>
          <w:lang w:eastAsia="ar-SA"/>
        </w:rPr>
        <w:t xml:space="preserve"> hours</w:t>
      </w:r>
    </w:p>
    <w:p w:rsidR="00566992" w:rsidRPr="006A366E" w:rsidP="00566992" w14:paraId="2A0699BB" w14:textId="430C2916">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sidRPr="003C6F72">
        <w:rPr>
          <w:rFonts w:ascii="Times New Roman" w:eastAsia="Times New Roman" w:hAnsi="Times New Roman" w:cs="Times New Roman"/>
          <w:kern w:val="1"/>
          <w:shd w:val="clear" w:color="auto" w:fill="FFFFFF"/>
          <w:lang w:eastAsia="ar-SA"/>
        </w:rPr>
        <w:t xml:space="preserve">Total one-time costs = </w:t>
      </w:r>
      <w:r w:rsidRPr="003C6F72" w:rsidR="00FE389E">
        <w:rPr>
          <w:rFonts w:ascii="Times New Roman" w:eastAsia="Times New Roman" w:hAnsi="Times New Roman" w:cs="Times New Roman"/>
          <w:kern w:val="1"/>
          <w:shd w:val="clear" w:color="auto" w:fill="FFFFFF"/>
          <w:lang w:eastAsia="ar-SA"/>
        </w:rPr>
        <w:t xml:space="preserve">$130,500 + </w:t>
      </w:r>
      <w:r w:rsidRPr="003C6F72" w:rsidR="00F029A9">
        <w:rPr>
          <w:rFonts w:ascii="Times New Roman" w:hAnsi="Times New Roman" w:cs="Times New Roman"/>
          <w:shd w:val="clear" w:color="auto" w:fill="FFFFFF"/>
        </w:rPr>
        <w:t>$</w:t>
      </w:r>
      <w:r w:rsidRPr="003C6F72" w:rsidR="00F029A9">
        <w:rPr>
          <w:rFonts w:ascii="Times New Roman" w:hAnsi="Times New Roman" w:cs="Times New Roman"/>
          <w:bCs/>
          <w:shd w:val="clear" w:color="auto" w:fill="FFFFFF"/>
        </w:rPr>
        <w:t xml:space="preserve">3,975 + </w:t>
      </w:r>
      <w:r w:rsidRPr="003C6F72" w:rsidR="00FE389E">
        <w:rPr>
          <w:rFonts w:ascii="Times New Roman" w:eastAsia="Times New Roman" w:hAnsi="Times New Roman" w:cs="Times New Roman"/>
          <w:kern w:val="1"/>
          <w:shd w:val="clear" w:color="auto" w:fill="FFFFFF"/>
          <w:lang w:eastAsia="ar-SA"/>
        </w:rPr>
        <w:t>$</w:t>
      </w:r>
      <w:r w:rsidRPr="003C6F72" w:rsidR="00FE389E">
        <w:rPr>
          <w:rFonts w:ascii="Times New Roman" w:hAnsi="Times New Roman" w:cs="Times New Roman"/>
          <w:bCs/>
          <w:shd w:val="clear" w:color="auto" w:fill="FFFFFF"/>
        </w:rPr>
        <w:t xml:space="preserve">24,075 = </w:t>
      </w:r>
      <w:r w:rsidRPr="00064365" w:rsidR="00BD0AA9">
        <w:rPr>
          <w:rFonts w:ascii="Times New Roman" w:hAnsi="Times New Roman" w:cs="Times New Roman"/>
          <w:b/>
          <w:shd w:val="clear" w:color="auto" w:fill="FFFFFF"/>
        </w:rPr>
        <w:t>$15</w:t>
      </w:r>
      <w:r w:rsidRPr="00064365" w:rsidR="00C7359E">
        <w:rPr>
          <w:rFonts w:ascii="Times New Roman" w:hAnsi="Times New Roman" w:cs="Times New Roman"/>
          <w:b/>
          <w:shd w:val="clear" w:color="auto" w:fill="FFFFFF"/>
        </w:rPr>
        <w:t>8</w:t>
      </w:r>
      <w:r w:rsidRPr="00064365" w:rsidR="00BD0AA9">
        <w:rPr>
          <w:rFonts w:ascii="Times New Roman" w:hAnsi="Times New Roman" w:cs="Times New Roman"/>
          <w:b/>
          <w:shd w:val="clear" w:color="auto" w:fill="FFFFFF"/>
        </w:rPr>
        <w:t>,</w:t>
      </w:r>
      <w:r w:rsidRPr="00064365" w:rsidR="00C7359E">
        <w:rPr>
          <w:rFonts w:ascii="Times New Roman" w:hAnsi="Times New Roman" w:cs="Times New Roman"/>
          <w:b/>
          <w:shd w:val="clear" w:color="auto" w:fill="FFFFFF"/>
        </w:rPr>
        <w:t>550</w:t>
      </w:r>
    </w:p>
    <w:p w:rsidR="006A366E" w:rsidP="006A366E" w14:paraId="2AC3380A" w14:textId="77777777">
      <w:pPr>
        <w:pStyle w:val="ListParagraph"/>
        <w:suppressAutoHyphens/>
        <w:spacing w:after="0"/>
        <w:ind w:left="360"/>
        <w:jc w:val="both"/>
        <w:rPr>
          <w:rFonts w:ascii="Times New Roman" w:hAnsi="Times New Roman" w:cs="Times New Roman"/>
          <w:b/>
          <w:iCs/>
          <w:u w:val="single"/>
        </w:rPr>
      </w:pPr>
    </w:p>
    <w:p w:rsidR="006A366E" w:rsidRPr="006A366E" w:rsidP="006A366E" w14:paraId="7E2B8253" w14:textId="6120D159">
      <w:pPr>
        <w:pStyle w:val="ListParagraph"/>
        <w:suppressAutoHyphens/>
        <w:spacing w:after="0"/>
        <w:ind w:left="360"/>
        <w:jc w:val="both"/>
        <w:rPr>
          <w:rFonts w:ascii="Times New Roman" w:eastAsia="Times New Roman" w:hAnsi="Times New Roman" w:cs="Times New Roman"/>
          <w:b/>
          <w:kern w:val="1"/>
          <w:u w:val="single"/>
          <w:shd w:val="clear" w:color="auto" w:fill="FFFFFF"/>
          <w:lang w:eastAsia="ar-SA"/>
        </w:rPr>
      </w:pPr>
      <w:r w:rsidRPr="006A366E">
        <w:rPr>
          <w:rFonts w:ascii="Times New Roman" w:hAnsi="Times New Roman" w:cs="Times New Roman"/>
          <w:b/>
          <w:iCs/>
          <w:u w:val="single"/>
        </w:rPr>
        <w:t xml:space="preserve">Cumulative Estimated </w:t>
      </w:r>
      <w:r>
        <w:rPr>
          <w:rFonts w:ascii="Times New Roman" w:hAnsi="Times New Roman" w:cs="Times New Roman"/>
          <w:b/>
          <w:iCs/>
          <w:u w:val="single"/>
        </w:rPr>
        <w:t xml:space="preserve">Annual </w:t>
      </w:r>
      <w:r w:rsidRPr="006A366E">
        <w:rPr>
          <w:rFonts w:ascii="Times New Roman" w:hAnsi="Times New Roman" w:cs="Times New Roman"/>
          <w:b/>
          <w:iCs/>
          <w:u w:val="single"/>
        </w:rPr>
        <w:t>Burden (Totals)</w:t>
      </w:r>
    </w:p>
    <w:p w:rsidR="006A366E" w:rsidRPr="006A366E" w:rsidP="0003792C" w14:paraId="3411A21B" w14:textId="3B5F178E">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Pr>
          <w:rFonts w:ascii="Times New Roman" w:eastAsia="Times New Roman" w:hAnsi="Times New Roman" w:cs="Times New Roman"/>
          <w:kern w:val="1"/>
          <w:shd w:val="clear" w:color="auto" w:fill="FFFFFF"/>
          <w:lang w:eastAsia="ar-SA"/>
        </w:rPr>
        <w:t xml:space="preserve">Total annual respondents: </w:t>
      </w:r>
      <w:r w:rsidRPr="006A366E">
        <w:rPr>
          <w:rFonts w:ascii="Times New Roman" w:eastAsia="Times New Roman" w:hAnsi="Times New Roman" w:cs="Times New Roman"/>
          <w:b/>
          <w:bCs/>
          <w:kern w:val="1"/>
          <w:shd w:val="clear" w:color="auto" w:fill="FFFFFF"/>
          <w:lang w:eastAsia="ar-SA"/>
        </w:rPr>
        <w:t>75</w:t>
      </w:r>
    </w:p>
    <w:p w:rsidR="006A366E" w:rsidRPr="006A366E" w:rsidP="0003792C" w14:paraId="4A176E0A" w14:textId="5851516F">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sidRPr="006A366E">
        <w:rPr>
          <w:rFonts w:ascii="Times New Roman" w:eastAsia="Times New Roman" w:hAnsi="Times New Roman" w:cs="Times New Roman"/>
          <w:kern w:val="1"/>
          <w:shd w:val="clear" w:color="auto" w:fill="FFFFFF"/>
          <w:lang w:eastAsia="ar-SA"/>
        </w:rPr>
        <w:t xml:space="preserve">Total </w:t>
      </w:r>
      <w:r>
        <w:rPr>
          <w:rFonts w:ascii="Times New Roman" w:eastAsia="Times New Roman" w:hAnsi="Times New Roman" w:cs="Times New Roman"/>
          <w:kern w:val="1"/>
          <w:shd w:val="clear" w:color="auto" w:fill="FFFFFF"/>
          <w:lang w:eastAsia="ar-SA"/>
        </w:rPr>
        <w:t>annual</w:t>
      </w:r>
      <w:r w:rsidRPr="006A366E">
        <w:rPr>
          <w:rFonts w:ascii="Times New Roman" w:eastAsia="Times New Roman" w:hAnsi="Times New Roman" w:cs="Times New Roman"/>
          <w:kern w:val="1"/>
          <w:shd w:val="clear" w:color="auto" w:fill="FFFFFF"/>
          <w:lang w:eastAsia="ar-SA"/>
        </w:rPr>
        <w:t xml:space="preserve"> responses: </w:t>
      </w:r>
      <w:r>
        <w:rPr>
          <w:rFonts w:ascii="Times New Roman" w:eastAsia="Times New Roman" w:hAnsi="Times New Roman" w:cs="Times New Roman"/>
          <w:kern w:val="1"/>
          <w:shd w:val="clear" w:color="auto" w:fill="FFFFFF"/>
          <w:lang w:eastAsia="ar-SA"/>
        </w:rPr>
        <w:t xml:space="preserve">75 + 375 + 300 + 75 + 900 = </w:t>
      </w:r>
      <w:r w:rsidRPr="00DF1035" w:rsidR="00DF1035">
        <w:rPr>
          <w:rFonts w:ascii="Times New Roman" w:eastAsia="Times New Roman" w:hAnsi="Times New Roman" w:cs="Times New Roman"/>
          <w:b/>
          <w:bCs/>
          <w:kern w:val="1"/>
          <w:shd w:val="clear" w:color="auto" w:fill="FFFFFF"/>
          <w:lang w:eastAsia="ar-SA"/>
        </w:rPr>
        <w:t>1,725</w:t>
      </w:r>
    </w:p>
    <w:p w:rsidR="006A366E" w:rsidRPr="006A366E" w:rsidP="0003792C" w14:paraId="690FAEEF" w14:textId="30DEC099">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Pr>
          <w:rFonts w:ascii="Times New Roman" w:eastAsia="Times New Roman" w:hAnsi="Times New Roman" w:cs="Times New Roman"/>
          <w:kern w:val="1"/>
          <w:shd w:val="clear" w:color="auto" w:fill="FFFFFF"/>
          <w:lang w:eastAsia="ar-SA"/>
        </w:rPr>
        <w:t xml:space="preserve">Total recurring hours burden on an annualized basis = 75 + 1,125 + 1,500 + 75 + 1,800 = </w:t>
      </w:r>
      <w:r w:rsidRPr="006A366E">
        <w:rPr>
          <w:rFonts w:ascii="Times New Roman" w:eastAsia="Times New Roman" w:hAnsi="Times New Roman" w:cs="Times New Roman"/>
          <w:b/>
          <w:bCs/>
          <w:kern w:val="1"/>
          <w:shd w:val="clear" w:color="auto" w:fill="FFFFFF"/>
          <w:lang w:eastAsia="ar-SA"/>
        </w:rPr>
        <w:t>4,575</w:t>
      </w:r>
      <w:r>
        <w:rPr>
          <w:rFonts w:ascii="Times New Roman" w:eastAsia="Times New Roman" w:hAnsi="Times New Roman" w:cs="Times New Roman"/>
          <w:kern w:val="1"/>
          <w:shd w:val="clear" w:color="auto" w:fill="FFFFFF"/>
          <w:lang w:eastAsia="ar-SA"/>
        </w:rPr>
        <w:t xml:space="preserve"> </w:t>
      </w:r>
      <w:r w:rsidRPr="00DF1035" w:rsidR="00DF1035">
        <w:rPr>
          <w:rFonts w:ascii="Times New Roman" w:eastAsia="Times New Roman" w:hAnsi="Times New Roman" w:cs="Times New Roman"/>
          <w:b/>
          <w:bCs/>
          <w:kern w:val="1"/>
          <w:shd w:val="clear" w:color="auto" w:fill="FFFFFF"/>
          <w:lang w:eastAsia="ar-SA"/>
        </w:rPr>
        <w:t>hours</w:t>
      </w:r>
    </w:p>
    <w:p w:rsidR="0003792C" w:rsidRPr="003C6F72" w:rsidP="0003792C" w14:paraId="40734B33" w14:textId="2AB9C6F0">
      <w:pPr>
        <w:pStyle w:val="ListParagraph"/>
        <w:numPr>
          <w:ilvl w:val="0"/>
          <w:numId w:val="8"/>
        </w:numPr>
        <w:suppressAutoHyphens/>
        <w:spacing w:after="0"/>
        <w:ind w:left="720"/>
        <w:rPr>
          <w:rFonts w:ascii="Times New Roman" w:eastAsia="Times New Roman" w:hAnsi="Times New Roman" w:cs="Times New Roman"/>
          <w:kern w:val="1"/>
          <w:shd w:val="clear" w:color="auto" w:fill="FFFFFF"/>
          <w:lang w:eastAsia="ar-SA"/>
        </w:rPr>
      </w:pPr>
      <w:r w:rsidRPr="003C6F72">
        <w:rPr>
          <w:rFonts w:ascii="Times New Roman" w:hAnsi="Times New Roman" w:cs="Times New Roman"/>
          <w:bCs/>
          <w:shd w:val="clear" w:color="auto" w:fill="FFFFFF"/>
        </w:rPr>
        <w:t xml:space="preserve">Total recurring costs on an annualized basis = </w:t>
      </w:r>
      <w:r w:rsidRPr="003C6F72" w:rsidR="006B1BEE">
        <w:rPr>
          <w:rFonts w:ascii="Times New Roman" w:hAnsi="Times New Roman" w:cs="Times New Roman"/>
          <w:bCs/>
          <w:shd w:val="clear" w:color="auto" w:fill="FFFFFF"/>
        </w:rPr>
        <w:t xml:space="preserve">$3,975 + $97,875 + </w:t>
      </w:r>
      <w:r w:rsidRPr="003C6F72" w:rsidR="00962F5D">
        <w:rPr>
          <w:rFonts w:ascii="Times New Roman" w:hAnsi="Times New Roman" w:cs="Times New Roman"/>
          <w:bCs/>
          <w:shd w:val="clear" w:color="auto" w:fill="FFFFFF"/>
        </w:rPr>
        <w:t xml:space="preserve">$160,500 </w:t>
      </w:r>
      <w:r w:rsidRPr="003C6F72" w:rsidR="006B1BEE">
        <w:rPr>
          <w:rFonts w:ascii="Times New Roman" w:hAnsi="Times New Roman" w:cs="Times New Roman"/>
          <w:bCs/>
          <w:shd w:val="clear" w:color="auto" w:fill="FFFFFF"/>
        </w:rPr>
        <w:t xml:space="preserve">+ </w:t>
      </w:r>
      <w:r w:rsidRPr="003C6F72">
        <w:rPr>
          <w:rFonts w:ascii="Times New Roman" w:hAnsi="Times New Roman" w:cs="Times New Roman"/>
          <w:bCs/>
          <w:shd w:val="clear" w:color="auto" w:fill="FFFFFF"/>
        </w:rPr>
        <w:t xml:space="preserve">$8,025 + </w:t>
      </w:r>
      <w:r w:rsidRPr="003C6F72" w:rsidR="00962F5D">
        <w:rPr>
          <w:rFonts w:ascii="Times New Roman" w:hAnsi="Times New Roman" w:cs="Times New Roman"/>
          <w:bCs/>
          <w:shd w:val="clear" w:color="auto" w:fill="FFFFFF"/>
        </w:rPr>
        <w:t xml:space="preserve">$156,600 </w:t>
      </w:r>
      <w:r w:rsidRPr="003C6F72">
        <w:rPr>
          <w:rFonts w:ascii="Times New Roman" w:hAnsi="Times New Roman" w:cs="Times New Roman"/>
          <w:bCs/>
          <w:shd w:val="clear" w:color="auto" w:fill="FFFFFF"/>
        </w:rPr>
        <w:t xml:space="preserve">= </w:t>
      </w:r>
      <w:r w:rsidRPr="00064365" w:rsidR="00DC7E3A">
        <w:rPr>
          <w:rFonts w:ascii="Times New Roman" w:hAnsi="Times New Roman" w:cs="Times New Roman"/>
          <w:b/>
          <w:shd w:val="clear" w:color="auto" w:fill="FFFFFF"/>
        </w:rPr>
        <w:t>$</w:t>
      </w:r>
      <w:r w:rsidRPr="00064365" w:rsidR="00BF4495">
        <w:rPr>
          <w:rFonts w:ascii="Times New Roman" w:hAnsi="Times New Roman" w:cs="Times New Roman"/>
          <w:b/>
          <w:shd w:val="clear" w:color="auto" w:fill="FFFFFF"/>
        </w:rPr>
        <w:t>426,975</w:t>
      </w:r>
    </w:p>
    <w:bookmarkEnd w:id="8"/>
    <w:p w:rsidR="00566992" w:rsidP="00566992" w14:paraId="5A447525" w14:textId="63EF704D">
      <w:pPr>
        <w:pStyle w:val="Default"/>
        <w:ind w:left="360"/>
        <w:rPr>
          <w:color w:val="auto"/>
          <w:sz w:val="22"/>
          <w:szCs w:val="22"/>
        </w:rPr>
      </w:pPr>
    </w:p>
    <w:p w:rsidR="003321FB" w:rsidP="00566992" w14:paraId="27F3811D" w14:textId="0D6B125F">
      <w:pPr>
        <w:pStyle w:val="Default"/>
        <w:ind w:left="360"/>
        <w:rPr>
          <w:color w:val="auto"/>
          <w:sz w:val="22"/>
          <w:szCs w:val="22"/>
        </w:rPr>
      </w:pPr>
      <w:r>
        <w:rPr>
          <w:color w:val="auto"/>
          <w:sz w:val="22"/>
          <w:szCs w:val="22"/>
        </w:rPr>
        <w:t>As such, the Commission estimates the cumulative burden as follows:</w:t>
      </w:r>
    </w:p>
    <w:p w:rsidR="003321FB" w:rsidP="00566992" w14:paraId="204DFB54" w14:textId="77777777">
      <w:pPr>
        <w:pStyle w:val="Default"/>
        <w:ind w:left="360"/>
        <w:rPr>
          <w:color w:val="auto"/>
          <w:sz w:val="22"/>
          <w:szCs w:val="22"/>
        </w:rPr>
      </w:pPr>
    </w:p>
    <w:p w:rsidR="003321FB" w:rsidP="003321FB" w14:paraId="230096B9" w14:textId="77777777">
      <w:pPr>
        <w:pStyle w:val="Default"/>
        <w:numPr>
          <w:ilvl w:val="0"/>
          <w:numId w:val="42"/>
        </w:numPr>
        <w:rPr>
          <w:color w:val="auto"/>
          <w:sz w:val="22"/>
          <w:szCs w:val="22"/>
        </w:rPr>
      </w:pPr>
      <w:r>
        <w:rPr>
          <w:color w:val="auto"/>
          <w:sz w:val="22"/>
          <w:szCs w:val="22"/>
        </w:rPr>
        <w:t>For the initial year:</w:t>
      </w:r>
    </w:p>
    <w:p w:rsidR="003321FB" w:rsidRPr="003321FB" w:rsidP="00294EDF" w14:paraId="07000E6C" w14:textId="765E8426">
      <w:pPr>
        <w:pStyle w:val="Default"/>
        <w:numPr>
          <w:ilvl w:val="1"/>
          <w:numId w:val="42"/>
        </w:numPr>
        <w:rPr>
          <w:color w:val="auto"/>
          <w:sz w:val="22"/>
          <w:szCs w:val="22"/>
        </w:rPr>
      </w:pPr>
      <w:r w:rsidRPr="003321FB">
        <w:rPr>
          <w:color w:val="auto"/>
          <w:sz w:val="22"/>
          <w:szCs w:val="22"/>
        </w:rPr>
        <w:t>225 responses (one-time) + 1,725 responses (annual) = 1,950 responses</w:t>
      </w:r>
    </w:p>
    <w:p w:rsidR="003321FB" w:rsidP="00621785" w14:paraId="47500E98" w14:textId="7C71735C">
      <w:pPr>
        <w:pStyle w:val="Default"/>
        <w:numPr>
          <w:ilvl w:val="1"/>
          <w:numId w:val="42"/>
        </w:numPr>
        <w:rPr>
          <w:color w:val="auto"/>
          <w:sz w:val="22"/>
          <w:szCs w:val="22"/>
        </w:rPr>
      </w:pPr>
      <w:r w:rsidRPr="003321FB">
        <w:rPr>
          <w:color w:val="auto"/>
          <w:sz w:val="22"/>
          <w:szCs w:val="22"/>
        </w:rPr>
        <w:t>1,800 hours (one-time</w:t>
      </w:r>
      <w:r w:rsidR="00621785">
        <w:rPr>
          <w:color w:val="auto"/>
          <w:sz w:val="22"/>
          <w:szCs w:val="22"/>
        </w:rPr>
        <w:t xml:space="preserve"> hours burden</w:t>
      </w:r>
      <w:r w:rsidRPr="003321FB">
        <w:rPr>
          <w:color w:val="auto"/>
          <w:sz w:val="22"/>
          <w:szCs w:val="22"/>
        </w:rPr>
        <w:t>) + 4,575 hours (recurring-annual</w:t>
      </w:r>
      <w:r w:rsidR="00621785">
        <w:rPr>
          <w:color w:val="auto"/>
          <w:sz w:val="22"/>
          <w:szCs w:val="22"/>
        </w:rPr>
        <w:t xml:space="preserve"> hours burden</w:t>
      </w:r>
      <w:r w:rsidRPr="003321FB">
        <w:rPr>
          <w:color w:val="auto"/>
          <w:sz w:val="22"/>
          <w:szCs w:val="22"/>
        </w:rPr>
        <w:t>) = 6,375 hours</w:t>
      </w:r>
    </w:p>
    <w:p w:rsidR="00621785" w:rsidP="00621785" w14:paraId="27639A11" w14:textId="11BF7CD9">
      <w:pPr>
        <w:pStyle w:val="Default"/>
        <w:numPr>
          <w:ilvl w:val="0"/>
          <w:numId w:val="42"/>
        </w:numPr>
        <w:rPr>
          <w:color w:val="auto"/>
          <w:sz w:val="22"/>
          <w:szCs w:val="22"/>
        </w:rPr>
      </w:pPr>
      <w:r>
        <w:rPr>
          <w:color w:val="auto"/>
          <w:sz w:val="22"/>
          <w:szCs w:val="22"/>
        </w:rPr>
        <w:t>For subsequent years:</w:t>
      </w:r>
    </w:p>
    <w:p w:rsidR="00621785" w:rsidP="00621785" w14:paraId="7A255191" w14:textId="3B187FD4">
      <w:pPr>
        <w:pStyle w:val="Default"/>
        <w:numPr>
          <w:ilvl w:val="1"/>
          <w:numId w:val="42"/>
        </w:numPr>
        <w:rPr>
          <w:color w:val="auto"/>
          <w:sz w:val="22"/>
          <w:szCs w:val="22"/>
        </w:rPr>
      </w:pPr>
      <w:r>
        <w:rPr>
          <w:color w:val="auto"/>
          <w:sz w:val="22"/>
          <w:szCs w:val="22"/>
        </w:rPr>
        <w:t xml:space="preserve">1,725 </w:t>
      </w:r>
      <w:r w:rsidR="00B5113C">
        <w:rPr>
          <w:color w:val="auto"/>
          <w:sz w:val="22"/>
          <w:szCs w:val="22"/>
        </w:rPr>
        <w:t xml:space="preserve">responses </w:t>
      </w:r>
      <w:r>
        <w:rPr>
          <w:color w:val="auto"/>
          <w:sz w:val="22"/>
          <w:szCs w:val="22"/>
        </w:rPr>
        <w:t>(annual only)</w:t>
      </w:r>
    </w:p>
    <w:p w:rsidR="00621785" w:rsidRPr="00621785" w:rsidP="00294EDF" w14:paraId="276EEFAA" w14:textId="13A7D59C">
      <w:pPr>
        <w:pStyle w:val="Default"/>
        <w:numPr>
          <w:ilvl w:val="1"/>
          <w:numId w:val="42"/>
        </w:numPr>
        <w:rPr>
          <w:color w:val="auto"/>
          <w:sz w:val="22"/>
          <w:szCs w:val="22"/>
        </w:rPr>
      </w:pPr>
      <w:r w:rsidRPr="00621785">
        <w:rPr>
          <w:color w:val="auto"/>
          <w:sz w:val="22"/>
          <w:szCs w:val="22"/>
        </w:rPr>
        <w:t xml:space="preserve">4,575 </w:t>
      </w:r>
      <w:r w:rsidR="00B5113C">
        <w:rPr>
          <w:color w:val="auto"/>
          <w:sz w:val="22"/>
          <w:szCs w:val="22"/>
        </w:rPr>
        <w:t xml:space="preserve">hours </w:t>
      </w:r>
      <w:r w:rsidRPr="00621785">
        <w:rPr>
          <w:color w:val="auto"/>
          <w:sz w:val="22"/>
          <w:szCs w:val="22"/>
        </w:rPr>
        <w:t>(annual only)</w:t>
      </w:r>
    </w:p>
    <w:p w:rsidR="00621785" w:rsidRPr="003321FB" w:rsidP="00294EDF" w14:paraId="6E7D24D5" w14:textId="77777777">
      <w:pPr>
        <w:pStyle w:val="Default"/>
        <w:rPr>
          <w:color w:val="auto"/>
          <w:sz w:val="22"/>
          <w:szCs w:val="22"/>
        </w:rPr>
      </w:pPr>
    </w:p>
    <w:p w:rsidR="003321FB" w:rsidRPr="003C6F72" w:rsidP="00566992" w14:paraId="40B528A1" w14:textId="77777777">
      <w:pPr>
        <w:pStyle w:val="Default"/>
        <w:ind w:left="360"/>
        <w:rPr>
          <w:color w:val="auto"/>
          <w:sz w:val="22"/>
          <w:szCs w:val="22"/>
        </w:rPr>
      </w:pPr>
    </w:p>
    <w:p w:rsidR="006207B9" w:rsidRPr="006207B9" w:rsidP="0017082F" w14:paraId="7FF881A0" w14:textId="436E0642">
      <w:pPr>
        <w:pStyle w:val="ListParagraph"/>
        <w:numPr>
          <w:ilvl w:val="0"/>
          <w:numId w:val="38"/>
        </w:numPr>
        <w:tabs>
          <w:tab w:val="left" w:pos="90"/>
        </w:tabs>
        <w:rPr>
          <w:rFonts w:ascii="Times New Roman" w:hAnsi="Times New Roman" w:cs="Times New Roman"/>
          <w:shd w:val="clear" w:color="auto" w:fill="FFFFFF"/>
        </w:rPr>
      </w:pPr>
      <w:r>
        <w:rPr>
          <w:rFonts w:ascii="Times New Roman" w:hAnsi="Times New Roman" w:cs="Times New Roman"/>
          <w:b/>
          <w:bCs/>
          <w:shd w:val="clear" w:color="auto" w:fill="FFFFFF"/>
        </w:rPr>
        <w:t>Provide an estimate of the total annual cost burden to respondents or record keepers resulting from the collection of information.</w:t>
      </w:r>
      <w:r w:rsidR="00E4670D">
        <w:rPr>
          <w:rFonts w:ascii="Times New Roman" w:hAnsi="Times New Roman" w:cs="Times New Roman"/>
          <w:b/>
          <w:bCs/>
          <w:shd w:val="clear" w:color="auto" w:fill="FFFFFF"/>
        </w:rPr>
        <w:br/>
      </w:r>
    </w:p>
    <w:p w:rsidR="00FF5DB4" w:rsidRPr="003C6F72" w:rsidP="006207B9" w14:paraId="092BEA67" w14:textId="7CDED6A8">
      <w:pPr>
        <w:pStyle w:val="ListParagraph"/>
        <w:tabs>
          <w:tab w:val="left" w:pos="90"/>
        </w:tabs>
        <w:ind w:left="360"/>
        <w:rPr>
          <w:rFonts w:ascii="Times New Roman" w:hAnsi="Times New Roman" w:cs="Times New Roman"/>
          <w:shd w:val="clear" w:color="auto" w:fill="FFFFFF"/>
        </w:rPr>
      </w:pPr>
      <w:r>
        <w:rPr>
          <w:rFonts w:ascii="Times New Roman" w:hAnsi="Times New Roman" w:cs="Times New Roman"/>
          <w:shd w:val="clear" w:color="auto" w:fill="FFFFFF"/>
        </w:rPr>
        <w:tab/>
      </w:r>
      <w:r w:rsidRPr="003C6F72" w:rsidR="00B43005">
        <w:rPr>
          <w:rFonts w:ascii="Times New Roman" w:hAnsi="Times New Roman" w:cs="Times New Roman"/>
          <w:shd w:val="clear" w:color="auto" w:fill="FFFFFF"/>
        </w:rPr>
        <w:t>There is no outside cost to the respondents.</w:t>
      </w:r>
    </w:p>
    <w:p w:rsidR="00566992" w:rsidRPr="003C6F72" w:rsidP="00566992" w14:paraId="412E7AF1" w14:textId="77777777">
      <w:pPr>
        <w:pStyle w:val="ListParagraph"/>
        <w:tabs>
          <w:tab w:val="left" w:pos="90"/>
        </w:tabs>
        <w:ind w:left="360"/>
        <w:rPr>
          <w:rFonts w:ascii="Times New Roman" w:eastAsia="Calibri" w:hAnsi="Times New Roman" w:cs="Times New Roman"/>
        </w:rPr>
      </w:pPr>
    </w:p>
    <w:p w:rsidR="006207B9" w:rsidRPr="006207B9" w:rsidP="0017082F" w14:paraId="4C991FDD" w14:textId="56982723">
      <w:pPr>
        <w:pStyle w:val="ListParagraph"/>
        <w:numPr>
          <w:ilvl w:val="0"/>
          <w:numId w:val="38"/>
        </w:numPr>
        <w:tabs>
          <w:tab w:val="left" w:pos="90"/>
        </w:tabs>
        <w:rPr>
          <w:rFonts w:ascii="Times New Roman" w:hAnsi="Times New Roman" w:cs="Times New Roman"/>
        </w:rPr>
      </w:pPr>
      <w:r>
        <w:rPr>
          <w:rFonts w:ascii="Times New Roman" w:hAnsi="Times New Roman" w:cs="Times New Roman"/>
          <w:b/>
          <w:bCs/>
        </w:rPr>
        <w:t>Provide estimates of annualized costs to the Federal Government.</w:t>
      </w:r>
      <w:r w:rsidR="00E4670D">
        <w:rPr>
          <w:rFonts w:ascii="Times New Roman" w:hAnsi="Times New Roman" w:cs="Times New Roman"/>
          <w:b/>
          <w:bCs/>
        </w:rPr>
        <w:br/>
      </w:r>
    </w:p>
    <w:p w:rsidR="00430BAF" w:rsidP="00430BAF" w14:paraId="2CB02BA6" w14:textId="096CF0EF">
      <w:pPr>
        <w:pStyle w:val="ListParagraph"/>
        <w:tabs>
          <w:tab w:val="left" w:pos="90"/>
        </w:tabs>
        <w:ind w:left="360"/>
        <w:rPr>
          <w:rFonts w:ascii="Times New Roman" w:hAnsi="Times New Roman" w:cs="Times New Roman"/>
        </w:rPr>
      </w:pPr>
      <w:r>
        <w:rPr>
          <w:rFonts w:ascii="Times New Roman" w:hAnsi="Times New Roman" w:cs="Times New Roman"/>
        </w:rPr>
        <w:tab/>
      </w:r>
      <w:r w:rsidRPr="003C6F72" w:rsidR="00C55EF6">
        <w:rPr>
          <w:rFonts w:ascii="Times New Roman" w:hAnsi="Times New Roman" w:cs="Times New Roman"/>
        </w:rPr>
        <w:t>T</w:t>
      </w:r>
      <w:r w:rsidRPr="003C6F72" w:rsidR="00DA3A76">
        <w:rPr>
          <w:rFonts w:ascii="Times New Roman" w:hAnsi="Times New Roman" w:cs="Times New Roman"/>
        </w:rPr>
        <w:t xml:space="preserve">he Commission </w:t>
      </w:r>
      <w:r w:rsidRPr="003C6F72" w:rsidR="00044BC2">
        <w:rPr>
          <w:rFonts w:ascii="Times New Roman" w:hAnsi="Times New Roman" w:cs="Times New Roman"/>
        </w:rPr>
        <w:t xml:space="preserve">does not expect to incur costs </w:t>
      </w:r>
      <w:r w:rsidRPr="003C6F72" w:rsidR="00972791">
        <w:rPr>
          <w:rFonts w:ascii="Times New Roman" w:hAnsi="Times New Roman" w:cs="Times New Roman"/>
        </w:rPr>
        <w:t>beyond the normal labor costs for staff</w:t>
      </w:r>
      <w:r w:rsidRPr="003C6F72" w:rsidR="00044BC2">
        <w:rPr>
          <w:rFonts w:ascii="Times New Roman" w:hAnsi="Times New Roman" w:cs="Times New Roman"/>
        </w:rPr>
        <w:t xml:space="preserve">.  </w:t>
      </w:r>
    </w:p>
    <w:p w:rsidR="00430BAF" w:rsidRPr="0039753F" w:rsidP="0039753F" w14:paraId="67C28270" w14:textId="77777777">
      <w:pPr>
        <w:tabs>
          <w:tab w:val="left" w:pos="90"/>
        </w:tabs>
        <w:rPr>
          <w:rFonts w:ascii="Times New Roman" w:hAnsi="Times New Roman" w:cs="Times New Roman"/>
        </w:rPr>
      </w:pPr>
    </w:p>
    <w:p w:rsidR="00390033" w:rsidRPr="00390033" w:rsidP="0017082F" w14:paraId="604BADBE" w14:textId="00C42BEC">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shd w:val="clear" w:color="auto" w:fill="FFFFFF"/>
        </w:rPr>
        <w:t xml:space="preserve">Explain the reasons for any program changes or adjustments reported. </w:t>
      </w:r>
      <w:r w:rsidR="00E4670D">
        <w:rPr>
          <w:rFonts w:ascii="Times New Roman" w:hAnsi="Times New Roman" w:cs="Times New Roman"/>
          <w:b/>
          <w:bCs/>
          <w:shd w:val="clear" w:color="auto" w:fill="FFFFFF"/>
        </w:rPr>
        <w:br/>
      </w:r>
    </w:p>
    <w:p w:rsidR="0075269D" w:rsidRPr="003C6F72" w:rsidP="00390033" w14:paraId="441E5887" w14:textId="58E16DC9">
      <w:pPr>
        <w:pStyle w:val="ListParagraph"/>
        <w:tabs>
          <w:tab w:val="left" w:pos="90"/>
        </w:tabs>
        <w:ind w:left="360"/>
        <w:rPr>
          <w:rFonts w:ascii="Times New Roman" w:eastAsia="Calibri" w:hAnsi="Times New Roman" w:cs="Times New Roman"/>
          <w:b/>
          <w:bCs/>
        </w:rPr>
      </w:pPr>
      <w:r>
        <w:rPr>
          <w:rFonts w:ascii="Times New Roman" w:hAnsi="Times New Roman" w:cs="Times New Roman"/>
          <w:shd w:val="clear" w:color="auto" w:fill="FFFFFF"/>
        </w:rPr>
        <w:tab/>
      </w:r>
      <w:r w:rsidRPr="003C6F72" w:rsidR="002A4684">
        <w:rPr>
          <w:rFonts w:ascii="Times New Roman" w:hAnsi="Times New Roman" w:cs="Times New Roman"/>
          <w:shd w:val="clear" w:color="auto" w:fill="FFFFFF"/>
        </w:rPr>
        <w:t xml:space="preserve">This is a new </w:t>
      </w:r>
      <w:r w:rsidRPr="003C6F72" w:rsidR="00782581">
        <w:rPr>
          <w:rFonts w:ascii="Times New Roman" w:hAnsi="Times New Roman" w:cs="Times New Roman"/>
          <w:shd w:val="clear" w:color="auto" w:fill="FFFFFF"/>
        </w:rPr>
        <w:t xml:space="preserve">information collection resulting in a </w:t>
      </w:r>
      <w:r w:rsidRPr="003C6F72" w:rsidR="002A4684">
        <w:rPr>
          <w:rFonts w:ascii="Times New Roman" w:hAnsi="Times New Roman" w:cs="Times New Roman"/>
          <w:shd w:val="clear" w:color="auto" w:fill="FFFFFF"/>
        </w:rPr>
        <w:t>program</w:t>
      </w:r>
      <w:r w:rsidRPr="003C6F72" w:rsidR="00782581">
        <w:rPr>
          <w:rFonts w:ascii="Times New Roman" w:hAnsi="Times New Roman" w:cs="Times New Roman"/>
          <w:shd w:val="clear" w:color="auto" w:fill="FFFFFF"/>
        </w:rPr>
        <w:t xml:space="preserve"> change/increase to the total number of respondents of</w:t>
      </w:r>
      <w:r w:rsidRPr="003C6F72" w:rsidR="0069293E">
        <w:rPr>
          <w:rFonts w:ascii="Times New Roman" w:hAnsi="Times New Roman" w:cs="Times New Roman"/>
          <w:shd w:val="clear" w:color="auto" w:fill="FFFFFF"/>
        </w:rPr>
        <w:t xml:space="preserve"> </w:t>
      </w:r>
      <w:r w:rsidRPr="003C6F72" w:rsidR="00DF2972">
        <w:rPr>
          <w:rFonts w:ascii="Times New Roman" w:hAnsi="Times New Roman" w:cs="Times New Roman"/>
          <w:shd w:val="clear" w:color="auto" w:fill="FFFFFF"/>
        </w:rPr>
        <w:t>75</w:t>
      </w:r>
      <w:r w:rsidRPr="003C6F72" w:rsidR="00782581">
        <w:rPr>
          <w:rFonts w:ascii="Times New Roman" w:hAnsi="Times New Roman" w:cs="Times New Roman"/>
          <w:shd w:val="clear" w:color="auto" w:fill="FFFFFF"/>
        </w:rPr>
        <w:t xml:space="preserve">, total annual responses of </w:t>
      </w:r>
      <w:r w:rsidRPr="003C6F72" w:rsidR="00CD2289">
        <w:rPr>
          <w:rFonts w:ascii="Times New Roman" w:hAnsi="Times New Roman" w:cs="Times New Roman"/>
          <w:shd w:val="clear" w:color="auto" w:fill="FFFFFF"/>
        </w:rPr>
        <w:t>1,</w:t>
      </w:r>
      <w:r w:rsidRPr="003C6F72" w:rsidR="006D2888">
        <w:rPr>
          <w:rFonts w:ascii="Times New Roman" w:hAnsi="Times New Roman" w:cs="Times New Roman"/>
          <w:shd w:val="clear" w:color="auto" w:fill="FFFFFF"/>
        </w:rPr>
        <w:t>725</w:t>
      </w:r>
      <w:r w:rsidRPr="003C6F72" w:rsidR="00782581">
        <w:rPr>
          <w:rFonts w:ascii="Times New Roman" w:hAnsi="Times New Roman" w:cs="Times New Roman"/>
          <w:shd w:val="clear" w:color="auto" w:fill="FFFFFF"/>
        </w:rPr>
        <w:t xml:space="preserve"> and total annual burden hours of </w:t>
      </w:r>
      <w:r w:rsidR="00064365">
        <w:rPr>
          <w:rFonts w:ascii="Times New Roman" w:hAnsi="Times New Roman" w:cs="Times New Roman"/>
          <w:shd w:val="clear" w:color="auto" w:fill="FFFFFF"/>
        </w:rPr>
        <w:t>4,575</w:t>
      </w:r>
      <w:r w:rsidRPr="003C6F72" w:rsidR="00782581">
        <w:rPr>
          <w:rFonts w:ascii="Times New Roman" w:hAnsi="Times New Roman" w:cs="Times New Roman"/>
          <w:shd w:val="clear" w:color="auto" w:fill="FFFFFF"/>
        </w:rPr>
        <w:t xml:space="preserve"> hour</w:t>
      </w:r>
      <w:r w:rsidRPr="003C6F72" w:rsidR="0069293E">
        <w:rPr>
          <w:rFonts w:ascii="Times New Roman" w:hAnsi="Times New Roman" w:cs="Times New Roman"/>
          <w:shd w:val="clear" w:color="auto" w:fill="FFFFFF"/>
        </w:rPr>
        <w:t>s</w:t>
      </w:r>
      <w:r w:rsidRPr="003C6F72" w:rsidR="00782581">
        <w:rPr>
          <w:rFonts w:ascii="Times New Roman" w:hAnsi="Times New Roman" w:cs="Times New Roman"/>
          <w:shd w:val="clear" w:color="auto" w:fill="FFFFFF"/>
        </w:rPr>
        <w:t>.  These estimates will be added to OMB’s Active Inventory</w:t>
      </w:r>
      <w:r w:rsidRPr="003C6F72" w:rsidR="00AC55C2">
        <w:rPr>
          <w:rFonts w:ascii="Times New Roman" w:hAnsi="Times New Roman" w:cs="Times New Roman"/>
          <w:shd w:val="clear" w:color="auto" w:fill="FFFFFF"/>
        </w:rPr>
        <w:t>.</w:t>
      </w:r>
      <w:r w:rsidRPr="003C6F72" w:rsidR="00782581">
        <w:rPr>
          <w:rFonts w:ascii="Times New Roman" w:hAnsi="Times New Roman" w:cs="Times New Roman"/>
          <w:shd w:val="clear" w:color="auto" w:fill="FFFFFF"/>
        </w:rPr>
        <w:t xml:space="preserve"> </w:t>
      </w:r>
      <w:r w:rsidRPr="003C6F72">
        <w:rPr>
          <w:rFonts w:ascii="Times New Roman" w:hAnsi="Times New Roman" w:cs="Times New Roman"/>
          <w:shd w:val="clear" w:color="auto" w:fill="FFFFFF"/>
        </w:rPr>
        <w:t xml:space="preserve"> </w:t>
      </w:r>
    </w:p>
    <w:p w:rsidR="001B0AB2" w:rsidRPr="003C6F72" w:rsidP="001B0AB2" w14:paraId="084DD215" w14:textId="77777777">
      <w:pPr>
        <w:pStyle w:val="ListParagraph"/>
        <w:rPr>
          <w:rFonts w:ascii="Times New Roman" w:eastAsia="Calibri" w:hAnsi="Times New Roman" w:cs="Times New Roman"/>
          <w:b/>
          <w:bCs/>
        </w:rPr>
      </w:pPr>
    </w:p>
    <w:p w:rsidR="00072AA8" w:rsidRPr="00072AA8" w:rsidP="0017082F" w14:paraId="03C488E6" w14:textId="77777777">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shd w:val="clear" w:color="auto" w:fill="FFFFFF"/>
        </w:rPr>
        <w:t>For collections of information whose results will be published, outline plans for tabulation and publication.</w:t>
      </w:r>
    </w:p>
    <w:p w:rsidR="006C1421" w:rsidRPr="003C6F72" w:rsidP="00072AA8" w14:paraId="7172BD81" w14:textId="5B3D9B13">
      <w:pPr>
        <w:pStyle w:val="ListParagraph"/>
        <w:tabs>
          <w:tab w:val="left" w:pos="90"/>
        </w:tabs>
        <w:ind w:left="360"/>
        <w:rPr>
          <w:rFonts w:ascii="Times New Roman" w:eastAsia="Calibri" w:hAnsi="Times New Roman" w:cs="Times New Roman"/>
          <w:b/>
          <w:bCs/>
        </w:rPr>
      </w:pPr>
      <w:r>
        <w:rPr>
          <w:rFonts w:ascii="Times New Roman" w:hAnsi="Times New Roman" w:cs="Times New Roman"/>
          <w:shd w:val="clear" w:color="auto" w:fill="FFFFFF"/>
        </w:rPr>
        <w:tab/>
      </w:r>
      <w:r w:rsidRPr="003C6F72" w:rsidR="008C6990">
        <w:rPr>
          <w:rFonts w:ascii="Times New Roman" w:hAnsi="Times New Roman" w:cs="Times New Roman"/>
          <w:shd w:val="clear" w:color="auto" w:fill="FFFFFF"/>
        </w:rPr>
        <w:t xml:space="preserve">The Commission </w:t>
      </w:r>
      <w:r w:rsidRPr="003C6F72">
        <w:rPr>
          <w:rFonts w:ascii="Times New Roman" w:hAnsi="Times New Roman" w:cs="Times New Roman"/>
          <w:shd w:val="clear" w:color="auto" w:fill="FFFFFF"/>
        </w:rPr>
        <w:t xml:space="preserve">does not have any current plans to publish </w:t>
      </w:r>
      <w:r w:rsidRPr="003C6F72" w:rsidR="00A24747">
        <w:rPr>
          <w:rFonts w:ascii="Times New Roman" w:hAnsi="Times New Roman" w:cs="Times New Roman"/>
          <w:shd w:val="clear" w:color="auto" w:fill="FFFFFF"/>
        </w:rPr>
        <w:t xml:space="preserve">results from this information collection.  </w:t>
      </w:r>
    </w:p>
    <w:p w:rsidR="009F7FBF" w:rsidRPr="003C6F72" w:rsidP="009F7FBF" w14:paraId="1205DD6F" w14:textId="77777777">
      <w:pPr>
        <w:pStyle w:val="ListParagraph"/>
        <w:rPr>
          <w:rFonts w:ascii="Times New Roman" w:eastAsia="Calibri" w:hAnsi="Times New Roman" w:cs="Times New Roman"/>
          <w:b/>
          <w:bCs/>
        </w:rPr>
      </w:pPr>
    </w:p>
    <w:p w:rsidR="00072AA8" w:rsidRPr="00072AA8" w:rsidP="0017082F" w14:paraId="0B69C028" w14:textId="535E3D26">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shd w:val="clear" w:color="auto" w:fill="FFFFFF"/>
        </w:rPr>
        <w:t>If seeking approval to not display the expiration date for OMB approval of the information collection, explain the reason that a display would be inappropriate.</w:t>
      </w:r>
      <w:r w:rsidR="00E4670D">
        <w:rPr>
          <w:rFonts w:ascii="Times New Roman" w:hAnsi="Times New Roman" w:cs="Times New Roman"/>
          <w:b/>
          <w:bCs/>
          <w:shd w:val="clear" w:color="auto" w:fill="FFFFFF"/>
        </w:rPr>
        <w:br/>
      </w:r>
    </w:p>
    <w:p w:rsidR="00DD2DFE" w:rsidRPr="003C6F72" w:rsidP="00072AA8" w14:paraId="47D48B47" w14:textId="657306AF">
      <w:pPr>
        <w:pStyle w:val="ListParagraph"/>
        <w:tabs>
          <w:tab w:val="left" w:pos="90"/>
        </w:tabs>
        <w:ind w:left="360"/>
        <w:rPr>
          <w:rFonts w:ascii="Times New Roman" w:eastAsia="Calibri" w:hAnsi="Times New Roman" w:cs="Times New Roman"/>
          <w:b/>
          <w:bCs/>
        </w:rPr>
      </w:pPr>
      <w:r>
        <w:rPr>
          <w:rFonts w:ascii="Times New Roman" w:hAnsi="Times New Roman" w:cs="Times New Roman"/>
          <w:shd w:val="clear" w:color="auto" w:fill="FFFFFF"/>
        </w:rPr>
        <w:tab/>
      </w:r>
      <w:r w:rsidRPr="003C6F72" w:rsidR="00F41BC9">
        <w:rPr>
          <w:rFonts w:ascii="Times New Roman" w:hAnsi="Times New Roman" w:cs="Times New Roman"/>
          <w:shd w:val="clear" w:color="auto" w:fill="FFFFFF"/>
        </w:rPr>
        <w:t xml:space="preserve">The Commission is requesting a waiver of the requirement to display the OMB expiration date on the surveys because </w:t>
      </w:r>
      <w:r w:rsidRPr="003C6F72" w:rsidR="0081739A">
        <w:rPr>
          <w:rFonts w:ascii="Times New Roman" w:hAnsi="Times New Roman" w:cs="Times New Roman"/>
          <w:shd w:val="clear" w:color="auto" w:fill="FFFFFF"/>
        </w:rPr>
        <w:t xml:space="preserve">the Commission is not producing </w:t>
      </w:r>
      <w:r w:rsidRPr="003C6F72" w:rsidR="00315D3A">
        <w:rPr>
          <w:rFonts w:ascii="Times New Roman" w:hAnsi="Times New Roman" w:cs="Times New Roman"/>
          <w:shd w:val="clear" w:color="auto" w:fill="FFFFFF"/>
        </w:rPr>
        <w:t xml:space="preserve">any </w:t>
      </w:r>
      <w:r w:rsidRPr="003C6F72" w:rsidR="0081739A">
        <w:rPr>
          <w:rFonts w:ascii="Times New Roman" w:hAnsi="Times New Roman" w:cs="Times New Roman"/>
          <w:shd w:val="clear" w:color="auto" w:fill="FFFFFF"/>
        </w:rPr>
        <w:t>survey forms</w:t>
      </w:r>
      <w:r w:rsidRPr="003C6F72" w:rsidR="009F7FBF">
        <w:rPr>
          <w:rFonts w:ascii="Times New Roman" w:hAnsi="Times New Roman" w:cs="Times New Roman"/>
          <w:shd w:val="clear" w:color="auto" w:fill="FFFFFF"/>
        </w:rPr>
        <w:t xml:space="preserve"> associated with this collection</w:t>
      </w:r>
      <w:r w:rsidRPr="003C6F72" w:rsidR="00F41BC9">
        <w:rPr>
          <w:rFonts w:ascii="Times New Roman" w:hAnsi="Times New Roman" w:cs="Times New Roman"/>
          <w:shd w:val="clear" w:color="auto" w:fill="FFFFFF"/>
        </w:rPr>
        <w:t xml:space="preserve">.  The Commission displays the OMB expiration date, title and OMB control number in 47 CFR </w:t>
      </w:r>
      <w:r w:rsidRPr="003C6F72" w:rsidR="008E5847">
        <w:rPr>
          <w:rFonts w:ascii="Times New Roman" w:hAnsi="Times New Roman" w:cs="Times New Roman"/>
        </w:rPr>
        <w:t xml:space="preserve">§ </w:t>
      </w:r>
      <w:r w:rsidRPr="003C6F72" w:rsidR="00F41BC9">
        <w:rPr>
          <w:rFonts w:ascii="Times New Roman" w:hAnsi="Times New Roman" w:cs="Times New Roman"/>
          <w:shd w:val="clear" w:color="auto" w:fill="FFFFFF"/>
        </w:rPr>
        <w:t>0.408 of the Commission’s rules.</w:t>
      </w:r>
    </w:p>
    <w:p w:rsidR="009F7FBF" w:rsidRPr="003C6F72" w:rsidP="009F7FBF" w14:paraId="5C1C1041" w14:textId="77777777">
      <w:pPr>
        <w:pStyle w:val="ListParagraph"/>
        <w:rPr>
          <w:rFonts w:ascii="Times New Roman" w:eastAsia="Calibri" w:hAnsi="Times New Roman" w:cs="Times New Roman"/>
          <w:b/>
          <w:bCs/>
        </w:rPr>
      </w:pPr>
    </w:p>
    <w:p w:rsidR="009A3AA8" w:rsidRPr="009A3AA8" w:rsidP="0017082F" w14:paraId="051A31EC" w14:textId="63D9D262">
      <w:pPr>
        <w:pStyle w:val="ListParagraph"/>
        <w:numPr>
          <w:ilvl w:val="0"/>
          <w:numId w:val="38"/>
        </w:numPr>
        <w:tabs>
          <w:tab w:val="left" w:pos="90"/>
        </w:tabs>
        <w:rPr>
          <w:rFonts w:ascii="Times New Roman" w:eastAsia="Calibri" w:hAnsi="Times New Roman" w:cs="Times New Roman"/>
          <w:b/>
          <w:bCs/>
        </w:rPr>
      </w:pPr>
      <w:r>
        <w:rPr>
          <w:rFonts w:ascii="Times New Roman" w:hAnsi="Times New Roman" w:cs="Times New Roman"/>
          <w:b/>
          <w:bCs/>
          <w:shd w:val="clear" w:color="auto" w:fill="FFFFFF"/>
        </w:rPr>
        <w:t>Explain any exceptions to the statement certifying compliance with 5 C.F.R.</w:t>
      </w:r>
      <w:r w:rsidRPr="009A3AA8">
        <w:rPr>
          <w:rFonts w:ascii="Times New Roman" w:hAnsi="Times New Roman" w:cs="Times New Roman"/>
          <w:b/>
          <w:bCs/>
          <w:shd w:val="clear" w:color="auto" w:fill="FFFFFF"/>
        </w:rPr>
        <w:t xml:space="preserve"> </w:t>
      </w:r>
      <w:r w:rsidRPr="009A3AA8">
        <w:rPr>
          <w:rFonts w:ascii="Times New Roman" w:hAnsi="Times New Roman" w:cs="Times New Roman"/>
          <w:b/>
          <w:bCs/>
        </w:rPr>
        <w:t>§ 1320.9 and the related provisions of 5 C.F.R. § 1320.8(b)(3) (Item 19, OMB Form 83-i).</w:t>
      </w:r>
      <w:r>
        <w:rPr>
          <w:rFonts w:ascii="Times New Roman" w:hAnsi="Times New Roman" w:cs="Times New Roman"/>
        </w:rPr>
        <w:t xml:space="preserve"> </w:t>
      </w:r>
      <w:r w:rsidR="00E4670D">
        <w:rPr>
          <w:rFonts w:ascii="Times New Roman" w:hAnsi="Times New Roman" w:cs="Times New Roman"/>
        </w:rPr>
        <w:br/>
      </w:r>
    </w:p>
    <w:p w:rsidR="009F3785" w:rsidRPr="003C6F72" w:rsidP="009A3AA8" w14:paraId="6A06FA55" w14:textId="08D45F2A">
      <w:pPr>
        <w:pStyle w:val="ListParagraph"/>
        <w:tabs>
          <w:tab w:val="left" w:pos="90"/>
        </w:tabs>
        <w:ind w:left="360"/>
        <w:rPr>
          <w:rFonts w:ascii="Times New Roman" w:eastAsia="Calibri" w:hAnsi="Times New Roman" w:cs="Times New Roman"/>
          <w:b/>
          <w:bCs/>
        </w:rPr>
      </w:pPr>
      <w:r>
        <w:rPr>
          <w:rFonts w:ascii="Times New Roman" w:hAnsi="Times New Roman" w:cs="Times New Roman"/>
          <w:shd w:val="clear" w:color="auto" w:fill="FFFFFF"/>
        </w:rPr>
        <w:tab/>
      </w:r>
      <w:r w:rsidRPr="003C6F72">
        <w:rPr>
          <w:rFonts w:ascii="Times New Roman" w:hAnsi="Times New Roman" w:cs="Times New Roman"/>
          <w:shd w:val="clear" w:color="auto" w:fill="FFFFFF"/>
        </w:rPr>
        <w:t xml:space="preserve">There are no exceptions to the Certification Statement. </w:t>
      </w:r>
    </w:p>
    <w:p w:rsidR="00155F0E" w:rsidP="00667135" w14:paraId="7F66D553" w14:textId="0F5CCA1E">
      <w:pPr>
        <w:tabs>
          <w:tab w:val="left" w:pos="5448"/>
        </w:tabs>
        <w:rPr>
          <w:rFonts w:ascii="Times New Roman" w:hAnsi="Times New Roman" w:cs="Times New Roman"/>
        </w:rPr>
      </w:pPr>
      <w:r w:rsidRPr="003C6F72">
        <w:rPr>
          <w:rFonts w:ascii="Times New Roman" w:hAnsi="Times New Roman" w:cs="Times New Roman"/>
        </w:rPr>
        <w:tab/>
      </w:r>
    </w:p>
    <w:p w:rsidR="00464233" w:rsidRPr="00464233" w:rsidP="00464233" w14:paraId="07D653A5" w14:textId="5CD34507">
      <w:pPr>
        <w:pStyle w:val="ListParagraph"/>
        <w:numPr>
          <w:ilvl w:val="0"/>
          <w:numId w:val="41"/>
        </w:numPr>
        <w:spacing w:after="0"/>
        <w:rPr>
          <w:rFonts w:ascii="Times New Roman" w:eastAsia="Times New Roman" w:hAnsi="Times New Roman" w:cs="Times New Roman"/>
          <w:b/>
        </w:rPr>
      </w:pPr>
      <w:r w:rsidRPr="00464233">
        <w:rPr>
          <w:rFonts w:ascii="Times New Roman" w:eastAsia="Times New Roman" w:hAnsi="Times New Roman" w:cs="Times New Roman"/>
          <w:b/>
          <w:u w:val="single"/>
        </w:rPr>
        <w:t>Collections of Information Employing Statistical Methods:</w:t>
      </w:r>
      <w:r w:rsidR="00E4670D">
        <w:rPr>
          <w:rFonts w:ascii="Times New Roman" w:eastAsia="Times New Roman" w:hAnsi="Times New Roman" w:cs="Times New Roman"/>
          <w:b/>
          <w:u w:val="single"/>
        </w:rPr>
        <w:br/>
      </w:r>
    </w:p>
    <w:p w:rsidR="005D6BE7" w:rsidRPr="00464233" w:rsidP="001C6D78" w14:paraId="451B7C24" w14:textId="229DB647">
      <w:pPr>
        <w:spacing w:after="0"/>
        <w:ind w:left="360" w:firstLine="360"/>
        <w:rPr>
          <w:rFonts w:ascii="Times New Roman" w:eastAsia="Times New Roman" w:hAnsi="Times New Roman" w:cs="Times New Roman"/>
          <w:b/>
        </w:rPr>
      </w:pPr>
      <w:r w:rsidRPr="00464233">
        <w:rPr>
          <w:rFonts w:ascii="Times New Roman" w:eastAsia="Times New Roman" w:hAnsi="Times New Roman" w:cs="Times New Roman"/>
        </w:rPr>
        <w:t>The Commission does not anticipate that the collections of information will employ statistical methods</w:t>
      </w:r>
      <w:r w:rsidRPr="00464233">
        <w:rPr>
          <w:rFonts w:ascii="Times New Roman" w:eastAsia="Times New Roman" w:hAnsi="Times New Roman" w:cs="Times New Roman"/>
          <w:sz w:val="24"/>
          <w:szCs w:val="24"/>
        </w:rPr>
        <w:t>.</w:t>
      </w:r>
    </w:p>
    <w:p w:rsidR="005D6BE7" w:rsidRPr="003C6F72" w:rsidP="00667135" w14:paraId="22CB3089" w14:textId="77777777">
      <w:pPr>
        <w:tabs>
          <w:tab w:val="left" w:pos="5448"/>
        </w:tabs>
        <w:rPr>
          <w:rFonts w:ascii="Times New Roman" w:hAnsi="Times New Roman" w:cs="Times New Roman"/>
          <w:bCs/>
        </w:rPr>
      </w:pPr>
    </w:p>
    <w:sectPr w:rsidSect="0017082F">
      <w:headerReference w:type="default" r:id="rId9"/>
      <w:footerReference w:type="default" r:id="rId10"/>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0962638"/>
      <w:docPartObj>
        <w:docPartGallery w:val="Page Numbers (Bottom of Page)"/>
        <w:docPartUnique/>
      </w:docPartObj>
    </w:sdtPr>
    <w:sdtEndPr>
      <w:rPr>
        <w:noProof/>
      </w:rPr>
    </w:sdtEndPr>
    <w:sdtContent>
      <w:p w:rsidR="00DD0CFD" w14:paraId="14D29D6D" w14:textId="6AB59732">
        <w:pPr>
          <w:pStyle w:val="Footer"/>
          <w:jc w:val="center"/>
        </w:pPr>
        <w:r>
          <w:t>)</w:t>
        </w:r>
        <w:r>
          <w:fldChar w:fldCharType="begin"/>
        </w:r>
        <w:r>
          <w:instrText xml:space="preserve"> PAGE   \* MERGEFORMAT </w:instrText>
        </w:r>
        <w:r>
          <w:fldChar w:fldCharType="separate"/>
        </w:r>
        <w:r>
          <w:rPr>
            <w:noProof/>
          </w:rPr>
          <w:t>2</w:t>
        </w:r>
        <w:r>
          <w:rPr>
            <w:noProof/>
          </w:rPr>
          <w:fldChar w:fldCharType="end"/>
        </w:r>
      </w:p>
    </w:sdtContent>
  </w:sdt>
  <w:p w:rsidR="00DD0CFD" w14:paraId="470C42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438C" w:rsidP="009163B9" w14:paraId="1C418E41" w14:textId="77777777">
      <w:pPr>
        <w:spacing w:after="0"/>
      </w:pPr>
      <w:r>
        <w:separator/>
      </w:r>
    </w:p>
  </w:footnote>
  <w:footnote w:type="continuationSeparator" w:id="1">
    <w:p w:rsidR="006C438C" w:rsidP="009163B9" w14:paraId="50B5D339" w14:textId="77777777">
      <w:pPr>
        <w:spacing w:after="0"/>
      </w:pPr>
      <w:r>
        <w:continuationSeparator/>
      </w:r>
    </w:p>
  </w:footnote>
  <w:footnote w:type="continuationNotice" w:id="2">
    <w:p w:rsidR="006C438C" w14:paraId="26AAB2A5" w14:textId="77777777">
      <w:pPr>
        <w:spacing w:after="0"/>
      </w:pPr>
    </w:p>
  </w:footnote>
  <w:footnote w:id="3">
    <w:p w:rsidR="00B13757" w:rsidRPr="0017082F" w:rsidP="00093F91" w14:paraId="17F8D1C3" w14:textId="414E2E7C">
      <w:pPr>
        <w:spacing w:after="0"/>
        <w:rPr>
          <w:rFonts w:ascii="Times New Roman" w:hAnsi="Times New Roman"/>
        </w:rPr>
      </w:pPr>
      <w:r w:rsidRPr="004A7F71">
        <w:rPr>
          <w:rStyle w:val="FootnoteReference"/>
          <w:rFonts w:ascii="Times New Roman" w:hAnsi="Times New Roman"/>
        </w:rPr>
        <w:footnoteRef/>
      </w:r>
      <w:r w:rsidRPr="0017082F">
        <w:rPr>
          <w:rFonts w:ascii="Times New Roman" w:hAnsi="Times New Roman"/>
        </w:rPr>
        <w:t xml:space="preserve"> </w:t>
      </w:r>
      <w:r w:rsidRPr="006F4580">
        <w:rPr>
          <w:rFonts w:ascii="Times New Roman" w:hAnsi="Times New Roman" w:cs="Times New Roman"/>
          <w:i/>
          <w:sz w:val="20"/>
          <w:szCs w:val="20"/>
        </w:rPr>
        <w:t>See Resilient Networks; Amendments to Part 4 of the Commission’s Rules Concerning Disruptions to Communications; New Part 4 of the Commission’s Rules Concerns Disruptions to Communications</w:t>
      </w:r>
      <w:r w:rsidRPr="006F4580">
        <w:rPr>
          <w:rFonts w:ascii="Times New Roman" w:hAnsi="Times New Roman" w:cs="Times New Roman"/>
          <w:sz w:val="20"/>
          <w:szCs w:val="20"/>
        </w:rPr>
        <w:t>, PS Docket Nos. 21-346 and 15-80; ET Docket No. 04-35, Report and Order and Further Notice of Proposed Rulemaking (</w:t>
      </w:r>
      <w:r w:rsidRPr="006F4580">
        <w:rPr>
          <w:rFonts w:ascii="Times New Roman" w:hAnsi="Times New Roman" w:cs="Times New Roman"/>
          <w:i/>
          <w:iCs/>
          <w:sz w:val="20"/>
          <w:szCs w:val="20"/>
        </w:rPr>
        <w:t>Report and Order</w:t>
      </w:r>
      <w:r w:rsidRPr="006F4580">
        <w:rPr>
          <w:rFonts w:ascii="Times New Roman" w:hAnsi="Times New Roman" w:cs="Times New Roman"/>
          <w:sz w:val="20"/>
          <w:szCs w:val="20"/>
        </w:rPr>
        <w:t>), 87 FCC Rcd 59329 (2022).</w:t>
      </w:r>
    </w:p>
  </w:footnote>
  <w:footnote w:id="4">
    <w:p w:rsidR="00822F3C" w:rsidRPr="006F4580" w:rsidP="00093F91" w14:paraId="4AF2AAEA" w14:textId="037FC5E3">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iCs/>
        </w:rPr>
        <w:t>Report and Order</w:t>
      </w:r>
      <w:r w:rsidRPr="006F4580">
        <w:rPr>
          <w:rFonts w:cs="Times New Roman"/>
        </w:rPr>
        <w:t>.</w:t>
      </w:r>
    </w:p>
  </w:footnote>
  <w:footnote w:id="5">
    <w:p w:rsidR="009017DD" w:rsidRPr="006F4580" w:rsidP="00093F91" w14:paraId="4601E88D" w14:textId="29B5C520">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D87CF8">
        <w:rPr>
          <w:rFonts w:eastAsia="Calibri" w:cs="Times New Roman"/>
        </w:rPr>
        <w:t xml:space="preserve">47 CFR </w:t>
      </w:r>
      <w:r w:rsidRPr="006F4580" w:rsidR="00D87CF8">
        <w:rPr>
          <w:rFonts w:cs="Times New Roman"/>
        </w:rPr>
        <w:t xml:space="preserve">§ </w:t>
      </w:r>
      <w:r w:rsidRPr="006F4580" w:rsidR="00D87CF8">
        <w:rPr>
          <w:rFonts w:eastAsia="Calibri" w:cs="Times New Roman"/>
        </w:rPr>
        <w:t>4.17.</w:t>
      </w:r>
    </w:p>
  </w:footnote>
  <w:footnote w:id="6">
    <w:p w:rsidR="008C2730" w:rsidRPr="006F4580" w:rsidP="00093F91" w14:paraId="6326EE7B" w14:textId="4F4FA858">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D35473">
        <w:rPr>
          <w:rFonts w:cs="Times New Roman"/>
          <w:i/>
          <w:iCs/>
        </w:rPr>
        <w:t>Report and Order</w:t>
      </w:r>
      <w:r w:rsidRPr="006F4580">
        <w:rPr>
          <w:rFonts w:cs="Times New Roman"/>
          <w:i/>
          <w:iCs/>
        </w:rPr>
        <w:t xml:space="preserve"> </w:t>
      </w:r>
      <w:r w:rsidRPr="006F4580">
        <w:rPr>
          <w:rFonts w:cs="Times New Roman"/>
        </w:rPr>
        <w:t>at para. 22.</w:t>
      </w:r>
    </w:p>
  </w:footnote>
  <w:footnote w:id="7">
    <w:p w:rsidR="00FC10CE" w:rsidRPr="006F4580" w:rsidP="00093F91" w14:paraId="1278D42F" w14:textId="54D4E85B">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iCs/>
        </w:rPr>
        <w:t>See Improving the Resiliency of Mobile Wireless Communications Networks; Reliability and Continuity of Communications Networks, Including Broadband Technologies</w:t>
      </w:r>
      <w:r w:rsidRPr="006F4580">
        <w:rPr>
          <w:rFonts w:cs="Times New Roman"/>
        </w:rPr>
        <w:t>, PS Docket No, 13-239 (terminated), PS Docket No. 11-60, Order, FCC 16-173 at 3 (December 14, 2016) (</w:t>
      </w:r>
      <w:r w:rsidRPr="006F4580">
        <w:rPr>
          <w:rFonts w:cs="Times New Roman"/>
          <w:i/>
          <w:iCs/>
        </w:rPr>
        <w:t>Framework Order</w:t>
      </w:r>
      <w:r w:rsidRPr="006F4580">
        <w:rPr>
          <w:rFonts w:cs="Times New Roman"/>
        </w:rPr>
        <w:t>).</w:t>
      </w:r>
    </w:p>
  </w:footnote>
  <w:footnote w:id="8">
    <w:p w:rsidR="00D02196" w:rsidRPr="006F4580" w:rsidP="00093F91" w14:paraId="01061A31" w14:textId="3E0B5E0D">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iCs/>
        </w:rPr>
        <w:t xml:space="preserve">Report and Order </w:t>
      </w:r>
      <w:r w:rsidRPr="006F4580">
        <w:rPr>
          <w:rFonts w:cs="Times New Roman"/>
        </w:rPr>
        <w:t>at paras. 28-29.</w:t>
      </w:r>
    </w:p>
  </w:footnote>
  <w:footnote w:id="9">
    <w:p w:rsidR="0067012F" w:rsidRPr="006F4580" w:rsidP="00093F91" w14:paraId="4DACF947" w14:textId="0E6A9712">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szCs w:val="24"/>
          <w:shd w:val="clear" w:color="auto" w:fill="FFFFFF"/>
        </w:rPr>
        <w:t>5 U.S.C.</w:t>
      </w:r>
      <w:r w:rsidR="002723E5">
        <w:rPr>
          <w:rFonts w:cs="Times New Roman"/>
          <w:color w:val="222222"/>
          <w:szCs w:val="24"/>
          <w:shd w:val="clear" w:color="auto" w:fill="FFFFFF"/>
        </w:rPr>
        <w:t xml:space="preserve"> </w:t>
      </w:r>
      <w:r w:rsidRPr="006F4580">
        <w:rPr>
          <w:rFonts w:cs="Times New Roman"/>
          <w:szCs w:val="24"/>
        </w:rPr>
        <w:t>§</w:t>
      </w:r>
      <w:r w:rsidR="002723E5">
        <w:rPr>
          <w:rFonts w:cs="Times New Roman"/>
          <w:szCs w:val="24"/>
        </w:rPr>
        <w:t xml:space="preserve"> </w:t>
      </w:r>
      <w:r w:rsidRPr="006F4580">
        <w:rPr>
          <w:rFonts w:cs="Times New Roman"/>
          <w:szCs w:val="24"/>
        </w:rPr>
        <w:t>552(a).</w:t>
      </w:r>
    </w:p>
  </w:footnote>
  <w:footnote w:id="10">
    <w:p w:rsidR="001A756C" w:rsidRPr="006F4580" w:rsidP="00093F91" w14:paraId="79E6FBB0" w14:textId="2EAB5103">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AC4CCE">
        <w:rPr>
          <w:rFonts w:cs="Times New Roman"/>
          <w:i/>
          <w:iCs/>
        </w:rPr>
        <w:t>E.g.</w:t>
      </w:r>
      <w:r w:rsidRPr="006F4580" w:rsidR="00AC4CCE">
        <w:rPr>
          <w:rFonts w:cs="Times New Roman"/>
        </w:rPr>
        <w:t xml:space="preserve">, Letter from Joan Marsh, AT&amp;T; Charles McKee, Sprint; Grant Spellmeyer, U.S. Cellular; Scott Bergmann, CTIA; Steve Sharkey, T-Mobile; and William H. Johnson, Verizon, to Marlene Dortch, Secretary, Federal Communications Commission (dated Apr. 27, 2016), PS Docket Nos. 11-60 and 13-239, </w:t>
      </w:r>
      <w:hyperlink r:id="rId1" w:history="1">
        <w:r w:rsidRPr="006F4580" w:rsidR="00AC4CCE">
          <w:rPr>
            <w:rStyle w:val="Hyperlink"/>
            <w:rFonts w:cs="Times New Roman"/>
          </w:rPr>
          <w:t>http://www.ctia.org/docs/default-source/fcc-filings/160427-final-network-resiliency-commitment-letter.pdf at 3</w:t>
        </w:r>
      </w:hyperlink>
      <w:r w:rsidRPr="006F4580" w:rsidR="00AC4CCE">
        <w:rPr>
          <w:rFonts w:cs="Times New Roman"/>
        </w:rPr>
        <w:t xml:space="preserve">; </w:t>
      </w:r>
      <w:r w:rsidRPr="006F4580" w:rsidR="00AC4CCE">
        <w:rPr>
          <w:rFonts w:cs="Times New Roman"/>
          <w:i/>
          <w:iCs/>
        </w:rPr>
        <w:t>see also</w:t>
      </w:r>
      <w:r w:rsidRPr="006F4580" w:rsidR="00AC4CCE">
        <w:rPr>
          <w:rFonts w:cs="Times New Roman"/>
        </w:rPr>
        <w:t xml:space="preserve">, </w:t>
      </w:r>
      <w:r w:rsidRPr="006F4580" w:rsidR="00AC4CCE">
        <w:rPr>
          <w:rFonts w:cs="Times New Roman"/>
          <w:i/>
          <w:iCs/>
        </w:rPr>
        <w:t>e.g.</w:t>
      </w:r>
      <w:r w:rsidRPr="006F4580" w:rsidR="00AC4CCE">
        <w:rPr>
          <w:rFonts w:cs="Times New Roman"/>
        </w:rPr>
        <w:t xml:space="preserve">, </w:t>
      </w:r>
      <w:r w:rsidRPr="006F4580" w:rsidR="00AC4CCE">
        <w:rPr>
          <w:rFonts w:cs="Times New Roman"/>
          <w:i/>
          <w:iCs/>
        </w:rPr>
        <w:t>Framework Order</w:t>
      </w:r>
      <w:r w:rsidRPr="006F4580" w:rsidR="00AC4CCE">
        <w:rPr>
          <w:rFonts w:cs="Times New Roman"/>
        </w:rPr>
        <w:t xml:space="preserve"> at para. </w:t>
      </w:r>
      <w:r w:rsidRPr="006F4580" w:rsidR="00B03B07">
        <w:rPr>
          <w:rFonts w:cs="Times New Roman"/>
        </w:rPr>
        <w:t>15</w:t>
      </w:r>
      <w:r w:rsidRPr="006F4580" w:rsidR="00AC4CCE">
        <w:rPr>
          <w:rFonts w:cs="Times New Roman"/>
        </w:rPr>
        <w:t>.</w:t>
      </w:r>
    </w:p>
  </w:footnote>
  <w:footnote w:id="11">
    <w:p w:rsidR="003457FD" w:rsidRPr="006F4580" w:rsidP="00093F91" w14:paraId="7B8681F9" w14:textId="6E495D88">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69461E">
        <w:rPr>
          <w:rFonts w:cs="Times New Roman"/>
          <w:i/>
          <w:iCs/>
        </w:rPr>
        <w:t>Report and Order</w:t>
      </w:r>
      <w:r w:rsidRPr="006F4580" w:rsidR="001C3D4E">
        <w:rPr>
          <w:rFonts w:cs="Times New Roman"/>
          <w:i/>
          <w:iCs/>
        </w:rPr>
        <w:t xml:space="preserve"> </w:t>
      </w:r>
      <w:r w:rsidRPr="006F4580" w:rsidR="009043DC">
        <w:rPr>
          <w:rFonts w:cs="Times New Roman"/>
        </w:rPr>
        <w:t>at para. 31.</w:t>
      </w:r>
    </w:p>
  </w:footnote>
  <w:footnote w:id="12">
    <w:p w:rsidR="003457FD" w:rsidRPr="006F4580" w:rsidP="00093F91" w14:paraId="68934CAA" w14:textId="770CCC16">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6F4580">
        <w:rPr>
          <w:rFonts w:cs="Times New Roman"/>
          <w:i/>
          <w:iCs/>
        </w:rPr>
        <w:t xml:space="preserve">Report and Order </w:t>
      </w:r>
      <w:r w:rsidRPr="006F4580" w:rsidR="006F4580">
        <w:rPr>
          <w:rFonts w:cs="Times New Roman"/>
        </w:rPr>
        <w:t>at para. 31.</w:t>
      </w:r>
    </w:p>
  </w:footnote>
  <w:footnote w:id="13">
    <w:p w:rsidR="00610CFE" w:rsidRPr="006F4580" w:rsidP="00093F91" w14:paraId="0688CF14" w14:textId="0F962F8F">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69461E">
        <w:rPr>
          <w:rFonts w:cs="Times New Roman"/>
          <w:i/>
          <w:iCs/>
        </w:rPr>
        <w:t>Report and Order</w:t>
      </w:r>
      <w:r w:rsidRPr="006F4580" w:rsidR="001C3D4E">
        <w:rPr>
          <w:rFonts w:cs="Times New Roman"/>
          <w:i/>
          <w:iCs/>
        </w:rPr>
        <w:t xml:space="preserve"> </w:t>
      </w:r>
      <w:r w:rsidRPr="006F4580">
        <w:rPr>
          <w:rFonts w:cs="Times New Roman"/>
        </w:rPr>
        <w:t>at para. 33.</w:t>
      </w:r>
    </w:p>
  </w:footnote>
  <w:footnote w:id="14">
    <w:p w:rsidR="001A756C" w:rsidRPr="006F4580" w:rsidP="00093F91" w14:paraId="7D41DC11" w14:textId="77777777">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iCs/>
        </w:rPr>
        <w:t xml:space="preserve">Report and Order </w:t>
      </w:r>
      <w:r w:rsidRPr="006F4580">
        <w:rPr>
          <w:rFonts w:cs="Times New Roman"/>
        </w:rPr>
        <w:t>at para. 24.</w:t>
      </w:r>
    </w:p>
  </w:footnote>
  <w:footnote w:id="15">
    <w:p w:rsidR="001A756C" w:rsidRPr="006F4580" w:rsidP="00093F91" w14:paraId="62A462DF" w14:textId="32287BB0">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0D5856">
        <w:rPr>
          <w:rFonts w:cs="Times New Roman"/>
          <w:i/>
          <w:iCs/>
        </w:rPr>
        <w:t>Report and Order</w:t>
      </w:r>
      <w:r w:rsidRPr="006F4580">
        <w:rPr>
          <w:rFonts w:cs="Times New Roman"/>
          <w:i/>
          <w:iCs/>
        </w:rPr>
        <w:t xml:space="preserve"> </w:t>
      </w:r>
      <w:r w:rsidRPr="006F4580">
        <w:rPr>
          <w:rFonts w:cs="Times New Roman"/>
        </w:rPr>
        <w:t>at para</w:t>
      </w:r>
      <w:r w:rsidR="00CC63AB">
        <w:rPr>
          <w:rFonts w:cs="Times New Roman"/>
        </w:rPr>
        <w:t>.</w:t>
      </w:r>
      <w:r w:rsidRPr="006F4580">
        <w:rPr>
          <w:rFonts w:cs="Times New Roman"/>
        </w:rPr>
        <w:t xml:space="preserve"> 16.</w:t>
      </w:r>
    </w:p>
  </w:footnote>
  <w:footnote w:id="16">
    <w:p w:rsidR="00CF55B3" w:rsidRPr="006F4580" w:rsidP="00093F91" w14:paraId="2F6A2600" w14:textId="0FAB2BE3">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69461E">
        <w:rPr>
          <w:rFonts w:cs="Times New Roman"/>
          <w:i/>
          <w:iCs/>
        </w:rPr>
        <w:t>Report and Order</w:t>
      </w:r>
      <w:r w:rsidRPr="006F4580" w:rsidR="001C3D4E">
        <w:rPr>
          <w:rFonts w:cs="Times New Roman"/>
          <w:i/>
          <w:iCs/>
        </w:rPr>
        <w:t xml:space="preserve"> </w:t>
      </w:r>
      <w:r w:rsidRPr="006F4580" w:rsidR="00226F85">
        <w:rPr>
          <w:rFonts w:cs="Times New Roman"/>
        </w:rPr>
        <w:t>at para. 22.</w:t>
      </w:r>
    </w:p>
  </w:footnote>
  <w:footnote w:id="17">
    <w:p w:rsidR="00226F85" w:rsidRPr="006F4580" w:rsidP="00093F91" w14:paraId="3843550D" w14:textId="79CAE519">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6F4580">
        <w:rPr>
          <w:rFonts w:cs="Times New Roman"/>
          <w:i/>
          <w:iCs/>
        </w:rPr>
        <w:t xml:space="preserve">Report and Order </w:t>
      </w:r>
      <w:r w:rsidRPr="006F4580" w:rsidR="006F4580">
        <w:rPr>
          <w:rFonts w:cs="Times New Roman"/>
        </w:rPr>
        <w:t>at para. 22.</w:t>
      </w:r>
    </w:p>
  </w:footnote>
  <w:footnote w:id="18">
    <w:p w:rsidR="00735E0B" w:rsidRPr="006F4580" w:rsidP="00093F91" w14:paraId="32325197" w14:textId="77C3F527">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0D5856">
        <w:rPr>
          <w:rFonts w:cs="Times New Roman"/>
          <w:i/>
          <w:iCs/>
        </w:rPr>
        <w:t>Report and Order</w:t>
      </w:r>
      <w:r w:rsidRPr="006F4580">
        <w:rPr>
          <w:rFonts w:cs="Times New Roman"/>
        </w:rPr>
        <w:t xml:space="preserve"> at para. 28</w:t>
      </w:r>
      <w:r w:rsidRPr="006F4580" w:rsidR="00041F98">
        <w:rPr>
          <w:rFonts w:cs="Times New Roman"/>
        </w:rPr>
        <w:t>, App</w:t>
      </w:r>
      <w:r w:rsidRPr="006F4580" w:rsidR="0061126E">
        <w:rPr>
          <w:rFonts w:cs="Times New Roman"/>
        </w:rPr>
        <w:t>.</w:t>
      </w:r>
      <w:r w:rsidRPr="006F4580" w:rsidR="00041F98">
        <w:rPr>
          <w:rFonts w:cs="Times New Roman"/>
        </w:rPr>
        <w:t xml:space="preserve"> A.</w:t>
      </w:r>
    </w:p>
  </w:footnote>
  <w:footnote w:id="19">
    <w:p w:rsidR="0040211B" w:rsidRPr="006F4580" w:rsidP="00093F91" w14:paraId="555EC80B" w14:textId="34BF5A03">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916162">
        <w:rPr>
          <w:rFonts w:cs="Times New Roman"/>
        </w:rPr>
        <w:t xml:space="preserve">The Commission set the compliance date for the MDRI rules as the later of (i) nine months after the publication of the </w:t>
      </w:r>
      <w:r w:rsidRPr="006F4580" w:rsidR="0069461E">
        <w:rPr>
          <w:rFonts w:cs="Times New Roman"/>
          <w:i/>
          <w:iCs/>
        </w:rPr>
        <w:t>Report and Order</w:t>
      </w:r>
      <w:r w:rsidRPr="006F4580" w:rsidR="00916162">
        <w:rPr>
          <w:rFonts w:cs="Times New Roman"/>
          <w:i/>
          <w:iCs/>
        </w:rPr>
        <w:t xml:space="preserve"> </w:t>
      </w:r>
      <w:r w:rsidRPr="006F4580" w:rsidR="00916162">
        <w:rPr>
          <w:rFonts w:cs="Times New Roman"/>
        </w:rPr>
        <w:t xml:space="preserve">in the Federal Register for small facilities-based mobile wireless providers and six months after the publication of the </w:t>
      </w:r>
      <w:r w:rsidRPr="006F4580" w:rsidR="00916162">
        <w:rPr>
          <w:rFonts w:cs="Times New Roman"/>
          <w:i/>
        </w:rPr>
        <w:t>Report &amp; Order</w:t>
      </w:r>
      <w:r w:rsidRPr="006F4580" w:rsidR="00916162">
        <w:rPr>
          <w:rFonts w:cs="Times New Roman"/>
        </w:rPr>
        <w:t xml:space="preserve"> in the Federal Register for all other (i.e., not small) facilities-based mobile wireless providers or (ii) 30 days after the Public Safety and Homeland Security Bureau issues a Public Notice announcing that OMB has completed review of any new information collection requirements associated with the Report and Order.</w:t>
      </w:r>
      <w:r w:rsidRPr="006F4580" w:rsidR="00112B5B">
        <w:rPr>
          <w:rFonts w:cs="Times New Roman"/>
        </w:rPr>
        <w:t xml:space="preserve">  </w:t>
      </w:r>
      <w:r w:rsidRPr="006F4580" w:rsidR="00916162">
        <w:rPr>
          <w:rFonts w:cs="Times New Roman"/>
          <w:i/>
          <w:iCs/>
        </w:rPr>
        <w:t>Id.</w:t>
      </w:r>
      <w:r w:rsidRPr="006F4580" w:rsidR="00916162">
        <w:rPr>
          <w:rFonts w:cs="Times New Roman"/>
        </w:rPr>
        <w:t xml:space="preserve"> at para</w:t>
      </w:r>
      <w:r w:rsidRPr="006F4580" w:rsidR="00112B5B">
        <w:rPr>
          <w:rFonts w:cs="Times New Roman"/>
        </w:rPr>
        <w:t>s</w:t>
      </w:r>
      <w:r w:rsidRPr="006F4580" w:rsidR="00916162">
        <w:rPr>
          <w:rFonts w:cs="Times New Roman"/>
        </w:rPr>
        <w:t xml:space="preserve">. </w:t>
      </w:r>
      <w:r w:rsidRPr="006F4580" w:rsidR="00112B5B">
        <w:rPr>
          <w:rFonts w:cs="Times New Roman"/>
        </w:rPr>
        <w:t xml:space="preserve">47, 48.  </w:t>
      </w:r>
      <w:r w:rsidRPr="006F4580">
        <w:rPr>
          <w:rFonts w:cs="Times New Roman"/>
        </w:rPr>
        <w:t xml:space="preserve">In setting the compliance dates, the Commission adopted the Small Business Administration (SBA)’s standard, which classifies a provider in this industry as small if it has 1,500 or fewer employees.  </w:t>
      </w:r>
      <w:r w:rsidRPr="006F4580">
        <w:rPr>
          <w:rFonts w:cs="Times New Roman"/>
          <w:bCs/>
          <w:i/>
          <w:iCs/>
        </w:rPr>
        <w:t>See</w:t>
      </w:r>
      <w:r w:rsidRPr="006F4580">
        <w:rPr>
          <w:rFonts w:cs="Times New Roman"/>
          <w:lang w:val="fr-FR"/>
        </w:rPr>
        <w:t xml:space="preserve"> 13 CFR § 121.201, NAICS Code 517312</w:t>
      </w:r>
      <w:r w:rsidRPr="006F4580" w:rsidR="002119DE">
        <w:rPr>
          <w:rFonts w:cs="Times New Roman"/>
          <w:lang w:val="fr-FR"/>
        </w:rPr>
        <w:t>.</w:t>
      </w:r>
      <w:r w:rsidRPr="006F4580">
        <w:rPr>
          <w:rFonts w:cs="Times New Roman"/>
        </w:rPr>
        <w:t xml:space="preserve"> </w:t>
      </w:r>
    </w:p>
  </w:footnote>
  <w:footnote w:id="20">
    <w:p w:rsidR="00856D15" w:rsidRPr="006F4580" w:rsidP="00093F91" w14:paraId="7E5893AC" w14:textId="73941A5E">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1948F7">
        <w:rPr>
          <w:rFonts w:cs="Times New Roman"/>
        </w:rPr>
        <w:t>47 CFR § 0.459.</w:t>
      </w:r>
    </w:p>
  </w:footnote>
  <w:footnote w:id="21">
    <w:p w:rsidR="00B21255" w:rsidRPr="00B53824" w:rsidP="00093F91" w14:paraId="3595BB2A" w14:textId="5CC781F8">
      <w:pPr>
        <w:pStyle w:val="FootnoteText"/>
        <w:rPr>
          <w:rFonts w:cs="Times New Roman"/>
        </w:rPr>
      </w:pPr>
      <w:r w:rsidRPr="00F71606">
        <w:rPr>
          <w:rStyle w:val="FootnoteReference"/>
          <w:rFonts w:cs="Times New Roman"/>
        </w:rPr>
        <w:footnoteRef/>
      </w:r>
      <w:r w:rsidRPr="00F71606">
        <w:rPr>
          <w:rFonts w:cs="Times New Roman"/>
        </w:rPr>
        <w:t xml:space="preserve"> CCA and CTIA Comments at </w:t>
      </w:r>
      <w:r w:rsidR="00DC68F9">
        <w:rPr>
          <w:rFonts w:cs="Times New Roman"/>
        </w:rPr>
        <w:t>2-</w:t>
      </w:r>
      <w:r w:rsidRPr="00F71606">
        <w:rPr>
          <w:rFonts w:cs="Times New Roman"/>
        </w:rPr>
        <w:t>3 and 11.</w:t>
      </w:r>
      <w:r w:rsidR="00B53824">
        <w:rPr>
          <w:rFonts w:cs="Times New Roman"/>
        </w:rPr>
        <w:t xml:space="preserve">  </w:t>
      </w:r>
      <w:r w:rsidR="00B53824">
        <w:rPr>
          <w:rFonts w:cs="Times New Roman"/>
          <w:i/>
          <w:iCs/>
        </w:rPr>
        <w:t xml:space="preserve">See also </w:t>
      </w:r>
      <w:r w:rsidR="00B53824">
        <w:rPr>
          <w:rFonts w:cs="Times New Roman"/>
        </w:rPr>
        <w:t>44 U.S.C. § 3506(c)(1)(A)(iv) and 44 U.S.C.</w:t>
      </w:r>
      <w:r w:rsidR="005E26C7">
        <w:rPr>
          <w:rFonts w:cs="Times New Roman"/>
        </w:rPr>
        <w:t xml:space="preserve"> § 3506(c)(3)(D).  </w:t>
      </w:r>
    </w:p>
  </w:footnote>
  <w:footnote w:id="22">
    <w:p w:rsidR="00B21255" w:rsidRPr="00AB5BDF" w:rsidP="00093F91" w14:paraId="4C39F7D9" w14:textId="77777777">
      <w:pPr>
        <w:pStyle w:val="FootnoteText"/>
        <w:rPr>
          <w:rFonts w:cs="Times New Roman"/>
        </w:rPr>
      </w:pPr>
      <w:r w:rsidRPr="00AB5BDF">
        <w:rPr>
          <w:rStyle w:val="FootnoteReference"/>
          <w:rFonts w:cs="Times New Roman"/>
        </w:rPr>
        <w:footnoteRef/>
      </w:r>
      <w:r w:rsidRPr="00AB5BDF">
        <w:rPr>
          <w:rFonts w:cs="Times New Roman"/>
        </w:rPr>
        <w:t xml:space="preserve"> </w:t>
      </w:r>
      <w:r>
        <w:rPr>
          <w:rFonts w:cs="Times New Roman"/>
        </w:rPr>
        <w:t xml:space="preserve">Under 44 U.S.C. § 3502 (A), the term “collection of information” is defined as “the obtaining, causing to be obtained, soliciting, or requiring the disclosure to third parties or the public, of facts or opinions by or for an agency, regardless of form or format, calling for either—i) answers to identical questions . . . or identical reporting or recordkeeping requirements imposed on, ten or more persons.”  </w:t>
      </w:r>
      <w:r w:rsidRPr="00F71606">
        <w:rPr>
          <w:rFonts w:cs="Times New Roman"/>
        </w:rPr>
        <w:t>44 U.S.C. § 3502(A)(i).</w:t>
      </w:r>
    </w:p>
  </w:footnote>
  <w:footnote w:id="23">
    <w:p w:rsidR="00B21255" w:rsidRPr="00F71606" w:rsidP="00093F91" w14:paraId="66E62582" w14:textId="77777777">
      <w:pPr>
        <w:pStyle w:val="FootnoteText"/>
        <w:rPr>
          <w:rFonts w:cs="Times New Roman"/>
          <w:highlight w:val="yellow"/>
        </w:rPr>
      </w:pPr>
      <w:r w:rsidRPr="00F71606">
        <w:rPr>
          <w:rStyle w:val="FootnoteReference"/>
          <w:rFonts w:cs="Times New Roman"/>
        </w:rPr>
        <w:footnoteRef/>
      </w:r>
      <w:r w:rsidRPr="00F71606">
        <w:rPr>
          <w:rFonts w:cs="Times New Roman"/>
        </w:rPr>
        <w:t xml:space="preserve"> </w:t>
      </w:r>
      <w:r w:rsidRPr="00F71606">
        <w:rPr>
          <w:rFonts w:cs="Times New Roman"/>
          <w:i/>
          <w:iCs/>
        </w:rPr>
        <w:t xml:space="preserve">Resilient Networks </w:t>
      </w:r>
      <w:r w:rsidRPr="00F71606">
        <w:rPr>
          <w:rFonts w:cs="Times New Roman"/>
        </w:rPr>
        <w:t>Order at 16, paras. 42-43.</w:t>
      </w:r>
    </w:p>
  </w:footnote>
  <w:footnote w:id="24">
    <w:p w:rsidR="00B21255" w:rsidRPr="00F71606" w:rsidP="00093F91" w14:paraId="2639D8BA" w14:textId="2E472940">
      <w:pPr>
        <w:pStyle w:val="FootnoteText"/>
        <w:rPr>
          <w:rFonts w:cs="Times New Roman"/>
        </w:rPr>
      </w:pPr>
      <w:r w:rsidRPr="00F71606">
        <w:rPr>
          <w:rStyle w:val="FootnoteReference"/>
          <w:rFonts w:cs="Times New Roman"/>
        </w:rPr>
        <w:footnoteRef/>
      </w:r>
      <w:r w:rsidRPr="00F71606">
        <w:rPr>
          <w:rFonts w:cs="Times New Roman"/>
        </w:rPr>
        <w:t xml:space="preserve"> 44 U.S.C. § 3506(c)(1)(A)(iv); CCA and CTIA Comments at 2</w:t>
      </w:r>
      <w:r w:rsidR="009C2CB7">
        <w:rPr>
          <w:rFonts w:cs="Times New Roman"/>
        </w:rPr>
        <w:t>-3</w:t>
      </w:r>
      <w:r w:rsidRPr="00F71606">
        <w:rPr>
          <w:rFonts w:cs="Times New Roman"/>
        </w:rPr>
        <w:t>.</w:t>
      </w:r>
    </w:p>
  </w:footnote>
  <w:footnote w:id="25">
    <w:p w:rsidR="00B43965" w:rsidP="00093F91" w14:paraId="11BF72CD" w14:textId="6469C93B">
      <w:pPr>
        <w:pStyle w:val="FootnoteText"/>
      </w:pPr>
      <w:r>
        <w:rPr>
          <w:rStyle w:val="FootnoteReference"/>
        </w:rPr>
        <w:footnoteRef/>
      </w:r>
      <w:r>
        <w:t xml:space="preserve"> </w:t>
      </w:r>
      <w:r w:rsidR="00E2358D">
        <w:t xml:space="preserve">CCA and CTIA Comments at 3-5.  </w:t>
      </w:r>
    </w:p>
  </w:footnote>
  <w:footnote w:id="26">
    <w:p w:rsidR="00E2358D" w:rsidP="00093F91" w14:paraId="27B9DE71" w14:textId="232A4118">
      <w:pPr>
        <w:pStyle w:val="FootnoteText"/>
      </w:pPr>
      <w:r>
        <w:rPr>
          <w:rStyle w:val="FootnoteReference"/>
        </w:rPr>
        <w:footnoteRef/>
      </w:r>
      <w:r>
        <w:t xml:space="preserve"> 44 U.S.C. </w:t>
      </w:r>
      <w:r w:rsidR="00F51570">
        <w:t>§ 3506(c)(1)(A)(iv)</w:t>
      </w:r>
      <w:r w:rsidR="00904F82">
        <w:t>; CCA and CTIA Comments</w:t>
      </w:r>
      <w:r w:rsidR="003A4C71">
        <w:t xml:space="preserve"> at 5-9.  </w:t>
      </w:r>
    </w:p>
  </w:footnote>
  <w:footnote w:id="27">
    <w:p w:rsidR="00B21255" w:rsidRPr="00407B30" w:rsidP="00093F91" w14:paraId="5E979BFF" w14:textId="16936573">
      <w:pPr>
        <w:pStyle w:val="FootnoteText"/>
        <w:rPr>
          <w:rFonts w:cs="Times New Roman"/>
        </w:rPr>
      </w:pPr>
      <w:r w:rsidRPr="00F64191">
        <w:rPr>
          <w:rStyle w:val="FootnoteReference"/>
          <w:rFonts w:cs="Times New Roman"/>
        </w:rPr>
        <w:footnoteRef/>
      </w:r>
      <w:r w:rsidRPr="00F64191">
        <w:rPr>
          <w:rFonts w:cs="Times New Roman"/>
        </w:rPr>
        <w:t xml:space="preserve"> </w:t>
      </w:r>
      <w:r w:rsidR="00407B30">
        <w:rPr>
          <w:rFonts w:cs="Times New Roman"/>
          <w:i/>
          <w:iCs/>
        </w:rPr>
        <w:t xml:space="preserve">Resilient Networks Order </w:t>
      </w:r>
      <w:r w:rsidR="00407B30">
        <w:rPr>
          <w:rFonts w:cs="Times New Roman"/>
        </w:rPr>
        <w:t xml:space="preserve">at 16, para. 43.  </w:t>
      </w:r>
    </w:p>
  </w:footnote>
  <w:footnote w:id="28">
    <w:p w:rsidR="00B21255" w:rsidRPr="00DC581D" w:rsidP="00093F91" w14:paraId="7948646B" w14:textId="13CAD3FB">
      <w:pPr>
        <w:pStyle w:val="FootnoteText"/>
        <w:rPr>
          <w:rFonts w:cs="Times New Roman"/>
        </w:rPr>
      </w:pPr>
      <w:r w:rsidRPr="00F64191">
        <w:rPr>
          <w:rStyle w:val="FootnoteReference"/>
          <w:rFonts w:cs="Times New Roman"/>
        </w:rPr>
        <w:footnoteRef/>
      </w:r>
      <w:r w:rsidRPr="00F64191">
        <w:rPr>
          <w:rFonts w:cs="Times New Roman"/>
        </w:rPr>
        <w:t xml:space="preserve"> </w:t>
      </w:r>
      <w:r w:rsidR="00DC581D">
        <w:rPr>
          <w:rFonts w:cs="Times New Roman"/>
          <w:i/>
          <w:iCs/>
        </w:rPr>
        <w:t xml:space="preserve">Resilient Networks Order </w:t>
      </w:r>
      <w:r w:rsidR="00DC581D">
        <w:rPr>
          <w:rFonts w:cs="Times New Roman"/>
        </w:rPr>
        <w:t xml:space="preserve">at 15-16, paras. 41-42.  </w:t>
      </w:r>
    </w:p>
  </w:footnote>
  <w:footnote w:id="29">
    <w:p w:rsidR="00B21255" w:rsidRPr="00CD5CB3" w:rsidP="00093F91" w14:paraId="69415474" w14:textId="12B638B9">
      <w:pPr>
        <w:pStyle w:val="FootnoteText"/>
        <w:rPr>
          <w:rFonts w:cs="Times New Roman"/>
        </w:rPr>
      </w:pPr>
      <w:r w:rsidRPr="00AB5BDF">
        <w:rPr>
          <w:rStyle w:val="FootnoteReference"/>
          <w:rFonts w:cs="Times New Roman"/>
        </w:rPr>
        <w:footnoteRef/>
      </w:r>
      <w:r w:rsidRPr="00913CE3">
        <w:rPr>
          <w:rFonts w:cs="Times New Roman"/>
        </w:rPr>
        <w:t xml:space="preserve"> </w:t>
      </w:r>
      <w:r w:rsidR="00CD5CB3">
        <w:rPr>
          <w:rFonts w:cs="Times New Roman"/>
          <w:i/>
          <w:iCs/>
        </w:rPr>
        <w:t xml:space="preserve">Resilient Networks Order </w:t>
      </w:r>
      <w:r w:rsidR="00CD5CB3">
        <w:rPr>
          <w:rFonts w:cs="Times New Roman"/>
        </w:rPr>
        <w:t xml:space="preserve">at 14-17, paras. 39-46.  </w:t>
      </w:r>
    </w:p>
  </w:footnote>
  <w:footnote w:id="30">
    <w:p w:rsidR="00B21255" w:rsidRPr="00F71606" w:rsidP="00093F91" w14:paraId="0A51E273" w14:textId="77777777">
      <w:pPr>
        <w:pStyle w:val="FootnoteText"/>
        <w:rPr>
          <w:rFonts w:cs="Times New Roman"/>
          <w:highlight w:val="yellow"/>
        </w:rPr>
      </w:pPr>
      <w:r w:rsidRPr="00F71606">
        <w:rPr>
          <w:rStyle w:val="FootnoteReference"/>
          <w:rFonts w:cs="Times New Roman"/>
        </w:rPr>
        <w:footnoteRef/>
      </w:r>
      <w:r w:rsidRPr="00F71606">
        <w:rPr>
          <w:rFonts w:cs="Times New Roman"/>
        </w:rPr>
        <w:t xml:space="preserve"> </w:t>
      </w:r>
      <w:r w:rsidRPr="00F71606">
        <w:rPr>
          <w:rFonts w:cs="Times New Roman"/>
          <w:i/>
          <w:iCs/>
        </w:rPr>
        <w:t xml:space="preserve">Resilient Networks </w:t>
      </w:r>
      <w:r w:rsidRPr="00F71606">
        <w:rPr>
          <w:rFonts w:cs="Times New Roman"/>
        </w:rPr>
        <w:t>Order at 16, paras. 42-43.</w:t>
      </w:r>
    </w:p>
  </w:footnote>
  <w:footnote w:id="31">
    <w:p w:rsidR="00B21255" w:rsidRPr="00F71606" w:rsidP="00093F91" w14:paraId="0269165F" w14:textId="235F7B10">
      <w:pPr>
        <w:pStyle w:val="FootnoteText"/>
        <w:rPr>
          <w:rFonts w:cs="Times New Roman"/>
        </w:rPr>
      </w:pPr>
      <w:r w:rsidRPr="00F71606">
        <w:rPr>
          <w:rStyle w:val="FootnoteReference"/>
          <w:rFonts w:cs="Times New Roman"/>
        </w:rPr>
        <w:footnoteRef/>
      </w:r>
      <w:r w:rsidRPr="00F71606">
        <w:rPr>
          <w:rFonts w:cs="Times New Roman"/>
        </w:rPr>
        <w:t xml:space="preserve"> </w:t>
      </w:r>
      <w:r w:rsidRPr="00F71606">
        <w:rPr>
          <w:rFonts w:cs="Times New Roman"/>
          <w:i/>
          <w:iCs/>
        </w:rPr>
        <w:t>Resilient Networks Order</w:t>
      </w:r>
      <w:r w:rsidRPr="00F71606">
        <w:rPr>
          <w:rFonts w:cs="Times New Roman"/>
        </w:rPr>
        <w:t xml:space="preserve"> at 30-31</w:t>
      </w:r>
      <w:r w:rsidR="00E64EC1">
        <w:rPr>
          <w:rFonts w:cs="Times New Roman"/>
        </w:rPr>
        <w:t xml:space="preserve">, paras. 14-17, App. B.  </w:t>
      </w:r>
      <w:r w:rsidRPr="00F71606">
        <w:rPr>
          <w:rFonts w:cs="Times New Roman"/>
        </w:rPr>
        <w:t xml:space="preserve"> </w:t>
      </w:r>
    </w:p>
  </w:footnote>
  <w:footnote w:id="32">
    <w:p w:rsidR="00B21255" w:rsidRPr="00E64EC1" w:rsidP="00093F91" w14:paraId="148BDDA8" w14:textId="4237B5EA">
      <w:pPr>
        <w:pStyle w:val="FootnoteText"/>
        <w:rPr>
          <w:rFonts w:cs="Times New Roman"/>
        </w:rPr>
      </w:pPr>
      <w:r w:rsidRPr="00F64191">
        <w:rPr>
          <w:rStyle w:val="FootnoteReference"/>
          <w:rFonts w:cs="Times New Roman"/>
        </w:rPr>
        <w:footnoteRef/>
      </w:r>
      <w:r w:rsidRPr="00F64191">
        <w:rPr>
          <w:rFonts w:cs="Times New Roman"/>
        </w:rPr>
        <w:t xml:space="preserve"> </w:t>
      </w:r>
      <w:r w:rsidR="00E64EC1">
        <w:rPr>
          <w:rFonts w:cs="Times New Roman"/>
          <w:i/>
          <w:iCs/>
        </w:rPr>
        <w:t xml:space="preserve">Resilient Networks Order </w:t>
      </w:r>
      <w:r w:rsidR="00E64EC1">
        <w:rPr>
          <w:rFonts w:cs="Times New Roman"/>
        </w:rPr>
        <w:t xml:space="preserve">at 16, paras. 42-43.  </w:t>
      </w:r>
    </w:p>
  </w:footnote>
  <w:footnote w:id="33">
    <w:p w:rsidR="00B21255" w:rsidRPr="00F71606" w:rsidP="00093F91" w14:paraId="54C330C7" w14:textId="77777777">
      <w:pPr>
        <w:pStyle w:val="FootnoteText"/>
        <w:rPr>
          <w:rFonts w:cs="Times New Roman"/>
        </w:rPr>
      </w:pPr>
      <w:r w:rsidRPr="00F71606">
        <w:rPr>
          <w:rStyle w:val="FootnoteReference"/>
          <w:rFonts w:cs="Times New Roman"/>
        </w:rPr>
        <w:footnoteRef/>
      </w:r>
      <w:r w:rsidRPr="00F71606">
        <w:rPr>
          <w:rFonts w:cs="Times New Roman"/>
        </w:rPr>
        <w:t xml:space="preserve"> 44 U.S.C. § 3506(c)(3)(D); CCA and CTIA Comments at 2.</w:t>
      </w:r>
    </w:p>
  </w:footnote>
  <w:footnote w:id="34">
    <w:p w:rsidR="00944FC4" w:rsidRPr="00496D7C" w:rsidP="00093F91" w14:paraId="07400465" w14:textId="5E087051">
      <w:pPr>
        <w:pStyle w:val="FootnoteText"/>
      </w:pPr>
      <w:r>
        <w:rPr>
          <w:rStyle w:val="FootnoteReference"/>
        </w:rPr>
        <w:footnoteRef/>
      </w:r>
      <w:r>
        <w:t xml:space="preserve"> </w:t>
      </w:r>
      <w:r w:rsidR="00496D7C">
        <w:rPr>
          <w:i/>
          <w:iCs/>
        </w:rPr>
        <w:t xml:space="preserve">See Resilient Networks Order </w:t>
      </w:r>
      <w:r w:rsidR="00496D7C">
        <w:t xml:space="preserve">at 5-8, paras. 11-18.  </w:t>
      </w:r>
    </w:p>
  </w:footnote>
  <w:footnote w:id="35">
    <w:p w:rsidR="00496D7C" w:rsidRPr="00496D7C" w:rsidP="00093F91" w14:paraId="223E9D42" w14:textId="65AFE0F7">
      <w:pPr>
        <w:pStyle w:val="FootnoteText"/>
      </w:pPr>
      <w:r>
        <w:rPr>
          <w:rStyle w:val="FootnoteReference"/>
        </w:rPr>
        <w:footnoteRef/>
      </w:r>
      <w:r>
        <w:t xml:space="preserve"> </w:t>
      </w:r>
      <w:r>
        <w:rPr>
          <w:i/>
          <w:iCs/>
        </w:rPr>
        <w:t xml:space="preserve">Id. </w:t>
      </w:r>
      <w:r>
        <w:t xml:space="preserve">at 7-9, paras. 16-20.  </w:t>
      </w:r>
    </w:p>
  </w:footnote>
  <w:footnote w:id="36">
    <w:p w:rsidR="00496D7C" w:rsidRPr="00645AE2" w:rsidP="00093F91" w14:paraId="25C1C220" w14:textId="6B40C3ED">
      <w:pPr>
        <w:pStyle w:val="FootnoteText"/>
      </w:pPr>
      <w:r>
        <w:rPr>
          <w:rStyle w:val="FootnoteReference"/>
        </w:rPr>
        <w:footnoteRef/>
      </w:r>
      <w:r>
        <w:t xml:space="preserve"> </w:t>
      </w:r>
      <w:r w:rsidR="00645AE2">
        <w:rPr>
          <w:i/>
          <w:iCs/>
        </w:rPr>
        <w:t xml:space="preserve">Id. </w:t>
      </w:r>
      <w:r w:rsidR="00645AE2">
        <w:t xml:space="preserve">at 9-10, paras. 20-24.  </w:t>
      </w:r>
    </w:p>
  </w:footnote>
  <w:footnote w:id="37">
    <w:p w:rsidR="00645AE2" w:rsidRPr="00645AE2" w:rsidP="00093F91" w14:paraId="0069D80E" w14:textId="732F32AA">
      <w:pPr>
        <w:pStyle w:val="FootnoteText"/>
      </w:pPr>
      <w:r>
        <w:rPr>
          <w:rStyle w:val="FootnoteReference"/>
        </w:rPr>
        <w:footnoteRef/>
      </w:r>
      <w:r>
        <w:t xml:space="preserve"> </w:t>
      </w:r>
      <w:r>
        <w:rPr>
          <w:i/>
          <w:iCs/>
        </w:rPr>
        <w:t xml:space="preserve">Id. </w:t>
      </w:r>
      <w:r>
        <w:t xml:space="preserve">at 10-11, paras. 25-26.  </w:t>
      </w:r>
    </w:p>
  </w:footnote>
  <w:footnote w:id="38">
    <w:p w:rsidR="00D04D21" w:rsidRPr="00D04D21" w:rsidP="00093F91" w14:paraId="1F6E055E" w14:textId="658202FB">
      <w:pPr>
        <w:pStyle w:val="FootnoteText"/>
      </w:pPr>
      <w:r>
        <w:rPr>
          <w:rStyle w:val="FootnoteReference"/>
        </w:rPr>
        <w:footnoteRef/>
      </w:r>
      <w:r>
        <w:t xml:space="preserve"> </w:t>
      </w:r>
      <w:r>
        <w:rPr>
          <w:i/>
          <w:iCs/>
        </w:rPr>
        <w:t xml:space="preserve">Id. </w:t>
      </w:r>
      <w:r>
        <w:t xml:space="preserve">at 11-12, paras. 28-29.  </w:t>
      </w:r>
    </w:p>
  </w:footnote>
  <w:footnote w:id="39">
    <w:p w:rsidR="009A279D" w:rsidRPr="009A279D" w:rsidP="00093F91" w14:paraId="012A622F" w14:textId="46919245">
      <w:pPr>
        <w:pStyle w:val="FootnoteText"/>
      </w:pPr>
      <w:r>
        <w:rPr>
          <w:rStyle w:val="FootnoteReference"/>
        </w:rPr>
        <w:footnoteRef/>
      </w:r>
      <w:r>
        <w:t xml:space="preserve"> </w:t>
      </w:r>
      <w:r>
        <w:rPr>
          <w:i/>
          <w:iCs/>
        </w:rPr>
        <w:t xml:space="preserve">Id. </w:t>
      </w:r>
      <w:r>
        <w:t xml:space="preserve">at 12-13, paras. 30-34.  </w:t>
      </w:r>
    </w:p>
  </w:footnote>
  <w:footnote w:id="40">
    <w:p w:rsidR="004B2B1A" w:rsidRPr="004B2B1A" w:rsidP="00093F91" w14:paraId="5E18F353" w14:textId="7F340DD7">
      <w:pPr>
        <w:pStyle w:val="FootnoteText"/>
      </w:pPr>
      <w:r>
        <w:rPr>
          <w:rStyle w:val="FootnoteReference"/>
        </w:rPr>
        <w:footnoteRef/>
      </w:r>
      <w:r>
        <w:t xml:space="preserve"> </w:t>
      </w:r>
      <w:r>
        <w:rPr>
          <w:i/>
          <w:iCs/>
        </w:rPr>
        <w:t xml:space="preserve">Id. </w:t>
      </w:r>
      <w:r>
        <w:t xml:space="preserve">at 13-14, paras. 35-38.  </w:t>
      </w:r>
    </w:p>
  </w:footnote>
  <w:footnote w:id="41">
    <w:p w:rsidR="00C734B7" w:rsidRPr="00C734B7" w:rsidP="00093F91" w14:paraId="3D47F13F" w14:textId="02D3767C">
      <w:pPr>
        <w:pStyle w:val="FootnoteText"/>
      </w:pPr>
      <w:r>
        <w:rPr>
          <w:rStyle w:val="FootnoteReference"/>
        </w:rPr>
        <w:footnoteRef/>
      </w:r>
      <w:r>
        <w:t xml:space="preserve"> </w:t>
      </w:r>
      <w:r>
        <w:rPr>
          <w:i/>
          <w:iCs/>
        </w:rPr>
        <w:t xml:space="preserve">Id. </w:t>
      </w:r>
      <w:r>
        <w:t xml:space="preserve">at 18-19, paras. 47-48.  </w:t>
      </w:r>
    </w:p>
  </w:footnote>
  <w:footnote w:id="42">
    <w:p w:rsidR="00A641DE" w:rsidP="00093F91" w14:paraId="5E789F99" w14:textId="3ED8470A">
      <w:pPr>
        <w:pStyle w:val="FootnoteText"/>
      </w:pPr>
      <w:r>
        <w:rPr>
          <w:rStyle w:val="FootnoteReference"/>
        </w:rPr>
        <w:footnoteRef/>
      </w:r>
      <w:r>
        <w:t xml:space="preserve"> </w:t>
      </w:r>
      <w:r w:rsidRPr="00A641DE">
        <w:rPr>
          <w:i/>
          <w:iCs/>
        </w:rPr>
        <w:t>Id.</w:t>
      </w:r>
      <w:r>
        <w:t xml:space="preserve"> at 22, para. 62.  </w:t>
      </w:r>
    </w:p>
  </w:footnote>
  <w:footnote w:id="43">
    <w:p w:rsidR="00A641DE" w:rsidRPr="00A641DE" w:rsidP="00093F91" w14:paraId="47F07801" w14:textId="3D6B5780">
      <w:pPr>
        <w:pStyle w:val="FootnoteText"/>
      </w:pPr>
      <w:r>
        <w:rPr>
          <w:rStyle w:val="FootnoteReference"/>
        </w:rPr>
        <w:footnoteRef/>
      </w:r>
      <w:r>
        <w:t xml:space="preserve"> </w:t>
      </w:r>
      <w:r>
        <w:rPr>
          <w:i/>
          <w:iCs/>
        </w:rPr>
        <w:t xml:space="preserve">Id. </w:t>
      </w:r>
      <w:r>
        <w:t xml:space="preserve">at 32, para. 20.  </w:t>
      </w:r>
    </w:p>
  </w:footnote>
  <w:footnote w:id="44">
    <w:p w:rsidR="005E0188" w:rsidP="00093F91" w14:paraId="23D0C206" w14:textId="5CF13FB1">
      <w:pPr>
        <w:pStyle w:val="FootnoteText"/>
      </w:pPr>
      <w:r>
        <w:rPr>
          <w:rStyle w:val="FootnoteReference"/>
        </w:rPr>
        <w:footnoteRef/>
      </w:r>
      <w:r>
        <w:t xml:space="preserve"> </w:t>
      </w:r>
      <w:r w:rsidRPr="00896B0B" w:rsidR="00896B0B">
        <w:t>Resilient Networks Order at 6, paras. 12-13.  See also Order at 5, para. 10.  (The term facilities-based mobile wireless service providers is defined at Order at 5, para. 10, note 23, which cites 36 FCC Rcd 2945, 2949-50, para. 9 (2020) and further clarifies: “Today’s requirement applies to current signatories of the Framework [i.e., the Wireless Resiliency Cooperative Framework] to the extent they are facilities-based mobile wireless providers.”  It also provides an example of an entity that is not deemed a facilities-based mobile wireless provider, CTIA, a trade association.  Commenters were concerned about the mandating of provisions for entities beyond the wireless industry, but the Commission confirms that the item addresses requirements for facilities-based mobile wireless providers only.  See Order at 5, para. 11, note 25 (addressing concerns from the PS Docket Nos. 21-346 and 15-80, ET Docket No. 04-35 cited by Next Century Cities, Satellite Industry Association, T-Mobile, Inc., and Public Knowledge.</w:t>
      </w:r>
      <w:r w:rsidR="00896B0B">
        <w:t xml:space="preserve">  </w:t>
      </w:r>
    </w:p>
  </w:footnote>
  <w:footnote w:id="45">
    <w:p w:rsidR="00B21255" w:rsidRPr="004B0B43" w:rsidP="00093F91" w14:paraId="46D3B5A3" w14:textId="7CCED5A6">
      <w:pPr>
        <w:pStyle w:val="FootnoteText"/>
        <w:rPr>
          <w:rFonts w:cs="Times New Roman"/>
        </w:rPr>
      </w:pPr>
      <w:r w:rsidRPr="00F64191">
        <w:rPr>
          <w:rStyle w:val="FootnoteReference"/>
          <w:rFonts w:cs="Times New Roman"/>
        </w:rPr>
        <w:footnoteRef/>
      </w:r>
      <w:r w:rsidRPr="00F64191">
        <w:rPr>
          <w:rFonts w:cs="Times New Roman"/>
        </w:rPr>
        <w:t xml:space="preserve"> </w:t>
      </w:r>
      <w:r w:rsidR="004B0B43">
        <w:rPr>
          <w:rFonts w:cs="Times New Roman"/>
          <w:i/>
          <w:iCs/>
        </w:rPr>
        <w:t xml:space="preserve">Resilient Networks Order </w:t>
      </w:r>
      <w:r w:rsidR="004B0B43">
        <w:rPr>
          <w:rFonts w:cs="Times New Roman"/>
        </w:rPr>
        <w:t xml:space="preserve">at 8, para. 17.  </w:t>
      </w:r>
    </w:p>
  </w:footnote>
  <w:footnote w:id="46">
    <w:p w:rsidR="00B21255" w:rsidRPr="00F71606" w:rsidP="00093F91" w14:paraId="42EBFB3E" w14:textId="77777777">
      <w:pPr>
        <w:pStyle w:val="FootnoteText"/>
        <w:rPr>
          <w:rFonts w:cs="Times New Roman"/>
        </w:rPr>
      </w:pPr>
      <w:r w:rsidRPr="00F71606">
        <w:rPr>
          <w:rStyle w:val="FootnoteReference"/>
          <w:rFonts w:cs="Times New Roman"/>
        </w:rPr>
        <w:footnoteRef/>
      </w:r>
      <w:r w:rsidRPr="00F71606">
        <w:rPr>
          <w:rFonts w:cs="Times New Roman"/>
        </w:rPr>
        <w:t xml:space="preserve"> </w:t>
      </w:r>
      <w:bookmarkStart w:id="3" w:name="_Hlk128133156"/>
      <w:r w:rsidRPr="00F71606">
        <w:rPr>
          <w:rFonts w:cs="Times New Roman"/>
        </w:rPr>
        <w:t xml:space="preserve">CCA and CTIA Comments at </w:t>
      </w:r>
      <w:r>
        <w:rPr>
          <w:rFonts w:cs="Times New Roman"/>
        </w:rPr>
        <w:t>9-</w:t>
      </w:r>
      <w:r w:rsidRPr="00F71606">
        <w:rPr>
          <w:rFonts w:cs="Times New Roman"/>
        </w:rPr>
        <w:t>11</w:t>
      </w:r>
      <w:r>
        <w:rPr>
          <w:rFonts w:cs="Times New Roman"/>
        </w:rPr>
        <w:t xml:space="preserve">; </w:t>
      </w:r>
      <w:r w:rsidRPr="00F71606">
        <w:rPr>
          <w:rFonts w:cs="Times New Roman"/>
          <w:i/>
          <w:iCs/>
        </w:rPr>
        <w:t>Resilient Networks Order</w:t>
      </w:r>
      <w:r w:rsidRPr="00F71606">
        <w:rPr>
          <w:rFonts w:cs="Times New Roman"/>
        </w:rPr>
        <w:t xml:space="preserve"> at 16</w:t>
      </w:r>
      <w:bookmarkEnd w:id="3"/>
      <w:r w:rsidRPr="00F71606">
        <w:rPr>
          <w:rFonts w:cs="Times New Roman"/>
        </w:rPr>
        <w:t>, para. 43.</w:t>
      </w:r>
    </w:p>
  </w:footnote>
  <w:footnote w:id="47">
    <w:p w:rsidR="00B21255" w:rsidRPr="00AB5BDF" w:rsidP="00093F91" w14:paraId="721248DF" w14:textId="77777777">
      <w:pPr>
        <w:pStyle w:val="FootnoteText"/>
        <w:rPr>
          <w:rFonts w:cs="Times New Roman"/>
        </w:rPr>
      </w:pPr>
      <w:r w:rsidRPr="00AB5BDF">
        <w:rPr>
          <w:rStyle w:val="FootnoteReference"/>
          <w:rFonts w:cs="Times New Roman"/>
        </w:rPr>
        <w:footnoteRef/>
      </w:r>
      <w:r w:rsidRPr="00AB5BDF">
        <w:rPr>
          <w:rFonts w:cs="Times New Roman"/>
        </w:rPr>
        <w:t xml:space="preserve"> </w:t>
      </w:r>
      <w:r w:rsidRPr="00F71606">
        <w:rPr>
          <w:rFonts w:cs="Times New Roman"/>
        </w:rPr>
        <w:t>CCA and CTIA Comments</w:t>
      </w:r>
      <w:r>
        <w:rPr>
          <w:rFonts w:cs="Times New Roman"/>
        </w:rPr>
        <w:t xml:space="preserve"> at 11-13. </w:t>
      </w:r>
    </w:p>
  </w:footnote>
  <w:footnote w:id="48">
    <w:p w:rsidR="00B3588D" w:rsidRPr="006F4580" w:rsidP="00093F91" w14:paraId="6AC1A548" w14:textId="77777777">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iCs/>
        </w:rPr>
        <w:t>FCC Announces Agenda for October 26 Virtual Field Hearing on Improving Communications Resiliency and Recovery During Disasters</w:t>
      </w:r>
      <w:r w:rsidRPr="006F4580">
        <w:rPr>
          <w:rFonts w:cs="Times New Roman"/>
        </w:rPr>
        <w:t xml:space="preserve">, Public Notice (October 19, 2021); </w:t>
      </w:r>
      <w:r w:rsidRPr="006F4580">
        <w:rPr>
          <w:rFonts w:cs="Times New Roman"/>
          <w:i/>
          <w:iCs/>
        </w:rPr>
        <w:t>see also</w:t>
      </w:r>
      <w:r w:rsidRPr="006F4580">
        <w:rPr>
          <w:rFonts w:cs="Times New Roman"/>
        </w:rPr>
        <w:t xml:space="preserve"> </w:t>
      </w:r>
      <w:hyperlink r:id="rId2" w:history="1">
        <w:r w:rsidRPr="006F4580">
          <w:rPr>
            <w:rStyle w:val="Hyperlink"/>
            <w:rFonts w:cs="Times New Roman"/>
            <w:color w:val="auto"/>
          </w:rPr>
          <w:t>https://www.fcc.gov/disaster-communications-field-hearing</w:t>
        </w:r>
      </w:hyperlink>
      <w:r w:rsidRPr="006F4580">
        <w:rPr>
          <w:rFonts w:cs="Times New Roman"/>
        </w:rPr>
        <w:t xml:space="preserve"> (last accessed Aug. 1, 2022).</w:t>
      </w:r>
    </w:p>
  </w:footnote>
  <w:footnote w:id="49">
    <w:p w:rsidR="003D2218" w:rsidRPr="006F4580" w:rsidP="00093F91" w14:paraId="643DCB3E" w14:textId="77777777">
      <w:pPr>
        <w:pStyle w:val="FootnoteText"/>
        <w:rPr>
          <w:rFonts w:cs="Times New Roman"/>
        </w:rPr>
      </w:pPr>
      <w:r w:rsidRPr="006F4580">
        <w:rPr>
          <w:rStyle w:val="FootnoteReference"/>
          <w:rFonts w:cs="Times New Roman"/>
        </w:rPr>
        <w:footnoteRef/>
      </w:r>
      <w:r w:rsidRPr="006F4580">
        <w:rPr>
          <w:rFonts w:cs="Times New Roman"/>
        </w:rPr>
        <w:t xml:space="preserve"> 47 CFR § 0.459.</w:t>
      </w:r>
    </w:p>
  </w:footnote>
  <w:footnote w:id="50">
    <w:p w:rsidR="00AD1887" w:rsidRPr="006F4580" w:rsidP="00093F91" w14:paraId="216694F4" w14:textId="49E81AA8">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Software Developers (last visited June 6, 2022), </w:t>
      </w:r>
      <w:hyperlink r:id="rId3" w:history="1">
        <w:r w:rsidRPr="006F4580">
          <w:rPr>
            <w:rFonts w:cs="Times New Roman"/>
          </w:rPr>
          <w:t>https://www.bls.gov/oes/current/oes151252.htm</w:t>
        </w:r>
      </w:hyperlink>
      <w:r w:rsidRPr="006F4580" w:rsidR="00FF5CCC">
        <w:rPr>
          <w:rFonts w:cs="Times New Roman"/>
        </w:rPr>
        <w:t>.</w:t>
      </w:r>
      <w:r w:rsidRPr="006F4580">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AE040F">
        <w:rPr>
          <w:rFonts w:cs="Times New Roman"/>
        </w:rPr>
        <w:t xml:space="preserve"> </w:t>
      </w:r>
      <w:r w:rsidRPr="006F4580">
        <w:rPr>
          <w:rFonts w:cs="Times New Roman"/>
        </w:rPr>
        <w:t>https://www.bls.gov/news.release/ecec.t04.htm.</w:t>
      </w:r>
    </w:p>
    <w:p w:rsidR="00AD1887" w:rsidRPr="006F4580" w:rsidP="00093F91" w14:paraId="776D2662" w14:textId="77777777">
      <w:pPr>
        <w:pStyle w:val="FootnoteText"/>
        <w:rPr>
          <w:rFonts w:cs="Times New Roman"/>
        </w:rPr>
      </w:pPr>
    </w:p>
  </w:footnote>
  <w:footnote w:id="51">
    <w:p w:rsidR="007A59C2" w:rsidRPr="006F4580" w:rsidP="00093F91" w14:paraId="2941CDA1" w14:textId="18CEC1B8">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iCs/>
        </w:rPr>
        <w:t xml:space="preserve">Report and Order </w:t>
      </w:r>
      <w:r w:rsidRPr="006F4580">
        <w:rPr>
          <w:rFonts w:cs="Times New Roman"/>
        </w:rPr>
        <w:t>at para</w:t>
      </w:r>
      <w:r w:rsidRPr="006F4580" w:rsidR="00E35D93">
        <w:rPr>
          <w:rFonts w:cs="Times New Roman"/>
        </w:rPr>
        <w:t>s</w:t>
      </w:r>
      <w:r w:rsidRPr="006F4580">
        <w:rPr>
          <w:rFonts w:cs="Times New Roman"/>
        </w:rPr>
        <w:t xml:space="preserve">. </w:t>
      </w:r>
      <w:r w:rsidRPr="006F4580" w:rsidR="00E35D93">
        <w:rPr>
          <w:rFonts w:cs="Times New Roman"/>
        </w:rPr>
        <w:t>40-42.</w:t>
      </w:r>
    </w:p>
  </w:footnote>
  <w:footnote w:id="52">
    <w:p w:rsidR="00A15A01" w:rsidRPr="006F4580" w:rsidP="00093F91" w14:paraId="2A3796B2" w14:textId="68536875">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w:t>
      </w:r>
      <w:r w:rsidRPr="006F4580" w:rsidR="007D5083">
        <w:rPr>
          <w:rFonts w:cs="Times New Roman"/>
        </w:rPr>
        <w:t>Public Relation Specialists (last visited June 6, 2022), https://www.bls.gov/oes/current/oes273031.htm</w:t>
      </w:r>
      <w:r w:rsidRPr="006F4580" w:rsidR="00FF5CCC">
        <w:rPr>
          <w:rFonts w:cs="Times New Roman"/>
        </w:rPr>
        <w:t>.</w:t>
      </w:r>
      <w:r w:rsidRPr="006F4580">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337FD1">
        <w:rPr>
          <w:rFonts w:cs="Times New Roman"/>
        </w:rPr>
        <w:t xml:space="preserve"> </w:t>
      </w:r>
      <w:r w:rsidRPr="006F4580">
        <w:rPr>
          <w:rFonts w:cs="Times New Roman"/>
        </w:rPr>
        <w:t>https://www.bls.gov/news.release/ecec.t04.htm.</w:t>
      </w:r>
    </w:p>
  </w:footnote>
  <w:footnote w:id="53">
    <w:p w:rsidR="003B21EB" w:rsidRPr="006F4580" w:rsidP="00093F91" w14:paraId="7C9B5CDE" w14:textId="2BED07EC">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1C3D4E">
        <w:rPr>
          <w:rFonts w:cs="Times New Roman"/>
          <w:i/>
          <w:iCs/>
        </w:rPr>
        <w:t xml:space="preserve">Report </w:t>
      </w:r>
      <w:r w:rsidRPr="006F4580" w:rsidR="008D19EB">
        <w:rPr>
          <w:rFonts w:cs="Times New Roman"/>
          <w:i/>
          <w:iCs/>
        </w:rPr>
        <w:t>and</w:t>
      </w:r>
      <w:r w:rsidRPr="006F4580" w:rsidR="001C3D4E">
        <w:rPr>
          <w:rFonts w:cs="Times New Roman"/>
          <w:i/>
          <w:iCs/>
        </w:rPr>
        <w:t xml:space="preserve"> Order </w:t>
      </w:r>
      <w:r w:rsidRPr="006F4580" w:rsidR="00DA5AED">
        <w:rPr>
          <w:rFonts w:cs="Times New Roman"/>
        </w:rPr>
        <w:t>at para. 30.</w:t>
      </w:r>
    </w:p>
  </w:footnote>
  <w:footnote w:id="54">
    <w:p w:rsidR="0036756D" w:rsidRPr="006F4580" w:rsidP="00093F91" w14:paraId="6135F3A5" w14:textId="62DB5101">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Software Developers (last visited June 6, 2022), </w:t>
      </w:r>
      <w:hyperlink r:id="rId3" w:history="1">
        <w:r w:rsidRPr="006F4580">
          <w:rPr>
            <w:rFonts w:cs="Times New Roman"/>
          </w:rPr>
          <w:t>https://www.bls.gov/oes/current/oes151252.htm</w:t>
        </w:r>
      </w:hyperlink>
      <w:r w:rsidRPr="006F4580">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A37480">
        <w:rPr>
          <w:rFonts w:cs="Times New Roman"/>
        </w:rPr>
        <w:t xml:space="preserve"> </w:t>
      </w:r>
      <w:r w:rsidRPr="006F4580">
        <w:rPr>
          <w:rFonts w:cs="Times New Roman"/>
        </w:rPr>
        <w:t>https://www.bls.gov/news.release/ecec.t04.htm.</w:t>
      </w:r>
    </w:p>
    <w:p w:rsidR="0036756D" w:rsidRPr="006F4580" w:rsidP="00093F91" w14:paraId="6DD0E545" w14:textId="77777777">
      <w:pPr>
        <w:pStyle w:val="FootnoteText"/>
        <w:rPr>
          <w:rFonts w:cs="Times New Roman"/>
        </w:rPr>
      </w:pPr>
    </w:p>
  </w:footnote>
  <w:footnote w:id="55">
    <w:p w:rsidR="00954B95" w:rsidRPr="006F4580" w:rsidP="00093F91" w14:paraId="3E569CA4" w14:textId="12BF80E9">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Lawyers (last visited June 6, 2022),  </w:t>
      </w:r>
      <w:hyperlink r:id="rId4" w:history="1">
        <w:r w:rsidRPr="006F4580">
          <w:rPr>
            <w:rFonts w:cs="Times New Roman"/>
            <w:u w:val="single"/>
          </w:rPr>
          <w:t>https://www.bls.gov/oes/current/oes231011.htm</w:t>
        </w:r>
      </w:hyperlink>
      <w:r w:rsidRPr="006F4580">
        <w:rPr>
          <w:rFonts w:cs="Times New Roman"/>
          <w:u w:val="single"/>
        </w:rPr>
        <w:t>.</w:t>
      </w:r>
      <w:r w:rsidRPr="006F4580">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A37480">
        <w:rPr>
          <w:rFonts w:cs="Times New Roman"/>
        </w:rPr>
        <w:t xml:space="preserve"> </w:t>
      </w:r>
      <w:r w:rsidRPr="006F4580">
        <w:rPr>
          <w:rFonts w:cs="Times New Roman"/>
        </w:rPr>
        <w:t>https://www.bls.gov/news.release/ecec.t04.htm.</w:t>
      </w:r>
    </w:p>
  </w:footnote>
  <w:footnote w:id="56">
    <w:p w:rsidR="00295A4F" w:rsidRPr="006F4580" w:rsidP="00093F91" w14:paraId="4674A179" w14:textId="57C1338C">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w:t>
      </w:r>
      <w:r w:rsidRPr="006F4580" w:rsidR="00410994">
        <w:rPr>
          <w:rFonts w:cs="Times New Roman"/>
        </w:rPr>
        <w:t xml:space="preserve">Lawyers (last visited June 6, 2022),  </w:t>
      </w:r>
      <w:hyperlink r:id="rId4" w:history="1">
        <w:r w:rsidRPr="006F4580" w:rsidR="00410994">
          <w:rPr>
            <w:rFonts w:cs="Times New Roman"/>
            <w:u w:val="single"/>
          </w:rPr>
          <w:t>https://www.bls.gov/oes/current/oes231011.htm</w:t>
        </w:r>
      </w:hyperlink>
      <w:r w:rsidRPr="006F4580" w:rsidR="00D550A3">
        <w:rPr>
          <w:rFonts w:cs="Times New Roman"/>
          <w:u w:val="single"/>
        </w:rPr>
        <w:t>.</w:t>
      </w:r>
      <w:r w:rsidRPr="006F4580" w:rsidR="00D550A3">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747E14">
        <w:rPr>
          <w:rFonts w:cs="Times New Roman"/>
        </w:rPr>
        <w:t xml:space="preserve"> </w:t>
      </w:r>
      <w:r w:rsidRPr="006F4580">
        <w:rPr>
          <w:rFonts w:cs="Times New Roman"/>
        </w:rPr>
        <w:t>https://www.bls.gov/news.release/ecec.t04.htm.</w:t>
      </w:r>
    </w:p>
  </w:footnote>
  <w:footnote w:id="57">
    <w:p w:rsidR="00D02949" w:rsidRPr="006F4580" w:rsidP="00093F91" w14:paraId="0181940C" w14:textId="3F55B29D">
      <w:pPr>
        <w:pStyle w:val="FootnoteText"/>
        <w:rPr>
          <w:rFonts w:eastAsia="Times New Roman" w:cs="Times New Roman"/>
        </w:rPr>
      </w:pPr>
      <w:r w:rsidRPr="006F4580">
        <w:rPr>
          <w:rStyle w:val="FootnoteReference"/>
          <w:rFonts w:cs="Times New Roman"/>
        </w:rPr>
        <w:footnoteRef/>
      </w:r>
      <w:r w:rsidRPr="006F4580">
        <w:rPr>
          <w:rFonts w:cs="Times New Roman"/>
        </w:rPr>
        <w:t xml:space="preserve"> </w:t>
      </w:r>
      <w:r w:rsidRPr="006F4580" w:rsidR="0069461E">
        <w:rPr>
          <w:rFonts w:cs="Times New Roman"/>
          <w:i/>
          <w:iCs/>
        </w:rPr>
        <w:t>Report and Order</w:t>
      </w:r>
      <w:r w:rsidRPr="006F4580" w:rsidR="001C3D4E">
        <w:rPr>
          <w:rFonts w:cs="Times New Roman"/>
          <w:i/>
          <w:iCs/>
        </w:rPr>
        <w:t xml:space="preserve"> </w:t>
      </w:r>
      <w:r w:rsidRPr="006F4580">
        <w:rPr>
          <w:rFonts w:cs="Times New Roman"/>
        </w:rPr>
        <w:t>at para. 22.</w:t>
      </w:r>
    </w:p>
  </w:footnote>
  <w:footnote w:id="58">
    <w:p w:rsidR="00D1250B" w:rsidRPr="006F4580" w:rsidP="00093F91" w14:paraId="0E409AAE" w14:textId="29E377F3">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Software Developers (last visited June 6, 2022), </w:t>
      </w:r>
      <w:hyperlink r:id="rId3" w:history="1">
        <w:r w:rsidRPr="006F4580">
          <w:rPr>
            <w:rFonts w:cs="Times New Roman"/>
          </w:rPr>
          <w:t>https://www.bls.gov/oes/current/oes151252.htm</w:t>
        </w:r>
      </w:hyperlink>
      <w:r w:rsidRPr="006F4580">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747E14">
        <w:rPr>
          <w:rFonts w:cs="Times New Roman"/>
        </w:rPr>
        <w:t xml:space="preserve"> </w:t>
      </w:r>
      <w:r w:rsidRPr="006F4580">
        <w:rPr>
          <w:rFonts w:cs="Times New Roman"/>
        </w:rPr>
        <w:t>https://www.bls.gov/news.release/ecec.t04.htm.</w:t>
      </w:r>
    </w:p>
  </w:footnote>
  <w:footnote w:id="59">
    <w:p w:rsidR="00E447AE" w:rsidRPr="006F4580" w:rsidP="00093F91" w14:paraId="56F7E64B" w14:textId="77777777">
      <w:pPr>
        <w:pStyle w:val="FootnoteText"/>
        <w:rPr>
          <w:rFonts w:eastAsia="Times New Roman" w:cs="Times New Roman"/>
        </w:rPr>
      </w:pPr>
      <w:r w:rsidRPr="006F4580">
        <w:rPr>
          <w:rStyle w:val="FootnoteReference"/>
          <w:rFonts w:cs="Times New Roman"/>
        </w:rPr>
        <w:footnoteRef/>
      </w:r>
      <w:r w:rsidRPr="006F4580">
        <w:rPr>
          <w:rFonts w:cs="Times New Roman"/>
        </w:rPr>
        <w:t xml:space="preserve"> 47 CFR § 1.16.</w:t>
      </w:r>
    </w:p>
  </w:footnote>
  <w:footnote w:id="60">
    <w:p w:rsidR="00E447AE" w:rsidRPr="006F4580" w:rsidP="00093F91" w14:paraId="7F4AB989" w14:textId="55B20E9F">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sidR="0069461E">
        <w:rPr>
          <w:rFonts w:cs="Times New Roman"/>
          <w:i/>
          <w:iCs/>
        </w:rPr>
        <w:t>Report and Order</w:t>
      </w:r>
      <w:r w:rsidRPr="006F4580" w:rsidR="001C3D4E">
        <w:rPr>
          <w:rFonts w:cs="Times New Roman"/>
          <w:i/>
          <w:iCs/>
        </w:rPr>
        <w:t xml:space="preserve"> </w:t>
      </w:r>
      <w:r w:rsidRPr="006F4580">
        <w:rPr>
          <w:rFonts w:cs="Times New Roman"/>
        </w:rPr>
        <w:t>at paras. 28-29.</w:t>
      </w:r>
    </w:p>
  </w:footnote>
  <w:footnote w:id="61">
    <w:p w:rsidR="0058245C" w:rsidRPr="006F4580" w:rsidP="00093F91" w14:paraId="4BB61BD9" w14:textId="167D62F2">
      <w:pPr>
        <w:pStyle w:val="FootnoteText"/>
        <w:rPr>
          <w:rFonts w:cs="Times New Roman"/>
        </w:rPr>
      </w:pPr>
      <w:r w:rsidRPr="006F4580">
        <w:rPr>
          <w:rStyle w:val="FootnoteReference"/>
          <w:rFonts w:cs="Times New Roman"/>
        </w:rPr>
        <w:footnoteRef/>
      </w:r>
      <w:r w:rsidRPr="006F4580">
        <w:rPr>
          <w:rFonts w:cs="Times New Roman"/>
        </w:rPr>
        <w:t xml:space="preserve"> </w:t>
      </w:r>
      <w:r w:rsidRPr="006F4580">
        <w:rPr>
          <w:rFonts w:cs="Times New Roman"/>
          <w:i/>
        </w:rPr>
        <w:t>See</w:t>
      </w:r>
      <w:r w:rsidRPr="006F4580">
        <w:rPr>
          <w:rFonts w:cs="Times New Roman"/>
        </w:rPr>
        <w:t xml:space="preserve"> Bureau of Labor and Statistics, Occupational Employment and Wages, Lawyers (last visited June 6, 2022),  </w:t>
      </w:r>
      <w:hyperlink r:id="rId4" w:history="1">
        <w:r w:rsidRPr="006F4580">
          <w:rPr>
            <w:rFonts w:cs="Times New Roman"/>
            <w:u w:val="single"/>
          </w:rPr>
          <w:t>https://www.bls.gov/oes/current/oes231011.htm</w:t>
        </w:r>
      </w:hyperlink>
      <w:r w:rsidRPr="006F4580">
        <w:rPr>
          <w:rFonts w:cs="Times New Roman"/>
          <w:u w:val="single"/>
        </w:rPr>
        <w:t>.</w:t>
      </w:r>
      <w:r w:rsidRPr="006F4580">
        <w:rPr>
          <w:rFonts w:cs="Times New Roman"/>
        </w:rPr>
        <w:t xml:space="preserve">  </w:t>
      </w:r>
      <w:r w:rsidRPr="006F4580">
        <w:rPr>
          <w:rFonts w:eastAsia="Calibri" w:cs="Times New Roman"/>
        </w:rPr>
        <w:t xml:space="preserve">According to Bureau of Labor Statistics, benefits (including paid leave, supplementary pay, insurance, retirement and savings, and legally required benefits) add approximately 50% to compensation in the information industry as a whole. </w:t>
      </w:r>
      <w:r w:rsidRPr="006F4580">
        <w:rPr>
          <w:rFonts w:cs="Times New Roman"/>
          <w:i/>
          <w:iCs/>
        </w:rPr>
        <w:t>See</w:t>
      </w:r>
      <w:r w:rsidRPr="006F4580">
        <w:rPr>
          <w:rFonts w:cs="Times New Roman"/>
        </w:rPr>
        <w:t xml:space="preserve"> Bureau of Labor Statistics, Economic News Release, Private industry workers by occupational and industry group (2021),</w:t>
      </w:r>
      <w:r w:rsidR="0039753F">
        <w:rPr>
          <w:rFonts w:cs="Times New Roman"/>
        </w:rPr>
        <w:t xml:space="preserve"> </w:t>
      </w:r>
      <w:r w:rsidRPr="006F4580">
        <w:rPr>
          <w:rFonts w:cs="Times New Roman"/>
        </w:rPr>
        <w:t>https://www.bls.gov/news.release/ecec.t04.htm.</w:t>
      </w:r>
    </w:p>
    <w:p w:rsidR="0058245C" w:rsidRPr="006F4580" w:rsidP="00093F91" w14:paraId="24573671" w14:textId="34D90A93">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608" w:rsidP="003C2209" w14:paraId="0926C685" w14:textId="3692D467">
    <w:pPr>
      <w:pStyle w:val="Header"/>
      <w:rPr>
        <w:rFonts w:ascii="Times New Roman" w:hAnsi="Times New Roman" w:cs="Times New Roman"/>
        <w:b/>
        <w:bCs/>
        <w:sz w:val="24"/>
        <w:szCs w:val="24"/>
      </w:rPr>
    </w:pPr>
    <w:r w:rsidRPr="003C2209">
      <w:rPr>
        <w:rFonts w:ascii="Times New Roman" w:hAnsi="Times New Roman" w:cs="Times New Roman"/>
        <w:b/>
        <w:bCs/>
        <w:i/>
        <w:iCs/>
        <w:sz w:val="24"/>
        <w:szCs w:val="24"/>
      </w:rPr>
      <w:t>Resilient Networks</w:t>
    </w:r>
    <w:r w:rsidR="00294EDF">
      <w:rPr>
        <w:rFonts w:ascii="Times New Roman" w:hAnsi="Times New Roman" w:cs="Times New Roman"/>
        <w:b/>
        <w:bCs/>
        <w:i/>
        <w:iCs/>
        <w:sz w:val="24"/>
        <w:szCs w:val="24"/>
      </w:rPr>
      <w:tab/>
    </w:r>
    <w:r w:rsidR="00294EDF">
      <w:rPr>
        <w:rFonts w:ascii="Times New Roman" w:hAnsi="Times New Roman" w:cs="Times New Roman"/>
        <w:b/>
        <w:bCs/>
        <w:i/>
        <w:iCs/>
        <w:sz w:val="24"/>
        <w:szCs w:val="24"/>
      </w:rPr>
      <w:tab/>
    </w:r>
    <w:r w:rsidR="003C2209">
      <w:rPr>
        <w:rFonts w:ascii="Times New Roman" w:hAnsi="Times New Roman" w:cs="Times New Roman"/>
        <w:b/>
        <w:bCs/>
        <w:sz w:val="24"/>
        <w:szCs w:val="24"/>
      </w:rPr>
      <w:t>3060-XXXX</w:t>
    </w:r>
  </w:p>
  <w:p w:rsidR="003C2209" w:rsidRPr="00294EDF" w:rsidP="00294EDF" w14:paraId="056AD67B" w14:textId="54907F0F">
    <w:pPr>
      <w:pStyle w:val="Head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April 2023</w:t>
    </w:r>
  </w:p>
  <w:p w:rsidR="00063A49" w:rsidRPr="00064365" w14:paraId="2B437642" w14:textId="703B803A">
    <w:pPr>
      <w:pStyle w:val="Head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nsid w:val="04501B1E"/>
    <w:multiLevelType w:val="hybridMultilevel"/>
    <w:tmpl w:val="0EEEFBB0"/>
    <w:lvl w:ilvl="0">
      <w:start w:val="16"/>
      <w:numFmt w:val="decimal"/>
      <w:lvlText w:val="%1."/>
      <w:lvlJc w:val="left"/>
      <w:pPr>
        <w:ind w:left="90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D7F6BB9"/>
    <w:multiLevelType w:val="hybridMultilevel"/>
    <w:tmpl w:val="81B0DA9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5F6C28"/>
    <w:multiLevelType w:val="hybridMultilevel"/>
    <w:tmpl w:val="C1D8FFAC"/>
    <w:lvl w:ilvl="0">
      <w:start w:val="1"/>
      <w:numFmt w:val="decimal"/>
      <w:lvlText w:val="%1."/>
      <w:lvlJc w:val="left"/>
      <w:pPr>
        <w:ind w:left="720" w:hanging="360"/>
      </w:pPr>
      <w:rPr>
        <w:rFonts w:asciiTheme="minorHAnsi" w:hAnsiTheme="minorHAnsi" w:cstheme="minorBid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8A721D"/>
    <w:multiLevelType w:val="hybridMultilevel"/>
    <w:tmpl w:val="1D72DF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6356C7"/>
    <w:multiLevelType w:val="hybridMultilevel"/>
    <w:tmpl w:val="A2C2685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7867A2"/>
    <w:multiLevelType w:val="hybridMultilevel"/>
    <w:tmpl w:val="F5566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6B415D"/>
    <w:multiLevelType w:val="hybridMultilevel"/>
    <w:tmpl w:val="A2EE0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A66863"/>
    <w:multiLevelType w:val="hybridMultilevel"/>
    <w:tmpl w:val="E6863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B23E88"/>
    <w:multiLevelType w:val="hybridMultilevel"/>
    <w:tmpl w:val="7A3CDF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0C93A8D"/>
    <w:multiLevelType w:val="hybridMultilevel"/>
    <w:tmpl w:val="9984E8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174815"/>
    <w:multiLevelType w:val="hybridMultilevel"/>
    <w:tmpl w:val="DC869B8C"/>
    <w:lvl w:ilvl="0">
      <w:start w:val="16"/>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C97627"/>
    <w:multiLevelType w:val="hybridMultilevel"/>
    <w:tmpl w:val="1270B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842B4"/>
    <w:multiLevelType w:val="hybridMultilevel"/>
    <w:tmpl w:val="6284D9F4"/>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4A12937"/>
    <w:multiLevelType w:val="hybridMultilevel"/>
    <w:tmpl w:val="35402F2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627044E"/>
    <w:multiLevelType w:val="hybridMultilevel"/>
    <w:tmpl w:val="9D2896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469340C1"/>
    <w:multiLevelType w:val="hybridMultilevel"/>
    <w:tmpl w:val="CC2C5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98A7562"/>
    <w:multiLevelType w:val="hybridMultilevel"/>
    <w:tmpl w:val="11065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6836F3"/>
    <w:multiLevelType w:val="hybridMultilevel"/>
    <w:tmpl w:val="AD702142"/>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AA97131"/>
    <w:multiLevelType w:val="hybridMultilevel"/>
    <w:tmpl w:val="725CB7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E2A7193"/>
    <w:multiLevelType w:val="hybridMultilevel"/>
    <w:tmpl w:val="D3D0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0965DA"/>
    <w:multiLevelType w:val="hybridMultilevel"/>
    <w:tmpl w:val="4ECEC122"/>
    <w:lvl w:ilvl="0">
      <w:start w:val="17"/>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4C537A"/>
    <w:multiLevelType w:val="hybridMultilevel"/>
    <w:tmpl w:val="5D40BEA0"/>
    <w:lvl w:ilvl="0">
      <w:start w:val="16"/>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ED4489"/>
    <w:multiLevelType w:val="hybridMultilevel"/>
    <w:tmpl w:val="DCBA71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C347829"/>
    <w:multiLevelType w:val="hybridMultilevel"/>
    <w:tmpl w:val="0D0E4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067EA6"/>
    <w:multiLevelType w:val="hybridMultilevel"/>
    <w:tmpl w:val="0D085B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E99709D"/>
    <w:multiLevelType w:val="hybridMultilevel"/>
    <w:tmpl w:val="03D6A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182925"/>
    <w:multiLevelType w:val="singleLevel"/>
    <w:tmpl w:val="2E84D0AA"/>
    <w:lvl w:ilvl="0">
      <w:start w:val="1"/>
      <w:numFmt w:val="decimal"/>
      <w:lvlText w:val="%1."/>
      <w:lvlJc w:val="left"/>
      <w:pPr>
        <w:tabs>
          <w:tab w:val="num" w:pos="1080"/>
        </w:tabs>
        <w:ind w:left="0" w:firstLine="720"/>
      </w:pPr>
      <w:rPr>
        <w:b w:val="0"/>
        <w:bCs/>
        <w:i w:val="0"/>
        <w:iCs/>
      </w:rPr>
    </w:lvl>
  </w:abstractNum>
  <w:abstractNum w:abstractNumId="28">
    <w:nsid w:val="617F15AD"/>
    <w:multiLevelType w:val="hybridMultilevel"/>
    <w:tmpl w:val="92C2B05E"/>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9">
    <w:nsid w:val="61960BE8"/>
    <w:multiLevelType w:val="hybridMultilevel"/>
    <w:tmpl w:val="FA9864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8A4DF3"/>
    <w:multiLevelType w:val="hybridMultilevel"/>
    <w:tmpl w:val="6B32FB58"/>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D32BE8"/>
    <w:multiLevelType w:val="hybridMultilevel"/>
    <w:tmpl w:val="426C9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7F5E67"/>
    <w:multiLevelType w:val="hybridMultilevel"/>
    <w:tmpl w:val="99DE5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A14748"/>
    <w:multiLevelType w:val="hybridMultilevel"/>
    <w:tmpl w:val="A3FA15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C9C71E5"/>
    <w:multiLevelType w:val="hybridMultilevel"/>
    <w:tmpl w:val="4A061524"/>
    <w:lvl w:ilvl="0">
      <w:start w:val="1"/>
      <w:numFmt w:val="decimal"/>
      <w:lvlText w:val="%1."/>
      <w:lvlJc w:val="left"/>
      <w:pPr>
        <w:ind w:left="360" w:hanging="360"/>
      </w:pPr>
      <w:rPr>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CB938D0"/>
    <w:multiLevelType w:val="hybridMultilevel"/>
    <w:tmpl w:val="A1DE4982"/>
    <w:lvl w:ilvl="0">
      <w:start w:val="16"/>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B07C65"/>
    <w:multiLevelType w:val="hybridMultilevel"/>
    <w:tmpl w:val="0DD63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C6524F"/>
    <w:multiLevelType w:val="hybridMultilevel"/>
    <w:tmpl w:val="C30E71B8"/>
    <w:lvl w:ilvl="0">
      <w:start w:val="16"/>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7557533A"/>
    <w:multiLevelType w:val="hybridMultilevel"/>
    <w:tmpl w:val="3544C48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9">
    <w:nsid w:val="76BF4D0C"/>
    <w:multiLevelType w:val="hybridMultilevel"/>
    <w:tmpl w:val="25EC2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42254E"/>
    <w:multiLevelType w:val="hybridMultilevel"/>
    <w:tmpl w:val="A192E1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20532482">
    <w:abstractNumId w:val="3"/>
  </w:num>
  <w:num w:numId="2" w16cid:durableId="1855916606">
    <w:abstractNumId w:val="15"/>
  </w:num>
  <w:num w:numId="3" w16cid:durableId="427313823">
    <w:abstractNumId w:val="0"/>
  </w:num>
  <w:num w:numId="4" w16cid:durableId="212035630">
    <w:abstractNumId w:val="24"/>
  </w:num>
  <w:num w:numId="5" w16cid:durableId="1967735463">
    <w:abstractNumId w:val="39"/>
  </w:num>
  <w:num w:numId="6" w16cid:durableId="1055396807">
    <w:abstractNumId w:val="19"/>
  </w:num>
  <w:num w:numId="7" w16cid:durableId="221061808">
    <w:abstractNumId w:val="25"/>
  </w:num>
  <w:num w:numId="8" w16cid:durableId="338433036">
    <w:abstractNumId w:val="33"/>
  </w:num>
  <w:num w:numId="9" w16cid:durableId="306278827">
    <w:abstractNumId w:val="6"/>
  </w:num>
  <w:num w:numId="10" w16cid:durableId="1584297993">
    <w:abstractNumId w:val="32"/>
  </w:num>
  <w:num w:numId="11" w16cid:durableId="1097409344">
    <w:abstractNumId w:val="16"/>
  </w:num>
  <w:num w:numId="12" w16cid:durableId="716706156">
    <w:abstractNumId w:val="34"/>
  </w:num>
  <w:num w:numId="13" w16cid:durableId="1356424886">
    <w:abstractNumId w:val="12"/>
  </w:num>
  <w:num w:numId="14" w16cid:durableId="1362055326">
    <w:abstractNumId w:val="26"/>
  </w:num>
  <w:num w:numId="15" w16cid:durableId="1609851060">
    <w:abstractNumId w:val="8"/>
  </w:num>
  <w:num w:numId="16" w16cid:durableId="2017533084">
    <w:abstractNumId w:val="9"/>
  </w:num>
  <w:num w:numId="17" w16cid:durableId="1170560963">
    <w:abstractNumId w:val="20"/>
  </w:num>
  <w:num w:numId="18" w16cid:durableId="942568309">
    <w:abstractNumId w:val="30"/>
  </w:num>
  <w:num w:numId="19" w16cid:durableId="64689162">
    <w:abstractNumId w:val="38"/>
  </w:num>
  <w:num w:numId="20" w16cid:durableId="1733456390">
    <w:abstractNumId w:val="16"/>
  </w:num>
  <w:num w:numId="21" w16cid:durableId="1002855671">
    <w:abstractNumId w:val="36"/>
  </w:num>
  <w:num w:numId="22" w16cid:durableId="48697399">
    <w:abstractNumId w:val="27"/>
  </w:num>
  <w:num w:numId="23" w16cid:durableId="196282964">
    <w:abstractNumId w:val="4"/>
  </w:num>
  <w:num w:numId="24" w16cid:durableId="314265616">
    <w:abstractNumId w:val="40"/>
  </w:num>
  <w:num w:numId="25" w16cid:durableId="1873152575">
    <w:abstractNumId w:val="31"/>
  </w:num>
  <w:num w:numId="26" w16cid:durableId="2064131908">
    <w:abstractNumId w:val="7"/>
  </w:num>
  <w:num w:numId="27" w16cid:durableId="2136831914">
    <w:abstractNumId w:val="2"/>
  </w:num>
  <w:num w:numId="28" w16cid:durableId="654258561">
    <w:abstractNumId w:val="13"/>
  </w:num>
  <w:num w:numId="29" w16cid:durableId="1520394433">
    <w:abstractNumId w:val="5"/>
  </w:num>
  <w:num w:numId="30" w16cid:durableId="1356735107">
    <w:abstractNumId w:val="17"/>
  </w:num>
  <w:num w:numId="31" w16cid:durableId="1712150669">
    <w:abstractNumId w:val="37"/>
  </w:num>
  <w:num w:numId="32" w16cid:durableId="177930852">
    <w:abstractNumId w:val="1"/>
  </w:num>
  <w:num w:numId="33" w16cid:durableId="2065643588">
    <w:abstractNumId w:val="22"/>
  </w:num>
  <w:num w:numId="34" w16cid:durableId="621767401">
    <w:abstractNumId w:val="35"/>
  </w:num>
  <w:num w:numId="35" w16cid:durableId="719210084">
    <w:abstractNumId w:val="11"/>
  </w:num>
  <w:num w:numId="36" w16cid:durableId="1834444278">
    <w:abstractNumId w:val="21"/>
  </w:num>
  <w:num w:numId="37" w16cid:durableId="1571772952">
    <w:abstractNumId w:val="18"/>
  </w:num>
  <w:num w:numId="38" w16cid:durableId="1070688172">
    <w:abstractNumId w:val="14"/>
  </w:num>
  <w:num w:numId="39" w16cid:durableId="1676611790">
    <w:abstractNumId w:val="23"/>
  </w:num>
  <w:num w:numId="40" w16cid:durableId="2080008629">
    <w:abstractNumId w:val="10"/>
  </w:num>
  <w:num w:numId="41" w16cid:durableId="472525095">
    <w:abstractNumId w:val="29"/>
  </w:num>
  <w:num w:numId="42" w16cid:durableId="21316256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C4"/>
    <w:rsid w:val="000022C3"/>
    <w:rsid w:val="0000392F"/>
    <w:rsid w:val="0000400E"/>
    <w:rsid w:val="00004691"/>
    <w:rsid w:val="00005AC3"/>
    <w:rsid w:val="00005F24"/>
    <w:rsid w:val="00006ECD"/>
    <w:rsid w:val="00007456"/>
    <w:rsid w:val="00010739"/>
    <w:rsid w:val="00010C57"/>
    <w:rsid w:val="000117ED"/>
    <w:rsid w:val="0001235C"/>
    <w:rsid w:val="0001378F"/>
    <w:rsid w:val="0001399F"/>
    <w:rsid w:val="00014A4C"/>
    <w:rsid w:val="00016FDD"/>
    <w:rsid w:val="00017143"/>
    <w:rsid w:val="00017299"/>
    <w:rsid w:val="00017835"/>
    <w:rsid w:val="00017D97"/>
    <w:rsid w:val="00020733"/>
    <w:rsid w:val="00021421"/>
    <w:rsid w:val="00022319"/>
    <w:rsid w:val="000226AD"/>
    <w:rsid w:val="00023E90"/>
    <w:rsid w:val="0002421B"/>
    <w:rsid w:val="00024944"/>
    <w:rsid w:val="00024CFA"/>
    <w:rsid w:val="000279C3"/>
    <w:rsid w:val="00027CD9"/>
    <w:rsid w:val="00027E8F"/>
    <w:rsid w:val="0003143B"/>
    <w:rsid w:val="00031710"/>
    <w:rsid w:val="0003194F"/>
    <w:rsid w:val="00031F1F"/>
    <w:rsid w:val="00033ACA"/>
    <w:rsid w:val="0003486C"/>
    <w:rsid w:val="00034872"/>
    <w:rsid w:val="00035068"/>
    <w:rsid w:val="000355C5"/>
    <w:rsid w:val="000356C1"/>
    <w:rsid w:val="00035AC3"/>
    <w:rsid w:val="0003792C"/>
    <w:rsid w:val="000400A7"/>
    <w:rsid w:val="00040DE8"/>
    <w:rsid w:val="00041F98"/>
    <w:rsid w:val="0004244F"/>
    <w:rsid w:val="00042848"/>
    <w:rsid w:val="00042AF9"/>
    <w:rsid w:val="00042CB3"/>
    <w:rsid w:val="00044476"/>
    <w:rsid w:val="00044BC2"/>
    <w:rsid w:val="00045181"/>
    <w:rsid w:val="00045BFD"/>
    <w:rsid w:val="000460B4"/>
    <w:rsid w:val="0004614E"/>
    <w:rsid w:val="0004672E"/>
    <w:rsid w:val="00046ACC"/>
    <w:rsid w:val="00050BA2"/>
    <w:rsid w:val="000515B8"/>
    <w:rsid w:val="00052011"/>
    <w:rsid w:val="0005336E"/>
    <w:rsid w:val="00054DCE"/>
    <w:rsid w:val="00055F27"/>
    <w:rsid w:val="0005731A"/>
    <w:rsid w:val="0006109D"/>
    <w:rsid w:val="00061263"/>
    <w:rsid w:val="00061DE2"/>
    <w:rsid w:val="0006261C"/>
    <w:rsid w:val="00062F8D"/>
    <w:rsid w:val="00063A1B"/>
    <w:rsid w:val="00063A49"/>
    <w:rsid w:val="00064365"/>
    <w:rsid w:val="000651AC"/>
    <w:rsid w:val="000652A1"/>
    <w:rsid w:val="000653F9"/>
    <w:rsid w:val="0006773F"/>
    <w:rsid w:val="0006786C"/>
    <w:rsid w:val="000706B5"/>
    <w:rsid w:val="000719E2"/>
    <w:rsid w:val="0007251A"/>
    <w:rsid w:val="00072AA8"/>
    <w:rsid w:val="00073ECB"/>
    <w:rsid w:val="000740B9"/>
    <w:rsid w:val="00074395"/>
    <w:rsid w:val="00075A42"/>
    <w:rsid w:val="000768F1"/>
    <w:rsid w:val="00077D9E"/>
    <w:rsid w:val="0008034B"/>
    <w:rsid w:val="00080924"/>
    <w:rsid w:val="000813CF"/>
    <w:rsid w:val="000817B2"/>
    <w:rsid w:val="000819C4"/>
    <w:rsid w:val="00081CA3"/>
    <w:rsid w:val="00082FE9"/>
    <w:rsid w:val="00083162"/>
    <w:rsid w:val="0008417F"/>
    <w:rsid w:val="000844D5"/>
    <w:rsid w:val="00084B03"/>
    <w:rsid w:val="00084B86"/>
    <w:rsid w:val="00085DC5"/>
    <w:rsid w:val="00086529"/>
    <w:rsid w:val="00086FE4"/>
    <w:rsid w:val="00087F6A"/>
    <w:rsid w:val="00090054"/>
    <w:rsid w:val="00090954"/>
    <w:rsid w:val="00090E81"/>
    <w:rsid w:val="00092C4A"/>
    <w:rsid w:val="00093593"/>
    <w:rsid w:val="00093F91"/>
    <w:rsid w:val="00094086"/>
    <w:rsid w:val="0009579E"/>
    <w:rsid w:val="000958ED"/>
    <w:rsid w:val="00095BAF"/>
    <w:rsid w:val="000967F8"/>
    <w:rsid w:val="000977BA"/>
    <w:rsid w:val="00097B78"/>
    <w:rsid w:val="000A194E"/>
    <w:rsid w:val="000A1971"/>
    <w:rsid w:val="000A1F7F"/>
    <w:rsid w:val="000A2392"/>
    <w:rsid w:val="000A2845"/>
    <w:rsid w:val="000A303F"/>
    <w:rsid w:val="000A3342"/>
    <w:rsid w:val="000A41CB"/>
    <w:rsid w:val="000A4D13"/>
    <w:rsid w:val="000A6312"/>
    <w:rsid w:val="000A6E4A"/>
    <w:rsid w:val="000A77ED"/>
    <w:rsid w:val="000A7EBD"/>
    <w:rsid w:val="000B06DE"/>
    <w:rsid w:val="000B07A5"/>
    <w:rsid w:val="000B09B1"/>
    <w:rsid w:val="000B0C2D"/>
    <w:rsid w:val="000B1700"/>
    <w:rsid w:val="000B1840"/>
    <w:rsid w:val="000B2178"/>
    <w:rsid w:val="000B26FD"/>
    <w:rsid w:val="000B2BC7"/>
    <w:rsid w:val="000B5C5A"/>
    <w:rsid w:val="000B608B"/>
    <w:rsid w:val="000B6684"/>
    <w:rsid w:val="000B7023"/>
    <w:rsid w:val="000B70BD"/>
    <w:rsid w:val="000B7247"/>
    <w:rsid w:val="000B7A3D"/>
    <w:rsid w:val="000B7D43"/>
    <w:rsid w:val="000C3DBA"/>
    <w:rsid w:val="000C3E65"/>
    <w:rsid w:val="000C5432"/>
    <w:rsid w:val="000C5B57"/>
    <w:rsid w:val="000C74E3"/>
    <w:rsid w:val="000D009A"/>
    <w:rsid w:val="000D09E7"/>
    <w:rsid w:val="000D1452"/>
    <w:rsid w:val="000D1549"/>
    <w:rsid w:val="000D1F3D"/>
    <w:rsid w:val="000D242C"/>
    <w:rsid w:val="000D4106"/>
    <w:rsid w:val="000D48F6"/>
    <w:rsid w:val="000D493C"/>
    <w:rsid w:val="000D5856"/>
    <w:rsid w:val="000D640E"/>
    <w:rsid w:val="000D744B"/>
    <w:rsid w:val="000E1869"/>
    <w:rsid w:val="000E1FA9"/>
    <w:rsid w:val="000E2AF6"/>
    <w:rsid w:val="000E36C5"/>
    <w:rsid w:val="000E36DB"/>
    <w:rsid w:val="000E3FEC"/>
    <w:rsid w:val="000E542E"/>
    <w:rsid w:val="000E5B1F"/>
    <w:rsid w:val="000E5F54"/>
    <w:rsid w:val="000F0059"/>
    <w:rsid w:val="000F098D"/>
    <w:rsid w:val="000F0CB9"/>
    <w:rsid w:val="000F0DAB"/>
    <w:rsid w:val="000F1DFB"/>
    <w:rsid w:val="000F20C1"/>
    <w:rsid w:val="000F2F6F"/>
    <w:rsid w:val="000F45EE"/>
    <w:rsid w:val="000F4D8C"/>
    <w:rsid w:val="000F66B6"/>
    <w:rsid w:val="000F6764"/>
    <w:rsid w:val="000F69AA"/>
    <w:rsid w:val="000F7544"/>
    <w:rsid w:val="000F7E44"/>
    <w:rsid w:val="0010220E"/>
    <w:rsid w:val="001022E3"/>
    <w:rsid w:val="00102A04"/>
    <w:rsid w:val="00102F4D"/>
    <w:rsid w:val="0010358F"/>
    <w:rsid w:val="0010471C"/>
    <w:rsid w:val="00104E67"/>
    <w:rsid w:val="00105103"/>
    <w:rsid w:val="001060FF"/>
    <w:rsid w:val="00106B49"/>
    <w:rsid w:val="00106D1C"/>
    <w:rsid w:val="00106DF1"/>
    <w:rsid w:val="001070E1"/>
    <w:rsid w:val="00107A6A"/>
    <w:rsid w:val="00107D77"/>
    <w:rsid w:val="00110C59"/>
    <w:rsid w:val="00111ECA"/>
    <w:rsid w:val="001129AD"/>
    <w:rsid w:val="00112B5B"/>
    <w:rsid w:val="00112C89"/>
    <w:rsid w:val="00113089"/>
    <w:rsid w:val="0011313A"/>
    <w:rsid w:val="00113FEF"/>
    <w:rsid w:val="00114E83"/>
    <w:rsid w:val="00115354"/>
    <w:rsid w:val="00115AE5"/>
    <w:rsid w:val="00115E20"/>
    <w:rsid w:val="0011605B"/>
    <w:rsid w:val="001164AD"/>
    <w:rsid w:val="00120CEB"/>
    <w:rsid w:val="00122243"/>
    <w:rsid w:val="001236D3"/>
    <w:rsid w:val="00123791"/>
    <w:rsid w:val="00124A3A"/>
    <w:rsid w:val="00124DD2"/>
    <w:rsid w:val="00124E0C"/>
    <w:rsid w:val="0012524E"/>
    <w:rsid w:val="00125AD1"/>
    <w:rsid w:val="001262E7"/>
    <w:rsid w:val="00126D50"/>
    <w:rsid w:val="0012704E"/>
    <w:rsid w:val="00127D33"/>
    <w:rsid w:val="00130231"/>
    <w:rsid w:val="00130375"/>
    <w:rsid w:val="001309B1"/>
    <w:rsid w:val="00130F68"/>
    <w:rsid w:val="0013359F"/>
    <w:rsid w:val="001336AC"/>
    <w:rsid w:val="00133BA7"/>
    <w:rsid w:val="00133D4D"/>
    <w:rsid w:val="00134216"/>
    <w:rsid w:val="00134AFB"/>
    <w:rsid w:val="001350DF"/>
    <w:rsid w:val="001369F5"/>
    <w:rsid w:val="00137F94"/>
    <w:rsid w:val="0014035B"/>
    <w:rsid w:val="001418AE"/>
    <w:rsid w:val="00141A6E"/>
    <w:rsid w:val="00142F4B"/>
    <w:rsid w:val="00142F6A"/>
    <w:rsid w:val="0014317D"/>
    <w:rsid w:val="00143AB6"/>
    <w:rsid w:val="00143EB6"/>
    <w:rsid w:val="00144CCE"/>
    <w:rsid w:val="001456E4"/>
    <w:rsid w:val="0014581D"/>
    <w:rsid w:val="00145F67"/>
    <w:rsid w:val="001462A0"/>
    <w:rsid w:val="0014678E"/>
    <w:rsid w:val="00147AC7"/>
    <w:rsid w:val="00150CE7"/>
    <w:rsid w:val="00150F49"/>
    <w:rsid w:val="00152A45"/>
    <w:rsid w:val="00152DE4"/>
    <w:rsid w:val="00153558"/>
    <w:rsid w:val="001537B4"/>
    <w:rsid w:val="001540FA"/>
    <w:rsid w:val="00154B56"/>
    <w:rsid w:val="00154EF0"/>
    <w:rsid w:val="00155265"/>
    <w:rsid w:val="001554BB"/>
    <w:rsid w:val="00155A83"/>
    <w:rsid w:val="00155F0E"/>
    <w:rsid w:val="00155F71"/>
    <w:rsid w:val="00156AC5"/>
    <w:rsid w:val="00156EF2"/>
    <w:rsid w:val="00157135"/>
    <w:rsid w:val="00157AEB"/>
    <w:rsid w:val="001606F9"/>
    <w:rsid w:val="00161924"/>
    <w:rsid w:val="00161BD9"/>
    <w:rsid w:val="00161F63"/>
    <w:rsid w:val="001643D5"/>
    <w:rsid w:val="00164872"/>
    <w:rsid w:val="00164F98"/>
    <w:rsid w:val="001662B3"/>
    <w:rsid w:val="00166E5A"/>
    <w:rsid w:val="00167234"/>
    <w:rsid w:val="0016779D"/>
    <w:rsid w:val="0017082F"/>
    <w:rsid w:val="00170980"/>
    <w:rsid w:val="001710E4"/>
    <w:rsid w:val="001714AD"/>
    <w:rsid w:val="0017167A"/>
    <w:rsid w:val="00173E81"/>
    <w:rsid w:val="00174623"/>
    <w:rsid w:val="00174B17"/>
    <w:rsid w:val="001771B4"/>
    <w:rsid w:val="001773B5"/>
    <w:rsid w:val="001800FE"/>
    <w:rsid w:val="0018074E"/>
    <w:rsid w:val="001817EC"/>
    <w:rsid w:val="00181C8C"/>
    <w:rsid w:val="00181E4F"/>
    <w:rsid w:val="00182944"/>
    <w:rsid w:val="00182CF7"/>
    <w:rsid w:val="0018482A"/>
    <w:rsid w:val="00184C37"/>
    <w:rsid w:val="00185034"/>
    <w:rsid w:val="001879E5"/>
    <w:rsid w:val="001901FE"/>
    <w:rsid w:val="00190B45"/>
    <w:rsid w:val="00190D42"/>
    <w:rsid w:val="001921AC"/>
    <w:rsid w:val="00192485"/>
    <w:rsid w:val="001932E0"/>
    <w:rsid w:val="001937A6"/>
    <w:rsid w:val="001939B4"/>
    <w:rsid w:val="001948F7"/>
    <w:rsid w:val="0019495C"/>
    <w:rsid w:val="00194C3C"/>
    <w:rsid w:val="001A0429"/>
    <w:rsid w:val="001A224D"/>
    <w:rsid w:val="001A3089"/>
    <w:rsid w:val="001A389B"/>
    <w:rsid w:val="001A3D90"/>
    <w:rsid w:val="001A596E"/>
    <w:rsid w:val="001A68D4"/>
    <w:rsid w:val="001A6DA7"/>
    <w:rsid w:val="001A756C"/>
    <w:rsid w:val="001A7FD2"/>
    <w:rsid w:val="001B094E"/>
    <w:rsid w:val="001B0AB2"/>
    <w:rsid w:val="001B0B9E"/>
    <w:rsid w:val="001B2245"/>
    <w:rsid w:val="001B2760"/>
    <w:rsid w:val="001B2EE5"/>
    <w:rsid w:val="001B3B47"/>
    <w:rsid w:val="001B3BC1"/>
    <w:rsid w:val="001B4F18"/>
    <w:rsid w:val="001B5755"/>
    <w:rsid w:val="001B5ACB"/>
    <w:rsid w:val="001B6DF7"/>
    <w:rsid w:val="001B7717"/>
    <w:rsid w:val="001B7953"/>
    <w:rsid w:val="001C18B7"/>
    <w:rsid w:val="001C3828"/>
    <w:rsid w:val="001C3D4E"/>
    <w:rsid w:val="001C3D95"/>
    <w:rsid w:val="001C44C4"/>
    <w:rsid w:val="001C4913"/>
    <w:rsid w:val="001C52FA"/>
    <w:rsid w:val="001C5A6F"/>
    <w:rsid w:val="001C5FAA"/>
    <w:rsid w:val="001C64FC"/>
    <w:rsid w:val="001C6AE4"/>
    <w:rsid w:val="001C6D78"/>
    <w:rsid w:val="001C7472"/>
    <w:rsid w:val="001D1FD1"/>
    <w:rsid w:val="001D1FDF"/>
    <w:rsid w:val="001D4817"/>
    <w:rsid w:val="001D5E2A"/>
    <w:rsid w:val="001D683F"/>
    <w:rsid w:val="001D688F"/>
    <w:rsid w:val="001D77B9"/>
    <w:rsid w:val="001D7975"/>
    <w:rsid w:val="001E12ED"/>
    <w:rsid w:val="001E148C"/>
    <w:rsid w:val="001E1889"/>
    <w:rsid w:val="001E1A33"/>
    <w:rsid w:val="001E1D78"/>
    <w:rsid w:val="001E30F7"/>
    <w:rsid w:val="001E481D"/>
    <w:rsid w:val="001E4879"/>
    <w:rsid w:val="001E531F"/>
    <w:rsid w:val="001E6A6D"/>
    <w:rsid w:val="001F00D7"/>
    <w:rsid w:val="001F0C42"/>
    <w:rsid w:val="001F0C9B"/>
    <w:rsid w:val="001F1671"/>
    <w:rsid w:val="001F1FE4"/>
    <w:rsid w:val="001F3B84"/>
    <w:rsid w:val="001F3BF6"/>
    <w:rsid w:val="001F40E2"/>
    <w:rsid w:val="001F53A3"/>
    <w:rsid w:val="002002BD"/>
    <w:rsid w:val="002017C9"/>
    <w:rsid w:val="00203282"/>
    <w:rsid w:val="00203737"/>
    <w:rsid w:val="00204287"/>
    <w:rsid w:val="00204559"/>
    <w:rsid w:val="00204597"/>
    <w:rsid w:val="0020483D"/>
    <w:rsid w:val="00206384"/>
    <w:rsid w:val="002067CC"/>
    <w:rsid w:val="0021161E"/>
    <w:rsid w:val="002119DE"/>
    <w:rsid w:val="002140DA"/>
    <w:rsid w:val="00214D44"/>
    <w:rsid w:val="00215436"/>
    <w:rsid w:val="0021620D"/>
    <w:rsid w:val="0021635B"/>
    <w:rsid w:val="00217381"/>
    <w:rsid w:val="002179DE"/>
    <w:rsid w:val="00217F9A"/>
    <w:rsid w:val="00220E80"/>
    <w:rsid w:val="00221850"/>
    <w:rsid w:val="00221A27"/>
    <w:rsid w:val="00222084"/>
    <w:rsid w:val="00222277"/>
    <w:rsid w:val="00222766"/>
    <w:rsid w:val="002229A2"/>
    <w:rsid w:val="00222B27"/>
    <w:rsid w:val="00223244"/>
    <w:rsid w:val="0022410F"/>
    <w:rsid w:val="00224420"/>
    <w:rsid w:val="00224595"/>
    <w:rsid w:val="00225947"/>
    <w:rsid w:val="00226A5A"/>
    <w:rsid w:val="00226F85"/>
    <w:rsid w:val="00227D02"/>
    <w:rsid w:val="00230A43"/>
    <w:rsid w:val="00230BC1"/>
    <w:rsid w:val="002325A3"/>
    <w:rsid w:val="002325ED"/>
    <w:rsid w:val="0023280E"/>
    <w:rsid w:val="002329B3"/>
    <w:rsid w:val="002337EA"/>
    <w:rsid w:val="00234B50"/>
    <w:rsid w:val="0023559C"/>
    <w:rsid w:val="00235F88"/>
    <w:rsid w:val="00236967"/>
    <w:rsid w:val="0023780F"/>
    <w:rsid w:val="00237BA0"/>
    <w:rsid w:val="00243398"/>
    <w:rsid w:val="002445E0"/>
    <w:rsid w:val="00244C31"/>
    <w:rsid w:val="00244FD7"/>
    <w:rsid w:val="00245208"/>
    <w:rsid w:val="00245DFA"/>
    <w:rsid w:val="0024674F"/>
    <w:rsid w:val="00250134"/>
    <w:rsid w:val="00250A5A"/>
    <w:rsid w:val="0025143D"/>
    <w:rsid w:val="00251748"/>
    <w:rsid w:val="00251F78"/>
    <w:rsid w:val="002522E8"/>
    <w:rsid w:val="002526CF"/>
    <w:rsid w:val="00252910"/>
    <w:rsid w:val="00252B8A"/>
    <w:rsid w:val="00254871"/>
    <w:rsid w:val="002549FD"/>
    <w:rsid w:val="002550B2"/>
    <w:rsid w:val="00256DA0"/>
    <w:rsid w:val="00257B6F"/>
    <w:rsid w:val="00257E96"/>
    <w:rsid w:val="00260860"/>
    <w:rsid w:val="00261336"/>
    <w:rsid w:val="00261DE2"/>
    <w:rsid w:val="0026230F"/>
    <w:rsid w:val="00264095"/>
    <w:rsid w:val="00264C14"/>
    <w:rsid w:val="00265253"/>
    <w:rsid w:val="00265FE8"/>
    <w:rsid w:val="00266116"/>
    <w:rsid w:val="002672D9"/>
    <w:rsid w:val="00271634"/>
    <w:rsid w:val="00271CAD"/>
    <w:rsid w:val="00271E9E"/>
    <w:rsid w:val="002720A6"/>
    <w:rsid w:val="00272240"/>
    <w:rsid w:val="002723E5"/>
    <w:rsid w:val="00272DC6"/>
    <w:rsid w:val="002734E4"/>
    <w:rsid w:val="002739C2"/>
    <w:rsid w:val="00276C92"/>
    <w:rsid w:val="00281F34"/>
    <w:rsid w:val="002827F1"/>
    <w:rsid w:val="00282B29"/>
    <w:rsid w:val="002833D4"/>
    <w:rsid w:val="002834DF"/>
    <w:rsid w:val="0028399D"/>
    <w:rsid w:val="00283CBB"/>
    <w:rsid w:val="00284438"/>
    <w:rsid w:val="00286DF9"/>
    <w:rsid w:val="00290192"/>
    <w:rsid w:val="00290A38"/>
    <w:rsid w:val="00290D3A"/>
    <w:rsid w:val="00290EED"/>
    <w:rsid w:val="0029114E"/>
    <w:rsid w:val="00292672"/>
    <w:rsid w:val="00293D66"/>
    <w:rsid w:val="00294C8B"/>
    <w:rsid w:val="00294EDF"/>
    <w:rsid w:val="00295458"/>
    <w:rsid w:val="0029552B"/>
    <w:rsid w:val="00295727"/>
    <w:rsid w:val="00295A4F"/>
    <w:rsid w:val="00296BB0"/>
    <w:rsid w:val="0029718C"/>
    <w:rsid w:val="002A1A1B"/>
    <w:rsid w:val="002A285E"/>
    <w:rsid w:val="002A3533"/>
    <w:rsid w:val="002A38F0"/>
    <w:rsid w:val="002A4684"/>
    <w:rsid w:val="002A4710"/>
    <w:rsid w:val="002A493C"/>
    <w:rsid w:val="002A5277"/>
    <w:rsid w:val="002A5FC0"/>
    <w:rsid w:val="002A610D"/>
    <w:rsid w:val="002A61C4"/>
    <w:rsid w:val="002A67C4"/>
    <w:rsid w:val="002A7014"/>
    <w:rsid w:val="002A70C5"/>
    <w:rsid w:val="002A7398"/>
    <w:rsid w:val="002A7B3F"/>
    <w:rsid w:val="002A7C3F"/>
    <w:rsid w:val="002B0284"/>
    <w:rsid w:val="002B1C46"/>
    <w:rsid w:val="002B1EB9"/>
    <w:rsid w:val="002B2DDC"/>
    <w:rsid w:val="002B3493"/>
    <w:rsid w:val="002B40A5"/>
    <w:rsid w:val="002B651E"/>
    <w:rsid w:val="002B7334"/>
    <w:rsid w:val="002C0033"/>
    <w:rsid w:val="002C0577"/>
    <w:rsid w:val="002C16AC"/>
    <w:rsid w:val="002C37D2"/>
    <w:rsid w:val="002C3FC7"/>
    <w:rsid w:val="002C4304"/>
    <w:rsid w:val="002C497A"/>
    <w:rsid w:val="002C5605"/>
    <w:rsid w:val="002C5879"/>
    <w:rsid w:val="002C6DF3"/>
    <w:rsid w:val="002C7098"/>
    <w:rsid w:val="002C7148"/>
    <w:rsid w:val="002C71FC"/>
    <w:rsid w:val="002D04FC"/>
    <w:rsid w:val="002D0BD3"/>
    <w:rsid w:val="002D0C48"/>
    <w:rsid w:val="002D1E24"/>
    <w:rsid w:val="002D204C"/>
    <w:rsid w:val="002D2FD3"/>
    <w:rsid w:val="002D302B"/>
    <w:rsid w:val="002D41AF"/>
    <w:rsid w:val="002D4201"/>
    <w:rsid w:val="002D49D4"/>
    <w:rsid w:val="002D6C26"/>
    <w:rsid w:val="002D732C"/>
    <w:rsid w:val="002D7CC0"/>
    <w:rsid w:val="002E065F"/>
    <w:rsid w:val="002E16E1"/>
    <w:rsid w:val="002E1CE9"/>
    <w:rsid w:val="002E1E0A"/>
    <w:rsid w:val="002E2F95"/>
    <w:rsid w:val="002E325D"/>
    <w:rsid w:val="002E3F3F"/>
    <w:rsid w:val="002E4088"/>
    <w:rsid w:val="002E4319"/>
    <w:rsid w:val="002E4BC6"/>
    <w:rsid w:val="002E5607"/>
    <w:rsid w:val="002E5EE6"/>
    <w:rsid w:val="002E65EF"/>
    <w:rsid w:val="002F06CA"/>
    <w:rsid w:val="002F3129"/>
    <w:rsid w:val="002F3191"/>
    <w:rsid w:val="002F3433"/>
    <w:rsid w:val="002F35B0"/>
    <w:rsid w:val="002F3AA3"/>
    <w:rsid w:val="002F4127"/>
    <w:rsid w:val="002F4937"/>
    <w:rsid w:val="002F4CE5"/>
    <w:rsid w:val="002F5719"/>
    <w:rsid w:val="002F6347"/>
    <w:rsid w:val="00300840"/>
    <w:rsid w:val="00300B10"/>
    <w:rsid w:val="00300DCA"/>
    <w:rsid w:val="00301993"/>
    <w:rsid w:val="00301E4A"/>
    <w:rsid w:val="003024E2"/>
    <w:rsid w:val="00302C75"/>
    <w:rsid w:val="00303F82"/>
    <w:rsid w:val="0030444F"/>
    <w:rsid w:val="00307105"/>
    <w:rsid w:val="00310229"/>
    <w:rsid w:val="00311D89"/>
    <w:rsid w:val="0031238A"/>
    <w:rsid w:val="00315D3A"/>
    <w:rsid w:val="00315DDB"/>
    <w:rsid w:val="0031611A"/>
    <w:rsid w:val="00316891"/>
    <w:rsid w:val="003169CD"/>
    <w:rsid w:val="0031724F"/>
    <w:rsid w:val="0032048D"/>
    <w:rsid w:val="00321B6A"/>
    <w:rsid w:val="00323438"/>
    <w:rsid w:val="003245F5"/>
    <w:rsid w:val="00325068"/>
    <w:rsid w:val="003253A0"/>
    <w:rsid w:val="003269FF"/>
    <w:rsid w:val="00330694"/>
    <w:rsid w:val="003321FB"/>
    <w:rsid w:val="00333866"/>
    <w:rsid w:val="00334340"/>
    <w:rsid w:val="00334742"/>
    <w:rsid w:val="003364FF"/>
    <w:rsid w:val="0033663A"/>
    <w:rsid w:val="003366A8"/>
    <w:rsid w:val="00336BBE"/>
    <w:rsid w:val="00337FD1"/>
    <w:rsid w:val="00341033"/>
    <w:rsid w:val="00341759"/>
    <w:rsid w:val="00341F45"/>
    <w:rsid w:val="00342BA2"/>
    <w:rsid w:val="003435A0"/>
    <w:rsid w:val="00344078"/>
    <w:rsid w:val="0034410B"/>
    <w:rsid w:val="0034476F"/>
    <w:rsid w:val="00344B2A"/>
    <w:rsid w:val="00344BCC"/>
    <w:rsid w:val="00345189"/>
    <w:rsid w:val="00345245"/>
    <w:rsid w:val="00345278"/>
    <w:rsid w:val="003452D7"/>
    <w:rsid w:val="003457FD"/>
    <w:rsid w:val="00345BAD"/>
    <w:rsid w:val="003468B7"/>
    <w:rsid w:val="0034752C"/>
    <w:rsid w:val="003500A5"/>
    <w:rsid w:val="003502B9"/>
    <w:rsid w:val="00350678"/>
    <w:rsid w:val="00350714"/>
    <w:rsid w:val="00350949"/>
    <w:rsid w:val="00352854"/>
    <w:rsid w:val="003530FD"/>
    <w:rsid w:val="003536E5"/>
    <w:rsid w:val="00353DBD"/>
    <w:rsid w:val="00354CFD"/>
    <w:rsid w:val="00355B02"/>
    <w:rsid w:val="003617DC"/>
    <w:rsid w:val="0036205E"/>
    <w:rsid w:val="00364002"/>
    <w:rsid w:val="0036424C"/>
    <w:rsid w:val="0036502D"/>
    <w:rsid w:val="00365058"/>
    <w:rsid w:val="00365EC5"/>
    <w:rsid w:val="003661C6"/>
    <w:rsid w:val="00366851"/>
    <w:rsid w:val="00366C37"/>
    <w:rsid w:val="00366F3B"/>
    <w:rsid w:val="0036756D"/>
    <w:rsid w:val="00371A3F"/>
    <w:rsid w:val="00371ABE"/>
    <w:rsid w:val="003731D8"/>
    <w:rsid w:val="00373C0A"/>
    <w:rsid w:val="003749B0"/>
    <w:rsid w:val="003751C1"/>
    <w:rsid w:val="00375300"/>
    <w:rsid w:val="003754C4"/>
    <w:rsid w:val="003755F2"/>
    <w:rsid w:val="003757E3"/>
    <w:rsid w:val="00375808"/>
    <w:rsid w:val="00382A33"/>
    <w:rsid w:val="00382F8B"/>
    <w:rsid w:val="003835BA"/>
    <w:rsid w:val="00383EB5"/>
    <w:rsid w:val="00384623"/>
    <w:rsid w:val="00384861"/>
    <w:rsid w:val="003851A4"/>
    <w:rsid w:val="00390033"/>
    <w:rsid w:val="00390749"/>
    <w:rsid w:val="00391139"/>
    <w:rsid w:val="0039181F"/>
    <w:rsid w:val="00391A01"/>
    <w:rsid w:val="00392B1E"/>
    <w:rsid w:val="00393532"/>
    <w:rsid w:val="00395437"/>
    <w:rsid w:val="0039554C"/>
    <w:rsid w:val="00396A02"/>
    <w:rsid w:val="003970B2"/>
    <w:rsid w:val="0039746F"/>
    <w:rsid w:val="0039753F"/>
    <w:rsid w:val="003A06D4"/>
    <w:rsid w:val="003A0AEB"/>
    <w:rsid w:val="003A0D39"/>
    <w:rsid w:val="003A1096"/>
    <w:rsid w:val="003A1210"/>
    <w:rsid w:val="003A201D"/>
    <w:rsid w:val="003A4C71"/>
    <w:rsid w:val="003A4CBB"/>
    <w:rsid w:val="003A5D03"/>
    <w:rsid w:val="003A6449"/>
    <w:rsid w:val="003A6582"/>
    <w:rsid w:val="003A6736"/>
    <w:rsid w:val="003A67B0"/>
    <w:rsid w:val="003A7C57"/>
    <w:rsid w:val="003A7ED7"/>
    <w:rsid w:val="003B1F7A"/>
    <w:rsid w:val="003B20C5"/>
    <w:rsid w:val="003B21EB"/>
    <w:rsid w:val="003B2305"/>
    <w:rsid w:val="003B40E7"/>
    <w:rsid w:val="003B4344"/>
    <w:rsid w:val="003B5D4C"/>
    <w:rsid w:val="003B6460"/>
    <w:rsid w:val="003B7335"/>
    <w:rsid w:val="003B78BB"/>
    <w:rsid w:val="003B7DD6"/>
    <w:rsid w:val="003C0281"/>
    <w:rsid w:val="003C105E"/>
    <w:rsid w:val="003C206A"/>
    <w:rsid w:val="003C2209"/>
    <w:rsid w:val="003C229C"/>
    <w:rsid w:val="003C2494"/>
    <w:rsid w:val="003C2EC3"/>
    <w:rsid w:val="003C365A"/>
    <w:rsid w:val="003C3A09"/>
    <w:rsid w:val="003C3F70"/>
    <w:rsid w:val="003C49FC"/>
    <w:rsid w:val="003C50C3"/>
    <w:rsid w:val="003C6B33"/>
    <w:rsid w:val="003C6F72"/>
    <w:rsid w:val="003C776D"/>
    <w:rsid w:val="003C78C1"/>
    <w:rsid w:val="003C79BB"/>
    <w:rsid w:val="003D060C"/>
    <w:rsid w:val="003D064A"/>
    <w:rsid w:val="003D13B2"/>
    <w:rsid w:val="003D1539"/>
    <w:rsid w:val="003D1599"/>
    <w:rsid w:val="003D19C7"/>
    <w:rsid w:val="003D21C2"/>
    <w:rsid w:val="003D2218"/>
    <w:rsid w:val="003D3876"/>
    <w:rsid w:val="003D3E39"/>
    <w:rsid w:val="003D5C44"/>
    <w:rsid w:val="003D5DB4"/>
    <w:rsid w:val="003D658D"/>
    <w:rsid w:val="003D6C71"/>
    <w:rsid w:val="003D6CF8"/>
    <w:rsid w:val="003D7771"/>
    <w:rsid w:val="003D7A6B"/>
    <w:rsid w:val="003D7BCC"/>
    <w:rsid w:val="003E0586"/>
    <w:rsid w:val="003E0851"/>
    <w:rsid w:val="003E238F"/>
    <w:rsid w:val="003E262D"/>
    <w:rsid w:val="003E3BA0"/>
    <w:rsid w:val="003E4C73"/>
    <w:rsid w:val="003E54EE"/>
    <w:rsid w:val="003E57E3"/>
    <w:rsid w:val="003E71AE"/>
    <w:rsid w:val="003E7BE5"/>
    <w:rsid w:val="003E7CBF"/>
    <w:rsid w:val="003E7F41"/>
    <w:rsid w:val="003F2A97"/>
    <w:rsid w:val="003F3659"/>
    <w:rsid w:val="003F53CC"/>
    <w:rsid w:val="003F5E8E"/>
    <w:rsid w:val="003F5F3A"/>
    <w:rsid w:val="003F6735"/>
    <w:rsid w:val="003F7DD6"/>
    <w:rsid w:val="00400F2F"/>
    <w:rsid w:val="00401176"/>
    <w:rsid w:val="0040199D"/>
    <w:rsid w:val="00401A3A"/>
    <w:rsid w:val="0040211B"/>
    <w:rsid w:val="004024C8"/>
    <w:rsid w:val="0040295A"/>
    <w:rsid w:val="0040319E"/>
    <w:rsid w:val="004063DC"/>
    <w:rsid w:val="00407B30"/>
    <w:rsid w:val="00410994"/>
    <w:rsid w:val="00411837"/>
    <w:rsid w:val="0041193E"/>
    <w:rsid w:val="00413646"/>
    <w:rsid w:val="004157F9"/>
    <w:rsid w:val="00417419"/>
    <w:rsid w:val="004176CB"/>
    <w:rsid w:val="004176CE"/>
    <w:rsid w:val="00417BD9"/>
    <w:rsid w:val="0042106C"/>
    <w:rsid w:val="004219FB"/>
    <w:rsid w:val="00421D6F"/>
    <w:rsid w:val="004226E2"/>
    <w:rsid w:val="004246B2"/>
    <w:rsid w:val="004247DE"/>
    <w:rsid w:val="004251D8"/>
    <w:rsid w:val="00425A0F"/>
    <w:rsid w:val="00425CE1"/>
    <w:rsid w:val="00426446"/>
    <w:rsid w:val="00426C6B"/>
    <w:rsid w:val="00427848"/>
    <w:rsid w:val="00430605"/>
    <w:rsid w:val="00430BAF"/>
    <w:rsid w:val="00431820"/>
    <w:rsid w:val="004318AB"/>
    <w:rsid w:val="00432766"/>
    <w:rsid w:val="00432DA6"/>
    <w:rsid w:val="00434019"/>
    <w:rsid w:val="00435240"/>
    <w:rsid w:val="004352AA"/>
    <w:rsid w:val="004355A7"/>
    <w:rsid w:val="00436AE7"/>
    <w:rsid w:val="00437731"/>
    <w:rsid w:val="00437DD3"/>
    <w:rsid w:val="004405B6"/>
    <w:rsid w:val="00440B31"/>
    <w:rsid w:val="00440C75"/>
    <w:rsid w:val="00441067"/>
    <w:rsid w:val="0044180B"/>
    <w:rsid w:val="00442742"/>
    <w:rsid w:val="00443C52"/>
    <w:rsid w:val="00443EAA"/>
    <w:rsid w:val="00444F9E"/>
    <w:rsid w:val="00446166"/>
    <w:rsid w:val="004464F7"/>
    <w:rsid w:val="00446617"/>
    <w:rsid w:val="0045021B"/>
    <w:rsid w:val="00453914"/>
    <w:rsid w:val="004545FF"/>
    <w:rsid w:val="004563B6"/>
    <w:rsid w:val="00456B69"/>
    <w:rsid w:val="00456E46"/>
    <w:rsid w:val="004573B2"/>
    <w:rsid w:val="00461629"/>
    <w:rsid w:val="0046345D"/>
    <w:rsid w:val="00464233"/>
    <w:rsid w:val="004645DE"/>
    <w:rsid w:val="00466162"/>
    <w:rsid w:val="00466287"/>
    <w:rsid w:val="00466D4C"/>
    <w:rsid w:val="00470C81"/>
    <w:rsid w:val="0047158D"/>
    <w:rsid w:val="0047159A"/>
    <w:rsid w:val="00471D50"/>
    <w:rsid w:val="004724FA"/>
    <w:rsid w:val="004729EA"/>
    <w:rsid w:val="00475A0C"/>
    <w:rsid w:val="00476C3A"/>
    <w:rsid w:val="0047710D"/>
    <w:rsid w:val="004772F4"/>
    <w:rsid w:val="00477819"/>
    <w:rsid w:val="0048011F"/>
    <w:rsid w:val="00480AE6"/>
    <w:rsid w:val="00480B32"/>
    <w:rsid w:val="00482B34"/>
    <w:rsid w:val="00483903"/>
    <w:rsid w:val="00484ECB"/>
    <w:rsid w:val="00485648"/>
    <w:rsid w:val="00485706"/>
    <w:rsid w:val="00485CEE"/>
    <w:rsid w:val="00485E7B"/>
    <w:rsid w:val="0048682C"/>
    <w:rsid w:val="004876FA"/>
    <w:rsid w:val="0048772C"/>
    <w:rsid w:val="00487856"/>
    <w:rsid w:val="00487AC3"/>
    <w:rsid w:val="00487D6E"/>
    <w:rsid w:val="004915EB"/>
    <w:rsid w:val="00491C08"/>
    <w:rsid w:val="0049215E"/>
    <w:rsid w:val="00492E6D"/>
    <w:rsid w:val="0049312F"/>
    <w:rsid w:val="0049348C"/>
    <w:rsid w:val="004936AE"/>
    <w:rsid w:val="00494294"/>
    <w:rsid w:val="004943FB"/>
    <w:rsid w:val="00494529"/>
    <w:rsid w:val="0049512E"/>
    <w:rsid w:val="004952E5"/>
    <w:rsid w:val="00495736"/>
    <w:rsid w:val="00496485"/>
    <w:rsid w:val="0049659B"/>
    <w:rsid w:val="004969BD"/>
    <w:rsid w:val="00496A89"/>
    <w:rsid w:val="00496D7C"/>
    <w:rsid w:val="00496E3C"/>
    <w:rsid w:val="004975FA"/>
    <w:rsid w:val="004979CC"/>
    <w:rsid w:val="004A06AC"/>
    <w:rsid w:val="004A11F2"/>
    <w:rsid w:val="004A121A"/>
    <w:rsid w:val="004A17E0"/>
    <w:rsid w:val="004A1AE4"/>
    <w:rsid w:val="004A1D1C"/>
    <w:rsid w:val="004A3254"/>
    <w:rsid w:val="004A3534"/>
    <w:rsid w:val="004A3974"/>
    <w:rsid w:val="004A43FC"/>
    <w:rsid w:val="004A4A15"/>
    <w:rsid w:val="004A5142"/>
    <w:rsid w:val="004A52AD"/>
    <w:rsid w:val="004A61D3"/>
    <w:rsid w:val="004A6862"/>
    <w:rsid w:val="004A74FB"/>
    <w:rsid w:val="004A7F71"/>
    <w:rsid w:val="004B0B43"/>
    <w:rsid w:val="004B0C1E"/>
    <w:rsid w:val="004B0CFC"/>
    <w:rsid w:val="004B13B3"/>
    <w:rsid w:val="004B2B1A"/>
    <w:rsid w:val="004B4379"/>
    <w:rsid w:val="004B4A7B"/>
    <w:rsid w:val="004B56A6"/>
    <w:rsid w:val="004B5A0F"/>
    <w:rsid w:val="004B5BC4"/>
    <w:rsid w:val="004B656C"/>
    <w:rsid w:val="004B65B5"/>
    <w:rsid w:val="004B72E7"/>
    <w:rsid w:val="004C0ED9"/>
    <w:rsid w:val="004C1ED4"/>
    <w:rsid w:val="004C3190"/>
    <w:rsid w:val="004C328D"/>
    <w:rsid w:val="004C393B"/>
    <w:rsid w:val="004C3C78"/>
    <w:rsid w:val="004C3DA6"/>
    <w:rsid w:val="004C3E5E"/>
    <w:rsid w:val="004C419F"/>
    <w:rsid w:val="004C6A4C"/>
    <w:rsid w:val="004D0F47"/>
    <w:rsid w:val="004D17B7"/>
    <w:rsid w:val="004D4432"/>
    <w:rsid w:val="004D4CF0"/>
    <w:rsid w:val="004D4DD7"/>
    <w:rsid w:val="004D682C"/>
    <w:rsid w:val="004D6E17"/>
    <w:rsid w:val="004D6F91"/>
    <w:rsid w:val="004D7115"/>
    <w:rsid w:val="004E081C"/>
    <w:rsid w:val="004E0B59"/>
    <w:rsid w:val="004E0BAB"/>
    <w:rsid w:val="004E3507"/>
    <w:rsid w:val="004E3A97"/>
    <w:rsid w:val="004E3E1A"/>
    <w:rsid w:val="004E5B12"/>
    <w:rsid w:val="004E6E6C"/>
    <w:rsid w:val="004E6F8E"/>
    <w:rsid w:val="004E718B"/>
    <w:rsid w:val="004E777E"/>
    <w:rsid w:val="004E7FB5"/>
    <w:rsid w:val="004F050B"/>
    <w:rsid w:val="004F05DC"/>
    <w:rsid w:val="004F0633"/>
    <w:rsid w:val="004F1695"/>
    <w:rsid w:val="004F22B9"/>
    <w:rsid w:val="004F278B"/>
    <w:rsid w:val="004F42B7"/>
    <w:rsid w:val="004F4558"/>
    <w:rsid w:val="004F4F9D"/>
    <w:rsid w:val="004F55EB"/>
    <w:rsid w:val="004F726B"/>
    <w:rsid w:val="004F7F08"/>
    <w:rsid w:val="00500F05"/>
    <w:rsid w:val="00501DA8"/>
    <w:rsid w:val="00501FAF"/>
    <w:rsid w:val="0050231D"/>
    <w:rsid w:val="005027A2"/>
    <w:rsid w:val="005037DE"/>
    <w:rsid w:val="005044AE"/>
    <w:rsid w:val="00505E76"/>
    <w:rsid w:val="00506677"/>
    <w:rsid w:val="0050669B"/>
    <w:rsid w:val="00506FA6"/>
    <w:rsid w:val="00507E5A"/>
    <w:rsid w:val="00511E1C"/>
    <w:rsid w:val="005140C0"/>
    <w:rsid w:val="00514BDE"/>
    <w:rsid w:val="00514C57"/>
    <w:rsid w:val="00515156"/>
    <w:rsid w:val="005153DA"/>
    <w:rsid w:val="0051580D"/>
    <w:rsid w:val="0051608D"/>
    <w:rsid w:val="005162E9"/>
    <w:rsid w:val="00516305"/>
    <w:rsid w:val="005168D9"/>
    <w:rsid w:val="00516A6A"/>
    <w:rsid w:val="005178E9"/>
    <w:rsid w:val="00520160"/>
    <w:rsid w:val="00520BD3"/>
    <w:rsid w:val="005216F5"/>
    <w:rsid w:val="00521756"/>
    <w:rsid w:val="00521DF5"/>
    <w:rsid w:val="00522947"/>
    <w:rsid w:val="00522D3A"/>
    <w:rsid w:val="0052304B"/>
    <w:rsid w:val="00523090"/>
    <w:rsid w:val="00524393"/>
    <w:rsid w:val="00524EC4"/>
    <w:rsid w:val="00524FBD"/>
    <w:rsid w:val="005259A4"/>
    <w:rsid w:val="00525C36"/>
    <w:rsid w:val="00526570"/>
    <w:rsid w:val="005265BE"/>
    <w:rsid w:val="00526E8C"/>
    <w:rsid w:val="005275A2"/>
    <w:rsid w:val="0052782B"/>
    <w:rsid w:val="00530DEE"/>
    <w:rsid w:val="00531A4E"/>
    <w:rsid w:val="00532359"/>
    <w:rsid w:val="00533D5C"/>
    <w:rsid w:val="005352E4"/>
    <w:rsid w:val="00535400"/>
    <w:rsid w:val="00537CA4"/>
    <w:rsid w:val="00540214"/>
    <w:rsid w:val="00542576"/>
    <w:rsid w:val="005426CF"/>
    <w:rsid w:val="00542729"/>
    <w:rsid w:val="00542759"/>
    <w:rsid w:val="00542B42"/>
    <w:rsid w:val="00543748"/>
    <w:rsid w:val="0054394F"/>
    <w:rsid w:val="0054415C"/>
    <w:rsid w:val="00544B28"/>
    <w:rsid w:val="0054554C"/>
    <w:rsid w:val="00545FF1"/>
    <w:rsid w:val="005464EB"/>
    <w:rsid w:val="005479B4"/>
    <w:rsid w:val="00547AAC"/>
    <w:rsid w:val="0055032E"/>
    <w:rsid w:val="00552151"/>
    <w:rsid w:val="0055326A"/>
    <w:rsid w:val="00553891"/>
    <w:rsid w:val="00554A96"/>
    <w:rsid w:val="00554B3B"/>
    <w:rsid w:val="00555F7A"/>
    <w:rsid w:val="005565F1"/>
    <w:rsid w:val="0055715C"/>
    <w:rsid w:val="00560B5A"/>
    <w:rsid w:val="00561EAC"/>
    <w:rsid w:val="0056431C"/>
    <w:rsid w:val="00564CDC"/>
    <w:rsid w:val="005656B3"/>
    <w:rsid w:val="00566697"/>
    <w:rsid w:val="0056680E"/>
    <w:rsid w:val="00566992"/>
    <w:rsid w:val="005674ED"/>
    <w:rsid w:val="0056773A"/>
    <w:rsid w:val="005702E8"/>
    <w:rsid w:val="00570FA9"/>
    <w:rsid w:val="00571234"/>
    <w:rsid w:val="00571417"/>
    <w:rsid w:val="005723B2"/>
    <w:rsid w:val="00572BAF"/>
    <w:rsid w:val="005734BD"/>
    <w:rsid w:val="005738AE"/>
    <w:rsid w:val="00573A74"/>
    <w:rsid w:val="00573E41"/>
    <w:rsid w:val="005755E1"/>
    <w:rsid w:val="0057560B"/>
    <w:rsid w:val="005777EF"/>
    <w:rsid w:val="005809C8"/>
    <w:rsid w:val="0058139A"/>
    <w:rsid w:val="00581541"/>
    <w:rsid w:val="005816B1"/>
    <w:rsid w:val="00581EBC"/>
    <w:rsid w:val="0058245C"/>
    <w:rsid w:val="00582B08"/>
    <w:rsid w:val="0058374A"/>
    <w:rsid w:val="00583E66"/>
    <w:rsid w:val="00584371"/>
    <w:rsid w:val="00584A7D"/>
    <w:rsid w:val="00587ED2"/>
    <w:rsid w:val="00590019"/>
    <w:rsid w:val="00591099"/>
    <w:rsid w:val="00591D69"/>
    <w:rsid w:val="005921F9"/>
    <w:rsid w:val="0059234E"/>
    <w:rsid w:val="0059352C"/>
    <w:rsid w:val="005946C5"/>
    <w:rsid w:val="00594D0C"/>
    <w:rsid w:val="00595BC1"/>
    <w:rsid w:val="00596075"/>
    <w:rsid w:val="005962FB"/>
    <w:rsid w:val="0059777B"/>
    <w:rsid w:val="005A0208"/>
    <w:rsid w:val="005A0E16"/>
    <w:rsid w:val="005A17E3"/>
    <w:rsid w:val="005A27A6"/>
    <w:rsid w:val="005A2D39"/>
    <w:rsid w:val="005A3AED"/>
    <w:rsid w:val="005A4314"/>
    <w:rsid w:val="005A5DEC"/>
    <w:rsid w:val="005A60D2"/>
    <w:rsid w:val="005A6712"/>
    <w:rsid w:val="005A6B03"/>
    <w:rsid w:val="005B06AD"/>
    <w:rsid w:val="005B0904"/>
    <w:rsid w:val="005B1E58"/>
    <w:rsid w:val="005B2EAB"/>
    <w:rsid w:val="005B3C41"/>
    <w:rsid w:val="005B5744"/>
    <w:rsid w:val="005B7F63"/>
    <w:rsid w:val="005C020F"/>
    <w:rsid w:val="005C0844"/>
    <w:rsid w:val="005C140E"/>
    <w:rsid w:val="005C28AF"/>
    <w:rsid w:val="005C2F62"/>
    <w:rsid w:val="005C306A"/>
    <w:rsid w:val="005C4123"/>
    <w:rsid w:val="005C44AE"/>
    <w:rsid w:val="005C48EF"/>
    <w:rsid w:val="005C4ED0"/>
    <w:rsid w:val="005C5400"/>
    <w:rsid w:val="005C5436"/>
    <w:rsid w:val="005C7294"/>
    <w:rsid w:val="005C78B6"/>
    <w:rsid w:val="005D0020"/>
    <w:rsid w:val="005D014C"/>
    <w:rsid w:val="005D0AAC"/>
    <w:rsid w:val="005D1B51"/>
    <w:rsid w:val="005D1BCF"/>
    <w:rsid w:val="005D28DC"/>
    <w:rsid w:val="005D299D"/>
    <w:rsid w:val="005D2EC3"/>
    <w:rsid w:val="005D3E1D"/>
    <w:rsid w:val="005D6BE7"/>
    <w:rsid w:val="005D6C66"/>
    <w:rsid w:val="005D722E"/>
    <w:rsid w:val="005D731D"/>
    <w:rsid w:val="005D7739"/>
    <w:rsid w:val="005D78BF"/>
    <w:rsid w:val="005D79C8"/>
    <w:rsid w:val="005E0188"/>
    <w:rsid w:val="005E0E25"/>
    <w:rsid w:val="005E0FA1"/>
    <w:rsid w:val="005E14E5"/>
    <w:rsid w:val="005E1A6D"/>
    <w:rsid w:val="005E1AA3"/>
    <w:rsid w:val="005E255D"/>
    <w:rsid w:val="005E26C7"/>
    <w:rsid w:val="005E27F0"/>
    <w:rsid w:val="005E2A21"/>
    <w:rsid w:val="005E3164"/>
    <w:rsid w:val="005E41E8"/>
    <w:rsid w:val="005E48C0"/>
    <w:rsid w:val="005E4E09"/>
    <w:rsid w:val="005E6D62"/>
    <w:rsid w:val="005E6F24"/>
    <w:rsid w:val="005E73D3"/>
    <w:rsid w:val="005F1F0B"/>
    <w:rsid w:val="005F1F20"/>
    <w:rsid w:val="005F4907"/>
    <w:rsid w:val="005F5B75"/>
    <w:rsid w:val="005F5C7D"/>
    <w:rsid w:val="005F64FF"/>
    <w:rsid w:val="006000AB"/>
    <w:rsid w:val="006005E3"/>
    <w:rsid w:val="00601996"/>
    <w:rsid w:val="0060417E"/>
    <w:rsid w:val="0060483C"/>
    <w:rsid w:val="006061B1"/>
    <w:rsid w:val="006101FF"/>
    <w:rsid w:val="006102C2"/>
    <w:rsid w:val="006108F0"/>
    <w:rsid w:val="00610CFE"/>
    <w:rsid w:val="0061126E"/>
    <w:rsid w:val="00611AEB"/>
    <w:rsid w:val="00612CA8"/>
    <w:rsid w:val="00613013"/>
    <w:rsid w:val="006131C4"/>
    <w:rsid w:val="00615C6B"/>
    <w:rsid w:val="00617258"/>
    <w:rsid w:val="00617B1D"/>
    <w:rsid w:val="006207B9"/>
    <w:rsid w:val="00621785"/>
    <w:rsid w:val="00621869"/>
    <w:rsid w:val="00621C65"/>
    <w:rsid w:val="00622495"/>
    <w:rsid w:val="00622E14"/>
    <w:rsid w:val="00624806"/>
    <w:rsid w:val="00624D46"/>
    <w:rsid w:val="006258C5"/>
    <w:rsid w:val="00627B1E"/>
    <w:rsid w:val="006301D8"/>
    <w:rsid w:val="0063025C"/>
    <w:rsid w:val="00630B86"/>
    <w:rsid w:val="00630E8D"/>
    <w:rsid w:val="00631F94"/>
    <w:rsid w:val="00632117"/>
    <w:rsid w:val="00632780"/>
    <w:rsid w:val="00632ADB"/>
    <w:rsid w:val="00632DDE"/>
    <w:rsid w:val="00632EAF"/>
    <w:rsid w:val="006333E6"/>
    <w:rsid w:val="006335D3"/>
    <w:rsid w:val="006337A6"/>
    <w:rsid w:val="00633A15"/>
    <w:rsid w:val="00633E10"/>
    <w:rsid w:val="00634013"/>
    <w:rsid w:val="006345D9"/>
    <w:rsid w:val="006358D7"/>
    <w:rsid w:val="0063747E"/>
    <w:rsid w:val="00637691"/>
    <w:rsid w:val="006378EA"/>
    <w:rsid w:val="00637AC4"/>
    <w:rsid w:val="006419C7"/>
    <w:rsid w:val="00641CF8"/>
    <w:rsid w:val="00641FCE"/>
    <w:rsid w:val="0064294D"/>
    <w:rsid w:val="00642D56"/>
    <w:rsid w:val="006430C9"/>
    <w:rsid w:val="00643428"/>
    <w:rsid w:val="00643632"/>
    <w:rsid w:val="0064544C"/>
    <w:rsid w:val="00645AE2"/>
    <w:rsid w:val="00645FAB"/>
    <w:rsid w:val="00646783"/>
    <w:rsid w:val="00646C13"/>
    <w:rsid w:val="00646EFF"/>
    <w:rsid w:val="006471B6"/>
    <w:rsid w:val="0065057C"/>
    <w:rsid w:val="00650916"/>
    <w:rsid w:val="00650E35"/>
    <w:rsid w:val="00650EFC"/>
    <w:rsid w:val="006537D3"/>
    <w:rsid w:val="006539CF"/>
    <w:rsid w:val="00653B97"/>
    <w:rsid w:val="006540C1"/>
    <w:rsid w:val="0065452A"/>
    <w:rsid w:val="00654CB8"/>
    <w:rsid w:val="00654EA7"/>
    <w:rsid w:val="00655DBE"/>
    <w:rsid w:val="00656153"/>
    <w:rsid w:val="0065653C"/>
    <w:rsid w:val="0065673D"/>
    <w:rsid w:val="006576C8"/>
    <w:rsid w:val="006619C8"/>
    <w:rsid w:val="0066282A"/>
    <w:rsid w:val="00664720"/>
    <w:rsid w:val="00664D63"/>
    <w:rsid w:val="00664F4D"/>
    <w:rsid w:val="00665291"/>
    <w:rsid w:val="00665625"/>
    <w:rsid w:val="0066596D"/>
    <w:rsid w:val="00666D4D"/>
    <w:rsid w:val="00667135"/>
    <w:rsid w:val="00667306"/>
    <w:rsid w:val="006674E8"/>
    <w:rsid w:val="00667940"/>
    <w:rsid w:val="0067012F"/>
    <w:rsid w:val="006704E1"/>
    <w:rsid w:val="0067154C"/>
    <w:rsid w:val="006728B6"/>
    <w:rsid w:val="0067422A"/>
    <w:rsid w:val="00674322"/>
    <w:rsid w:val="00674C0C"/>
    <w:rsid w:val="00674C9C"/>
    <w:rsid w:val="00674D3F"/>
    <w:rsid w:val="006759EE"/>
    <w:rsid w:val="0067601A"/>
    <w:rsid w:val="00676CA0"/>
    <w:rsid w:val="006809AD"/>
    <w:rsid w:val="00680B78"/>
    <w:rsid w:val="006816AF"/>
    <w:rsid w:val="006846A8"/>
    <w:rsid w:val="00684F1B"/>
    <w:rsid w:val="0068506A"/>
    <w:rsid w:val="00685907"/>
    <w:rsid w:val="00686453"/>
    <w:rsid w:val="00686859"/>
    <w:rsid w:val="00686935"/>
    <w:rsid w:val="00686BA8"/>
    <w:rsid w:val="006907EA"/>
    <w:rsid w:val="00692433"/>
    <w:rsid w:val="0069278A"/>
    <w:rsid w:val="006928D5"/>
    <w:rsid w:val="0069293E"/>
    <w:rsid w:val="00693BC2"/>
    <w:rsid w:val="00694069"/>
    <w:rsid w:val="00694436"/>
    <w:rsid w:val="00694486"/>
    <w:rsid w:val="0069461E"/>
    <w:rsid w:val="00694695"/>
    <w:rsid w:val="00694B21"/>
    <w:rsid w:val="00694CBE"/>
    <w:rsid w:val="00694E16"/>
    <w:rsid w:val="00697026"/>
    <w:rsid w:val="00697DD2"/>
    <w:rsid w:val="006A07A6"/>
    <w:rsid w:val="006A0FEB"/>
    <w:rsid w:val="006A170C"/>
    <w:rsid w:val="006A2C00"/>
    <w:rsid w:val="006A2CAF"/>
    <w:rsid w:val="006A366E"/>
    <w:rsid w:val="006A4071"/>
    <w:rsid w:val="006A4675"/>
    <w:rsid w:val="006A4D9D"/>
    <w:rsid w:val="006A4E7D"/>
    <w:rsid w:val="006A4F91"/>
    <w:rsid w:val="006A53E5"/>
    <w:rsid w:val="006A6A10"/>
    <w:rsid w:val="006A78AB"/>
    <w:rsid w:val="006A7D19"/>
    <w:rsid w:val="006A7FBA"/>
    <w:rsid w:val="006B0102"/>
    <w:rsid w:val="006B1683"/>
    <w:rsid w:val="006B17B1"/>
    <w:rsid w:val="006B1BEE"/>
    <w:rsid w:val="006B25BE"/>
    <w:rsid w:val="006B3BEA"/>
    <w:rsid w:val="006B446B"/>
    <w:rsid w:val="006B4963"/>
    <w:rsid w:val="006B5793"/>
    <w:rsid w:val="006B5F85"/>
    <w:rsid w:val="006B7163"/>
    <w:rsid w:val="006B78A5"/>
    <w:rsid w:val="006B7E38"/>
    <w:rsid w:val="006C025A"/>
    <w:rsid w:val="006C1421"/>
    <w:rsid w:val="006C181E"/>
    <w:rsid w:val="006C27CE"/>
    <w:rsid w:val="006C2B77"/>
    <w:rsid w:val="006C3D65"/>
    <w:rsid w:val="006C41B8"/>
    <w:rsid w:val="006C438C"/>
    <w:rsid w:val="006C4B13"/>
    <w:rsid w:val="006C4BA3"/>
    <w:rsid w:val="006C4D9F"/>
    <w:rsid w:val="006C59EA"/>
    <w:rsid w:val="006C5F1F"/>
    <w:rsid w:val="006C60B8"/>
    <w:rsid w:val="006C6AC9"/>
    <w:rsid w:val="006D042F"/>
    <w:rsid w:val="006D14C5"/>
    <w:rsid w:val="006D2888"/>
    <w:rsid w:val="006D2D13"/>
    <w:rsid w:val="006D2E41"/>
    <w:rsid w:val="006D3469"/>
    <w:rsid w:val="006D4EC3"/>
    <w:rsid w:val="006D5E61"/>
    <w:rsid w:val="006D6E67"/>
    <w:rsid w:val="006E0548"/>
    <w:rsid w:val="006E0EBB"/>
    <w:rsid w:val="006E13E5"/>
    <w:rsid w:val="006E2450"/>
    <w:rsid w:val="006E2547"/>
    <w:rsid w:val="006E2795"/>
    <w:rsid w:val="006E2C77"/>
    <w:rsid w:val="006E2D82"/>
    <w:rsid w:val="006E361F"/>
    <w:rsid w:val="006E447B"/>
    <w:rsid w:val="006E4882"/>
    <w:rsid w:val="006E5002"/>
    <w:rsid w:val="006E51CA"/>
    <w:rsid w:val="006E5305"/>
    <w:rsid w:val="006E70EA"/>
    <w:rsid w:val="006E722C"/>
    <w:rsid w:val="006E755C"/>
    <w:rsid w:val="006E7B26"/>
    <w:rsid w:val="006E7EC9"/>
    <w:rsid w:val="006F02C4"/>
    <w:rsid w:val="006F02EE"/>
    <w:rsid w:val="006F1388"/>
    <w:rsid w:val="006F25B7"/>
    <w:rsid w:val="006F25CD"/>
    <w:rsid w:val="006F2D2D"/>
    <w:rsid w:val="006F4580"/>
    <w:rsid w:val="006F46C2"/>
    <w:rsid w:val="006F48EE"/>
    <w:rsid w:val="006F51F3"/>
    <w:rsid w:val="006F5A2C"/>
    <w:rsid w:val="006F732D"/>
    <w:rsid w:val="0070059C"/>
    <w:rsid w:val="00700FCF"/>
    <w:rsid w:val="00701F8D"/>
    <w:rsid w:val="007029AA"/>
    <w:rsid w:val="00702E03"/>
    <w:rsid w:val="0070384A"/>
    <w:rsid w:val="00705A9D"/>
    <w:rsid w:val="00706587"/>
    <w:rsid w:val="00706B89"/>
    <w:rsid w:val="007070D4"/>
    <w:rsid w:val="007072CE"/>
    <w:rsid w:val="0070766F"/>
    <w:rsid w:val="00707A4A"/>
    <w:rsid w:val="00707F32"/>
    <w:rsid w:val="00711F46"/>
    <w:rsid w:val="00712C81"/>
    <w:rsid w:val="0071381A"/>
    <w:rsid w:val="00713BA6"/>
    <w:rsid w:val="00713C28"/>
    <w:rsid w:val="00714103"/>
    <w:rsid w:val="00714719"/>
    <w:rsid w:val="00716456"/>
    <w:rsid w:val="00717A9F"/>
    <w:rsid w:val="00717F62"/>
    <w:rsid w:val="00720E6C"/>
    <w:rsid w:val="007210EC"/>
    <w:rsid w:val="0072173F"/>
    <w:rsid w:val="0072250F"/>
    <w:rsid w:val="00723A99"/>
    <w:rsid w:val="00723C0F"/>
    <w:rsid w:val="00723CAD"/>
    <w:rsid w:val="00723D95"/>
    <w:rsid w:val="007245A2"/>
    <w:rsid w:val="0072605E"/>
    <w:rsid w:val="0072611E"/>
    <w:rsid w:val="00726267"/>
    <w:rsid w:val="0072693F"/>
    <w:rsid w:val="00726EE2"/>
    <w:rsid w:val="00727B7C"/>
    <w:rsid w:val="00730103"/>
    <w:rsid w:val="007305BC"/>
    <w:rsid w:val="007315E4"/>
    <w:rsid w:val="00732679"/>
    <w:rsid w:val="00732EDA"/>
    <w:rsid w:val="00733C4D"/>
    <w:rsid w:val="007340FC"/>
    <w:rsid w:val="0073430B"/>
    <w:rsid w:val="0073499B"/>
    <w:rsid w:val="00734E17"/>
    <w:rsid w:val="00735E0B"/>
    <w:rsid w:val="007366EA"/>
    <w:rsid w:val="007368DD"/>
    <w:rsid w:val="00736CDF"/>
    <w:rsid w:val="0074077E"/>
    <w:rsid w:val="00740FFD"/>
    <w:rsid w:val="007411A8"/>
    <w:rsid w:val="00742A72"/>
    <w:rsid w:val="00742B1C"/>
    <w:rsid w:val="00742BA8"/>
    <w:rsid w:val="00743066"/>
    <w:rsid w:val="00743317"/>
    <w:rsid w:val="00743580"/>
    <w:rsid w:val="007443B1"/>
    <w:rsid w:val="00745431"/>
    <w:rsid w:val="00747D21"/>
    <w:rsid w:val="00747E14"/>
    <w:rsid w:val="00747F92"/>
    <w:rsid w:val="00750442"/>
    <w:rsid w:val="007506EB"/>
    <w:rsid w:val="00750ADA"/>
    <w:rsid w:val="00750C68"/>
    <w:rsid w:val="00750D35"/>
    <w:rsid w:val="00751257"/>
    <w:rsid w:val="00751A87"/>
    <w:rsid w:val="00751FD4"/>
    <w:rsid w:val="0075227F"/>
    <w:rsid w:val="0075269D"/>
    <w:rsid w:val="0075334D"/>
    <w:rsid w:val="00753BD7"/>
    <w:rsid w:val="0075406E"/>
    <w:rsid w:val="00754661"/>
    <w:rsid w:val="00756B2E"/>
    <w:rsid w:val="00756B63"/>
    <w:rsid w:val="00756B9D"/>
    <w:rsid w:val="0075765C"/>
    <w:rsid w:val="007611A7"/>
    <w:rsid w:val="007612F1"/>
    <w:rsid w:val="00761908"/>
    <w:rsid w:val="00761E79"/>
    <w:rsid w:val="007636A4"/>
    <w:rsid w:val="00763D22"/>
    <w:rsid w:val="00764452"/>
    <w:rsid w:val="00764BAF"/>
    <w:rsid w:val="00764CF4"/>
    <w:rsid w:val="00765CF4"/>
    <w:rsid w:val="00767025"/>
    <w:rsid w:val="00767CE6"/>
    <w:rsid w:val="00770D45"/>
    <w:rsid w:val="00772680"/>
    <w:rsid w:val="00773085"/>
    <w:rsid w:val="007731EB"/>
    <w:rsid w:val="00773C8E"/>
    <w:rsid w:val="00774390"/>
    <w:rsid w:val="00774752"/>
    <w:rsid w:val="007747D9"/>
    <w:rsid w:val="00774B0A"/>
    <w:rsid w:val="007757D9"/>
    <w:rsid w:val="00775C9A"/>
    <w:rsid w:val="00776B2D"/>
    <w:rsid w:val="007771FF"/>
    <w:rsid w:val="00777653"/>
    <w:rsid w:val="007804BF"/>
    <w:rsid w:val="00781145"/>
    <w:rsid w:val="0078194E"/>
    <w:rsid w:val="00781D96"/>
    <w:rsid w:val="00782581"/>
    <w:rsid w:val="0078290E"/>
    <w:rsid w:val="00782FB0"/>
    <w:rsid w:val="0078370A"/>
    <w:rsid w:val="007845FE"/>
    <w:rsid w:val="00784A06"/>
    <w:rsid w:val="007856C1"/>
    <w:rsid w:val="00787570"/>
    <w:rsid w:val="00790158"/>
    <w:rsid w:val="00790883"/>
    <w:rsid w:val="007909AB"/>
    <w:rsid w:val="00790F6C"/>
    <w:rsid w:val="007914B3"/>
    <w:rsid w:val="00791648"/>
    <w:rsid w:val="00792111"/>
    <w:rsid w:val="00792225"/>
    <w:rsid w:val="00792AB0"/>
    <w:rsid w:val="00792F3E"/>
    <w:rsid w:val="007947E5"/>
    <w:rsid w:val="00794CDC"/>
    <w:rsid w:val="007964A7"/>
    <w:rsid w:val="0079655D"/>
    <w:rsid w:val="00796664"/>
    <w:rsid w:val="00796939"/>
    <w:rsid w:val="0079732C"/>
    <w:rsid w:val="007974C1"/>
    <w:rsid w:val="007A14F4"/>
    <w:rsid w:val="007A4066"/>
    <w:rsid w:val="007A58BF"/>
    <w:rsid w:val="007A59C2"/>
    <w:rsid w:val="007A6263"/>
    <w:rsid w:val="007A6ADB"/>
    <w:rsid w:val="007B084E"/>
    <w:rsid w:val="007B14E8"/>
    <w:rsid w:val="007B1DF5"/>
    <w:rsid w:val="007B21AD"/>
    <w:rsid w:val="007B251D"/>
    <w:rsid w:val="007B26DC"/>
    <w:rsid w:val="007B2A1C"/>
    <w:rsid w:val="007B3A2A"/>
    <w:rsid w:val="007B3ED2"/>
    <w:rsid w:val="007B4BEC"/>
    <w:rsid w:val="007B5175"/>
    <w:rsid w:val="007B5D0C"/>
    <w:rsid w:val="007B672F"/>
    <w:rsid w:val="007B70D1"/>
    <w:rsid w:val="007C0A8A"/>
    <w:rsid w:val="007C0AB3"/>
    <w:rsid w:val="007C0D0E"/>
    <w:rsid w:val="007C1609"/>
    <w:rsid w:val="007C2737"/>
    <w:rsid w:val="007C49B1"/>
    <w:rsid w:val="007C4BD3"/>
    <w:rsid w:val="007D1454"/>
    <w:rsid w:val="007D1545"/>
    <w:rsid w:val="007D1812"/>
    <w:rsid w:val="007D2C3D"/>
    <w:rsid w:val="007D31E8"/>
    <w:rsid w:val="007D4917"/>
    <w:rsid w:val="007D4AFE"/>
    <w:rsid w:val="007D4B68"/>
    <w:rsid w:val="007D4D36"/>
    <w:rsid w:val="007D4D87"/>
    <w:rsid w:val="007D4DA4"/>
    <w:rsid w:val="007D5083"/>
    <w:rsid w:val="007D6010"/>
    <w:rsid w:val="007D654D"/>
    <w:rsid w:val="007D698C"/>
    <w:rsid w:val="007D6A9B"/>
    <w:rsid w:val="007D7439"/>
    <w:rsid w:val="007D751F"/>
    <w:rsid w:val="007D798F"/>
    <w:rsid w:val="007E0053"/>
    <w:rsid w:val="007E0A7A"/>
    <w:rsid w:val="007E13A4"/>
    <w:rsid w:val="007E1767"/>
    <w:rsid w:val="007E3E91"/>
    <w:rsid w:val="007E5633"/>
    <w:rsid w:val="007E625A"/>
    <w:rsid w:val="007F0E6B"/>
    <w:rsid w:val="007F140F"/>
    <w:rsid w:val="007F21FD"/>
    <w:rsid w:val="007F2CEE"/>
    <w:rsid w:val="007F5E06"/>
    <w:rsid w:val="007F6389"/>
    <w:rsid w:val="007F6E6A"/>
    <w:rsid w:val="007F7289"/>
    <w:rsid w:val="007F7543"/>
    <w:rsid w:val="007F79FF"/>
    <w:rsid w:val="00800DE5"/>
    <w:rsid w:val="008018E9"/>
    <w:rsid w:val="00801B7D"/>
    <w:rsid w:val="00801F46"/>
    <w:rsid w:val="008021D9"/>
    <w:rsid w:val="00802F8F"/>
    <w:rsid w:val="00803B34"/>
    <w:rsid w:val="00804DD6"/>
    <w:rsid w:val="00805286"/>
    <w:rsid w:val="0080587A"/>
    <w:rsid w:val="00805A1D"/>
    <w:rsid w:val="00805D12"/>
    <w:rsid w:val="008060CD"/>
    <w:rsid w:val="008068D2"/>
    <w:rsid w:val="00807443"/>
    <w:rsid w:val="00810502"/>
    <w:rsid w:val="008115FC"/>
    <w:rsid w:val="00812E81"/>
    <w:rsid w:val="0081366B"/>
    <w:rsid w:val="00813DE6"/>
    <w:rsid w:val="00813F33"/>
    <w:rsid w:val="008143A3"/>
    <w:rsid w:val="0081465B"/>
    <w:rsid w:val="008146BC"/>
    <w:rsid w:val="008157D9"/>
    <w:rsid w:val="00815D84"/>
    <w:rsid w:val="00815ED7"/>
    <w:rsid w:val="008164F9"/>
    <w:rsid w:val="00816AFD"/>
    <w:rsid w:val="00816E2A"/>
    <w:rsid w:val="0081739A"/>
    <w:rsid w:val="0081770F"/>
    <w:rsid w:val="008201BC"/>
    <w:rsid w:val="008202AE"/>
    <w:rsid w:val="00820384"/>
    <w:rsid w:val="00820AC0"/>
    <w:rsid w:val="00822F3C"/>
    <w:rsid w:val="0082343B"/>
    <w:rsid w:val="00824630"/>
    <w:rsid w:val="008247B0"/>
    <w:rsid w:val="00824D7D"/>
    <w:rsid w:val="0082613F"/>
    <w:rsid w:val="008263ED"/>
    <w:rsid w:val="00830DEF"/>
    <w:rsid w:val="00831E33"/>
    <w:rsid w:val="00832384"/>
    <w:rsid w:val="00832EE3"/>
    <w:rsid w:val="0083498D"/>
    <w:rsid w:val="00834F70"/>
    <w:rsid w:val="0083526D"/>
    <w:rsid w:val="0083569E"/>
    <w:rsid w:val="00835766"/>
    <w:rsid w:val="008361F6"/>
    <w:rsid w:val="00836D7A"/>
    <w:rsid w:val="0083744B"/>
    <w:rsid w:val="00837731"/>
    <w:rsid w:val="00837A5B"/>
    <w:rsid w:val="00840C36"/>
    <w:rsid w:val="00843469"/>
    <w:rsid w:val="008448A8"/>
    <w:rsid w:val="00844E08"/>
    <w:rsid w:val="00845961"/>
    <w:rsid w:val="00846D48"/>
    <w:rsid w:val="00847176"/>
    <w:rsid w:val="0084799E"/>
    <w:rsid w:val="0085057B"/>
    <w:rsid w:val="008505D9"/>
    <w:rsid w:val="008520C6"/>
    <w:rsid w:val="00852A50"/>
    <w:rsid w:val="00853738"/>
    <w:rsid w:val="00853853"/>
    <w:rsid w:val="00854525"/>
    <w:rsid w:val="00854AA7"/>
    <w:rsid w:val="00855BC9"/>
    <w:rsid w:val="00855F23"/>
    <w:rsid w:val="00856188"/>
    <w:rsid w:val="00856D15"/>
    <w:rsid w:val="00857871"/>
    <w:rsid w:val="0086082D"/>
    <w:rsid w:val="0086110D"/>
    <w:rsid w:val="00862608"/>
    <w:rsid w:val="00862790"/>
    <w:rsid w:val="00862865"/>
    <w:rsid w:val="008639DD"/>
    <w:rsid w:val="00864BC8"/>
    <w:rsid w:val="008674E0"/>
    <w:rsid w:val="00870A4D"/>
    <w:rsid w:val="008718C0"/>
    <w:rsid w:val="00872694"/>
    <w:rsid w:val="008726B5"/>
    <w:rsid w:val="00873223"/>
    <w:rsid w:val="00873C51"/>
    <w:rsid w:val="00874159"/>
    <w:rsid w:val="00874BB0"/>
    <w:rsid w:val="00875BA5"/>
    <w:rsid w:val="008762A5"/>
    <w:rsid w:val="00876D40"/>
    <w:rsid w:val="00876E87"/>
    <w:rsid w:val="0087734B"/>
    <w:rsid w:val="00877BEB"/>
    <w:rsid w:val="00877E3E"/>
    <w:rsid w:val="0088037E"/>
    <w:rsid w:val="008803C7"/>
    <w:rsid w:val="008821FF"/>
    <w:rsid w:val="008823DC"/>
    <w:rsid w:val="0088307F"/>
    <w:rsid w:val="0088362E"/>
    <w:rsid w:val="00885121"/>
    <w:rsid w:val="008858C1"/>
    <w:rsid w:val="00885CFA"/>
    <w:rsid w:val="00886615"/>
    <w:rsid w:val="0088752B"/>
    <w:rsid w:val="00887689"/>
    <w:rsid w:val="00891295"/>
    <w:rsid w:val="008919AA"/>
    <w:rsid w:val="00891B61"/>
    <w:rsid w:val="00892921"/>
    <w:rsid w:val="00893677"/>
    <w:rsid w:val="00893BDD"/>
    <w:rsid w:val="008955B6"/>
    <w:rsid w:val="008957C6"/>
    <w:rsid w:val="0089598A"/>
    <w:rsid w:val="00896A17"/>
    <w:rsid w:val="00896B0B"/>
    <w:rsid w:val="008973F2"/>
    <w:rsid w:val="00897DF9"/>
    <w:rsid w:val="008A00CD"/>
    <w:rsid w:val="008A01F8"/>
    <w:rsid w:val="008A0516"/>
    <w:rsid w:val="008A087A"/>
    <w:rsid w:val="008A0896"/>
    <w:rsid w:val="008A1795"/>
    <w:rsid w:val="008A2292"/>
    <w:rsid w:val="008A2528"/>
    <w:rsid w:val="008A289D"/>
    <w:rsid w:val="008A32B7"/>
    <w:rsid w:val="008A3D4D"/>
    <w:rsid w:val="008A4A67"/>
    <w:rsid w:val="008A5797"/>
    <w:rsid w:val="008A57A1"/>
    <w:rsid w:val="008A7C05"/>
    <w:rsid w:val="008A7FB0"/>
    <w:rsid w:val="008B0999"/>
    <w:rsid w:val="008B16FA"/>
    <w:rsid w:val="008B1AC0"/>
    <w:rsid w:val="008B23C7"/>
    <w:rsid w:val="008B2441"/>
    <w:rsid w:val="008B4224"/>
    <w:rsid w:val="008B5D90"/>
    <w:rsid w:val="008B61DE"/>
    <w:rsid w:val="008B6E79"/>
    <w:rsid w:val="008C08EC"/>
    <w:rsid w:val="008C0BA6"/>
    <w:rsid w:val="008C0BC4"/>
    <w:rsid w:val="008C0D41"/>
    <w:rsid w:val="008C1CE1"/>
    <w:rsid w:val="008C1EE0"/>
    <w:rsid w:val="008C2730"/>
    <w:rsid w:val="008C2AFC"/>
    <w:rsid w:val="008C401A"/>
    <w:rsid w:val="008C40A6"/>
    <w:rsid w:val="008C6965"/>
    <w:rsid w:val="008C6990"/>
    <w:rsid w:val="008C6BD4"/>
    <w:rsid w:val="008C6BEB"/>
    <w:rsid w:val="008C72E6"/>
    <w:rsid w:val="008D02D4"/>
    <w:rsid w:val="008D1042"/>
    <w:rsid w:val="008D19EB"/>
    <w:rsid w:val="008D1E35"/>
    <w:rsid w:val="008D278A"/>
    <w:rsid w:val="008D2CA4"/>
    <w:rsid w:val="008D2D66"/>
    <w:rsid w:val="008D31A8"/>
    <w:rsid w:val="008D39F4"/>
    <w:rsid w:val="008D3DB9"/>
    <w:rsid w:val="008D448B"/>
    <w:rsid w:val="008D44BF"/>
    <w:rsid w:val="008D5426"/>
    <w:rsid w:val="008D5778"/>
    <w:rsid w:val="008D5971"/>
    <w:rsid w:val="008D5A7D"/>
    <w:rsid w:val="008D61E3"/>
    <w:rsid w:val="008D6DB1"/>
    <w:rsid w:val="008E0C6B"/>
    <w:rsid w:val="008E1994"/>
    <w:rsid w:val="008E2460"/>
    <w:rsid w:val="008E2A7C"/>
    <w:rsid w:val="008E2E40"/>
    <w:rsid w:val="008E3A31"/>
    <w:rsid w:val="008E49E9"/>
    <w:rsid w:val="008E582F"/>
    <w:rsid w:val="008E5847"/>
    <w:rsid w:val="008E5D53"/>
    <w:rsid w:val="008E631F"/>
    <w:rsid w:val="008E6EB9"/>
    <w:rsid w:val="008E7821"/>
    <w:rsid w:val="008E7B35"/>
    <w:rsid w:val="008F0212"/>
    <w:rsid w:val="008F05FF"/>
    <w:rsid w:val="008F18D2"/>
    <w:rsid w:val="008F2271"/>
    <w:rsid w:val="008F261C"/>
    <w:rsid w:val="008F30CA"/>
    <w:rsid w:val="008F3781"/>
    <w:rsid w:val="008F3786"/>
    <w:rsid w:val="008F3EB8"/>
    <w:rsid w:val="008F443E"/>
    <w:rsid w:val="008F45FD"/>
    <w:rsid w:val="008F4D02"/>
    <w:rsid w:val="008F5366"/>
    <w:rsid w:val="008F5821"/>
    <w:rsid w:val="008F5CD5"/>
    <w:rsid w:val="008F5DA5"/>
    <w:rsid w:val="008F5EB4"/>
    <w:rsid w:val="008F69CB"/>
    <w:rsid w:val="0090126A"/>
    <w:rsid w:val="009017DD"/>
    <w:rsid w:val="009018F6"/>
    <w:rsid w:val="00901B58"/>
    <w:rsid w:val="009034BB"/>
    <w:rsid w:val="00903566"/>
    <w:rsid w:val="00903644"/>
    <w:rsid w:val="00903C4D"/>
    <w:rsid w:val="009043DC"/>
    <w:rsid w:val="00904BF8"/>
    <w:rsid w:val="00904F82"/>
    <w:rsid w:val="00906096"/>
    <w:rsid w:val="00907390"/>
    <w:rsid w:val="009079C1"/>
    <w:rsid w:val="00910069"/>
    <w:rsid w:val="00911061"/>
    <w:rsid w:val="00911111"/>
    <w:rsid w:val="00911D9B"/>
    <w:rsid w:val="00911F90"/>
    <w:rsid w:val="0091234B"/>
    <w:rsid w:val="009125C4"/>
    <w:rsid w:val="0091358F"/>
    <w:rsid w:val="00913623"/>
    <w:rsid w:val="00913CE3"/>
    <w:rsid w:val="0091603A"/>
    <w:rsid w:val="00916162"/>
    <w:rsid w:val="009163B9"/>
    <w:rsid w:val="009168C0"/>
    <w:rsid w:val="00920275"/>
    <w:rsid w:val="009202FE"/>
    <w:rsid w:val="00920FB2"/>
    <w:rsid w:val="0092198D"/>
    <w:rsid w:val="009221B6"/>
    <w:rsid w:val="00923132"/>
    <w:rsid w:val="00925122"/>
    <w:rsid w:val="00925201"/>
    <w:rsid w:val="00926221"/>
    <w:rsid w:val="00927171"/>
    <w:rsid w:val="00930D0B"/>
    <w:rsid w:val="0093176E"/>
    <w:rsid w:val="00932886"/>
    <w:rsid w:val="009331CE"/>
    <w:rsid w:val="009332D9"/>
    <w:rsid w:val="00933A58"/>
    <w:rsid w:val="00934663"/>
    <w:rsid w:val="009348AB"/>
    <w:rsid w:val="009359F7"/>
    <w:rsid w:val="009365BD"/>
    <w:rsid w:val="00936657"/>
    <w:rsid w:val="00937F52"/>
    <w:rsid w:val="009402FB"/>
    <w:rsid w:val="00940499"/>
    <w:rsid w:val="00940CDC"/>
    <w:rsid w:val="009424E5"/>
    <w:rsid w:val="009427E0"/>
    <w:rsid w:val="009445D6"/>
    <w:rsid w:val="00944FC4"/>
    <w:rsid w:val="0094598C"/>
    <w:rsid w:val="00945DD4"/>
    <w:rsid w:val="009469D9"/>
    <w:rsid w:val="00950A61"/>
    <w:rsid w:val="0095162D"/>
    <w:rsid w:val="00951745"/>
    <w:rsid w:val="009529B6"/>
    <w:rsid w:val="00952AFC"/>
    <w:rsid w:val="0095330D"/>
    <w:rsid w:val="00953D03"/>
    <w:rsid w:val="00954ABC"/>
    <w:rsid w:val="00954B95"/>
    <w:rsid w:val="00954DAD"/>
    <w:rsid w:val="00956F52"/>
    <w:rsid w:val="009576B0"/>
    <w:rsid w:val="0095781F"/>
    <w:rsid w:val="009605A5"/>
    <w:rsid w:val="00960B8F"/>
    <w:rsid w:val="0096160C"/>
    <w:rsid w:val="009617B1"/>
    <w:rsid w:val="00962C48"/>
    <w:rsid w:val="00962D90"/>
    <w:rsid w:val="00962F5D"/>
    <w:rsid w:val="00963CE3"/>
    <w:rsid w:val="0096408E"/>
    <w:rsid w:val="009666BA"/>
    <w:rsid w:val="009667B6"/>
    <w:rsid w:val="00966A9D"/>
    <w:rsid w:val="00967F43"/>
    <w:rsid w:val="00970150"/>
    <w:rsid w:val="009719C5"/>
    <w:rsid w:val="00971C95"/>
    <w:rsid w:val="00972278"/>
    <w:rsid w:val="00972647"/>
    <w:rsid w:val="00972791"/>
    <w:rsid w:val="00972DAB"/>
    <w:rsid w:val="0097394B"/>
    <w:rsid w:val="00973A47"/>
    <w:rsid w:val="00973AB9"/>
    <w:rsid w:val="00973FD2"/>
    <w:rsid w:val="00975214"/>
    <w:rsid w:val="009756F7"/>
    <w:rsid w:val="009800DB"/>
    <w:rsid w:val="00980E24"/>
    <w:rsid w:val="00981068"/>
    <w:rsid w:val="00981B5D"/>
    <w:rsid w:val="00981EB6"/>
    <w:rsid w:val="00981F56"/>
    <w:rsid w:val="00982841"/>
    <w:rsid w:val="009843A4"/>
    <w:rsid w:val="00985083"/>
    <w:rsid w:val="009850D6"/>
    <w:rsid w:val="00986601"/>
    <w:rsid w:val="00986856"/>
    <w:rsid w:val="00986D83"/>
    <w:rsid w:val="0098726E"/>
    <w:rsid w:val="00987AC1"/>
    <w:rsid w:val="00987D7D"/>
    <w:rsid w:val="009905E0"/>
    <w:rsid w:val="0099065A"/>
    <w:rsid w:val="0099179C"/>
    <w:rsid w:val="009917A7"/>
    <w:rsid w:val="00991AF3"/>
    <w:rsid w:val="009920D5"/>
    <w:rsid w:val="009921F2"/>
    <w:rsid w:val="0099324D"/>
    <w:rsid w:val="00993458"/>
    <w:rsid w:val="00993594"/>
    <w:rsid w:val="009957D3"/>
    <w:rsid w:val="0099588E"/>
    <w:rsid w:val="00995A8C"/>
    <w:rsid w:val="00995F65"/>
    <w:rsid w:val="00995F80"/>
    <w:rsid w:val="00997099"/>
    <w:rsid w:val="0099720C"/>
    <w:rsid w:val="009A1F8F"/>
    <w:rsid w:val="009A2510"/>
    <w:rsid w:val="009A279D"/>
    <w:rsid w:val="009A3AA8"/>
    <w:rsid w:val="009A5AEA"/>
    <w:rsid w:val="009B068C"/>
    <w:rsid w:val="009B14B2"/>
    <w:rsid w:val="009B3195"/>
    <w:rsid w:val="009B3D0E"/>
    <w:rsid w:val="009B4AB4"/>
    <w:rsid w:val="009B577C"/>
    <w:rsid w:val="009B64BF"/>
    <w:rsid w:val="009B6AEB"/>
    <w:rsid w:val="009B71CD"/>
    <w:rsid w:val="009B71CF"/>
    <w:rsid w:val="009B74DB"/>
    <w:rsid w:val="009B763E"/>
    <w:rsid w:val="009B7D03"/>
    <w:rsid w:val="009C0094"/>
    <w:rsid w:val="009C0867"/>
    <w:rsid w:val="009C0999"/>
    <w:rsid w:val="009C0D11"/>
    <w:rsid w:val="009C1D50"/>
    <w:rsid w:val="009C2CB7"/>
    <w:rsid w:val="009C2D93"/>
    <w:rsid w:val="009C4926"/>
    <w:rsid w:val="009C6127"/>
    <w:rsid w:val="009C6D7B"/>
    <w:rsid w:val="009C7F1C"/>
    <w:rsid w:val="009D05CB"/>
    <w:rsid w:val="009D091F"/>
    <w:rsid w:val="009D2278"/>
    <w:rsid w:val="009D3B3B"/>
    <w:rsid w:val="009D3DDC"/>
    <w:rsid w:val="009D403A"/>
    <w:rsid w:val="009D5311"/>
    <w:rsid w:val="009D55D7"/>
    <w:rsid w:val="009D5694"/>
    <w:rsid w:val="009D5DB1"/>
    <w:rsid w:val="009D6058"/>
    <w:rsid w:val="009D60F1"/>
    <w:rsid w:val="009D74D8"/>
    <w:rsid w:val="009D7D73"/>
    <w:rsid w:val="009D7F8A"/>
    <w:rsid w:val="009E0975"/>
    <w:rsid w:val="009E16FF"/>
    <w:rsid w:val="009E4395"/>
    <w:rsid w:val="009E4794"/>
    <w:rsid w:val="009E51D9"/>
    <w:rsid w:val="009E5324"/>
    <w:rsid w:val="009E556F"/>
    <w:rsid w:val="009E5FFA"/>
    <w:rsid w:val="009E6C21"/>
    <w:rsid w:val="009E6D8C"/>
    <w:rsid w:val="009E72B4"/>
    <w:rsid w:val="009F048A"/>
    <w:rsid w:val="009F33D0"/>
    <w:rsid w:val="009F3785"/>
    <w:rsid w:val="009F3EBD"/>
    <w:rsid w:val="009F482C"/>
    <w:rsid w:val="009F4E4B"/>
    <w:rsid w:val="009F5092"/>
    <w:rsid w:val="009F6C95"/>
    <w:rsid w:val="009F75EB"/>
    <w:rsid w:val="009F7FBF"/>
    <w:rsid w:val="00A00786"/>
    <w:rsid w:val="00A00CB3"/>
    <w:rsid w:val="00A01218"/>
    <w:rsid w:val="00A017D0"/>
    <w:rsid w:val="00A01F47"/>
    <w:rsid w:val="00A02569"/>
    <w:rsid w:val="00A036C6"/>
    <w:rsid w:val="00A037A5"/>
    <w:rsid w:val="00A042C0"/>
    <w:rsid w:val="00A050BD"/>
    <w:rsid w:val="00A06A3D"/>
    <w:rsid w:val="00A10362"/>
    <w:rsid w:val="00A11118"/>
    <w:rsid w:val="00A1265C"/>
    <w:rsid w:val="00A12CF3"/>
    <w:rsid w:val="00A133CE"/>
    <w:rsid w:val="00A13842"/>
    <w:rsid w:val="00A13DB1"/>
    <w:rsid w:val="00A13F75"/>
    <w:rsid w:val="00A14560"/>
    <w:rsid w:val="00A14E2C"/>
    <w:rsid w:val="00A15702"/>
    <w:rsid w:val="00A15A01"/>
    <w:rsid w:val="00A15B1A"/>
    <w:rsid w:val="00A15EF9"/>
    <w:rsid w:val="00A15F40"/>
    <w:rsid w:val="00A16EED"/>
    <w:rsid w:val="00A17E46"/>
    <w:rsid w:val="00A209D3"/>
    <w:rsid w:val="00A21C98"/>
    <w:rsid w:val="00A231B8"/>
    <w:rsid w:val="00A232D2"/>
    <w:rsid w:val="00A234D8"/>
    <w:rsid w:val="00A24747"/>
    <w:rsid w:val="00A24772"/>
    <w:rsid w:val="00A25D7A"/>
    <w:rsid w:val="00A262EC"/>
    <w:rsid w:val="00A26662"/>
    <w:rsid w:val="00A268A6"/>
    <w:rsid w:val="00A269B6"/>
    <w:rsid w:val="00A27056"/>
    <w:rsid w:val="00A27269"/>
    <w:rsid w:val="00A27B66"/>
    <w:rsid w:val="00A27DC5"/>
    <w:rsid w:val="00A27EF9"/>
    <w:rsid w:val="00A30B46"/>
    <w:rsid w:val="00A310FE"/>
    <w:rsid w:val="00A31252"/>
    <w:rsid w:val="00A333B5"/>
    <w:rsid w:val="00A337B5"/>
    <w:rsid w:val="00A33E76"/>
    <w:rsid w:val="00A35BCF"/>
    <w:rsid w:val="00A36277"/>
    <w:rsid w:val="00A37398"/>
    <w:rsid w:val="00A37480"/>
    <w:rsid w:val="00A408EA"/>
    <w:rsid w:val="00A40B8C"/>
    <w:rsid w:val="00A4159C"/>
    <w:rsid w:val="00A4164F"/>
    <w:rsid w:val="00A417D4"/>
    <w:rsid w:val="00A41C66"/>
    <w:rsid w:val="00A429DA"/>
    <w:rsid w:val="00A434AB"/>
    <w:rsid w:val="00A43B6F"/>
    <w:rsid w:val="00A4428D"/>
    <w:rsid w:val="00A44A8D"/>
    <w:rsid w:val="00A45084"/>
    <w:rsid w:val="00A45C9B"/>
    <w:rsid w:val="00A4672F"/>
    <w:rsid w:val="00A46802"/>
    <w:rsid w:val="00A47041"/>
    <w:rsid w:val="00A47E89"/>
    <w:rsid w:val="00A501AB"/>
    <w:rsid w:val="00A5029E"/>
    <w:rsid w:val="00A5051E"/>
    <w:rsid w:val="00A5100E"/>
    <w:rsid w:val="00A52771"/>
    <w:rsid w:val="00A533A5"/>
    <w:rsid w:val="00A54527"/>
    <w:rsid w:val="00A54E34"/>
    <w:rsid w:val="00A5644D"/>
    <w:rsid w:val="00A5676C"/>
    <w:rsid w:val="00A5690D"/>
    <w:rsid w:val="00A57085"/>
    <w:rsid w:val="00A6122A"/>
    <w:rsid w:val="00A622A6"/>
    <w:rsid w:val="00A62EDB"/>
    <w:rsid w:val="00A63746"/>
    <w:rsid w:val="00A641DE"/>
    <w:rsid w:val="00A643FE"/>
    <w:rsid w:val="00A64796"/>
    <w:rsid w:val="00A64D5D"/>
    <w:rsid w:val="00A65FBC"/>
    <w:rsid w:val="00A7006B"/>
    <w:rsid w:val="00A70182"/>
    <w:rsid w:val="00A7028F"/>
    <w:rsid w:val="00A70947"/>
    <w:rsid w:val="00A70CEF"/>
    <w:rsid w:val="00A71212"/>
    <w:rsid w:val="00A724FD"/>
    <w:rsid w:val="00A747FA"/>
    <w:rsid w:val="00A762B9"/>
    <w:rsid w:val="00A7643C"/>
    <w:rsid w:val="00A76523"/>
    <w:rsid w:val="00A77C60"/>
    <w:rsid w:val="00A80180"/>
    <w:rsid w:val="00A8079D"/>
    <w:rsid w:val="00A829D0"/>
    <w:rsid w:val="00A83FB3"/>
    <w:rsid w:val="00A851F0"/>
    <w:rsid w:val="00A855E9"/>
    <w:rsid w:val="00A85E12"/>
    <w:rsid w:val="00A87E3A"/>
    <w:rsid w:val="00A90A01"/>
    <w:rsid w:val="00A90B1D"/>
    <w:rsid w:val="00A91877"/>
    <w:rsid w:val="00A91EBD"/>
    <w:rsid w:val="00A946E7"/>
    <w:rsid w:val="00A95034"/>
    <w:rsid w:val="00A95956"/>
    <w:rsid w:val="00A95A9F"/>
    <w:rsid w:val="00A962D2"/>
    <w:rsid w:val="00A968CA"/>
    <w:rsid w:val="00A9782D"/>
    <w:rsid w:val="00A97DFE"/>
    <w:rsid w:val="00AA0760"/>
    <w:rsid w:val="00AA140A"/>
    <w:rsid w:val="00AA1A4D"/>
    <w:rsid w:val="00AA3757"/>
    <w:rsid w:val="00AA3955"/>
    <w:rsid w:val="00AA426B"/>
    <w:rsid w:val="00AA4C54"/>
    <w:rsid w:val="00AA5795"/>
    <w:rsid w:val="00AA638F"/>
    <w:rsid w:val="00AA6DC5"/>
    <w:rsid w:val="00AA7205"/>
    <w:rsid w:val="00AA7D6B"/>
    <w:rsid w:val="00AB1237"/>
    <w:rsid w:val="00AB1D64"/>
    <w:rsid w:val="00AB22A3"/>
    <w:rsid w:val="00AB35D1"/>
    <w:rsid w:val="00AB3C5A"/>
    <w:rsid w:val="00AB487F"/>
    <w:rsid w:val="00AB4A2F"/>
    <w:rsid w:val="00AB4D6D"/>
    <w:rsid w:val="00AB5806"/>
    <w:rsid w:val="00AB5BDF"/>
    <w:rsid w:val="00AB6251"/>
    <w:rsid w:val="00AB63A5"/>
    <w:rsid w:val="00AB72AB"/>
    <w:rsid w:val="00AB7FF4"/>
    <w:rsid w:val="00AC01D3"/>
    <w:rsid w:val="00AC0863"/>
    <w:rsid w:val="00AC0F53"/>
    <w:rsid w:val="00AC1CB0"/>
    <w:rsid w:val="00AC325A"/>
    <w:rsid w:val="00AC38C4"/>
    <w:rsid w:val="00AC3CBD"/>
    <w:rsid w:val="00AC4CCE"/>
    <w:rsid w:val="00AC5478"/>
    <w:rsid w:val="00AC55C2"/>
    <w:rsid w:val="00AC57BC"/>
    <w:rsid w:val="00AC78D2"/>
    <w:rsid w:val="00AD006B"/>
    <w:rsid w:val="00AD1130"/>
    <w:rsid w:val="00AD12DC"/>
    <w:rsid w:val="00AD1330"/>
    <w:rsid w:val="00AD1887"/>
    <w:rsid w:val="00AD3351"/>
    <w:rsid w:val="00AD416A"/>
    <w:rsid w:val="00AD43B0"/>
    <w:rsid w:val="00AD4E4A"/>
    <w:rsid w:val="00AD54C8"/>
    <w:rsid w:val="00AD5CAC"/>
    <w:rsid w:val="00AD5E18"/>
    <w:rsid w:val="00AD656B"/>
    <w:rsid w:val="00AE040F"/>
    <w:rsid w:val="00AE0C28"/>
    <w:rsid w:val="00AE2625"/>
    <w:rsid w:val="00AE30D7"/>
    <w:rsid w:val="00AE3729"/>
    <w:rsid w:val="00AE590F"/>
    <w:rsid w:val="00AE5E01"/>
    <w:rsid w:val="00AE716B"/>
    <w:rsid w:val="00AE7968"/>
    <w:rsid w:val="00AE7BE9"/>
    <w:rsid w:val="00AE7D10"/>
    <w:rsid w:val="00AF185A"/>
    <w:rsid w:val="00AF1CCB"/>
    <w:rsid w:val="00AF27F2"/>
    <w:rsid w:val="00AF3C6F"/>
    <w:rsid w:val="00AF40E7"/>
    <w:rsid w:val="00AF41BE"/>
    <w:rsid w:val="00AF54F8"/>
    <w:rsid w:val="00AF6851"/>
    <w:rsid w:val="00AF6FB0"/>
    <w:rsid w:val="00AF7186"/>
    <w:rsid w:val="00B00B63"/>
    <w:rsid w:val="00B00C34"/>
    <w:rsid w:val="00B01AB5"/>
    <w:rsid w:val="00B0227E"/>
    <w:rsid w:val="00B02788"/>
    <w:rsid w:val="00B0307E"/>
    <w:rsid w:val="00B033D6"/>
    <w:rsid w:val="00B03B07"/>
    <w:rsid w:val="00B04AFB"/>
    <w:rsid w:val="00B04B16"/>
    <w:rsid w:val="00B04E8F"/>
    <w:rsid w:val="00B04F3E"/>
    <w:rsid w:val="00B05269"/>
    <w:rsid w:val="00B056A1"/>
    <w:rsid w:val="00B106ED"/>
    <w:rsid w:val="00B10E1B"/>
    <w:rsid w:val="00B10E7B"/>
    <w:rsid w:val="00B120C7"/>
    <w:rsid w:val="00B12B2F"/>
    <w:rsid w:val="00B13757"/>
    <w:rsid w:val="00B14425"/>
    <w:rsid w:val="00B14D10"/>
    <w:rsid w:val="00B15026"/>
    <w:rsid w:val="00B15913"/>
    <w:rsid w:val="00B163C2"/>
    <w:rsid w:val="00B16705"/>
    <w:rsid w:val="00B16ACA"/>
    <w:rsid w:val="00B171C8"/>
    <w:rsid w:val="00B173C1"/>
    <w:rsid w:val="00B176A1"/>
    <w:rsid w:val="00B17756"/>
    <w:rsid w:val="00B17B39"/>
    <w:rsid w:val="00B2032D"/>
    <w:rsid w:val="00B204D9"/>
    <w:rsid w:val="00B2083F"/>
    <w:rsid w:val="00B21255"/>
    <w:rsid w:val="00B21B43"/>
    <w:rsid w:val="00B21CD5"/>
    <w:rsid w:val="00B2208C"/>
    <w:rsid w:val="00B22BE4"/>
    <w:rsid w:val="00B242AC"/>
    <w:rsid w:val="00B24AA5"/>
    <w:rsid w:val="00B259C3"/>
    <w:rsid w:val="00B25EA5"/>
    <w:rsid w:val="00B26CB7"/>
    <w:rsid w:val="00B27BFC"/>
    <w:rsid w:val="00B30151"/>
    <w:rsid w:val="00B30556"/>
    <w:rsid w:val="00B30C38"/>
    <w:rsid w:val="00B327E2"/>
    <w:rsid w:val="00B34273"/>
    <w:rsid w:val="00B345CF"/>
    <w:rsid w:val="00B347AF"/>
    <w:rsid w:val="00B34912"/>
    <w:rsid w:val="00B3588D"/>
    <w:rsid w:val="00B36518"/>
    <w:rsid w:val="00B365A4"/>
    <w:rsid w:val="00B36C19"/>
    <w:rsid w:val="00B36CE0"/>
    <w:rsid w:val="00B37671"/>
    <w:rsid w:val="00B3786E"/>
    <w:rsid w:val="00B37DDE"/>
    <w:rsid w:val="00B37FDD"/>
    <w:rsid w:val="00B41500"/>
    <w:rsid w:val="00B43005"/>
    <w:rsid w:val="00B43965"/>
    <w:rsid w:val="00B45038"/>
    <w:rsid w:val="00B45A07"/>
    <w:rsid w:val="00B46098"/>
    <w:rsid w:val="00B50136"/>
    <w:rsid w:val="00B50B7D"/>
    <w:rsid w:val="00B5113C"/>
    <w:rsid w:val="00B51D35"/>
    <w:rsid w:val="00B52D4A"/>
    <w:rsid w:val="00B53824"/>
    <w:rsid w:val="00B54631"/>
    <w:rsid w:val="00B54AA1"/>
    <w:rsid w:val="00B56269"/>
    <w:rsid w:val="00B56456"/>
    <w:rsid w:val="00B56D7C"/>
    <w:rsid w:val="00B57D7F"/>
    <w:rsid w:val="00B62FF7"/>
    <w:rsid w:val="00B6444D"/>
    <w:rsid w:val="00B64467"/>
    <w:rsid w:val="00B645F4"/>
    <w:rsid w:val="00B64D52"/>
    <w:rsid w:val="00B64ED7"/>
    <w:rsid w:val="00B65935"/>
    <w:rsid w:val="00B66776"/>
    <w:rsid w:val="00B66A90"/>
    <w:rsid w:val="00B66B3B"/>
    <w:rsid w:val="00B67251"/>
    <w:rsid w:val="00B67DC4"/>
    <w:rsid w:val="00B67EA6"/>
    <w:rsid w:val="00B70176"/>
    <w:rsid w:val="00B71AF4"/>
    <w:rsid w:val="00B71F9D"/>
    <w:rsid w:val="00B725FF"/>
    <w:rsid w:val="00B72C2D"/>
    <w:rsid w:val="00B73FE5"/>
    <w:rsid w:val="00B75B03"/>
    <w:rsid w:val="00B761CF"/>
    <w:rsid w:val="00B76E7D"/>
    <w:rsid w:val="00B77080"/>
    <w:rsid w:val="00B772E6"/>
    <w:rsid w:val="00B7791D"/>
    <w:rsid w:val="00B80FBE"/>
    <w:rsid w:val="00B820D2"/>
    <w:rsid w:val="00B83BF3"/>
    <w:rsid w:val="00B83BFE"/>
    <w:rsid w:val="00B84247"/>
    <w:rsid w:val="00B84373"/>
    <w:rsid w:val="00B845D2"/>
    <w:rsid w:val="00B85293"/>
    <w:rsid w:val="00B852C4"/>
    <w:rsid w:val="00B85881"/>
    <w:rsid w:val="00B86BBC"/>
    <w:rsid w:val="00B91EB9"/>
    <w:rsid w:val="00B9252C"/>
    <w:rsid w:val="00B9329A"/>
    <w:rsid w:val="00B9395E"/>
    <w:rsid w:val="00B944BE"/>
    <w:rsid w:val="00B944D9"/>
    <w:rsid w:val="00B94FB4"/>
    <w:rsid w:val="00B9611F"/>
    <w:rsid w:val="00B96B43"/>
    <w:rsid w:val="00BA0FFA"/>
    <w:rsid w:val="00BA13BB"/>
    <w:rsid w:val="00BA3C47"/>
    <w:rsid w:val="00BA3E3D"/>
    <w:rsid w:val="00BA40D3"/>
    <w:rsid w:val="00BA56F4"/>
    <w:rsid w:val="00BA605D"/>
    <w:rsid w:val="00BA6600"/>
    <w:rsid w:val="00BA6F97"/>
    <w:rsid w:val="00BA708B"/>
    <w:rsid w:val="00BA79BE"/>
    <w:rsid w:val="00BB0BA9"/>
    <w:rsid w:val="00BB0E22"/>
    <w:rsid w:val="00BB0EC6"/>
    <w:rsid w:val="00BB1640"/>
    <w:rsid w:val="00BB1A8B"/>
    <w:rsid w:val="00BB26DF"/>
    <w:rsid w:val="00BB47DE"/>
    <w:rsid w:val="00BB4EDF"/>
    <w:rsid w:val="00BB5143"/>
    <w:rsid w:val="00BB582C"/>
    <w:rsid w:val="00BB5E02"/>
    <w:rsid w:val="00BB6EBF"/>
    <w:rsid w:val="00BB74CE"/>
    <w:rsid w:val="00BC0058"/>
    <w:rsid w:val="00BC02BD"/>
    <w:rsid w:val="00BC230E"/>
    <w:rsid w:val="00BC34DB"/>
    <w:rsid w:val="00BC4E61"/>
    <w:rsid w:val="00BC60F9"/>
    <w:rsid w:val="00BC6465"/>
    <w:rsid w:val="00BC6DA8"/>
    <w:rsid w:val="00BC7188"/>
    <w:rsid w:val="00BD0AA9"/>
    <w:rsid w:val="00BD0D42"/>
    <w:rsid w:val="00BD1B13"/>
    <w:rsid w:val="00BD2053"/>
    <w:rsid w:val="00BD2F5F"/>
    <w:rsid w:val="00BD338C"/>
    <w:rsid w:val="00BD4144"/>
    <w:rsid w:val="00BD497A"/>
    <w:rsid w:val="00BD4C22"/>
    <w:rsid w:val="00BD603E"/>
    <w:rsid w:val="00BD62D7"/>
    <w:rsid w:val="00BD6907"/>
    <w:rsid w:val="00BD6FD5"/>
    <w:rsid w:val="00BD77E7"/>
    <w:rsid w:val="00BE0C7D"/>
    <w:rsid w:val="00BE11EA"/>
    <w:rsid w:val="00BE1325"/>
    <w:rsid w:val="00BE1E7C"/>
    <w:rsid w:val="00BE2066"/>
    <w:rsid w:val="00BE22C1"/>
    <w:rsid w:val="00BE359E"/>
    <w:rsid w:val="00BE3FDD"/>
    <w:rsid w:val="00BE45C7"/>
    <w:rsid w:val="00BE5FD2"/>
    <w:rsid w:val="00BE6B64"/>
    <w:rsid w:val="00BE6BC1"/>
    <w:rsid w:val="00BE778A"/>
    <w:rsid w:val="00BF0BD4"/>
    <w:rsid w:val="00BF0ED6"/>
    <w:rsid w:val="00BF135D"/>
    <w:rsid w:val="00BF1360"/>
    <w:rsid w:val="00BF1465"/>
    <w:rsid w:val="00BF1D61"/>
    <w:rsid w:val="00BF2B45"/>
    <w:rsid w:val="00BF2C98"/>
    <w:rsid w:val="00BF2D75"/>
    <w:rsid w:val="00BF3345"/>
    <w:rsid w:val="00BF351A"/>
    <w:rsid w:val="00BF3549"/>
    <w:rsid w:val="00BF37CE"/>
    <w:rsid w:val="00BF3D8B"/>
    <w:rsid w:val="00BF4495"/>
    <w:rsid w:val="00BF4668"/>
    <w:rsid w:val="00BF489C"/>
    <w:rsid w:val="00BF4959"/>
    <w:rsid w:val="00BF5A3B"/>
    <w:rsid w:val="00BF5A43"/>
    <w:rsid w:val="00BF5C05"/>
    <w:rsid w:val="00BF68EF"/>
    <w:rsid w:val="00BF6B30"/>
    <w:rsid w:val="00BF6E01"/>
    <w:rsid w:val="00BF7CD6"/>
    <w:rsid w:val="00C00DC1"/>
    <w:rsid w:val="00C01F54"/>
    <w:rsid w:val="00C020AE"/>
    <w:rsid w:val="00C0340D"/>
    <w:rsid w:val="00C04379"/>
    <w:rsid w:val="00C05B4A"/>
    <w:rsid w:val="00C06DB6"/>
    <w:rsid w:val="00C0730C"/>
    <w:rsid w:val="00C10975"/>
    <w:rsid w:val="00C114D3"/>
    <w:rsid w:val="00C11876"/>
    <w:rsid w:val="00C12945"/>
    <w:rsid w:val="00C12F39"/>
    <w:rsid w:val="00C15417"/>
    <w:rsid w:val="00C1553A"/>
    <w:rsid w:val="00C16359"/>
    <w:rsid w:val="00C20AD9"/>
    <w:rsid w:val="00C2106F"/>
    <w:rsid w:val="00C21DD6"/>
    <w:rsid w:val="00C2251E"/>
    <w:rsid w:val="00C22C80"/>
    <w:rsid w:val="00C245B5"/>
    <w:rsid w:val="00C25D9F"/>
    <w:rsid w:val="00C26DD1"/>
    <w:rsid w:val="00C30463"/>
    <w:rsid w:val="00C31500"/>
    <w:rsid w:val="00C31F62"/>
    <w:rsid w:val="00C33EA0"/>
    <w:rsid w:val="00C3420D"/>
    <w:rsid w:val="00C35B5B"/>
    <w:rsid w:val="00C3647B"/>
    <w:rsid w:val="00C36DBA"/>
    <w:rsid w:val="00C37FB5"/>
    <w:rsid w:val="00C40B6D"/>
    <w:rsid w:val="00C40CE8"/>
    <w:rsid w:val="00C41AF1"/>
    <w:rsid w:val="00C42099"/>
    <w:rsid w:val="00C42394"/>
    <w:rsid w:val="00C42FDB"/>
    <w:rsid w:val="00C43EA9"/>
    <w:rsid w:val="00C447C5"/>
    <w:rsid w:val="00C45237"/>
    <w:rsid w:val="00C4615C"/>
    <w:rsid w:val="00C50564"/>
    <w:rsid w:val="00C50F6C"/>
    <w:rsid w:val="00C5128B"/>
    <w:rsid w:val="00C51AC8"/>
    <w:rsid w:val="00C534B4"/>
    <w:rsid w:val="00C535C0"/>
    <w:rsid w:val="00C53830"/>
    <w:rsid w:val="00C55418"/>
    <w:rsid w:val="00C55E49"/>
    <w:rsid w:val="00C55EF6"/>
    <w:rsid w:val="00C562A7"/>
    <w:rsid w:val="00C563C2"/>
    <w:rsid w:val="00C572A0"/>
    <w:rsid w:val="00C57DF2"/>
    <w:rsid w:val="00C61D1D"/>
    <w:rsid w:val="00C61E62"/>
    <w:rsid w:val="00C62081"/>
    <w:rsid w:val="00C627CF"/>
    <w:rsid w:val="00C628D0"/>
    <w:rsid w:val="00C6421F"/>
    <w:rsid w:val="00C66851"/>
    <w:rsid w:val="00C66C3F"/>
    <w:rsid w:val="00C67B03"/>
    <w:rsid w:val="00C7122B"/>
    <w:rsid w:val="00C71743"/>
    <w:rsid w:val="00C71BAC"/>
    <w:rsid w:val="00C734B7"/>
    <w:rsid w:val="00C7359E"/>
    <w:rsid w:val="00C74634"/>
    <w:rsid w:val="00C74695"/>
    <w:rsid w:val="00C74B9B"/>
    <w:rsid w:val="00C759AC"/>
    <w:rsid w:val="00C76119"/>
    <w:rsid w:val="00C7617C"/>
    <w:rsid w:val="00C774B5"/>
    <w:rsid w:val="00C77A8F"/>
    <w:rsid w:val="00C8256C"/>
    <w:rsid w:val="00C82DAB"/>
    <w:rsid w:val="00C84F8A"/>
    <w:rsid w:val="00C850BE"/>
    <w:rsid w:val="00C85339"/>
    <w:rsid w:val="00C85D26"/>
    <w:rsid w:val="00C86141"/>
    <w:rsid w:val="00C867B5"/>
    <w:rsid w:val="00C86D4A"/>
    <w:rsid w:val="00C86D76"/>
    <w:rsid w:val="00C873E5"/>
    <w:rsid w:val="00C8756C"/>
    <w:rsid w:val="00C87D7B"/>
    <w:rsid w:val="00C907AA"/>
    <w:rsid w:val="00C9099F"/>
    <w:rsid w:val="00C91A19"/>
    <w:rsid w:val="00C91E7E"/>
    <w:rsid w:val="00C925B2"/>
    <w:rsid w:val="00C9285D"/>
    <w:rsid w:val="00C92B76"/>
    <w:rsid w:val="00C93DF7"/>
    <w:rsid w:val="00C93E17"/>
    <w:rsid w:val="00C93F31"/>
    <w:rsid w:val="00C94ECE"/>
    <w:rsid w:val="00C97A07"/>
    <w:rsid w:val="00CA0102"/>
    <w:rsid w:val="00CA0C33"/>
    <w:rsid w:val="00CA1FC1"/>
    <w:rsid w:val="00CA54F8"/>
    <w:rsid w:val="00CA5A84"/>
    <w:rsid w:val="00CA6AA5"/>
    <w:rsid w:val="00CA7029"/>
    <w:rsid w:val="00CA775F"/>
    <w:rsid w:val="00CA796E"/>
    <w:rsid w:val="00CA79B4"/>
    <w:rsid w:val="00CA7B50"/>
    <w:rsid w:val="00CB0139"/>
    <w:rsid w:val="00CB09AD"/>
    <w:rsid w:val="00CB12D9"/>
    <w:rsid w:val="00CB1D37"/>
    <w:rsid w:val="00CB1F60"/>
    <w:rsid w:val="00CB2E63"/>
    <w:rsid w:val="00CB3D4C"/>
    <w:rsid w:val="00CB4F31"/>
    <w:rsid w:val="00CB4FFD"/>
    <w:rsid w:val="00CB52BA"/>
    <w:rsid w:val="00CB5C67"/>
    <w:rsid w:val="00CB6814"/>
    <w:rsid w:val="00CB6A05"/>
    <w:rsid w:val="00CB7071"/>
    <w:rsid w:val="00CB7107"/>
    <w:rsid w:val="00CC060E"/>
    <w:rsid w:val="00CC06B6"/>
    <w:rsid w:val="00CC340E"/>
    <w:rsid w:val="00CC37B4"/>
    <w:rsid w:val="00CC3BC8"/>
    <w:rsid w:val="00CC3F13"/>
    <w:rsid w:val="00CC3FC8"/>
    <w:rsid w:val="00CC437F"/>
    <w:rsid w:val="00CC4C16"/>
    <w:rsid w:val="00CC50D8"/>
    <w:rsid w:val="00CC53F7"/>
    <w:rsid w:val="00CC56B1"/>
    <w:rsid w:val="00CC5A1D"/>
    <w:rsid w:val="00CC6094"/>
    <w:rsid w:val="00CC60C4"/>
    <w:rsid w:val="00CC63AB"/>
    <w:rsid w:val="00CC675C"/>
    <w:rsid w:val="00CC6EE1"/>
    <w:rsid w:val="00CC7FC8"/>
    <w:rsid w:val="00CD0251"/>
    <w:rsid w:val="00CD0B34"/>
    <w:rsid w:val="00CD1E06"/>
    <w:rsid w:val="00CD2289"/>
    <w:rsid w:val="00CD23BD"/>
    <w:rsid w:val="00CD39FC"/>
    <w:rsid w:val="00CD4927"/>
    <w:rsid w:val="00CD5503"/>
    <w:rsid w:val="00CD5CB3"/>
    <w:rsid w:val="00CD690B"/>
    <w:rsid w:val="00CD7A4B"/>
    <w:rsid w:val="00CE08CF"/>
    <w:rsid w:val="00CE0FEE"/>
    <w:rsid w:val="00CE1A02"/>
    <w:rsid w:val="00CE2185"/>
    <w:rsid w:val="00CE505F"/>
    <w:rsid w:val="00CE519D"/>
    <w:rsid w:val="00CE653A"/>
    <w:rsid w:val="00CE672C"/>
    <w:rsid w:val="00CE7FC9"/>
    <w:rsid w:val="00CF0C3B"/>
    <w:rsid w:val="00CF12A6"/>
    <w:rsid w:val="00CF1F1E"/>
    <w:rsid w:val="00CF295C"/>
    <w:rsid w:val="00CF454F"/>
    <w:rsid w:val="00CF4D74"/>
    <w:rsid w:val="00CF5039"/>
    <w:rsid w:val="00CF55B3"/>
    <w:rsid w:val="00CF6150"/>
    <w:rsid w:val="00CF65F1"/>
    <w:rsid w:val="00CF7E63"/>
    <w:rsid w:val="00D01DE1"/>
    <w:rsid w:val="00D02196"/>
    <w:rsid w:val="00D02949"/>
    <w:rsid w:val="00D02DEE"/>
    <w:rsid w:val="00D03063"/>
    <w:rsid w:val="00D03468"/>
    <w:rsid w:val="00D03671"/>
    <w:rsid w:val="00D03852"/>
    <w:rsid w:val="00D048F0"/>
    <w:rsid w:val="00D04A6B"/>
    <w:rsid w:val="00D04B38"/>
    <w:rsid w:val="00D04D21"/>
    <w:rsid w:val="00D04E7A"/>
    <w:rsid w:val="00D0599B"/>
    <w:rsid w:val="00D05DCA"/>
    <w:rsid w:val="00D06710"/>
    <w:rsid w:val="00D07A4D"/>
    <w:rsid w:val="00D100D6"/>
    <w:rsid w:val="00D106EC"/>
    <w:rsid w:val="00D10710"/>
    <w:rsid w:val="00D1250B"/>
    <w:rsid w:val="00D1270E"/>
    <w:rsid w:val="00D12C0B"/>
    <w:rsid w:val="00D13390"/>
    <w:rsid w:val="00D157F3"/>
    <w:rsid w:val="00D16014"/>
    <w:rsid w:val="00D1630A"/>
    <w:rsid w:val="00D166E3"/>
    <w:rsid w:val="00D16AA1"/>
    <w:rsid w:val="00D17B40"/>
    <w:rsid w:val="00D20C3C"/>
    <w:rsid w:val="00D214F5"/>
    <w:rsid w:val="00D22258"/>
    <w:rsid w:val="00D22B3C"/>
    <w:rsid w:val="00D240D0"/>
    <w:rsid w:val="00D2586A"/>
    <w:rsid w:val="00D2593E"/>
    <w:rsid w:val="00D25F4C"/>
    <w:rsid w:val="00D30ADA"/>
    <w:rsid w:val="00D30C1B"/>
    <w:rsid w:val="00D31AFB"/>
    <w:rsid w:val="00D32593"/>
    <w:rsid w:val="00D333CD"/>
    <w:rsid w:val="00D3384C"/>
    <w:rsid w:val="00D33EE0"/>
    <w:rsid w:val="00D34B06"/>
    <w:rsid w:val="00D35473"/>
    <w:rsid w:val="00D40837"/>
    <w:rsid w:val="00D40BCA"/>
    <w:rsid w:val="00D41F64"/>
    <w:rsid w:val="00D436CA"/>
    <w:rsid w:val="00D44CA7"/>
    <w:rsid w:val="00D4536C"/>
    <w:rsid w:val="00D46197"/>
    <w:rsid w:val="00D47D81"/>
    <w:rsid w:val="00D50A50"/>
    <w:rsid w:val="00D50D2D"/>
    <w:rsid w:val="00D51130"/>
    <w:rsid w:val="00D51593"/>
    <w:rsid w:val="00D51C92"/>
    <w:rsid w:val="00D52583"/>
    <w:rsid w:val="00D52803"/>
    <w:rsid w:val="00D52E45"/>
    <w:rsid w:val="00D533FB"/>
    <w:rsid w:val="00D539E1"/>
    <w:rsid w:val="00D540ED"/>
    <w:rsid w:val="00D54652"/>
    <w:rsid w:val="00D54F80"/>
    <w:rsid w:val="00D54FDF"/>
    <w:rsid w:val="00D550A3"/>
    <w:rsid w:val="00D5590E"/>
    <w:rsid w:val="00D56317"/>
    <w:rsid w:val="00D564C8"/>
    <w:rsid w:val="00D56932"/>
    <w:rsid w:val="00D56BB7"/>
    <w:rsid w:val="00D57061"/>
    <w:rsid w:val="00D57B5B"/>
    <w:rsid w:val="00D57BA6"/>
    <w:rsid w:val="00D57D50"/>
    <w:rsid w:val="00D607DE"/>
    <w:rsid w:val="00D607F3"/>
    <w:rsid w:val="00D611B3"/>
    <w:rsid w:val="00D61FAB"/>
    <w:rsid w:val="00D6243D"/>
    <w:rsid w:val="00D6313E"/>
    <w:rsid w:val="00D63333"/>
    <w:rsid w:val="00D63446"/>
    <w:rsid w:val="00D641D3"/>
    <w:rsid w:val="00D64C61"/>
    <w:rsid w:val="00D64CD1"/>
    <w:rsid w:val="00D65491"/>
    <w:rsid w:val="00D65E5C"/>
    <w:rsid w:val="00D66C1C"/>
    <w:rsid w:val="00D718CB"/>
    <w:rsid w:val="00D72A38"/>
    <w:rsid w:val="00D72E86"/>
    <w:rsid w:val="00D730C7"/>
    <w:rsid w:val="00D7375D"/>
    <w:rsid w:val="00D74A04"/>
    <w:rsid w:val="00D750B1"/>
    <w:rsid w:val="00D7546D"/>
    <w:rsid w:val="00D7556E"/>
    <w:rsid w:val="00D755E0"/>
    <w:rsid w:val="00D76889"/>
    <w:rsid w:val="00D76C61"/>
    <w:rsid w:val="00D76F3F"/>
    <w:rsid w:val="00D77395"/>
    <w:rsid w:val="00D7750C"/>
    <w:rsid w:val="00D802EF"/>
    <w:rsid w:val="00D83AAE"/>
    <w:rsid w:val="00D83C3C"/>
    <w:rsid w:val="00D84CF6"/>
    <w:rsid w:val="00D8563A"/>
    <w:rsid w:val="00D86DAC"/>
    <w:rsid w:val="00D86FDA"/>
    <w:rsid w:val="00D871B5"/>
    <w:rsid w:val="00D87430"/>
    <w:rsid w:val="00D87CF8"/>
    <w:rsid w:val="00D90C87"/>
    <w:rsid w:val="00D92544"/>
    <w:rsid w:val="00D934C4"/>
    <w:rsid w:val="00D9394C"/>
    <w:rsid w:val="00D93BCC"/>
    <w:rsid w:val="00D94DB3"/>
    <w:rsid w:val="00D96443"/>
    <w:rsid w:val="00D9654B"/>
    <w:rsid w:val="00D96945"/>
    <w:rsid w:val="00D9727F"/>
    <w:rsid w:val="00D97282"/>
    <w:rsid w:val="00D976EC"/>
    <w:rsid w:val="00DA07CE"/>
    <w:rsid w:val="00DA189C"/>
    <w:rsid w:val="00DA1ABC"/>
    <w:rsid w:val="00DA3A14"/>
    <w:rsid w:val="00DA3A76"/>
    <w:rsid w:val="00DA556D"/>
    <w:rsid w:val="00DA5A43"/>
    <w:rsid w:val="00DA5AED"/>
    <w:rsid w:val="00DA6534"/>
    <w:rsid w:val="00DA6654"/>
    <w:rsid w:val="00DA6AAB"/>
    <w:rsid w:val="00DA6CBB"/>
    <w:rsid w:val="00DB2D6F"/>
    <w:rsid w:val="00DB2ECE"/>
    <w:rsid w:val="00DB343D"/>
    <w:rsid w:val="00DB4EE2"/>
    <w:rsid w:val="00DB5656"/>
    <w:rsid w:val="00DB67EC"/>
    <w:rsid w:val="00DB6BBD"/>
    <w:rsid w:val="00DB7919"/>
    <w:rsid w:val="00DC015C"/>
    <w:rsid w:val="00DC1618"/>
    <w:rsid w:val="00DC1D2E"/>
    <w:rsid w:val="00DC24CF"/>
    <w:rsid w:val="00DC259C"/>
    <w:rsid w:val="00DC355C"/>
    <w:rsid w:val="00DC3C0F"/>
    <w:rsid w:val="00DC419E"/>
    <w:rsid w:val="00DC47D2"/>
    <w:rsid w:val="00DC4A64"/>
    <w:rsid w:val="00DC4FDA"/>
    <w:rsid w:val="00DC5579"/>
    <w:rsid w:val="00DC581D"/>
    <w:rsid w:val="00DC60B8"/>
    <w:rsid w:val="00DC60BC"/>
    <w:rsid w:val="00DC68F9"/>
    <w:rsid w:val="00DC6B99"/>
    <w:rsid w:val="00DC7E3A"/>
    <w:rsid w:val="00DD01F4"/>
    <w:rsid w:val="00DD0CAF"/>
    <w:rsid w:val="00DD0CFD"/>
    <w:rsid w:val="00DD27C6"/>
    <w:rsid w:val="00DD2DFE"/>
    <w:rsid w:val="00DD3323"/>
    <w:rsid w:val="00DD461F"/>
    <w:rsid w:val="00DD4632"/>
    <w:rsid w:val="00DD48A0"/>
    <w:rsid w:val="00DD4DB9"/>
    <w:rsid w:val="00DD50ED"/>
    <w:rsid w:val="00DD5378"/>
    <w:rsid w:val="00DD5B72"/>
    <w:rsid w:val="00DD6681"/>
    <w:rsid w:val="00DD7604"/>
    <w:rsid w:val="00DD7D86"/>
    <w:rsid w:val="00DE12FB"/>
    <w:rsid w:val="00DE1680"/>
    <w:rsid w:val="00DE1F76"/>
    <w:rsid w:val="00DE21C5"/>
    <w:rsid w:val="00DE3630"/>
    <w:rsid w:val="00DE42A7"/>
    <w:rsid w:val="00DE5A37"/>
    <w:rsid w:val="00DE720D"/>
    <w:rsid w:val="00DE79C5"/>
    <w:rsid w:val="00DE7BA5"/>
    <w:rsid w:val="00DF0C7A"/>
    <w:rsid w:val="00DF1035"/>
    <w:rsid w:val="00DF2972"/>
    <w:rsid w:val="00DF3B40"/>
    <w:rsid w:val="00DF49E2"/>
    <w:rsid w:val="00DF4A4E"/>
    <w:rsid w:val="00DF6FA9"/>
    <w:rsid w:val="00E005E6"/>
    <w:rsid w:val="00E00710"/>
    <w:rsid w:val="00E00835"/>
    <w:rsid w:val="00E00F50"/>
    <w:rsid w:val="00E01017"/>
    <w:rsid w:val="00E01183"/>
    <w:rsid w:val="00E01FE7"/>
    <w:rsid w:val="00E0320E"/>
    <w:rsid w:val="00E03CEF"/>
    <w:rsid w:val="00E03DAB"/>
    <w:rsid w:val="00E03E68"/>
    <w:rsid w:val="00E04EF7"/>
    <w:rsid w:val="00E050C9"/>
    <w:rsid w:val="00E0696D"/>
    <w:rsid w:val="00E06B78"/>
    <w:rsid w:val="00E0739A"/>
    <w:rsid w:val="00E12976"/>
    <w:rsid w:val="00E12CB1"/>
    <w:rsid w:val="00E13A02"/>
    <w:rsid w:val="00E16034"/>
    <w:rsid w:val="00E1655A"/>
    <w:rsid w:val="00E17106"/>
    <w:rsid w:val="00E17940"/>
    <w:rsid w:val="00E1796F"/>
    <w:rsid w:val="00E21BC4"/>
    <w:rsid w:val="00E21D33"/>
    <w:rsid w:val="00E22036"/>
    <w:rsid w:val="00E23142"/>
    <w:rsid w:val="00E2358D"/>
    <w:rsid w:val="00E23DCF"/>
    <w:rsid w:val="00E2454A"/>
    <w:rsid w:val="00E26489"/>
    <w:rsid w:val="00E26503"/>
    <w:rsid w:val="00E2692F"/>
    <w:rsid w:val="00E26FDE"/>
    <w:rsid w:val="00E27AC2"/>
    <w:rsid w:val="00E31358"/>
    <w:rsid w:val="00E33058"/>
    <w:rsid w:val="00E33141"/>
    <w:rsid w:val="00E3342C"/>
    <w:rsid w:val="00E33881"/>
    <w:rsid w:val="00E34689"/>
    <w:rsid w:val="00E3477E"/>
    <w:rsid w:val="00E34E94"/>
    <w:rsid w:val="00E3561F"/>
    <w:rsid w:val="00E35D93"/>
    <w:rsid w:val="00E35DF7"/>
    <w:rsid w:val="00E37AF6"/>
    <w:rsid w:val="00E37B5C"/>
    <w:rsid w:val="00E41EC8"/>
    <w:rsid w:val="00E4240A"/>
    <w:rsid w:val="00E4276C"/>
    <w:rsid w:val="00E447AE"/>
    <w:rsid w:val="00E44D40"/>
    <w:rsid w:val="00E45EC3"/>
    <w:rsid w:val="00E4670D"/>
    <w:rsid w:val="00E46B10"/>
    <w:rsid w:val="00E47EFE"/>
    <w:rsid w:val="00E51181"/>
    <w:rsid w:val="00E52342"/>
    <w:rsid w:val="00E5250E"/>
    <w:rsid w:val="00E53383"/>
    <w:rsid w:val="00E53621"/>
    <w:rsid w:val="00E537F4"/>
    <w:rsid w:val="00E538CB"/>
    <w:rsid w:val="00E53CD8"/>
    <w:rsid w:val="00E54BAB"/>
    <w:rsid w:val="00E56FF2"/>
    <w:rsid w:val="00E60F47"/>
    <w:rsid w:val="00E60FA3"/>
    <w:rsid w:val="00E613FB"/>
    <w:rsid w:val="00E6187B"/>
    <w:rsid w:val="00E621B2"/>
    <w:rsid w:val="00E626EF"/>
    <w:rsid w:val="00E644B8"/>
    <w:rsid w:val="00E64E91"/>
    <w:rsid w:val="00E64EC1"/>
    <w:rsid w:val="00E66596"/>
    <w:rsid w:val="00E66696"/>
    <w:rsid w:val="00E668E5"/>
    <w:rsid w:val="00E66C03"/>
    <w:rsid w:val="00E67048"/>
    <w:rsid w:val="00E67F89"/>
    <w:rsid w:val="00E702BA"/>
    <w:rsid w:val="00E70F9C"/>
    <w:rsid w:val="00E71461"/>
    <w:rsid w:val="00E71A6F"/>
    <w:rsid w:val="00E72DAA"/>
    <w:rsid w:val="00E74A34"/>
    <w:rsid w:val="00E74D6A"/>
    <w:rsid w:val="00E74E80"/>
    <w:rsid w:val="00E75986"/>
    <w:rsid w:val="00E7664A"/>
    <w:rsid w:val="00E76698"/>
    <w:rsid w:val="00E77208"/>
    <w:rsid w:val="00E77282"/>
    <w:rsid w:val="00E77CD6"/>
    <w:rsid w:val="00E811BF"/>
    <w:rsid w:val="00E81B85"/>
    <w:rsid w:val="00E81E17"/>
    <w:rsid w:val="00E839A8"/>
    <w:rsid w:val="00E84405"/>
    <w:rsid w:val="00E85B2D"/>
    <w:rsid w:val="00E864CC"/>
    <w:rsid w:val="00E86E51"/>
    <w:rsid w:val="00E879E4"/>
    <w:rsid w:val="00E90959"/>
    <w:rsid w:val="00E910C2"/>
    <w:rsid w:val="00E912AC"/>
    <w:rsid w:val="00E925E7"/>
    <w:rsid w:val="00E930A1"/>
    <w:rsid w:val="00E93844"/>
    <w:rsid w:val="00E956D9"/>
    <w:rsid w:val="00E9597F"/>
    <w:rsid w:val="00E979BA"/>
    <w:rsid w:val="00E97A58"/>
    <w:rsid w:val="00EA12C4"/>
    <w:rsid w:val="00EA1A92"/>
    <w:rsid w:val="00EA237A"/>
    <w:rsid w:val="00EA2EAE"/>
    <w:rsid w:val="00EA31DC"/>
    <w:rsid w:val="00EA4FC9"/>
    <w:rsid w:val="00EA5B16"/>
    <w:rsid w:val="00EA5BCE"/>
    <w:rsid w:val="00EA7722"/>
    <w:rsid w:val="00EA7E6C"/>
    <w:rsid w:val="00EB0285"/>
    <w:rsid w:val="00EB04F3"/>
    <w:rsid w:val="00EB0851"/>
    <w:rsid w:val="00EB08CC"/>
    <w:rsid w:val="00EB0FEE"/>
    <w:rsid w:val="00EB103A"/>
    <w:rsid w:val="00EB1CF9"/>
    <w:rsid w:val="00EB2344"/>
    <w:rsid w:val="00EB2FCB"/>
    <w:rsid w:val="00EB47FF"/>
    <w:rsid w:val="00EB4C1D"/>
    <w:rsid w:val="00EB5383"/>
    <w:rsid w:val="00EB6766"/>
    <w:rsid w:val="00EB77CD"/>
    <w:rsid w:val="00EB7A2B"/>
    <w:rsid w:val="00EC141F"/>
    <w:rsid w:val="00EC1974"/>
    <w:rsid w:val="00EC1ADC"/>
    <w:rsid w:val="00EC2617"/>
    <w:rsid w:val="00EC26CF"/>
    <w:rsid w:val="00EC2F4C"/>
    <w:rsid w:val="00EC3197"/>
    <w:rsid w:val="00EC3238"/>
    <w:rsid w:val="00EC356C"/>
    <w:rsid w:val="00EC3C9C"/>
    <w:rsid w:val="00EC568D"/>
    <w:rsid w:val="00EC66C3"/>
    <w:rsid w:val="00EC6A0F"/>
    <w:rsid w:val="00EC6A8C"/>
    <w:rsid w:val="00EC6F56"/>
    <w:rsid w:val="00ED0C3D"/>
    <w:rsid w:val="00ED157F"/>
    <w:rsid w:val="00ED1F62"/>
    <w:rsid w:val="00ED2A0B"/>
    <w:rsid w:val="00ED3F33"/>
    <w:rsid w:val="00ED41DE"/>
    <w:rsid w:val="00ED4ECA"/>
    <w:rsid w:val="00ED5B4A"/>
    <w:rsid w:val="00ED5B6A"/>
    <w:rsid w:val="00ED7115"/>
    <w:rsid w:val="00EE0D2E"/>
    <w:rsid w:val="00EE0E8D"/>
    <w:rsid w:val="00EE177D"/>
    <w:rsid w:val="00EE220C"/>
    <w:rsid w:val="00EE29A6"/>
    <w:rsid w:val="00EE4CCB"/>
    <w:rsid w:val="00EE4EB8"/>
    <w:rsid w:val="00EE5CDA"/>
    <w:rsid w:val="00EE68AF"/>
    <w:rsid w:val="00EE6A76"/>
    <w:rsid w:val="00EE74E6"/>
    <w:rsid w:val="00EE7C1D"/>
    <w:rsid w:val="00EF0292"/>
    <w:rsid w:val="00EF1DDE"/>
    <w:rsid w:val="00EF234F"/>
    <w:rsid w:val="00EF23AD"/>
    <w:rsid w:val="00EF342D"/>
    <w:rsid w:val="00EF6D39"/>
    <w:rsid w:val="00EF7488"/>
    <w:rsid w:val="00EF77D8"/>
    <w:rsid w:val="00F006C8"/>
    <w:rsid w:val="00F00971"/>
    <w:rsid w:val="00F00E5B"/>
    <w:rsid w:val="00F010A2"/>
    <w:rsid w:val="00F01272"/>
    <w:rsid w:val="00F01A5C"/>
    <w:rsid w:val="00F029A9"/>
    <w:rsid w:val="00F03C90"/>
    <w:rsid w:val="00F049C5"/>
    <w:rsid w:val="00F04A57"/>
    <w:rsid w:val="00F04A61"/>
    <w:rsid w:val="00F05595"/>
    <w:rsid w:val="00F05710"/>
    <w:rsid w:val="00F05FEA"/>
    <w:rsid w:val="00F074DA"/>
    <w:rsid w:val="00F07F74"/>
    <w:rsid w:val="00F1048A"/>
    <w:rsid w:val="00F12269"/>
    <w:rsid w:val="00F1233C"/>
    <w:rsid w:val="00F12354"/>
    <w:rsid w:val="00F124DD"/>
    <w:rsid w:val="00F1334F"/>
    <w:rsid w:val="00F13487"/>
    <w:rsid w:val="00F13544"/>
    <w:rsid w:val="00F138A1"/>
    <w:rsid w:val="00F13D75"/>
    <w:rsid w:val="00F14953"/>
    <w:rsid w:val="00F14F02"/>
    <w:rsid w:val="00F15026"/>
    <w:rsid w:val="00F156E3"/>
    <w:rsid w:val="00F20965"/>
    <w:rsid w:val="00F21AF9"/>
    <w:rsid w:val="00F2344E"/>
    <w:rsid w:val="00F23B33"/>
    <w:rsid w:val="00F240B8"/>
    <w:rsid w:val="00F24116"/>
    <w:rsid w:val="00F24F3F"/>
    <w:rsid w:val="00F25307"/>
    <w:rsid w:val="00F271C5"/>
    <w:rsid w:val="00F3066C"/>
    <w:rsid w:val="00F3092A"/>
    <w:rsid w:val="00F30F15"/>
    <w:rsid w:val="00F329CE"/>
    <w:rsid w:val="00F334E9"/>
    <w:rsid w:val="00F3526C"/>
    <w:rsid w:val="00F36954"/>
    <w:rsid w:val="00F37496"/>
    <w:rsid w:val="00F37A59"/>
    <w:rsid w:val="00F37CFC"/>
    <w:rsid w:val="00F40698"/>
    <w:rsid w:val="00F406F7"/>
    <w:rsid w:val="00F41BC9"/>
    <w:rsid w:val="00F42170"/>
    <w:rsid w:val="00F42397"/>
    <w:rsid w:val="00F42B8A"/>
    <w:rsid w:val="00F448A4"/>
    <w:rsid w:val="00F45115"/>
    <w:rsid w:val="00F4577E"/>
    <w:rsid w:val="00F46384"/>
    <w:rsid w:val="00F47536"/>
    <w:rsid w:val="00F47B52"/>
    <w:rsid w:val="00F50600"/>
    <w:rsid w:val="00F50C3D"/>
    <w:rsid w:val="00F50EA7"/>
    <w:rsid w:val="00F50EC2"/>
    <w:rsid w:val="00F51570"/>
    <w:rsid w:val="00F51EAF"/>
    <w:rsid w:val="00F51F37"/>
    <w:rsid w:val="00F52DA6"/>
    <w:rsid w:val="00F536FD"/>
    <w:rsid w:val="00F537A8"/>
    <w:rsid w:val="00F548E5"/>
    <w:rsid w:val="00F550AB"/>
    <w:rsid w:val="00F558A7"/>
    <w:rsid w:val="00F563E0"/>
    <w:rsid w:val="00F5679A"/>
    <w:rsid w:val="00F57345"/>
    <w:rsid w:val="00F602FA"/>
    <w:rsid w:val="00F60F87"/>
    <w:rsid w:val="00F61610"/>
    <w:rsid w:val="00F63B43"/>
    <w:rsid w:val="00F64079"/>
    <w:rsid w:val="00F64191"/>
    <w:rsid w:val="00F6541F"/>
    <w:rsid w:val="00F66904"/>
    <w:rsid w:val="00F66EDC"/>
    <w:rsid w:val="00F70818"/>
    <w:rsid w:val="00F712E7"/>
    <w:rsid w:val="00F714DC"/>
    <w:rsid w:val="00F71606"/>
    <w:rsid w:val="00F72588"/>
    <w:rsid w:val="00F72C6F"/>
    <w:rsid w:val="00F7302E"/>
    <w:rsid w:val="00F74B26"/>
    <w:rsid w:val="00F753EE"/>
    <w:rsid w:val="00F76489"/>
    <w:rsid w:val="00F76F4F"/>
    <w:rsid w:val="00F775E7"/>
    <w:rsid w:val="00F80E3F"/>
    <w:rsid w:val="00F813EA"/>
    <w:rsid w:val="00F82C92"/>
    <w:rsid w:val="00F82D8A"/>
    <w:rsid w:val="00F84122"/>
    <w:rsid w:val="00F84257"/>
    <w:rsid w:val="00F842F9"/>
    <w:rsid w:val="00F84F75"/>
    <w:rsid w:val="00F8516C"/>
    <w:rsid w:val="00F852E0"/>
    <w:rsid w:val="00F866CB"/>
    <w:rsid w:val="00F86B24"/>
    <w:rsid w:val="00F87B42"/>
    <w:rsid w:val="00F91EE4"/>
    <w:rsid w:val="00F92BB5"/>
    <w:rsid w:val="00F93896"/>
    <w:rsid w:val="00F944E7"/>
    <w:rsid w:val="00F9502C"/>
    <w:rsid w:val="00F9576A"/>
    <w:rsid w:val="00F957FA"/>
    <w:rsid w:val="00F9623A"/>
    <w:rsid w:val="00F96AB7"/>
    <w:rsid w:val="00F972A5"/>
    <w:rsid w:val="00F972C0"/>
    <w:rsid w:val="00F9741F"/>
    <w:rsid w:val="00FA0419"/>
    <w:rsid w:val="00FA1370"/>
    <w:rsid w:val="00FA1FD4"/>
    <w:rsid w:val="00FA30A9"/>
    <w:rsid w:val="00FA3653"/>
    <w:rsid w:val="00FA4762"/>
    <w:rsid w:val="00FA5152"/>
    <w:rsid w:val="00FA584C"/>
    <w:rsid w:val="00FA766C"/>
    <w:rsid w:val="00FB1053"/>
    <w:rsid w:val="00FB1673"/>
    <w:rsid w:val="00FB2F32"/>
    <w:rsid w:val="00FB3A82"/>
    <w:rsid w:val="00FB3EC3"/>
    <w:rsid w:val="00FB52D6"/>
    <w:rsid w:val="00FB542D"/>
    <w:rsid w:val="00FB6D10"/>
    <w:rsid w:val="00FB6D54"/>
    <w:rsid w:val="00FB6DC5"/>
    <w:rsid w:val="00FB7183"/>
    <w:rsid w:val="00FC07A3"/>
    <w:rsid w:val="00FC10CE"/>
    <w:rsid w:val="00FC3EE3"/>
    <w:rsid w:val="00FC40E5"/>
    <w:rsid w:val="00FC5966"/>
    <w:rsid w:val="00FC60A7"/>
    <w:rsid w:val="00FC6497"/>
    <w:rsid w:val="00FC7059"/>
    <w:rsid w:val="00FC7533"/>
    <w:rsid w:val="00FC7CF2"/>
    <w:rsid w:val="00FD0609"/>
    <w:rsid w:val="00FD1043"/>
    <w:rsid w:val="00FD1616"/>
    <w:rsid w:val="00FD1854"/>
    <w:rsid w:val="00FD2BCF"/>
    <w:rsid w:val="00FD3EC2"/>
    <w:rsid w:val="00FD49B7"/>
    <w:rsid w:val="00FD6CFE"/>
    <w:rsid w:val="00FE02B5"/>
    <w:rsid w:val="00FE1E9F"/>
    <w:rsid w:val="00FE22F0"/>
    <w:rsid w:val="00FE2491"/>
    <w:rsid w:val="00FE2881"/>
    <w:rsid w:val="00FE327F"/>
    <w:rsid w:val="00FE389E"/>
    <w:rsid w:val="00FE4B07"/>
    <w:rsid w:val="00FE4B66"/>
    <w:rsid w:val="00FE51D3"/>
    <w:rsid w:val="00FE63C2"/>
    <w:rsid w:val="00FE72AF"/>
    <w:rsid w:val="00FE7A46"/>
    <w:rsid w:val="00FF0566"/>
    <w:rsid w:val="00FF28BF"/>
    <w:rsid w:val="00FF28FF"/>
    <w:rsid w:val="00FF32D9"/>
    <w:rsid w:val="00FF3762"/>
    <w:rsid w:val="00FF3C6E"/>
    <w:rsid w:val="00FF448F"/>
    <w:rsid w:val="00FF5A20"/>
    <w:rsid w:val="00FF5CCC"/>
    <w:rsid w:val="00FF5DB4"/>
    <w:rsid w:val="00FF60CD"/>
    <w:rsid w:val="00FF677F"/>
    <w:rsid w:val="00FF6845"/>
    <w:rsid w:val="00FF6F3A"/>
    <w:rsid w:val="765E4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41C91"/>
  <w15:chartTrackingRefBased/>
  <w15:docId w15:val="{C3C5F672-E0D8-4B85-B2CE-205FB42F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 w:after="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C95"/>
  </w:style>
  <w:style w:type="paragraph" w:styleId="Heading1">
    <w:name w:val="heading 1"/>
    <w:basedOn w:val="Normal"/>
    <w:link w:val="Heading1Char"/>
    <w:uiPriority w:val="9"/>
    <w:qFormat/>
    <w:rsid w:val="00130F6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529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contextualSpacing/>
    </w:pPr>
  </w:style>
  <w:style w:type="paragraph" w:customStyle="1" w:styleId="Default">
    <w:name w:val="Default"/>
    <w:rsid w:val="00F240B8"/>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 Char Char Char,Footnote Text Char1,Footnote Text Char2,Footnote Text Char2 Char Char2 Char2 Char Char,Footnote Text Char4 Char Char1 Char Char,Footnote Text Char5 Cha,Footnote Text Char5 Char Char"/>
    <w:basedOn w:val="Normal"/>
    <w:link w:val="FootnoteTextChar"/>
    <w:uiPriority w:val="99"/>
    <w:unhideWhenUsed/>
    <w:qFormat/>
    <w:rsid w:val="00846D48"/>
    <w:pPr>
      <w:spacing w:after="0"/>
    </w:pPr>
    <w:rPr>
      <w:rFonts w:ascii="Times New Roman" w:hAnsi="Times New Roman"/>
      <w:sz w:val="20"/>
      <w:szCs w:val="20"/>
    </w:r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 Char,Footnote Text Char5 Char Char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iPriority w:val="99"/>
    <w:unhideWhenUsed/>
    <w:qFormat/>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nhideWhenUsed/>
    <w:rsid w:val="00B106ED"/>
    <w:rPr>
      <w:color w:val="0000FF"/>
      <w:u w:val="single"/>
    </w:rPr>
  </w:style>
  <w:style w:type="table" w:styleId="TableGrid">
    <w:name w:val="Table Grid"/>
    <w:basedOn w:val="TableNormal"/>
    <w:uiPriority w:val="39"/>
    <w:rsid w:val="005D79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1A389B"/>
    <w:rPr>
      <w:color w:val="605E5C"/>
      <w:shd w:val="clear" w:color="auto" w:fill="E1DFDD"/>
    </w:rPr>
  </w:style>
  <w:style w:type="paragraph" w:styleId="Revision">
    <w:name w:val="Revision"/>
    <w:hidden/>
    <w:uiPriority w:val="99"/>
    <w:semiHidden/>
    <w:rsid w:val="00803B34"/>
    <w:pPr>
      <w:spacing w:after="0"/>
    </w:pPr>
  </w:style>
  <w:style w:type="character" w:customStyle="1" w:styleId="Heading2Char">
    <w:name w:val="Heading 2 Char"/>
    <w:basedOn w:val="DefaultParagraphFont"/>
    <w:link w:val="Heading2"/>
    <w:uiPriority w:val="9"/>
    <w:rsid w:val="009529B6"/>
    <w:rPr>
      <w:rFonts w:asciiTheme="majorHAnsi" w:eastAsiaTheme="majorEastAsia" w:hAnsiTheme="majorHAnsi" w:cstheme="majorBidi"/>
      <w:color w:val="2F5496" w:themeColor="accent1" w:themeShade="BF"/>
      <w:sz w:val="26"/>
      <w:szCs w:val="26"/>
    </w:rPr>
  </w:style>
  <w:style w:type="paragraph" w:customStyle="1" w:styleId="psection-1">
    <w:name w:val="psection-1"/>
    <w:basedOn w:val="Normal"/>
    <w:rsid w:val="00B13757"/>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B13757"/>
  </w:style>
  <w:style w:type="paragraph" w:customStyle="1" w:styleId="psection-2">
    <w:name w:val="psection-2"/>
    <w:basedOn w:val="Normal"/>
    <w:rsid w:val="00B13757"/>
    <w:pPr>
      <w:spacing w:before="100" w:beforeAutospacing="1" w:after="100" w:afterAutospacing="1"/>
    </w:pPr>
    <w:rPr>
      <w:rFonts w:ascii="Times New Roman" w:eastAsia="Times New Roman" w:hAnsi="Times New Roman" w:cs="Times New Roman"/>
      <w:sz w:val="24"/>
      <w:szCs w:val="24"/>
    </w:rPr>
  </w:style>
  <w:style w:type="paragraph" w:customStyle="1" w:styleId="psection-3">
    <w:name w:val="psection-3"/>
    <w:basedOn w:val="Normal"/>
    <w:rsid w:val="00B13757"/>
    <w:pPr>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B13757"/>
    <w:pPr>
      <w:spacing w:before="100" w:beforeAutospacing="1" w:after="100" w:afterAutospacing="1"/>
    </w:pPr>
    <w:rPr>
      <w:rFonts w:ascii="Times New Roman" w:eastAsia="Times New Roman" w:hAnsi="Times New Roman" w:cs="Times New Roman"/>
      <w:sz w:val="24"/>
      <w:szCs w:val="24"/>
    </w:rPr>
  </w:style>
  <w:style w:type="character" w:customStyle="1" w:styleId="e">
    <w:name w:val="e"/>
    <w:basedOn w:val="DefaultParagraphFont"/>
    <w:rsid w:val="00B1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ctia.org/docs/default-source/fcc-filings/160427-final-network-resiliency-commitment-letter.pdf%20at%203" TargetMode="External" /><Relationship Id="rId2" Type="http://schemas.openxmlformats.org/officeDocument/2006/relationships/hyperlink" Target="https://www.fcc.gov/disaster-communications-field-hearing" TargetMode="External" /><Relationship Id="rId3" Type="http://schemas.openxmlformats.org/officeDocument/2006/relationships/hyperlink" Target="https://www.bls.gov/oes/current/oes151252.htm" TargetMode="External" /><Relationship Id="rId4" Type="http://schemas.openxmlformats.org/officeDocument/2006/relationships/hyperlink" Target="https://www.bls.gov/oes/current/oes23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7e9dfa-bee6-4a73-9465-2e933601d0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BF509CAF2B8D47BA8B5FB31413D050" ma:contentTypeVersion="12" ma:contentTypeDescription="Create a new document." ma:contentTypeScope="" ma:versionID="00a81b62d23c748b136d56f4385372aa">
  <xsd:schema xmlns:xsd="http://www.w3.org/2001/XMLSchema" xmlns:xs="http://www.w3.org/2001/XMLSchema" xmlns:p="http://schemas.microsoft.com/office/2006/metadata/properties" xmlns:ns3="7f6ac2d5-adcb-4752-a413-f5808dc69166" xmlns:ns4="e27e9dfa-bee6-4a73-9465-2e933601d02c" targetNamespace="http://schemas.microsoft.com/office/2006/metadata/properties" ma:root="true" ma:fieldsID="d397081742d091bd6ffd3d5bc0fb928f" ns3:_="" ns4:_="">
    <xsd:import namespace="7f6ac2d5-adcb-4752-a413-f5808dc69166"/>
    <xsd:import namespace="e27e9dfa-bee6-4a73-9465-2e933601d0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c2d5-adcb-4752-a413-f5808dc691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e9dfa-bee6-4a73-9465-2e933601d0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B97B7-91A2-438B-804C-FDF60D4E4F13}">
  <ds:schemaRefs>
    <ds:schemaRef ds:uri="http://schemas.microsoft.com/sharepoint/v3/contenttype/forms"/>
  </ds:schemaRefs>
</ds:datastoreItem>
</file>

<file path=customXml/itemProps2.xml><?xml version="1.0" encoding="utf-8"?>
<ds:datastoreItem xmlns:ds="http://schemas.openxmlformats.org/officeDocument/2006/customXml" ds:itemID="{E7679F2D-98F9-4838-BD2E-35B67F603184}">
  <ds:schemaRefs>
    <ds:schemaRef ds:uri="http://schemas.microsoft.com/office/2006/metadata/properties"/>
    <ds:schemaRef ds:uri="http://schemas.microsoft.com/office/infopath/2007/PartnerControls"/>
    <ds:schemaRef ds:uri="e27e9dfa-bee6-4a73-9465-2e933601d02c"/>
  </ds:schemaRefs>
</ds:datastoreItem>
</file>

<file path=customXml/itemProps3.xml><?xml version="1.0" encoding="utf-8"?>
<ds:datastoreItem xmlns:ds="http://schemas.openxmlformats.org/officeDocument/2006/customXml" ds:itemID="{AD87239B-1415-4460-8F62-3082B708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c2d5-adcb-4752-a413-f5808dc69166"/>
    <ds:schemaRef ds:uri="e27e9dfa-bee6-4a73-9465-2e933601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D744C-AF88-48A9-A598-3AAFCA8E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7248</Words>
  <Characters>41316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Saswat Misra</dc:creator>
  <cp:lastModifiedBy>Nicole Ongele</cp:lastModifiedBy>
  <cp:revision>2</cp:revision>
  <cp:lastPrinted>2022-07-22T16:43:00Z</cp:lastPrinted>
  <dcterms:created xsi:type="dcterms:W3CDTF">2023-04-11T21:58:00Z</dcterms:created>
  <dcterms:modified xsi:type="dcterms:W3CDTF">2023-04-11T21:58:00Z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0x0101005BBF509CAF2B8D47BA8B5FB31413D050</vt:lpwstr>
  </property>
</Properties>
</file>