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265" w:rsidP="00DA7265" w:rsidRDefault="00DA7265" w14:paraId="1E70C619" w14:textId="77777777">
      <w:pPr>
        <w:rPr>
          <w:rFonts w:cstheme="minorHAns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9EF7C7C" wp14:anchorId="5419B7D9">
                <wp:simplePos x="0" y="0"/>
                <wp:positionH relativeFrom="page">
                  <wp:posOffset>0</wp:posOffset>
                </wp:positionH>
                <wp:positionV relativeFrom="page">
                  <wp:posOffset>1083310</wp:posOffset>
                </wp:positionV>
                <wp:extent cx="6901180" cy="3048000"/>
                <wp:effectExtent l="0" t="0" r="0" b="0"/>
                <wp:wrapNone/>
                <wp:docPr id="38" name="Text Box 38" title="Title and sub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8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604F6F" w:rsidR="00DA7265" w:rsidP="00DA7265" w:rsidRDefault="00DA7265" w14:paraId="5D533FE0" w14:textId="5CD958CB">
                            <w:pPr>
                              <w:pStyle w:val="ReportTitle"/>
                              <w:rPr>
                                <w:i/>
                              </w:rPr>
                            </w:pPr>
                            <w:bookmarkStart w:name="_Toc450924335" w:id="0"/>
                            <w:bookmarkStart w:name="_Toc450924453" w:id="1"/>
                            <w:bookmarkStart w:name="_Toc451527271" w:id="2"/>
                            <w:bookmarkStart w:name="_Toc531775554" w:id="3"/>
                            <w:r>
                              <w:t xml:space="preserve">Appendix </w:t>
                            </w:r>
                            <w:r w:rsidR="00930F71">
                              <w:t>HH</w:t>
                            </w:r>
                            <w:r>
                              <w:t xml:space="preserve">.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t>Response to comment from National Agricultural Statistics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89000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19B7D9">
                <v:stroke joinstyle="miter"/>
                <v:path gradientshapeok="t" o:connecttype="rect"/>
              </v:shapetype>
              <v:shape id="Text Box 38" style="position:absolute;margin-left:0;margin-top:85.3pt;width:543.4pt;height:240pt;z-index:251659264;visibility:visible;mso-wrap-style:square;mso-width-percent:8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90;mso-height-percent:0;mso-width-relative:page;mso-height-relative:margin;v-text-anchor:top" alt="Title: Title and subtit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">
                <v:textbox inset="93.6pt,,0">
                  <w:txbxContent>
                    <w:p w:rsidRPr="00604F6F" w:rsidR="00DA7265" w:rsidP="00DA7265" w:rsidRDefault="00DA7265" w14:paraId="5D533FE0" w14:textId="5CD958CB">
                      <w:pPr>
                        <w:pStyle w:val="ReportTitle"/>
                        <w:rPr>
                          <w:i/>
                        </w:rPr>
                      </w:pPr>
                      <w:bookmarkStart w:name="_Toc450924335" w:id="4"/>
                      <w:bookmarkStart w:name="_Toc450924453" w:id="5"/>
                      <w:bookmarkStart w:name="_Toc451527271" w:id="6"/>
                      <w:bookmarkStart w:name="_Toc531775554" w:id="7"/>
                      <w:r>
                        <w:t xml:space="preserve">Appendix </w:t>
                      </w:r>
                      <w:r w:rsidR="00930F71">
                        <w:t>HH</w:t>
                      </w:r>
                      <w:r>
                        <w:t xml:space="preserve">. </w:t>
                      </w:r>
                      <w:bookmarkEnd w:id="4"/>
                      <w:bookmarkEnd w:id="5"/>
                      <w:bookmarkEnd w:id="6"/>
                      <w:bookmarkEnd w:id="7"/>
                      <w:r>
                        <w:t>Response to comment from National Agricultural Statistics 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dt>
      <w:sdtPr>
        <w:id w:val="-620847423"/>
        <w:docPartObj>
          <w:docPartGallery w:val="Cover Pages"/>
          <w:docPartUnique/>
        </w:docPartObj>
      </w:sdtPr>
      <w:sdtEndPr/>
      <w:sdtContent>
        <w:sdt>
          <w:sdtPr>
            <w:rPr>
              <w:rFonts w:ascii="Garamond" w:hAnsi="Garamond"/>
              <w:color w:val="0F202B"/>
              <w:sz w:val="24"/>
              <w:szCs w:val="20"/>
            </w:rPr>
            <w:id w:val="1348448259"/>
            <w:docPartObj>
              <w:docPartGallery w:val="Cover Pages"/>
              <w:docPartUnique/>
            </w:docPartObj>
          </w:sdtPr>
          <w:sdtEndPr>
            <w:rPr>
              <w:color w:val="000000"/>
            </w:rPr>
          </w:sdtEndPr>
          <w:sdtContent>
            <w:p w:rsidR="00DA7265" w:rsidP="00DA7265" w:rsidRDefault="00DA7265" w14:paraId="676C7E61" w14:textId="77777777">
              <w:pPr>
                <w:rPr>
                  <w:color w:val="0F202B"/>
                  <w:szCs w:val="20"/>
                </w:rPr>
              </w:pPr>
            </w:p>
            <w:p w:rsidR="00DA7265" w:rsidP="00DA7265" w:rsidRDefault="00DA7265" w14:paraId="48392C26" w14:textId="77777777">
              <w:pPr>
                <w:ind w:left="720"/>
                <w:jc w:val="center"/>
                <w:rPr>
                  <w:szCs w:val="20"/>
                </w:rPr>
              </w:pPr>
            </w:p>
            <w:sdt>
              <w:sdtPr>
                <w:rPr>
                  <w:rFonts w:ascii="Garamond" w:hAnsi="Garamond"/>
                  <w:color w:val="0F202B"/>
                  <w:sz w:val="24"/>
                  <w:szCs w:val="20"/>
                </w:rPr>
                <w:id w:val="-1034428815"/>
                <w:docPartObj>
                  <w:docPartGallery w:val="Cover Pages"/>
                  <w:docPartUnique/>
                </w:docPartObj>
              </w:sdtPr>
              <w:sdtEndPr>
                <w:rPr>
                  <w:color w:val="000000"/>
                </w:rPr>
              </w:sdtEndPr>
              <w:sdtContent>
                <w:p w:rsidR="00DA7265" w:rsidP="00DA7265" w:rsidRDefault="00DA7265" w14:paraId="545F90A2" w14:textId="77777777">
                  <w:pPr>
                    <w:ind w:left="720"/>
                    <w:jc w:val="center"/>
                    <w:rPr>
                      <w:szCs w:val="20"/>
                    </w:rPr>
                  </w:pPr>
                </w:p>
                <w:sdt>
                  <w:sdtPr>
                    <w:rPr>
                      <w:rFonts w:ascii="Garamond" w:hAnsi="Garamond"/>
                      <w:color w:val="0F202B"/>
                      <w:sz w:val="24"/>
                      <w:szCs w:val="20"/>
                    </w:rPr>
                    <w:id w:val="1575778324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color w:val="000000"/>
                    </w:rPr>
                  </w:sdtEndPr>
                  <w:sdtContent>
                    <w:p w:rsidR="00DA7265" w:rsidP="00DA7265" w:rsidRDefault="00DA7265" w14:paraId="713C8717" w14:textId="77777777">
                      <w:pPr>
                        <w:ind w:left="720"/>
                        <w:jc w:val="center"/>
                        <w:rPr>
                          <w:szCs w:val="20"/>
                        </w:rPr>
                      </w:pPr>
                    </w:p>
                    <w:sdt>
                      <w:sdtPr>
                        <w:rPr>
                          <w:rFonts w:ascii="Garamond" w:hAnsi="Garamond"/>
                          <w:color w:val="0F202B"/>
                          <w:sz w:val="24"/>
                          <w:szCs w:val="20"/>
                        </w:rPr>
                        <w:id w:val="-967663327"/>
                        <w:docPartObj>
                          <w:docPartGallery w:val="Cover Pages"/>
                          <w:docPartUnique/>
                        </w:docPartObj>
                      </w:sdtPr>
                      <w:sdtEndPr>
                        <w:rPr>
                          <w:color w:val="000000"/>
                        </w:rPr>
                      </w:sdtEndPr>
                      <w:sdtContent>
                        <w:p w:rsidR="00DA7265" w:rsidP="00DA7265" w:rsidRDefault="00DA7265" w14:paraId="3A17814E" w14:textId="77777777">
                          <w:pPr>
                            <w:ind w:left="720"/>
                            <w:jc w:val="center"/>
                          </w:pPr>
                        </w:p>
                        <w:p w:rsidR="00DA7265" w:rsidP="00DA7265" w:rsidRDefault="00DA7265" w14:paraId="32C8623B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  <w:ind w:left="216"/>
                          </w:pPr>
                        </w:p>
                        <w:p w:rsidR="00DA7265" w:rsidP="00DA7265" w:rsidRDefault="00930F71" w14:paraId="4C6D438E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p w:rsidR="00DA7265" w:rsidP="00DA7265" w:rsidRDefault="00930F71" w14:paraId="16C57B6D" w14:textId="77777777"/>
      </w:sdtContent>
    </w:sdt>
    <w:p w:rsidR="00DA7265" w:rsidP="00DA7265" w:rsidRDefault="00DA7265" w14:paraId="311CBA19" w14:textId="77777777"/>
    <w:p w:rsidRPr="00B466E6" w:rsidR="00DA7265" w:rsidP="00DA7265" w:rsidRDefault="00DA7265" w14:paraId="361C1F15" w14:textId="77777777"/>
    <w:p w:rsidRPr="00B466E6" w:rsidR="00DA7265" w:rsidP="00DA7265" w:rsidRDefault="00DA7265" w14:paraId="6FE145D6" w14:textId="77777777"/>
    <w:p w:rsidRPr="008B562F" w:rsidR="00DA7265" w:rsidP="00DA7265" w:rsidRDefault="00DA7265" w14:paraId="30412172" w14:textId="77777777"/>
    <w:p w:rsidRPr="00903BB5" w:rsidR="00DA7265" w:rsidP="00DA7265" w:rsidRDefault="00DA7265" w14:paraId="4DACF23F" w14:textId="77777777">
      <w:pPr>
        <w:pStyle w:val="DocSubtitle-IPR"/>
        <w:rPr>
          <w:rFonts w:asciiTheme="minorHAnsi" w:hAnsiTheme="minorHAnsi" w:cstheme="minorHAnsi"/>
          <w:b w:val="0"/>
        </w:rPr>
      </w:pPr>
      <w:r w:rsidRPr="00903BB5">
        <w:rPr>
          <w:rFonts w:asciiTheme="minorHAnsi" w:hAnsiTheme="minorHAnsi" w:cstheme="minorHAnsi"/>
          <w:b w:val="0"/>
        </w:rPr>
        <w:t>OMB No. 0584-[NEW]</w:t>
      </w:r>
    </w:p>
    <w:p w:rsidRPr="00561CE8" w:rsidR="00DA7265" w:rsidP="00DA7265" w:rsidRDefault="00DA7265" w14:paraId="315B774A" w14:textId="1CFC2E6C">
      <w:pPr>
        <w:pStyle w:val="DocDate-IPR"/>
        <w:spacing w:after="1320"/>
        <w:rPr>
          <w:rFonts w:asciiTheme="minorHAnsi" w:hAnsiTheme="minorHAnsi" w:cstheme="minorHAnsi"/>
          <w:i/>
          <w:sz w:val="36"/>
          <w:szCs w:val="36"/>
        </w:rPr>
      </w:pPr>
      <w:r w:rsidRPr="00903BB5">
        <w:rPr>
          <w:rFonts w:asciiTheme="minorHAnsi" w:hAnsiTheme="minorHAnsi" w:cstheme="minorHAnsi"/>
          <w:i/>
          <w:sz w:val="36"/>
          <w:szCs w:val="36"/>
        </w:rPr>
        <w:t>Assessing SNAP Participants’ Fitness for Work</w:t>
      </w:r>
    </w:p>
    <w:p w:rsidR="00DA7265" w:rsidP="00DA7265" w:rsidRDefault="00DA7265" w14:paraId="02085A32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Pr="00474DC9" w:rsidR="00DA7265" w:rsidP="00DA7265" w:rsidRDefault="00DA7265" w14:paraId="7C862029" w14:textId="118DA53A">
      <w:pPr>
        <w:pStyle w:val="TableText-IPR"/>
        <w:spacing w:after="120"/>
        <w:jc w:val="center"/>
        <w:rPr>
          <w:b/>
          <w:sz w:val="24"/>
          <w:szCs w:val="24"/>
        </w:rPr>
      </w:pPr>
      <w:r w:rsidRPr="00474DC9">
        <w:rPr>
          <w:b/>
          <w:sz w:val="24"/>
          <w:szCs w:val="24"/>
        </w:rPr>
        <w:t xml:space="preserve">Project Officer: Eric </w:t>
      </w:r>
      <w:r>
        <w:rPr>
          <w:b/>
          <w:sz w:val="24"/>
          <w:szCs w:val="24"/>
        </w:rPr>
        <w:t xml:space="preserve">Sean </w:t>
      </w:r>
      <w:r w:rsidRPr="00474DC9">
        <w:rPr>
          <w:b/>
          <w:sz w:val="24"/>
          <w:szCs w:val="24"/>
        </w:rPr>
        <w:t>Williams</w:t>
      </w:r>
    </w:p>
    <w:p w:rsidRPr="00474DC9" w:rsidR="00DA7265" w:rsidP="00DA7265" w:rsidRDefault="00DA7265" w14:paraId="408CB12B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Office of Policy Support</w:t>
      </w:r>
    </w:p>
    <w:p w:rsidRPr="00474DC9" w:rsidR="00DA7265" w:rsidP="00DA7265" w:rsidRDefault="00DA7265" w14:paraId="7075843A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SNAP Research and Analysis Division</w:t>
      </w:r>
    </w:p>
    <w:p w:rsidRPr="00474DC9" w:rsidR="00DA7265" w:rsidP="00DA7265" w:rsidRDefault="00DA7265" w14:paraId="675E9B74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Food and Nutrition Service</w:t>
      </w:r>
    </w:p>
    <w:p w:rsidRPr="00474DC9" w:rsidR="00DA7265" w:rsidP="00DA7265" w:rsidRDefault="00DA7265" w14:paraId="337EB10B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U.S. Department of Agriculture</w:t>
      </w:r>
    </w:p>
    <w:p w:rsidRPr="00474DC9" w:rsidR="00DA7265" w:rsidP="00DA7265" w:rsidRDefault="00DA7265" w14:paraId="1E5ACF29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1320 Braddock Place</w:t>
      </w:r>
    </w:p>
    <w:p w:rsidRPr="002D787C" w:rsidR="00DA7265" w:rsidP="00DA7265" w:rsidRDefault="00DA7265" w14:paraId="1CCA1B68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Alexandria, VA 22314</w:t>
      </w:r>
    </w:p>
    <w:p w:rsidRPr="002D787C" w:rsidR="00DA7265" w:rsidP="00DA7265" w:rsidRDefault="00DA7265" w14:paraId="108A3183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703.305.2640</w:t>
      </w:r>
    </w:p>
    <w:p w:rsidR="00DA7265" w:rsidP="00DA7265" w:rsidRDefault="00DA7265" w14:paraId="209A2211" w14:textId="77777777">
      <w:pPr>
        <w:pStyle w:val="TableText-IPR"/>
        <w:jc w:val="center"/>
        <w:rPr>
          <w:sz w:val="24"/>
          <w:szCs w:val="24"/>
          <w:lang w:val="es-ES"/>
        </w:rPr>
      </w:pPr>
      <w:r w:rsidRPr="003E7477">
        <w:rPr>
          <w:sz w:val="24"/>
          <w:szCs w:val="24"/>
          <w:lang w:val="es-ES"/>
        </w:rPr>
        <w:t>eric.williams@fns.usda.gov</w:t>
      </w:r>
    </w:p>
    <w:p w:rsidR="00F81F3C" w:rsidRDefault="00F81F3C" w14:paraId="1B046572" w14:textId="77777777">
      <w:r>
        <w:br w:type="page"/>
      </w:r>
    </w:p>
    <w:p w:rsidR="004624DA" w:rsidRDefault="00074179" w14:paraId="6AAFD756" w14:textId="1EF8FC40">
      <w:r>
        <w:lastRenderedPageBreak/>
        <w:t>Dear Mr. Kilburg,</w:t>
      </w:r>
    </w:p>
    <w:p w:rsidR="00074179" w:rsidRDefault="00074179" w14:paraId="09A2A77C" w14:textId="3EFAD0C2">
      <w:r>
        <w:t>Thank you for your comment on the Assessing SNAP Participants’ Fitness for Work Study. We have considered your comments and made the following changes.</w:t>
      </w:r>
    </w:p>
    <w:p w:rsidR="008E65ED" w:rsidRDefault="00074179" w14:paraId="76E4EE1B" w14:textId="696D7835">
      <w:r>
        <w:t>We have checked for spelling mistakes. We have corrected the spelling mistake in t</w:t>
      </w:r>
      <w:r w:rsidR="006C77D4">
        <w:t xml:space="preserve">he title </w:t>
      </w:r>
      <w:r>
        <w:t>of</w:t>
      </w:r>
      <w:r w:rsidR="006C77D4">
        <w:t xml:space="preserve"> </w:t>
      </w:r>
      <w:r>
        <w:t>Appendix</w:t>
      </w:r>
      <w:r w:rsidR="006C77D4">
        <w:t xml:space="preserve"> HH in the list of appendices.  </w:t>
      </w:r>
    </w:p>
    <w:p w:rsidR="00074179" w:rsidRDefault="00074179" w14:paraId="6EDBB6B0" w14:textId="29C9D4A3">
      <w:r>
        <w:t xml:space="preserve">We have revised the sentence in Part A.2 of the Supporting Statement. The original read: “Should any of the four States decline to participate, the project team will recruit two </w:t>
      </w:r>
      <w:r w:rsidRPr="00DD51A8">
        <w:t>alternative States.</w:t>
      </w:r>
      <w:r>
        <w:t xml:space="preserve">” The revised reads: “Should any of the four States decline to participate, the project team will recruit a replacement from the two </w:t>
      </w:r>
      <w:r w:rsidRPr="00DD51A8">
        <w:t>alternative States</w:t>
      </w:r>
      <w:r>
        <w:t xml:space="preserve"> identified by FNS</w:t>
      </w:r>
      <w:r w:rsidRPr="00DD51A8">
        <w:t>.</w:t>
      </w:r>
      <w:r>
        <w:t>”</w:t>
      </w:r>
    </w:p>
    <w:p w:rsidR="00074179" w:rsidP="00074179" w:rsidRDefault="00074179" w14:paraId="3C856C6E" w14:textId="77777777">
      <w:pPr>
        <w:pStyle w:val="NoSpacing"/>
      </w:pPr>
      <w:r>
        <w:t>Sincerely,</w:t>
      </w:r>
    </w:p>
    <w:p w:rsidR="00074179" w:rsidP="00074179" w:rsidRDefault="00074179" w14:paraId="659D8C07" w14:textId="77777777">
      <w:pPr>
        <w:pStyle w:val="NoSpacing"/>
      </w:pPr>
    </w:p>
    <w:p w:rsidR="00074179" w:rsidP="00074179" w:rsidRDefault="00074179" w14:paraId="6811E11A" w14:textId="77777777">
      <w:pPr>
        <w:pStyle w:val="NoSpacing"/>
      </w:pPr>
      <w:r>
        <w:t>Eric Sean Williams, PhD</w:t>
      </w:r>
    </w:p>
    <w:p w:rsidR="00074179" w:rsidP="00074179" w:rsidRDefault="00074179" w14:paraId="10F58641" w14:textId="77777777">
      <w:pPr>
        <w:pStyle w:val="NoSpacing"/>
      </w:pPr>
    </w:p>
    <w:p w:rsidR="00074179" w:rsidP="00074179" w:rsidRDefault="00074179" w14:paraId="362C1CFE" w14:textId="77777777">
      <w:pPr>
        <w:pStyle w:val="NoSpacing"/>
      </w:pPr>
      <w:r>
        <w:t>USDA/Food and Nutrition Service</w:t>
      </w:r>
    </w:p>
    <w:p w:rsidR="00074179" w:rsidP="00074179" w:rsidRDefault="00074179" w14:paraId="55610AA6" w14:textId="77777777">
      <w:pPr>
        <w:pStyle w:val="NoSpacing"/>
      </w:pPr>
      <w:r>
        <w:t>Braddock Metro Center II</w:t>
      </w:r>
    </w:p>
    <w:p w:rsidR="00074179" w:rsidP="00074179" w:rsidRDefault="00074179" w14:paraId="06E25BFF" w14:textId="77777777">
      <w:pPr>
        <w:pStyle w:val="NoSpacing"/>
      </w:pPr>
      <w:r>
        <w:t>1320 Braddock Place</w:t>
      </w:r>
    </w:p>
    <w:p w:rsidR="00074179" w:rsidP="00074179" w:rsidRDefault="00074179" w14:paraId="34F0095F" w14:textId="77777777">
      <w:pPr>
        <w:pStyle w:val="NoSpacing"/>
      </w:pPr>
      <w:r>
        <w:t>Alexandria, VA 22314</w:t>
      </w:r>
    </w:p>
    <w:p w:rsidR="004E52D4" w:rsidP="00E740D4" w:rsidRDefault="004E52D4" w14:paraId="202530AA" w14:textId="4FE5C362"/>
    <w:sectPr w:rsidR="004E52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9A30" w14:textId="77777777" w:rsidR="0042696B" w:rsidRDefault="0042696B" w:rsidP="00074179">
      <w:pPr>
        <w:spacing w:after="0" w:line="240" w:lineRule="auto"/>
      </w:pPr>
      <w:r>
        <w:separator/>
      </w:r>
    </w:p>
  </w:endnote>
  <w:endnote w:type="continuationSeparator" w:id="0">
    <w:p w14:paraId="4C60034E" w14:textId="77777777" w:rsidR="0042696B" w:rsidRDefault="0042696B" w:rsidP="0007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BF4F" w14:textId="235951F0" w:rsidR="00074179" w:rsidRPr="00074179" w:rsidRDefault="00074179" w:rsidP="00074179">
    <w:pPr>
      <w:pStyle w:val="Footer"/>
      <w:tabs>
        <w:tab w:val="clear" w:pos="4680"/>
        <w:tab w:val="clear" w:pos="9360"/>
      </w:tabs>
      <w:rPr>
        <w:rFonts w:ascii="Source Sans Pro" w:hAnsi="Source Sans Pro"/>
      </w:rPr>
    </w:pPr>
    <w:r w:rsidRPr="004A2C56">
      <w:rPr>
        <w:rFonts w:cs="Garamond"/>
        <w:color w:val="000000"/>
        <w:sz w:val="23"/>
        <w:szCs w:val="23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8D67" w14:textId="77777777" w:rsidR="0042696B" w:rsidRDefault="0042696B" w:rsidP="00074179">
      <w:pPr>
        <w:spacing w:after="0" w:line="240" w:lineRule="auto"/>
      </w:pPr>
      <w:r>
        <w:separator/>
      </w:r>
    </w:p>
  </w:footnote>
  <w:footnote w:type="continuationSeparator" w:id="0">
    <w:p w14:paraId="6A1D2EED" w14:textId="77777777" w:rsidR="0042696B" w:rsidRDefault="0042696B" w:rsidP="00074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2220"/>
    <w:multiLevelType w:val="hybridMultilevel"/>
    <w:tmpl w:val="8026AD98"/>
    <w:lvl w:ilvl="0" w:tplc="3438C15C">
      <w:start w:val="1"/>
      <w:numFmt w:val="bullet"/>
      <w:pStyle w:val="MEF-Bullets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1759">
    <w:abstractNumId w:val="1"/>
  </w:num>
  <w:num w:numId="2" w16cid:durableId="90854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3A"/>
    <w:rsid w:val="00074179"/>
    <w:rsid w:val="0008738F"/>
    <w:rsid w:val="0014740A"/>
    <w:rsid w:val="00190A31"/>
    <w:rsid w:val="001D267F"/>
    <w:rsid w:val="001D4AB7"/>
    <w:rsid w:val="00223D5F"/>
    <w:rsid w:val="00270D0B"/>
    <w:rsid w:val="002A68EC"/>
    <w:rsid w:val="002C6B75"/>
    <w:rsid w:val="00340A26"/>
    <w:rsid w:val="0042696B"/>
    <w:rsid w:val="004424FA"/>
    <w:rsid w:val="004624DA"/>
    <w:rsid w:val="0046705A"/>
    <w:rsid w:val="004E52D4"/>
    <w:rsid w:val="00517CE5"/>
    <w:rsid w:val="005335A5"/>
    <w:rsid w:val="005755A8"/>
    <w:rsid w:val="00575748"/>
    <w:rsid w:val="005A236D"/>
    <w:rsid w:val="00683CB7"/>
    <w:rsid w:val="006C77D4"/>
    <w:rsid w:val="006D605C"/>
    <w:rsid w:val="006D6742"/>
    <w:rsid w:val="00790B0E"/>
    <w:rsid w:val="007F58AC"/>
    <w:rsid w:val="00843DCC"/>
    <w:rsid w:val="00886229"/>
    <w:rsid w:val="008E65ED"/>
    <w:rsid w:val="00930F71"/>
    <w:rsid w:val="00A00E4D"/>
    <w:rsid w:val="00A24A3A"/>
    <w:rsid w:val="00A43BBA"/>
    <w:rsid w:val="00AD095C"/>
    <w:rsid w:val="00AD5F7F"/>
    <w:rsid w:val="00B12B59"/>
    <w:rsid w:val="00BD346E"/>
    <w:rsid w:val="00CC2606"/>
    <w:rsid w:val="00DA7265"/>
    <w:rsid w:val="00DF6D14"/>
    <w:rsid w:val="00E57F67"/>
    <w:rsid w:val="00E740D4"/>
    <w:rsid w:val="00ED52B9"/>
    <w:rsid w:val="00F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1C08"/>
  <w15:chartTrackingRefBased/>
  <w15:docId w15:val="{F6CF0CF0-673B-4DDE-8622-E82738FE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3A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nhideWhenUsed/>
    <w:rsid w:val="00ED52B9"/>
    <w:pPr>
      <w:numPr>
        <w:numId w:val="1"/>
      </w:numPr>
      <w:spacing w:before="120" w:after="120" w:line="264" w:lineRule="auto"/>
      <w:ind w:left="360"/>
    </w:pPr>
    <w:rPr>
      <w:rFonts w:eastAsia="Times New Roman" w:cs="Times New Roman"/>
      <w:sz w:val="24"/>
      <w:szCs w:val="20"/>
    </w:rPr>
  </w:style>
  <w:style w:type="paragraph" w:customStyle="1" w:styleId="DocDate-IPR">
    <w:name w:val="DocDate-IPR"/>
    <w:link w:val="DocDate-IPRChar"/>
    <w:qFormat/>
    <w:rsid w:val="00F81F3C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F81F3C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F81F3C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F81F3C"/>
    <w:rPr>
      <w:rFonts w:ascii="Calibri" w:eastAsiaTheme="minorEastAsia" w:hAnsi="Calibri" w:cs="Times New Roman"/>
      <w:sz w:val="18"/>
      <w:szCs w:val="20"/>
    </w:rPr>
  </w:style>
  <w:style w:type="paragraph" w:customStyle="1" w:styleId="DocTitle-IPR">
    <w:name w:val="DocTitle-IPR"/>
    <w:link w:val="DocTitle-IPRChar"/>
    <w:qFormat/>
    <w:rsid w:val="00F81F3C"/>
    <w:pPr>
      <w:spacing w:before="1320" w:after="20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F81F3C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Title-IPRChar">
    <w:name w:val="DocTitle-IPR Char"/>
    <w:basedOn w:val="DefaultParagraphFont"/>
    <w:link w:val="DocTitle-IPR"/>
    <w:rsid w:val="00F81F3C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F81F3C"/>
    <w:rPr>
      <w:rFonts w:ascii="Candara" w:eastAsiaTheme="majorEastAsia" w:hAnsi="Candara" w:cstheme="majorBidi"/>
      <w:b/>
      <w:bCs/>
      <w:sz w:val="36"/>
      <w:szCs w:val="52"/>
    </w:rPr>
  </w:style>
  <w:style w:type="paragraph" w:styleId="NoSpacing">
    <w:name w:val="No Spacing"/>
    <w:uiPriority w:val="1"/>
    <w:qFormat/>
    <w:rsid w:val="000741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79"/>
  </w:style>
  <w:style w:type="paragraph" w:styleId="Footer">
    <w:name w:val="footer"/>
    <w:basedOn w:val="Normal"/>
    <w:link w:val="FooterChar"/>
    <w:uiPriority w:val="99"/>
    <w:unhideWhenUsed/>
    <w:rsid w:val="0007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79"/>
  </w:style>
  <w:style w:type="paragraph" w:customStyle="1" w:styleId="MEF-Bullets">
    <w:name w:val="MEF-Bullets"/>
    <w:basedOn w:val="Normal"/>
    <w:uiPriority w:val="1"/>
    <w:rsid w:val="00DA7265"/>
    <w:pPr>
      <w:numPr>
        <w:numId w:val="2"/>
      </w:numPr>
      <w:spacing w:before="60" w:after="120" w:line="240" w:lineRule="auto"/>
    </w:pPr>
    <w:rPr>
      <w:rFonts w:ascii="Garamond" w:hAnsi="Garamond"/>
      <w:color w:val="000000"/>
      <w:sz w:val="24"/>
      <w:szCs w:val="20"/>
    </w:rPr>
  </w:style>
  <w:style w:type="paragraph" w:customStyle="1" w:styleId="ReportTitle">
    <w:name w:val="Report Title"/>
    <w:basedOn w:val="Normal"/>
    <w:uiPriority w:val="2"/>
    <w:rsid w:val="00DA7265"/>
    <w:pPr>
      <w:spacing w:before="40" w:after="200" w:line="276" w:lineRule="auto"/>
      <w:ind w:left="936" w:hanging="504"/>
      <w:outlineLvl w:val="0"/>
    </w:pPr>
    <w:rPr>
      <w:rFonts w:ascii="Calibri Light" w:hAnsi="Calibri Light"/>
      <w:color w:val="E44044" w:themeColor="accent1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EF-BRAND-THEME-AL">
  <a:themeElements>
    <a:clrScheme name="MEF Associat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4044"/>
      </a:accent1>
      <a:accent2>
        <a:srgbClr val="787E8B"/>
      </a:accent2>
      <a:accent3>
        <a:srgbClr val="00283B"/>
      </a:accent3>
      <a:accent4>
        <a:srgbClr val="1E4F5C"/>
      </a:accent4>
      <a:accent5>
        <a:srgbClr val="D6EEF2"/>
      </a:accent5>
      <a:accent6>
        <a:srgbClr val="FFFFFF"/>
      </a:accent6>
      <a:hlink>
        <a:srgbClr val="48A1FA"/>
      </a:hlink>
      <a:folHlink>
        <a:srgbClr val="FEE5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D5EDEC">
            <a:alpha val="50000"/>
          </a:srgbClr>
        </a:solidFill>
        <a:ln w="3175">
          <a:noFill/>
          <a:miter lim="800000"/>
          <a:headEnd/>
          <a:tailEnd/>
        </a:ln>
      </a:spPr>
      <a:bodyPr rot="0" vert="horz" wrap="square" lIns="182880" tIns="182880" rIns="9144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C6B44733A41418F33BD173CF73775" ma:contentTypeVersion="6" ma:contentTypeDescription="Create a new document." ma:contentTypeScope="" ma:versionID="46537dec686362fde22c76621f57e702">
  <xsd:schema xmlns:xsd="http://www.w3.org/2001/XMLSchema" xmlns:xs="http://www.w3.org/2001/XMLSchema" xmlns:p="http://schemas.microsoft.com/office/2006/metadata/properties" xmlns:ns2="376dd361-3c7b-48c0-ad91-5dd9648e9fb2" xmlns:ns3="e6d572b8-3416-4300-937c-37b0fc4038b5" targetNamespace="http://schemas.microsoft.com/office/2006/metadata/properties" ma:root="true" ma:fieldsID="0d1d38189fa56d0732296fa2469e31be" ns2:_="" ns3:_="">
    <xsd:import namespace="376dd361-3c7b-48c0-ad91-5dd9648e9fb2"/>
    <xsd:import namespace="e6d572b8-3416-4300-937c-37b0fc403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d361-3c7b-48c0-ad91-5dd9648e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72b8-3416-4300-937c-37b0fc403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3BBAC-7C94-4026-B837-272D8B80B070}">
  <ds:schemaRefs>
    <ds:schemaRef ds:uri="http://purl.org/dc/elements/1.1/"/>
    <ds:schemaRef ds:uri="376dd361-3c7b-48c0-ad91-5dd9648e9fb2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6d572b8-3416-4300-937c-37b0fc4038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5F7AFE-B1F0-4884-8E96-61E24DB8C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B1344-A4BE-437F-9D6F-70FD54F85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d361-3c7b-48c0-ad91-5dd9648e9fb2"/>
    <ds:schemaRef ds:uri="e6d572b8-3416-4300-937c-37b0fc403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Kilburg, Doug - REE-NASS, Washington, DC</dc:creator>
  <cp:keywords/>
  <dc:description/>
  <cp:lastModifiedBy>Eunice Yau</cp:lastModifiedBy>
  <cp:revision>7</cp:revision>
  <dcterms:created xsi:type="dcterms:W3CDTF">2022-04-12T21:08:00Z</dcterms:created>
  <dcterms:modified xsi:type="dcterms:W3CDTF">2022-05-06T22:16:00Z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0x01010010AC6B44733A41418F33BD173CF73775</vt:lpwstr>
  </property>
</Properties>
</file>