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D2A55" w:rsidP="005A3188" w14:paraId="4D1D868B" w14:textId="77777777">
      <w:pPr>
        <w:pStyle w:val="Heading1"/>
        <w:widowControl/>
        <w:spacing w:before="0"/>
        <w:ind w:left="0"/>
        <w:jc w:val="center"/>
      </w:pPr>
      <w:r>
        <w:t>SUPPORTING STATEMENT</w:t>
      </w:r>
    </w:p>
    <w:p w:rsidR="00BD2A55" w:rsidP="005A3188" w14:paraId="00BF56B8" w14:textId="77777777">
      <w:pPr>
        <w:widowControl/>
        <w:spacing w:line="259" w:lineRule="auto"/>
        <w:ind w:firstLine="14"/>
        <w:jc w:val="center"/>
        <w:rPr>
          <w:b/>
        </w:rPr>
      </w:pPr>
      <w:r>
        <w:rPr>
          <w:b/>
        </w:rPr>
        <w:t>U.S. Department of Commerce</w:t>
      </w:r>
    </w:p>
    <w:p w:rsidR="00BD2A55" w:rsidP="005A3188" w14:paraId="476E8A9D" w14:textId="77777777">
      <w:pPr>
        <w:widowControl/>
        <w:spacing w:line="259" w:lineRule="auto"/>
        <w:ind w:firstLine="14"/>
        <w:jc w:val="center"/>
        <w:rPr>
          <w:b/>
        </w:rPr>
      </w:pPr>
      <w:r>
        <w:rPr>
          <w:b/>
        </w:rPr>
        <w:t>National Oceanic &amp; Atmospheric Administration</w:t>
      </w:r>
    </w:p>
    <w:p w:rsidR="00DC6F01" w:rsidP="005A3188" w14:paraId="76C88498" w14:textId="183A98C5">
      <w:pPr>
        <w:widowControl/>
        <w:spacing w:line="259" w:lineRule="auto"/>
        <w:ind w:hanging="6"/>
        <w:jc w:val="center"/>
        <w:rPr>
          <w:b/>
        </w:rPr>
      </w:pPr>
      <w:r>
        <w:rPr>
          <w:b/>
        </w:rPr>
        <w:t>Al</w:t>
      </w:r>
      <w:r w:rsidRPr="003522B8">
        <w:rPr>
          <w:b/>
        </w:rPr>
        <w:t>aska Community Quota Entity (CQE) Program</w:t>
      </w:r>
      <w:r w:rsidRPr="00DC6F01">
        <w:rPr>
          <w:b/>
        </w:rPr>
        <w:t xml:space="preserve"> </w:t>
      </w:r>
    </w:p>
    <w:p w:rsidR="00BD2A55" w:rsidP="005A3188" w14:paraId="0593C58A" w14:textId="27D57562">
      <w:pPr>
        <w:widowControl/>
        <w:spacing w:line="259" w:lineRule="auto"/>
        <w:ind w:hanging="6"/>
        <w:jc w:val="center"/>
        <w:rPr>
          <w:b/>
        </w:rPr>
      </w:pPr>
      <w:r>
        <w:rPr>
          <w:b/>
        </w:rPr>
        <w:t>OMB Control No. 0648-</w:t>
      </w:r>
      <w:r w:rsidR="002A6A19">
        <w:rPr>
          <w:b/>
        </w:rPr>
        <w:t>0665</w:t>
      </w:r>
    </w:p>
    <w:p w:rsidR="00333FBA" w:rsidP="005A3188" w14:paraId="7D6FC628" w14:textId="7A867B5B">
      <w:pPr>
        <w:widowControl/>
        <w:spacing w:line="259" w:lineRule="auto"/>
        <w:rPr>
          <w:b/>
        </w:rPr>
      </w:pPr>
    </w:p>
    <w:p w:rsidR="00333FBA" w:rsidP="005A3188" w14:paraId="314A03B6" w14:textId="518A636E">
      <w:pPr>
        <w:pStyle w:val="Heading1"/>
        <w:widowControl/>
        <w:spacing w:before="0"/>
        <w:ind w:left="0"/>
      </w:pPr>
      <w:r>
        <w:t>Abstract</w:t>
      </w:r>
    </w:p>
    <w:p w:rsidR="00333FBA" w:rsidRPr="00333FBA" w:rsidP="00C155AE" w14:paraId="774E99A3" w14:textId="1BEAFBA4">
      <w:pPr>
        <w:widowControl/>
      </w:pPr>
    </w:p>
    <w:p w:rsidR="00232871" w:rsidP="00C155AE" w14:paraId="7E8EF4BC" w14:textId="064C0E8F">
      <w:pPr>
        <w:widowControl/>
      </w:pPr>
      <w:r w:rsidRPr="00A17099">
        <w:t>This is a resubmission, with the</w:t>
      </w:r>
      <w:r>
        <w:t xml:space="preserve"> final rule, of a request by t</w:t>
      </w:r>
      <w:r w:rsidRPr="00B65426">
        <w:t xml:space="preserve">he </w:t>
      </w:r>
      <w:r w:rsidRPr="00B65426" w:rsidR="00B65426">
        <w:t xml:space="preserve">National Marine Fisheries Service (NMFS), Alaska Regional Office, </w:t>
      </w:r>
      <w:r>
        <w:t>for</w:t>
      </w:r>
      <w:r w:rsidRPr="00B65426">
        <w:t xml:space="preserve"> </w:t>
      </w:r>
      <w:r w:rsidRPr="00B65426" w:rsidR="00B65426">
        <w:t>revision of this currently approved information collection</w:t>
      </w:r>
      <w:r w:rsidR="00B65426">
        <w:t xml:space="preserve"> that </w:t>
      </w:r>
      <w:r>
        <w:t>co</w:t>
      </w:r>
      <w:r w:rsidRPr="00713BC9">
        <w:t xml:space="preserve">ntains </w:t>
      </w:r>
      <w:r w:rsidRPr="002F7B88">
        <w:t xml:space="preserve">applications, permits, and reports </w:t>
      </w:r>
      <w:r>
        <w:t>necessary for NMFS to manage the Community Quota Entity (CQE) Program.</w:t>
      </w:r>
      <w:r>
        <w:t xml:space="preserve"> </w:t>
      </w:r>
      <w:r w:rsidRPr="006F1E23">
        <w:t xml:space="preserve">NMFS requires this information to evaluate the ability of a specific CQE to represent an eligible community </w:t>
      </w:r>
      <w:r w:rsidRPr="00F54BA8">
        <w:t xml:space="preserve">and </w:t>
      </w:r>
      <w:r w:rsidRPr="00F54BA8" w:rsidR="00F54BA8">
        <w:t>for</w:t>
      </w:r>
      <w:r w:rsidRPr="00F54BA8">
        <w:t xml:space="preserve"> fisheries management.</w:t>
      </w:r>
      <w:r w:rsidRPr="006F1E23">
        <w:t xml:space="preserve"> </w:t>
      </w:r>
      <w:r w:rsidRPr="002F7B88">
        <w:t xml:space="preserve"> </w:t>
      </w:r>
      <w:r w:rsidRPr="00DE4D13">
        <w:t xml:space="preserve"> </w:t>
      </w:r>
    </w:p>
    <w:p w:rsidR="00B65426" w:rsidP="00C155AE" w14:paraId="54536FED" w14:textId="77777777">
      <w:pPr>
        <w:widowControl/>
      </w:pPr>
    </w:p>
    <w:p w:rsidR="00B65426" w:rsidRPr="00B65426" w:rsidP="00B65426" w14:paraId="0050AD28" w14:textId="07F35745">
      <w:pPr>
        <w:widowControl/>
      </w:pPr>
      <w:r w:rsidRPr="00B65426">
        <w:t xml:space="preserve">This information collection </w:t>
      </w:r>
      <w:r w:rsidRPr="00B65426">
        <w:t>is revised</w:t>
      </w:r>
      <w:r w:rsidRPr="00B65426">
        <w:t xml:space="preserve"> due to an associated rule (RIN 0648-BL54) to implement Amendment 124 to the Fishery Management Plan for Groundfish of the Bering Sea and Aleutian Islands Management Area and Amendment 112 to the Fishery Management Plan for Groundfish of the Gulf of Alaska. </w:t>
      </w:r>
      <w:r w:rsidRPr="007B0388" w:rsidR="007B0388">
        <w:t xml:space="preserve">The intent of these amendments and </w:t>
      </w:r>
      <w:r w:rsidR="00965B64">
        <w:t>this</w:t>
      </w:r>
      <w:r w:rsidRPr="007B0388" w:rsidR="00965B64">
        <w:t xml:space="preserve"> </w:t>
      </w:r>
      <w:r w:rsidRPr="007B0388" w:rsidR="007B0388">
        <w:t xml:space="preserve">rule is to increase operational efficiency and reduce administrative burden for </w:t>
      </w:r>
      <w:r w:rsidR="007B0388">
        <w:t>participants in the Individual Fishing Q</w:t>
      </w:r>
      <w:r w:rsidR="008A37AF">
        <w:t>uota</w:t>
      </w:r>
      <w:r w:rsidRPr="007B0388" w:rsidR="007B0388">
        <w:t xml:space="preserve"> </w:t>
      </w:r>
      <w:r w:rsidR="00257791">
        <w:t xml:space="preserve">(IFQ) </w:t>
      </w:r>
      <w:r w:rsidRPr="007B0388" w:rsidR="007B0388">
        <w:t xml:space="preserve">Program and </w:t>
      </w:r>
      <w:r w:rsidR="007B0388">
        <w:t xml:space="preserve">the </w:t>
      </w:r>
      <w:r w:rsidRPr="007B0388" w:rsidR="007B0388">
        <w:t xml:space="preserve">Community Development </w:t>
      </w:r>
      <w:r w:rsidR="007B0388">
        <w:t>Q</w:t>
      </w:r>
      <w:r w:rsidR="008A37AF">
        <w:t xml:space="preserve">uota </w:t>
      </w:r>
      <w:r w:rsidR="007B0388">
        <w:t>Program</w:t>
      </w:r>
      <w:r w:rsidRPr="007B0388" w:rsidR="007B0388">
        <w:t>.</w:t>
      </w:r>
      <w:r w:rsidR="008A37AF">
        <w:t xml:space="preserve"> </w:t>
      </w:r>
      <w:r w:rsidRPr="00B65426">
        <w:t>This rule also affects information collection requirements approved under OMB Control Number 0648-0</w:t>
      </w:r>
      <w:r>
        <w:t>353</w:t>
      </w:r>
      <w:r w:rsidRPr="00B65426">
        <w:t xml:space="preserve"> (Alaska Region Gear Identification Requirements). Concurrent with this request to revise 0648-0</w:t>
      </w:r>
      <w:r>
        <w:t>665</w:t>
      </w:r>
      <w:r w:rsidRPr="00B65426">
        <w:t xml:space="preserve">, NMFS is submitting a separate request for </w:t>
      </w:r>
      <w:r w:rsidR="00734294">
        <w:t>0648-0353</w:t>
      </w:r>
      <w:r w:rsidRPr="00B65426">
        <w:t xml:space="preserve">.  </w:t>
      </w:r>
    </w:p>
    <w:p w:rsidR="007D3937" w:rsidP="00C155AE" w14:paraId="3F64960A" w14:textId="77777777">
      <w:pPr>
        <w:widowControl/>
      </w:pPr>
    </w:p>
    <w:p w:rsidR="00333FBA" w:rsidP="00C155AE" w14:paraId="5F7333E2" w14:textId="44B417EB">
      <w:pPr>
        <w:widowControl/>
        <w:pBdr>
          <w:top w:val="nil"/>
          <w:left w:val="nil"/>
          <w:bottom w:val="nil"/>
          <w:right w:val="nil"/>
          <w:between w:val="nil"/>
        </w:pBdr>
      </w:pPr>
      <w:r>
        <w:t xml:space="preserve">Due to the </w:t>
      </w:r>
      <w:r w:rsidRPr="006A058A">
        <w:t xml:space="preserve">rule, this information collection </w:t>
      </w:r>
      <w:r w:rsidRPr="006A058A">
        <w:t>is revised</w:t>
      </w:r>
      <w:r w:rsidRPr="006A058A">
        <w:t xml:space="preserve"> to </w:t>
      </w:r>
      <w:r w:rsidR="00987B96">
        <w:t xml:space="preserve">provide additional </w:t>
      </w:r>
      <w:r w:rsidRPr="00045E3D" w:rsidR="00045E3D">
        <w:t>submission methods</w:t>
      </w:r>
      <w:r w:rsidR="00DB453D">
        <w:t xml:space="preserve"> for CQE information collection requirements</w:t>
      </w:r>
      <w:r w:rsidRPr="00045E3D" w:rsidR="00045E3D">
        <w:t xml:space="preserve"> and to </w:t>
      </w:r>
      <w:r w:rsidR="008A4EC6">
        <w:t xml:space="preserve">temporarily </w:t>
      </w:r>
      <w:r w:rsidRPr="00045E3D" w:rsidR="00045E3D">
        <w:t xml:space="preserve">remove the Adak CQE residency requirement </w:t>
      </w:r>
      <w:r w:rsidR="00987B96">
        <w:t>for</w:t>
      </w:r>
      <w:r w:rsidRPr="00045E3D" w:rsidR="00DB453D">
        <w:t xml:space="preserve"> </w:t>
      </w:r>
      <w:r w:rsidRPr="00045E3D" w:rsidR="00045E3D">
        <w:t xml:space="preserve">the Application for a CQE to Transfer IFQ to an Eligible Community Resident or Non-resident. </w:t>
      </w:r>
      <w:r w:rsidR="00DB453D">
        <w:t>The</w:t>
      </w:r>
      <w:r w:rsidR="00987B96">
        <w:t>se</w:t>
      </w:r>
      <w:r w:rsidR="00DB453D">
        <w:t xml:space="preserve"> revisions do not change the respondents, responses, or burdens in this collection. </w:t>
      </w:r>
    </w:p>
    <w:p w:rsidR="00944D46" w:rsidRPr="00333FBA" w:rsidP="00C155AE" w14:paraId="45D0C2E0" w14:textId="77777777">
      <w:pPr>
        <w:widowControl/>
        <w:pBdr>
          <w:top w:val="nil"/>
          <w:left w:val="nil"/>
          <w:bottom w:val="nil"/>
          <w:right w:val="nil"/>
          <w:between w:val="nil"/>
        </w:pBdr>
      </w:pPr>
    </w:p>
    <w:p w:rsidR="00BD2A55" w:rsidP="00C155AE" w14:paraId="2761FED8" w14:textId="4649FB37">
      <w:pPr>
        <w:pStyle w:val="Heading1"/>
        <w:keepNext/>
        <w:widowControl/>
        <w:spacing w:before="0"/>
        <w:ind w:left="0"/>
      </w:pPr>
      <w:r>
        <w:t>Justification</w:t>
      </w:r>
    </w:p>
    <w:p w:rsidR="005A3188" w:rsidP="00C155AE" w14:paraId="1F37543C" w14:textId="77777777">
      <w:pPr>
        <w:pStyle w:val="Heading1"/>
        <w:keepNext/>
        <w:widowControl/>
        <w:spacing w:before="0"/>
        <w:ind w:left="0"/>
      </w:pPr>
    </w:p>
    <w:p w:rsidR="00BD2A55" w:rsidP="00C155AE" w14:paraId="757A795C" w14:textId="77777777">
      <w:pPr>
        <w:keepNext/>
        <w:widowControl/>
        <w:numPr>
          <w:ilvl w:val="0"/>
          <w:numId w:val="3"/>
        </w:numPr>
        <w:pBdr>
          <w:top w:val="nil"/>
          <w:left w:val="nil"/>
          <w:bottom w:val="nil"/>
          <w:right w:val="nil"/>
          <w:between w:val="nil"/>
        </w:pBdr>
        <w:tabs>
          <w:tab w:val="left" w:pos="360"/>
        </w:tabs>
        <w:ind w:left="0" w:firstLine="0"/>
        <w:rPr>
          <w:b/>
          <w:color w:val="000000"/>
        </w:rPr>
      </w:pPr>
      <w:r>
        <w:rPr>
          <w:b/>
          <w:color w:val="00000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333FBA" w:rsidRPr="00333FBA" w:rsidP="005A3188" w14:paraId="5CF88196" w14:textId="6932F532">
      <w:pPr>
        <w:widowControl/>
        <w:pBdr>
          <w:top w:val="nil"/>
          <w:left w:val="nil"/>
          <w:bottom w:val="nil"/>
          <w:right w:val="nil"/>
          <w:between w:val="nil"/>
        </w:pBdr>
        <w:spacing w:line="259" w:lineRule="auto"/>
      </w:pPr>
    </w:p>
    <w:p w:rsidR="000B619D" w:rsidRPr="002D4E5C" w:rsidP="005A3188" w14:paraId="6337F52B" w14:textId="401B3525">
      <w:pPr>
        <w:widowControl/>
        <w:rPr>
          <w:rFonts w:eastAsia="Calibri"/>
        </w:rPr>
      </w:pPr>
      <w:r w:rsidRPr="002D4E5C">
        <w:rPr>
          <w:rFonts w:eastAsia="Calibri"/>
        </w:rPr>
        <w:t xml:space="preserve">Under the </w:t>
      </w:r>
      <w:hyperlink r:id="rId6" w:history="1">
        <w:r w:rsidRPr="0000795C">
          <w:rPr>
            <w:rStyle w:val="Hyperlink"/>
            <w:rFonts w:eastAsia="Calibri"/>
          </w:rPr>
          <w:t>Magnuson-Stevens Fishery Conservation and Management Act</w:t>
        </w:r>
      </w:hyperlink>
      <w:r w:rsidRPr="002D4E5C">
        <w:rPr>
          <w:rFonts w:eastAsia="Calibri"/>
        </w:rPr>
        <w:t xml:space="preserve"> 16 U.S.C. 1801 </w:t>
      </w:r>
      <w:r w:rsidRPr="002D4E5C">
        <w:rPr>
          <w:rFonts w:eastAsia="Calibri"/>
          <w:i/>
        </w:rPr>
        <w:t>et seq</w:t>
      </w:r>
      <w:r w:rsidRPr="002D4E5C">
        <w:rPr>
          <w:rFonts w:eastAsia="Calibri"/>
        </w:rPr>
        <w:t xml:space="preserve">. (Magnuson-Stevens Act), the Secretary of Commerce is responsible for the conservation and management of marine fishery resources within the Exclusive Economic Zone (EEZ) of the United States through </w:t>
      </w:r>
      <w:r>
        <w:rPr>
          <w:rFonts w:eastAsia="Calibri"/>
        </w:rPr>
        <w:t xml:space="preserve">the </w:t>
      </w:r>
      <w:r w:rsidRPr="002D4E5C">
        <w:rPr>
          <w:rFonts w:eastAsia="Calibri"/>
        </w:rPr>
        <w:t>National Oceanic and Atmospheric Administration/</w:t>
      </w:r>
      <w:r>
        <w:rPr>
          <w:rFonts w:eastAsia="Calibri"/>
        </w:rPr>
        <w:t>NMFS</w:t>
      </w:r>
      <w:r w:rsidRPr="002D4E5C">
        <w:rPr>
          <w:rFonts w:eastAsia="Calibri"/>
        </w:rPr>
        <w:t xml:space="preserve">. NMFS Alaska Region manages the groundfish fisheries in the EEZ of the Bering Sea and Aleutian Islands Management Area (BSAI) and Gulf of Alaska </w:t>
      </w:r>
      <w:r>
        <w:rPr>
          <w:rFonts w:eastAsia="Calibri"/>
        </w:rPr>
        <w:t xml:space="preserve">(GOA) </w:t>
      </w:r>
      <w:r w:rsidRPr="002D4E5C">
        <w:rPr>
          <w:rFonts w:eastAsia="Calibri"/>
        </w:rPr>
        <w:t xml:space="preserve">under fishery management plans </w:t>
      </w:r>
      <w:r>
        <w:rPr>
          <w:rFonts w:eastAsia="Calibri"/>
        </w:rPr>
        <w:t xml:space="preserve">(FMPs) developed </w:t>
      </w:r>
      <w:r w:rsidRPr="002D4E5C">
        <w:rPr>
          <w:rFonts w:eastAsia="Calibri"/>
        </w:rPr>
        <w:t xml:space="preserve">by the North Pacific Fishery Management Council </w:t>
      </w:r>
      <w:r w:rsidR="008D70FA">
        <w:rPr>
          <w:rFonts w:eastAsia="Calibri"/>
        </w:rPr>
        <w:t xml:space="preserve">(Council) </w:t>
      </w:r>
      <w:r w:rsidRPr="002D4E5C">
        <w:rPr>
          <w:rFonts w:eastAsia="Calibri"/>
        </w:rPr>
        <w:t xml:space="preserve">for groundfish in the respective areas. </w:t>
      </w:r>
      <w:r w:rsidRPr="008364AF">
        <w:rPr>
          <w:rFonts w:eastAsia="Calibri"/>
        </w:rPr>
        <w:t xml:space="preserve">Regulations governing U.S. fisheries and implementing the </w:t>
      </w:r>
      <w:r>
        <w:rPr>
          <w:rFonts w:eastAsia="Calibri"/>
        </w:rPr>
        <w:t>groundfish</w:t>
      </w:r>
      <w:r w:rsidRPr="008364AF">
        <w:rPr>
          <w:rFonts w:eastAsia="Calibri"/>
        </w:rPr>
        <w:t xml:space="preserve"> FMP</w:t>
      </w:r>
      <w:r>
        <w:rPr>
          <w:rFonts w:eastAsia="Calibri"/>
        </w:rPr>
        <w:t>s</w:t>
      </w:r>
      <w:r w:rsidRPr="008364AF">
        <w:rPr>
          <w:rFonts w:eastAsia="Calibri"/>
        </w:rPr>
        <w:t xml:space="preserve"> </w:t>
      </w:r>
      <w:r>
        <w:rPr>
          <w:rFonts w:eastAsia="Calibri"/>
        </w:rPr>
        <w:t xml:space="preserve">are </w:t>
      </w:r>
      <w:r w:rsidRPr="008364AF">
        <w:rPr>
          <w:rFonts w:eastAsia="Calibri"/>
        </w:rPr>
        <w:t xml:space="preserve">at </w:t>
      </w:r>
      <w:r w:rsidRPr="006C35E1">
        <w:rPr>
          <w:rFonts w:eastAsia="Calibri"/>
        </w:rPr>
        <w:t xml:space="preserve">50 CFR </w:t>
      </w:r>
      <w:hyperlink r:id="rId7" w:history="1">
        <w:r w:rsidRPr="00F507CF">
          <w:rPr>
            <w:rStyle w:val="Hyperlink"/>
            <w:rFonts w:eastAsia="Calibri"/>
          </w:rPr>
          <w:t>parts 600</w:t>
        </w:r>
      </w:hyperlink>
      <w:r w:rsidRPr="006C35E1">
        <w:rPr>
          <w:rFonts w:eastAsia="Calibri"/>
        </w:rPr>
        <w:t xml:space="preserve"> and </w:t>
      </w:r>
      <w:hyperlink r:id="rId8" w:history="1">
        <w:r w:rsidRPr="00F507CF">
          <w:rPr>
            <w:rStyle w:val="Hyperlink"/>
            <w:rFonts w:eastAsia="Calibri"/>
          </w:rPr>
          <w:t>679</w:t>
        </w:r>
      </w:hyperlink>
      <w:r w:rsidRPr="008364AF">
        <w:rPr>
          <w:rFonts w:eastAsia="Calibri"/>
        </w:rPr>
        <w:t>.</w:t>
      </w:r>
    </w:p>
    <w:p w:rsidR="000B619D" w:rsidP="005A3188" w14:paraId="74C54E68" w14:textId="77777777">
      <w:pPr>
        <w:widowControl/>
      </w:pPr>
    </w:p>
    <w:p w:rsidR="006C35E1" w:rsidRPr="00E70998" w:rsidP="005A3188" w14:paraId="07424606" w14:textId="459F6840">
      <w:pPr>
        <w:widowControl/>
        <w:autoSpaceDE w:val="0"/>
        <w:autoSpaceDN w:val="0"/>
        <w:adjustRightInd w:val="0"/>
      </w:pPr>
      <w:r w:rsidRPr="00E70998">
        <w:t>The International Pacific Halibut Commission (IPHC) and NMFS Alaska Region manage fishing for Pacific halibut (</w:t>
      </w:r>
      <w:r w:rsidRPr="00E70998">
        <w:rPr>
          <w:i/>
        </w:rPr>
        <w:t>Hippoglossus stenolepis</w:t>
      </w:r>
      <w:r w:rsidRPr="00E70998">
        <w:t xml:space="preserve">) through regulations established under the authority of the </w:t>
      </w:r>
      <w:hyperlink r:id="rId9" w:history="1">
        <w:r w:rsidRPr="00E70998">
          <w:rPr>
            <w:rFonts w:eastAsia="Calibri"/>
            <w:color w:val="0000FF"/>
            <w:u w:val="single"/>
          </w:rPr>
          <w:t>Northern Pacific Halibut Act of 1982, 16 U.S.C. 773c</w:t>
        </w:r>
      </w:hyperlink>
      <w:r w:rsidRPr="00E70998">
        <w:t xml:space="preserve"> (Halibut Act). The IPHC promulgates regulations governing the halibut fishery under the </w:t>
      </w:r>
      <w:hyperlink r:id="rId10" w:history="1">
        <w:r w:rsidRPr="00E70998">
          <w:rPr>
            <w:rFonts w:eastAsia="Calibri"/>
            <w:color w:val="0000FF"/>
            <w:u w:val="single"/>
          </w:rPr>
          <w:t>Convention between the United States</w:t>
        </w:r>
        <w:r w:rsidR="00F507CF">
          <w:rPr>
            <w:rFonts w:eastAsia="Calibri"/>
            <w:color w:val="0000FF"/>
            <w:u w:val="single"/>
          </w:rPr>
          <w:t xml:space="preserve"> and Canada for the Preservation of the</w:t>
        </w:r>
        <w:r w:rsidRPr="00E70998">
          <w:rPr>
            <w:rFonts w:eastAsia="Calibri"/>
            <w:color w:val="0000FF"/>
            <w:u w:val="single"/>
          </w:rPr>
          <w:t xml:space="preserve"> Halibut Fishery of the Northern Pacific Ocean and Bering Sea</w:t>
        </w:r>
      </w:hyperlink>
      <w:r w:rsidRPr="00E70998">
        <w:rPr>
          <w:rFonts w:eastAsia="Calibri"/>
        </w:rPr>
        <w:t xml:space="preserve"> </w:t>
      </w:r>
      <w:r w:rsidRPr="00E70998">
        <w:t xml:space="preserve">(Convention). Regulations pursuant to the Convention are set forth </w:t>
      </w:r>
      <w:r w:rsidRPr="00E70998">
        <w:t xml:space="preserve">at </w:t>
      </w:r>
      <w:hyperlink r:id="rId11">
        <w:hyperlink r:id="rId12" w:history="1">
          <w:r w:rsidRPr="00E70998">
            <w:rPr>
              <w:rFonts w:eastAsia="Calibri"/>
              <w:color w:val="0000FF"/>
              <w:u w:val="single"/>
            </w:rPr>
            <w:t>50 CFR 300 subpart E</w:t>
          </w:r>
        </w:hyperlink>
        <w:r w:rsidRPr="00E70998">
          <w:t>.</w:t>
        </w:r>
      </w:hyperlink>
    </w:p>
    <w:p w:rsidR="000B619D" w:rsidP="005A3188" w14:paraId="3B6174AE" w14:textId="77777777">
      <w:pPr>
        <w:widowControl/>
      </w:pPr>
    </w:p>
    <w:p w:rsidR="00B406D8" w:rsidP="005A3188" w14:paraId="635295E1" w14:textId="275A4D30">
      <w:pPr>
        <w:widowControl/>
        <w:autoSpaceDE w:val="0"/>
        <w:autoSpaceDN w:val="0"/>
        <w:adjustRightInd w:val="0"/>
        <w:rPr>
          <w:rFonts w:eastAsia="Calibri"/>
        </w:rPr>
      </w:pPr>
      <w:r>
        <w:rPr>
          <w:rFonts w:eastAsia="Calibri"/>
        </w:rPr>
        <w:t xml:space="preserve">This information collection contains </w:t>
      </w:r>
      <w:r w:rsidRPr="00AC4DAA">
        <w:rPr>
          <w:rFonts w:eastAsia="Calibri"/>
        </w:rPr>
        <w:t>applications, permits, and reports required under the CQE Program</w:t>
      </w:r>
      <w:r>
        <w:rPr>
          <w:rFonts w:eastAsia="Calibri"/>
        </w:rPr>
        <w:t xml:space="preserve">. </w:t>
      </w:r>
      <w:r>
        <w:t xml:space="preserve">This information collection is required in </w:t>
      </w:r>
      <w:r w:rsidRPr="00CF23DD">
        <w:t>Federal regulations</w:t>
      </w:r>
      <w:r>
        <w:t xml:space="preserve"> at 50 CFR </w:t>
      </w:r>
      <w:hyperlink r:id="rId13" w:history="1">
        <w:r w:rsidRPr="00B406D8">
          <w:rPr>
            <w:rStyle w:val="Hyperlink"/>
          </w:rPr>
          <w:t>300 Subpart E</w:t>
        </w:r>
      </w:hyperlink>
      <w:r>
        <w:t xml:space="preserve"> and</w:t>
      </w:r>
      <w:r w:rsidR="00763159">
        <w:t xml:space="preserve"> </w:t>
      </w:r>
      <w:hyperlink r:id="rId8" w:history="1">
        <w:r w:rsidR="00763159">
          <w:rPr>
            <w:rStyle w:val="Hyperlink"/>
          </w:rPr>
          <w:t>part 6</w:t>
        </w:r>
        <w:r w:rsidRPr="00B406D8">
          <w:rPr>
            <w:rStyle w:val="Hyperlink"/>
          </w:rPr>
          <w:t>79</w:t>
        </w:r>
      </w:hyperlink>
      <w:r>
        <w:t>.</w:t>
      </w:r>
      <w:r w:rsidRPr="00863A78">
        <w:rPr>
          <w:rFonts w:eastAsia="Calibri"/>
        </w:rPr>
        <w:t xml:space="preserve"> </w:t>
      </w:r>
      <w:r w:rsidRPr="00E86CA8">
        <w:rPr>
          <w:rFonts w:eastAsia="Calibri"/>
        </w:rPr>
        <w:t>T</w:t>
      </w:r>
      <w:r w:rsidRPr="00525C2D">
        <w:rPr>
          <w:rFonts w:eastAsia="Calibri"/>
        </w:rPr>
        <w:t>he</w:t>
      </w:r>
      <w:r>
        <w:rPr>
          <w:rFonts w:eastAsia="Calibri"/>
        </w:rPr>
        <w:t xml:space="preserve"> specific regulations </w:t>
      </w:r>
      <w:r w:rsidRPr="00E229EC">
        <w:rPr>
          <w:rFonts w:eastAsia="Calibri"/>
        </w:rPr>
        <w:t>for the instruments</w:t>
      </w:r>
      <w:r w:rsidRPr="00525C2D">
        <w:rPr>
          <w:rFonts w:eastAsia="Calibri"/>
        </w:rPr>
        <w:t xml:space="preserve"> in this collection</w:t>
      </w:r>
      <w:r w:rsidRPr="00E86CA8">
        <w:rPr>
          <w:rFonts w:eastAsia="Calibri"/>
        </w:rPr>
        <w:t xml:space="preserve"> </w:t>
      </w:r>
      <w:r w:rsidRPr="00E86CA8">
        <w:rPr>
          <w:rFonts w:eastAsia="Calibri"/>
        </w:rPr>
        <w:t>are provided</w:t>
      </w:r>
      <w:r w:rsidRPr="00E86CA8">
        <w:rPr>
          <w:rFonts w:eastAsia="Calibri"/>
        </w:rPr>
        <w:t xml:space="preserve"> in t</w:t>
      </w:r>
      <w:r w:rsidRPr="00525C2D">
        <w:rPr>
          <w:rFonts w:eastAsia="Calibri"/>
        </w:rPr>
        <w:t>he table in question #2 below</w:t>
      </w:r>
      <w:r w:rsidRPr="002178B6">
        <w:rPr>
          <w:rFonts w:eastAsia="Calibri"/>
        </w:rPr>
        <w:t xml:space="preserve">.  </w:t>
      </w:r>
    </w:p>
    <w:p w:rsidR="00B406D8" w:rsidP="005A3188" w14:paraId="02AABE56" w14:textId="77777777">
      <w:pPr>
        <w:widowControl/>
        <w:autoSpaceDE w:val="0"/>
        <w:autoSpaceDN w:val="0"/>
        <w:adjustRightInd w:val="0"/>
      </w:pPr>
    </w:p>
    <w:p w:rsidR="004929B6" w:rsidRPr="004572C7" w:rsidP="005A3188" w14:paraId="57AAA1F4" w14:textId="0CB364E4">
      <w:pPr>
        <w:widowControl/>
      </w:pPr>
      <w:r w:rsidRPr="004572C7">
        <w:t xml:space="preserve">The CQE Program is a Federal program administered by NMFS. </w:t>
      </w:r>
      <w:r w:rsidRPr="004572C7" w:rsidR="000B619D">
        <w:t xml:space="preserve">The CQE Program allocates to eligible communities in Alaska a portion of the harvest quotas for groundfish, halibut, crab, and prohibited species. The allocations provide these communities the means for starting or supporting commercial fisheries activities that will result in an ongoing, regionally based, fisheries-related economy. </w:t>
      </w:r>
    </w:p>
    <w:p w:rsidR="00763159" w:rsidP="005A3188" w14:paraId="68C814D1" w14:textId="77777777">
      <w:pPr>
        <w:widowControl/>
      </w:pPr>
    </w:p>
    <w:p w:rsidR="000B619D" w:rsidP="005A3188" w14:paraId="24C131D1" w14:textId="1FDE47AF">
      <w:pPr>
        <w:widowControl/>
      </w:pPr>
      <w:r w:rsidRPr="004572C7">
        <w:t xml:space="preserve">Participating communities are represented by a CQE (community quota entity), which is a NMFS-approved non-profit organization. </w:t>
      </w:r>
      <w:r w:rsidRPr="004572C7" w:rsidR="00763159">
        <w:t xml:space="preserve">An eligible community must form a CQE in order to participate in the Federal limited access programs that provide eligible Alaska communities special fishery-related privileges. </w:t>
      </w:r>
      <w:r w:rsidRPr="004572C7" w:rsidR="00430CB7">
        <w:t xml:space="preserve">The </w:t>
      </w:r>
      <w:hyperlink r:id="rId14" w:history="1">
        <w:r w:rsidRPr="004572C7" w:rsidR="00430CB7">
          <w:rPr>
            <w:rStyle w:val="Hyperlink"/>
            <w:rFonts w:eastAsia="Arial"/>
          </w:rPr>
          <w:t>Alaska Department of Community and Economic Development CQE Program</w:t>
        </w:r>
      </w:hyperlink>
      <w:r w:rsidRPr="004572C7" w:rsidR="00430CB7">
        <w:t xml:space="preserve"> assists communities with funding and forming CQEs to participate on their behalf in certain Federal limited access programs. </w:t>
      </w:r>
    </w:p>
    <w:p w:rsidR="009724A5" w:rsidRPr="004572C7" w:rsidP="005A3188" w14:paraId="2D70D9B2" w14:textId="77777777">
      <w:pPr>
        <w:widowControl/>
      </w:pPr>
    </w:p>
    <w:p w:rsidR="009724A5" w:rsidP="005A3188" w14:paraId="324A587E" w14:textId="77777777">
      <w:pPr>
        <w:keepNext/>
        <w:widowControl/>
      </w:pPr>
      <w:r w:rsidRPr="004572C7">
        <w:t xml:space="preserve">The CQE Program allows 45 small, coastal communities in the GOA and </w:t>
      </w:r>
      <w:r>
        <w:t>one</w:t>
      </w:r>
      <w:r w:rsidRPr="004572C7">
        <w:t xml:space="preserve"> community in the Aleutian Islands to form CQEs. The eligible communities and the community governing body that recommends the CQE </w:t>
      </w:r>
      <w:r w:rsidRPr="004572C7">
        <w:t>are listed</w:t>
      </w:r>
      <w:r w:rsidRPr="004572C7">
        <w:t xml:space="preserve"> in </w:t>
      </w:r>
      <w:hyperlink r:id="rId15" w:history="1">
        <w:r w:rsidRPr="004572C7">
          <w:rPr>
            <w:rStyle w:val="Hyperlink"/>
            <w:rFonts w:eastAsia="Arial"/>
          </w:rPr>
          <w:t>Table 21 to 50 CFR Part 679</w:t>
        </w:r>
      </w:hyperlink>
      <w:r w:rsidRPr="004572C7">
        <w:t>.</w:t>
      </w:r>
    </w:p>
    <w:p w:rsidR="000B619D" w:rsidRPr="004572C7" w:rsidP="005A3188" w14:paraId="22A0E3C9" w14:textId="77777777">
      <w:pPr>
        <w:widowControl/>
        <w:tabs>
          <w:tab w:val="left" w:pos="720"/>
        </w:tabs>
      </w:pPr>
    </w:p>
    <w:p w:rsidR="00430CB7" w:rsidP="005A3188" w14:paraId="513CCCC7" w14:textId="6F5EAA44">
      <w:pPr>
        <w:widowControl/>
        <w:rPr>
          <w:rStyle w:val="Hyperlink"/>
          <w:rFonts w:eastAsia="Arial"/>
        </w:rPr>
      </w:pPr>
      <w:r w:rsidRPr="004572C7">
        <w:t xml:space="preserve">Under the </w:t>
      </w:r>
      <w:r w:rsidRPr="009724A5" w:rsidR="009724A5">
        <w:t xml:space="preserve">Pacific Halibut and Sablefish </w:t>
      </w:r>
      <w:r w:rsidR="009724A5">
        <w:t>IFQ</w:t>
      </w:r>
      <w:r w:rsidRPr="009724A5" w:rsidR="009724A5">
        <w:t xml:space="preserve"> Program (</w:t>
      </w:r>
      <w:r w:rsidRPr="009724A5">
        <w:t>IFQ Program</w:t>
      </w:r>
      <w:r w:rsidR="009724A5">
        <w:t>)</w:t>
      </w:r>
      <w:r w:rsidRPr="004572C7">
        <w:t xml:space="preserve">, a CQE may purchase commercial halibut and sablefish quota share (QS) for lease to residents of the eligible community. Under the Charter Halibut Limited Access Program, a CQE may request community charter halibut permits for use in southeast Alaska and the central Gulf of Alaska by charter vessel operators designated by the CQE. Under the License Limitation Program (LLP), a CQE may request non-trawl groundfish LLP licenses endorsed </w:t>
      </w:r>
      <w:r w:rsidRPr="004572C7">
        <w:t>for Pacific cod in the central or western Gulf of Alaska for use on vessels designated by the CQE</w:t>
      </w:r>
      <w:r w:rsidRPr="004572C7">
        <w:t xml:space="preserve">.  </w:t>
      </w:r>
      <w:r w:rsidRPr="004572C7">
        <w:t>More i</w:t>
      </w:r>
      <w:r w:rsidRPr="004572C7">
        <w:rPr>
          <w:rFonts w:eastAsia="Calibri"/>
        </w:rPr>
        <w:t xml:space="preserve">nformation on the CQEs and </w:t>
      </w:r>
      <w:r w:rsidR="009724A5">
        <w:rPr>
          <w:rFonts w:eastAsia="Calibri"/>
        </w:rPr>
        <w:t xml:space="preserve">the </w:t>
      </w:r>
      <w:r w:rsidRPr="004572C7">
        <w:rPr>
          <w:rFonts w:eastAsia="Calibri"/>
        </w:rPr>
        <w:t xml:space="preserve">CQE Program </w:t>
      </w:r>
      <w:r w:rsidRPr="004572C7">
        <w:rPr>
          <w:rFonts w:eastAsia="Calibri"/>
        </w:rPr>
        <w:t>is provided</w:t>
      </w:r>
      <w:r w:rsidRPr="004572C7">
        <w:rPr>
          <w:rFonts w:eastAsia="Calibri"/>
        </w:rPr>
        <w:t xml:space="preserve"> on the </w:t>
      </w:r>
      <w:hyperlink r:id="rId16" w:history="1">
        <w:r w:rsidRPr="004572C7">
          <w:rPr>
            <w:rStyle w:val="Hyperlink"/>
            <w:rFonts w:eastAsia="Calibri"/>
          </w:rPr>
          <w:t>NMFS Alaska Region website for community quota and license programs for CQEs</w:t>
        </w:r>
      </w:hyperlink>
      <w:r w:rsidRPr="004572C7">
        <w:rPr>
          <w:rFonts w:eastAsia="Calibri"/>
        </w:rPr>
        <w:t>.</w:t>
      </w:r>
    </w:p>
    <w:p w:rsidR="00333FBA" w:rsidP="005A3188" w14:paraId="7BF1162B" w14:textId="18DC46C4">
      <w:pPr>
        <w:widowControl/>
        <w:pBdr>
          <w:top w:val="nil"/>
          <w:left w:val="nil"/>
          <w:bottom w:val="nil"/>
          <w:right w:val="nil"/>
          <w:between w:val="nil"/>
        </w:pBdr>
        <w:spacing w:line="259" w:lineRule="auto"/>
      </w:pPr>
    </w:p>
    <w:p w:rsidR="00403722" w:rsidP="005A3188" w14:paraId="5D191685" w14:textId="33455B18">
      <w:pPr>
        <w:widowControl/>
        <w:tabs>
          <w:tab w:val="left" w:pos="360"/>
          <w:tab w:val="left" w:pos="720"/>
          <w:tab w:val="left" w:pos="1080"/>
        </w:tabs>
        <w:rPr>
          <w:bCs/>
        </w:rPr>
      </w:pPr>
      <w:r>
        <w:rPr>
          <w:rFonts w:eastAsia="Calibri"/>
        </w:rPr>
        <w:t xml:space="preserve">This information collection </w:t>
      </w:r>
      <w:r w:rsidR="00AC4DAA">
        <w:rPr>
          <w:rFonts w:eastAsia="Calibri"/>
        </w:rPr>
        <w:t xml:space="preserve">is necessary </w:t>
      </w:r>
      <w:r>
        <w:rPr>
          <w:rFonts w:eastAsia="Calibri"/>
        </w:rPr>
        <w:t xml:space="preserve">for </w:t>
      </w:r>
      <w:r w:rsidRPr="005F31D3">
        <w:rPr>
          <w:rFonts w:eastAsia="Calibri"/>
        </w:rPr>
        <w:t xml:space="preserve">NMFS Alaska Region </w:t>
      </w:r>
      <w:r>
        <w:rPr>
          <w:rFonts w:eastAsia="Calibri"/>
        </w:rPr>
        <w:t xml:space="preserve">to manage the CQE Program. </w:t>
      </w:r>
      <w:r w:rsidRPr="00114B54">
        <w:rPr>
          <w:bCs/>
        </w:rPr>
        <w:t xml:space="preserve">NMFS </w:t>
      </w:r>
      <w:r>
        <w:rPr>
          <w:bCs/>
        </w:rPr>
        <w:t xml:space="preserve">requires this information </w:t>
      </w:r>
      <w:r w:rsidRPr="00114B54">
        <w:rPr>
          <w:bCs/>
        </w:rPr>
        <w:t xml:space="preserve">to evaluate the ability of </w:t>
      </w:r>
      <w:r>
        <w:rPr>
          <w:bCs/>
        </w:rPr>
        <w:t>a</w:t>
      </w:r>
      <w:r w:rsidRPr="00114B54">
        <w:rPr>
          <w:bCs/>
        </w:rPr>
        <w:t xml:space="preserve"> specific CQE to represent an eligible community and </w:t>
      </w:r>
      <w:r w:rsidRPr="00F54BA8" w:rsidR="00F54BA8">
        <w:rPr>
          <w:bCs/>
        </w:rPr>
        <w:t>for</w:t>
      </w:r>
      <w:r w:rsidRPr="00F54BA8">
        <w:rPr>
          <w:bCs/>
        </w:rPr>
        <w:t xml:space="preserve"> fisheries management</w:t>
      </w:r>
      <w:r>
        <w:rPr>
          <w:bCs/>
        </w:rPr>
        <w:t>. The information collected is used to e</w:t>
      </w:r>
      <w:r w:rsidRPr="00114B54">
        <w:rPr>
          <w:bCs/>
        </w:rPr>
        <w:t>stablish eligibility of the CQEs</w:t>
      </w:r>
      <w:r>
        <w:rPr>
          <w:bCs/>
        </w:rPr>
        <w:t>; review</w:t>
      </w:r>
      <w:r w:rsidRPr="00F942CC">
        <w:rPr>
          <w:bCs/>
        </w:rPr>
        <w:t xml:space="preserve"> </w:t>
      </w:r>
      <w:r>
        <w:rPr>
          <w:bCs/>
        </w:rPr>
        <w:t xml:space="preserve">each </w:t>
      </w:r>
      <w:r w:rsidRPr="00F942CC">
        <w:rPr>
          <w:bCs/>
        </w:rPr>
        <w:t>CQE</w:t>
      </w:r>
      <w:r>
        <w:rPr>
          <w:bCs/>
        </w:rPr>
        <w:t>’s</w:t>
      </w:r>
      <w:r w:rsidRPr="00F942CC">
        <w:rPr>
          <w:bCs/>
        </w:rPr>
        <w:t xml:space="preserve"> </w:t>
      </w:r>
      <w:r>
        <w:rPr>
          <w:bCs/>
        </w:rPr>
        <w:t xml:space="preserve">business </w:t>
      </w:r>
      <w:r w:rsidRPr="00F942CC">
        <w:rPr>
          <w:bCs/>
        </w:rPr>
        <w:t xml:space="preserve">operations and </w:t>
      </w:r>
      <w:r>
        <w:rPr>
          <w:bCs/>
        </w:rPr>
        <w:t xml:space="preserve">fishing activity; </w:t>
      </w:r>
      <w:r w:rsidRPr="00114B54">
        <w:rPr>
          <w:bCs/>
        </w:rPr>
        <w:t xml:space="preserve">monitor participation of the eligible communities in </w:t>
      </w:r>
      <w:r>
        <w:rPr>
          <w:bCs/>
        </w:rPr>
        <w:t>the CQE</w:t>
      </w:r>
      <w:r w:rsidRPr="00114B54">
        <w:rPr>
          <w:bCs/>
        </w:rPr>
        <w:t xml:space="preserve"> </w:t>
      </w:r>
      <w:r>
        <w:rPr>
          <w:bCs/>
        </w:rPr>
        <w:t>P</w:t>
      </w:r>
      <w:r w:rsidRPr="00114B54">
        <w:rPr>
          <w:bCs/>
        </w:rPr>
        <w:t>rogram</w:t>
      </w:r>
      <w:r>
        <w:rPr>
          <w:bCs/>
        </w:rPr>
        <w:t xml:space="preserve"> and associated limited access </w:t>
      </w:r>
      <w:r>
        <w:rPr>
          <w:bCs/>
        </w:rPr>
        <w:t xml:space="preserve">programs; and gather information on </w:t>
      </w:r>
      <w:r w:rsidRPr="00114B54">
        <w:rPr>
          <w:bCs/>
        </w:rPr>
        <w:t xml:space="preserve">distribution </w:t>
      </w:r>
      <w:r>
        <w:rPr>
          <w:bCs/>
        </w:rPr>
        <w:t xml:space="preserve">and use </w:t>
      </w:r>
      <w:r w:rsidRPr="00114B54">
        <w:rPr>
          <w:bCs/>
        </w:rPr>
        <w:t xml:space="preserve">among these communities of </w:t>
      </w:r>
      <w:r>
        <w:rPr>
          <w:bCs/>
        </w:rPr>
        <w:t xml:space="preserve">LLP groundfish licenses, charter halibut permits, and halibut and sablefish </w:t>
      </w:r>
      <w:r w:rsidRPr="00114B54">
        <w:rPr>
          <w:bCs/>
        </w:rPr>
        <w:t>QS</w:t>
      </w:r>
      <w:r>
        <w:rPr>
          <w:bCs/>
        </w:rPr>
        <w:t xml:space="preserve"> and</w:t>
      </w:r>
      <w:r w:rsidRPr="00114B54">
        <w:rPr>
          <w:bCs/>
        </w:rPr>
        <w:t xml:space="preserve"> IFQ</w:t>
      </w:r>
      <w:r w:rsidRPr="003D735F">
        <w:rPr>
          <w:bCs/>
        </w:rPr>
        <w:t>.</w:t>
      </w:r>
    </w:p>
    <w:p w:rsidR="00AC4DAA" w:rsidP="005A3188" w14:paraId="3B11C250" w14:textId="0A50ABA9">
      <w:pPr>
        <w:widowControl/>
        <w:tabs>
          <w:tab w:val="left" w:pos="360"/>
          <w:tab w:val="left" w:pos="720"/>
          <w:tab w:val="left" w:pos="1080"/>
        </w:tabs>
        <w:rPr>
          <w:bCs/>
        </w:rPr>
      </w:pPr>
    </w:p>
    <w:p w:rsidR="00B65426" w:rsidRPr="00B65426" w:rsidP="00B65426" w14:paraId="30988891" w14:textId="77777777">
      <w:pPr>
        <w:widowControl/>
        <w:autoSpaceDE w:val="0"/>
        <w:autoSpaceDN w:val="0"/>
        <w:adjustRightInd w:val="0"/>
        <w:rPr>
          <w:rFonts w:eastAsia="Times New Roman"/>
        </w:rPr>
      </w:pPr>
      <w:r w:rsidRPr="00B65426">
        <w:rPr>
          <w:rFonts w:eastAsiaTheme="minorHAnsi" w:cstheme="minorBidi"/>
          <w:b/>
          <w:color w:val="C00000"/>
        </w:rPr>
        <w:t>Reason for the Revisions Due to the Rule (RIN 0648-BL54)</w:t>
      </w:r>
    </w:p>
    <w:p w:rsidR="00B65426" w:rsidRPr="00B65426" w:rsidP="00B65426" w14:paraId="66BBF7B8" w14:textId="77777777">
      <w:pPr>
        <w:widowControl/>
        <w:rPr>
          <w:rFonts w:eastAsia="Times New Roman" w:cs="Arial"/>
        </w:rPr>
      </w:pPr>
    </w:p>
    <w:p w:rsidR="007B0388" w:rsidP="00852F20" w14:paraId="4043857A" w14:textId="7415C3E0">
      <w:pPr>
        <w:widowControl/>
      </w:pPr>
      <w:r w:rsidRPr="00B65426">
        <w:rPr>
          <w:rFonts w:eastAsia="Times New Roman" w:cs="Arial"/>
        </w:rPr>
        <w:t xml:space="preserve">This information collection </w:t>
      </w:r>
      <w:r w:rsidRPr="00B65426">
        <w:rPr>
          <w:rFonts w:eastAsia="Times New Roman" w:cs="Arial"/>
        </w:rPr>
        <w:t>is revised</w:t>
      </w:r>
      <w:r w:rsidRPr="00B65426">
        <w:rPr>
          <w:rFonts w:eastAsia="Times New Roman" w:cs="Arial"/>
        </w:rPr>
        <w:t xml:space="preserve"> due to an associated rule (RIN 0648-BL54) to implement Amendment 124 to the Fishery Management Plan for Groundfish of the Bering Sea and Aleutian Islands Management Area (BSAI FMP) and Amendment 112 to the Fishery Management Plan for Groundfish of the Gulf of Alaska (GOA FMP). </w:t>
      </w:r>
      <w:r w:rsidRPr="00B65426">
        <w:t>This rule amend</w:t>
      </w:r>
      <w:r w:rsidR="00965B64">
        <w:t>s</w:t>
      </w:r>
      <w:r w:rsidRPr="00B65426">
        <w:t xml:space="preserve"> regulations for the IFQ Program and </w:t>
      </w:r>
      <w:r w:rsidR="008A37AF">
        <w:t>Community Development Quota (</w:t>
      </w:r>
      <w:r>
        <w:t>CDQ</w:t>
      </w:r>
      <w:r w:rsidR="008A37AF">
        <w:t>)</w:t>
      </w:r>
      <w:r w:rsidRPr="00B65426">
        <w:t xml:space="preserve"> Program to increase operational efficiency and reduce administrative burden for program participants. </w:t>
      </w:r>
    </w:p>
    <w:p w:rsidR="001E182C" w:rsidP="001E182C" w14:paraId="29EE63EE" w14:textId="55AD511E">
      <w:pPr>
        <w:widowControl/>
        <w:autoSpaceDE w:val="0"/>
        <w:autoSpaceDN w:val="0"/>
        <w:rPr>
          <w:rFonts w:eastAsiaTheme="minorHAnsi" w:cstheme="minorBidi"/>
          <w:b/>
          <w:color w:val="C00000"/>
        </w:rPr>
      </w:pPr>
    </w:p>
    <w:p w:rsidR="00B65426" w:rsidRPr="00B65426" w:rsidP="00B65426" w14:paraId="5AD864EA" w14:textId="77777777">
      <w:pPr>
        <w:widowControl/>
      </w:pPr>
      <w:r w:rsidRPr="00B65426">
        <w:t>This rule also affects information collection requirements approved under OMB Control Number 0648-0</w:t>
      </w:r>
      <w:r>
        <w:t>353</w:t>
      </w:r>
      <w:r w:rsidRPr="00B65426">
        <w:t xml:space="preserve"> (Alaska Region Gear Identification Requirements). Concurrent with this request to revise 0648-0</w:t>
      </w:r>
      <w:r>
        <w:t>665</w:t>
      </w:r>
      <w:r w:rsidRPr="00B65426">
        <w:t xml:space="preserve">, NMFS is submitting a separate request for this collection.  </w:t>
      </w:r>
    </w:p>
    <w:p w:rsidR="00B65426" w:rsidRPr="00B65426" w:rsidP="001E182C" w14:paraId="73A6D394" w14:textId="69C3FD29">
      <w:pPr>
        <w:widowControl/>
        <w:autoSpaceDE w:val="0"/>
        <w:autoSpaceDN w:val="0"/>
        <w:rPr>
          <w:rFonts w:eastAsiaTheme="minorHAnsi" w:cstheme="minorBidi"/>
        </w:rPr>
      </w:pPr>
    </w:p>
    <w:p w:rsidR="00B65426" w:rsidRPr="00B65426" w:rsidP="001E182C" w14:paraId="1ED401F6" w14:textId="57768B4E">
      <w:pPr>
        <w:widowControl/>
        <w:autoSpaceDE w:val="0"/>
        <w:autoSpaceDN w:val="0"/>
        <w:rPr>
          <w:rFonts w:eastAsiaTheme="minorHAnsi" w:cstheme="minorBidi"/>
        </w:rPr>
      </w:pPr>
      <w:r w:rsidRPr="00B65426">
        <w:rPr>
          <w:rFonts w:eastAsiaTheme="minorHAnsi" w:cstheme="minorBidi"/>
        </w:rPr>
        <w:t xml:space="preserve">This collection </w:t>
      </w:r>
      <w:r w:rsidR="00E974B3">
        <w:rPr>
          <w:rFonts w:eastAsiaTheme="minorHAnsi" w:cstheme="minorBidi"/>
        </w:rPr>
        <w:t xml:space="preserve">for -0665 </w:t>
      </w:r>
      <w:r w:rsidR="00965B64">
        <w:rPr>
          <w:rFonts w:eastAsiaTheme="minorHAnsi" w:cstheme="minorBidi"/>
        </w:rPr>
        <w:t>is</w:t>
      </w:r>
      <w:r w:rsidR="00447F43">
        <w:rPr>
          <w:rFonts w:eastAsiaTheme="minorHAnsi" w:cstheme="minorBidi"/>
        </w:rPr>
        <w:t xml:space="preserve"> </w:t>
      </w:r>
      <w:r w:rsidRPr="00B65426">
        <w:rPr>
          <w:rFonts w:eastAsiaTheme="minorHAnsi" w:cstheme="minorBidi"/>
        </w:rPr>
        <w:t>revised</w:t>
      </w:r>
      <w:r w:rsidRPr="00B65426">
        <w:rPr>
          <w:rFonts w:eastAsiaTheme="minorHAnsi" w:cstheme="minorBidi"/>
        </w:rPr>
        <w:t xml:space="preserve"> to</w:t>
      </w:r>
      <w:r w:rsidR="00E974B3">
        <w:rPr>
          <w:rFonts w:eastAsiaTheme="minorHAnsi" w:cstheme="minorBidi"/>
        </w:rPr>
        <w:t xml:space="preserve"> </w:t>
      </w:r>
      <w:r w:rsidR="00447F43">
        <w:rPr>
          <w:rFonts w:eastAsiaTheme="minorHAnsi" w:cstheme="minorBidi"/>
        </w:rPr>
        <w:t xml:space="preserve">provide </w:t>
      </w:r>
      <w:r w:rsidR="00E974B3">
        <w:rPr>
          <w:rFonts w:eastAsiaTheme="minorHAnsi" w:cstheme="minorBidi"/>
        </w:rPr>
        <w:t>additional submission methods</w:t>
      </w:r>
      <w:r w:rsidR="005E2CCC">
        <w:rPr>
          <w:rFonts w:eastAsiaTheme="minorHAnsi" w:cstheme="minorBidi"/>
        </w:rPr>
        <w:t xml:space="preserve"> for CQE information collection requirements</w:t>
      </w:r>
      <w:r w:rsidR="003C1B64">
        <w:rPr>
          <w:rFonts w:eastAsiaTheme="minorHAnsi" w:cstheme="minorBidi"/>
        </w:rPr>
        <w:t xml:space="preserve"> </w:t>
      </w:r>
      <w:r w:rsidR="00E974B3">
        <w:rPr>
          <w:rFonts w:eastAsiaTheme="minorHAnsi" w:cstheme="minorBidi"/>
        </w:rPr>
        <w:t xml:space="preserve">and to </w:t>
      </w:r>
      <w:r w:rsidR="008A4EC6">
        <w:rPr>
          <w:rFonts w:eastAsiaTheme="minorHAnsi" w:cstheme="minorBidi"/>
        </w:rPr>
        <w:t xml:space="preserve">temporarily </w:t>
      </w:r>
      <w:r w:rsidR="00E974B3">
        <w:rPr>
          <w:rFonts w:eastAsiaTheme="minorHAnsi" w:cstheme="minorBidi"/>
        </w:rPr>
        <w:t>remove</w:t>
      </w:r>
      <w:r w:rsidR="00E50FA1">
        <w:rPr>
          <w:rFonts w:eastAsiaTheme="minorHAnsi" w:cstheme="minorBidi"/>
        </w:rPr>
        <w:t xml:space="preserve"> </w:t>
      </w:r>
      <w:r w:rsidR="008A4EC6">
        <w:rPr>
          <w:rFonts w:eastAsiaTheme="minorHAnsi" w:cstheme="minorBidi"/>
        </w:rPr>
        <w:t>th</w:t>
      </w:r>
      <w:r w:rsidR="00E974B3">
        <w:rPr>
          <w:rFonts w:eastAsiaTheme="minorHAnsi" w:cstheme="minorBidi"/>
        </w:rPr>
        <w:t xml:space="preserve">e Adak CQE residency requirement </w:t>
      </w:r>
      <w:r w:rsidR="00987B96">
        <w:rPr>
          <w:rFonts w:eastAsiaTheme="minorHAnsi" w:cstheme="minorBidi"/>
        </w:rPr>
        <w:t>for</w:t>
      </w:r>
      <w:r w:rsidR="001A13F5">
        <w:rPr>
          <w:rFonts w:eastAsiaTheme="minorHAnsi" w:cstheme="minorBidi"/>
        </w:rPr>
        <w:t xml:space="preserve"> </w:t>
      </w:r>
      <w:r w:rsidR="00E974B3">
        <w:rPr>
          <w:rFonts w:eastAsiaTheme="minorHAnsi" w:cstheme="minorBidi"/>
        </w:rPr>
        <w:t xml:space="preserve">the </w:t>
      </w:r>
      <w:r w:rsidRPr="00E974B3" w:rsidR="00E974B3">
        <w:rPr>
          <w:rFonts w:eastAsiaTheme="minorHAnsi" w:cstheme="minorBidi"/>
        </w:rPr>
        <w:t>Application for a CQE to Transfer IFQ to an Eligible Community Resident or Non-resident</w:t>
      </w:r>
      <w:r w:rsidR="00E974B3">
        <w:rPr>
          <w:rFonts w:eastAsiaTheme="minorHAnsi" w:cstheme="minorBidi"/>
        </w:rPr>
        <w:t xml:space="preserve">. </w:t>
      </w:r>
    </w:p>
    <w:p w:rsidR="00B65426" w:rsidRPr="00B65426" w:rsidP="001E182C" w14:paraId="165AA750" w14:textId="5E756C4E">
      <w:pPr>
        <w:widowControl/>
        <w:autoSpaceDE w:val="0"/>
        <w:autoSpaceDN w:val="0"/>
        <w:rPr>
          <w:rFonts w:eastAsiaTheme="minorHAnsi" w:cstheme="minorBidi"/>
        </w:rPr>
      </w:pPr>
    </w:p>
    <w:p w:rsidR="00B65426" w:rsidRPr="00B65426" w:rsidP="001E182C" w14:paraId="59C8D768" w14:textId="25862B61">
      <w:pPr>
        <w:widowControl/>
        <w:autoSpaceDE w:val="0"/>
        <w:autoSpaceDN w:val="0"/>
        <w:rPr>
          <w:rFonts w:eastAsiaTheme="minorHAnsi" w:cstheme="minorBidi"/>
        </w:rPr>
      </w:pPr>
      <w:r>
        <w:rPr>
          <w:rFonts w:eastAsiaTheme="minorHAnsi" w:cstheme="minorBidi"/>
        </w:rPr>
        <w:t>T</w:t>
      </w:r>
      <w:r w:rsidR="00852F20">
        <w:rPr>
          <w:rFonts w:eastAsiaTheme="minorHAnsi" w:cstheme="minorBidi"/>
        </w:rPr>
        <w:t>his</w:t>
      </w:r>
      <w:r>
        <w:rPr>
          <w:rFonts w:eastAsiaTheme="minorHAnsi" w:cstheme="minorBidi"/>
        </w:rPr>
        <w:t xml:space="preserve"> rule </w:t>
      </w:r>
      <w:r w:rsidR="00852F20">
        <w:rPr>
          <w:rFonts w:eastAsiaTheme="minorHAnsi" w:cstheme="minorBidi"/>
        </w:rPr>
        <w:t>revises</w:t>
      </w:r>
      <w:r>
        <w:rPr>
          <w:rFonts w:eastAsiaTheme="minorHAnsi" w:cstheme="minorBidi"/>
        </w:rPr>
        <w:t xml:space="preserve"> regulations for </w:t>
      </w:r>
      <w:r w:rsidR="003C1B64">
        <w:rPr>
          <w:rFonts w:eastAsiaTheme="minorHAnsi" w:cstheme="minorBidi"/>
        </w:rPr>
        <w:t xml:space="preserve">several </w:t>
      </w:r>
      <w:r>
        <w:rPr>
          <w:rFonts w:eastAsiaTheme="minorHAnsi" w:cstheme="minorBidi"/>
        </w:rPr>
        <w:t xml:space="preserve">CQE </w:t>
      </w:r>
      <w:r w:rsidR="00EC7C4F">
        <w:rPr>
          <w:rFonts w:eastAsiaTheme="minorHAnsi" w:cstheme="minorBidi"/>
        </w:rPr>
        <w:t>information</w:t>
      </w:r>
      <w:r w:rsidR="003C1B64">
        <w:rPr>
          <w:rFonts w:eastAsiaTheme="minorHAnsi" w:cstheme="minorBidi"/>
        </w:rPr>
        <w:t xml:space="preserve"> collection</w:t>
      </w:r>
      <w:r w:rsidR="00EC7C4F">
        <w:rPr>
          <w:rFonts w:eastAsiaTheme="minorHAnsi" w:cstheme="minorBidi"/>
        </w:rPr>
        <w:t xml:space="preserve"> </w:t>
      </w:r>
      <w:r>
        <w:rPr>
          <w:rFonts w:eastAsiaTheme="minorHAnsi" w:cstheme="minorBidi"/>
        </w:rPr>
        <w:t xml:space="preserve">requirements </w:t>
      </w:r>
      <w:r w:rsidR="00E90900">
        <w:rPr>
          <w:rFonts w:eastAsiaTheme="minorHAnsi" w:cstheme="minorBidi"/>
        </w:rPr>
        <w:t xml:space="preserve">to clarify that information is required to </w:t>
      </w:r>
      <w:r w:rsidR="00E90900">
        <w:rPr>
          <w:rFonts w:eastAsiaTheme="minorHAnsi" w:cstheme="minorBidi"/>
        </w:rPr>
        <w:t>be submitted</w:t>
      </w:r>
      <w:r w:rsidR="00E90900">
        <w:rPr>
          <w:rFonts w:eastAsiaTheme="minorHAnsi" w:cstheme="minorBidi"/>
        </w:rPr>
        <w:t xml:space="preserve"> to the Regional A</w:t>
      </w:r>
      <w:r w:rsidR="00EC7C4F">
        <w:rPr>
          <w:rFonts w:eastAsiaTheme="minorHAnsi" w:cstheme="minorBidi"/>
        </w:rPr>
        <w:t xml:space="preserve">dministrator </w:t>
      </w:r>
      <w:r w:rsidR="00852F20">
        <w:rPr>
          <w:rFonts w:eastAsiaTheme="minorHAnsi" w:cstheme="minorBidi"/>
        </w:rPr>
        <w:t xml:space="preserve">but </w:t>
      </w:r>
      <w:r w:rsidR="005E2CCC">
        <w:rPr>
          <w:rFonts w:eastAsiaTheme="minorHAnsi" w:cstheme="minorBidi"/>
        </w:rPr>
        <w:t xml:space="preserve">not to </w:t>
      </w:r>
      <w:r w:rsidR="00852F20">
        <w:rPr>
          <w:rFonts w:eastAsiaTheme="minorHAnsi" w:cstheme="minorBidi"/>
        </w:rPr>
        <w:t>specify</w:t>
      </w:r>
      <w:r w:rsidR="00EC7C4F">
        <w:rPr>
          <w:rFonts w:eastAsiaTheme="minorHAnsi" w:cstheme="minorBidi"/>
        </w:rPr>
        <w:t xml:space="preserve"> submission methods. </w:t>
      </w:r>
      <w:r w:rsidR="00447F43">
        <w:rPr>
          <w:rFonts w:eastAsiaTheme="minorHAnsi" w:cstheme="minorBidi"/>
        </w:rPr>
        <w:t>Currently, s</w:t>
      </w:r>
      <w:r w:rsidR="003C1B64">
        <w:rPr>
          <w:rFonts w:eastAsiaTheme="minorHAnsi" w:cstheme="minorBidi"/>
        </w:rPr>
        <w:t>ome of t</w:t>
      </w:r>
      <w:r w:rsidR="00E90900">
        <w:rPr>
          <w:rFonts w:eastAsiaTheme="minorHAnsi" w:cstheme="minorBidi"/>
        </w:rPr>
        <w:t xml:space="preserve">he regulations imply the information </w:t>
      </w:r>
      <w:r w:rsidR="00E90900">
        <w:rPr>
          <w:rFonts w:eastAsiaTheme="minorHAnsi" w:cstheme="minorBidi"/>
        </w:rPr>
        <w:t>must be submitted</w:t>
      </w:r>
      <w:r w:rsidR="00E90900">
        <w:rPr>
          <w:rFonts w:eastAsiaTheme="minorHAnsi" w:cstheme="minorBidi"/>
        </w:rPr>
        <w:t xml:space="preserve"> by mail because only the mailing address is listed. </w:t>
      </w:r>
      <w:r w:rsidR="00852F20">
        <w:rPr>
          <w:rFonts w:eastAsiaTheme="minorHAnsi" w:cstheme="minorBidi"/>
        </w:rPr>
        <w:t>The purpose of this</w:t>
      </w:r>
      <w:r w:rsidR="003C1B64">
        <w:rPr>
          <w:rFonts w:eastAsiaTheme="minorHAnsi" w:cstheme="minorBidi"/>
        </w:rPr>
        <w:t xml:space="preserve"> regulatory</w:t>
      </w:r>
      <w:r w:rsidR="00852F20">
        <w:rPr>
          <w:rFonts w:eastAsiaTheme="minorHAnsi" w:cstheme="minorBidi"/>
        </w:rPr>
        <w:t xml:space="preserve"> change is to provide </w:t>
      </w:r>
      <w:r w:rsidRPr="008A37AF">
        <w:rPr>
          <w:rFonts w:eastAsiaTheme="minorHAnsi" w:cstheme="minorBidi"/>
        </w:rPr>
        <w:t>additional methods</w:t>
      </w:r>
      <w:r w:rsidR="00447E24">
        <w:rPr>
          <w:rFonts w:eastAsiaTheme="minorHAnsi" w:cstheme="minorBidi"/>
        </w:rPr>
        <w:t xml:space="preserve"> </w:t>
      </w:r>
      <w:r w:rsidR="00852F20">
        <w:rPr>
          <w:rFonts w:eastAsiaTheme="minorHAnsi" w:cstheme="minorBidi"/>
        </w:rPr>
        <w:t>for the public to submit information as the agency moves toward electronic submission. This will also mat</w:t>
      </w:r>
      <w:r w:rsidR="00447E24">
        <w:rPr>
          <w:rFonts w:eastAsiaTheme="minorHAnsi" w:cstheme="minorBidi"/>
        </w:rPr>
        <w:t>ch current practice</w:t>
      </w:r>
      <w:r w:rsidR="00852F20">
        <w:rPr>
          <w:rFonts w:eastAsiaTheme="minorHAnsi" w:cstheme="minorBidi"/>
        </w:rPr>
        <w:t xml:space="preserve"> as </w:t>
      </w:r>
      <w:r w:rsidR="00447E24">
        <w:rPr>
          <w:rFonts w:eastAsiaTheme="minorHAnsi" w:cstheme="minorBidi"/>
        </w:rPr>
        <w:t xml:space="preserve">NMFS </w:t>
      </w:r>
      <w:r w:rsidR="003C1B64">
        <w:rPr>
          <w:rFonts w:eastAsiaTheme="minorHAnsi" w:cstheme="minorBidi"/>
        </w:rPr>
        <w:t xml:space="preserve">AKR </w:t>
      </w:r>
      <w:r w:rsidR="00447E24">
        <w:rPr>
          <w:rFonts w:eastAsiaTheme="minorHAnsi" w:cstheme="minorBidi"/>
        </w:rPr>
        <w:t xml:space="preserve">has been accepting </w:t>
      </w:r>
      <w:r w:rsidR="00852F20">
        <w:rPr>
          <w:rFonts w:eastAsiaTheme="minorHAnsi" w:cstheme="minorBidi"/>
        </w:rPr>
        <w:t>this information</w:t>
      </w:r>
      <w:r w:rsidRPr="008A37AF" w:rsidR="00447E24">
        <w:rPr>
          <w:rFonts w:eastAsiaTheme="minorHAnsi" w:cstheme="minorBidi"/>
        </w:rPr>
        <w:t xml:space="preserve"> by methods other than mail.</w:t>
      </w:r>
      <w:r w:rsidR="00447E24">
        <w:rPr>
          <w:rFonts w:eastAsiaTheme="minorHAnsi" w:cstheme="minorBidi"/>
        </w:rPr>
        <w:t xml:space="preserve"> </w:t>
      </w:r>
      <w:r w:rsidR="00852F20">
        <w:rPr>
          <w:rFonts w:eastAsiaTheme="minorHAnsi" w:cstheme="minorBidi"/>
        </w:rPr>
        <w:t>T</w:t>
      </w:r>
      <w:r>
        <w:rPr>
          <w:rFonts w:eastAsiaTheme="minorHAnsi" w:cstheme="minorBidi"/>
        </w:rPr>
        <w:t xml:space="preserve">he </w:t>
      </w:r>
      <w:r w:rsidRPr="008A37AF">
        <w:rPr>
          <w:rFonts w:eastAsiaTheme="minorHAnsi" w:cstheme="minorBidi"/>
        </w:rPr>
        <w:t xml:space="preserve">burden </w:t>
      </w:r>
      <w:r>
        <w:rPr>
          <w:rFonts w:eastAsiaTheme="minorHAnsi" w:cstheme="minorBidi"/>
        </w:rPr>
        <w:t>for these requirements</w:t>
      </w:r>
      <w:r w:rsidR="00852F20">
        <w:rPr>
          <w:rFonts w:eastAsiaTheme="minorHAnsi" w:cstheme="minorBidi"/>
        </w:rPr>
        <w:t xml:space="preserve"> will not change</w:t>
      </w:r>
      <w:r>
        <w:rPr>
          <w:rFonts w:eastAsiaTheme="minorHAnsi" w:cstheme="minorBidi"/>
        </w:rPr>
        <w:t xml:space="preserve"> </w:t>
      </w:r>
      <w:r w:rsidRPr="008A37AF">
        <w:rPr>
          <w:rFonts w:eastAsiaTheme="minorHAnsi" w:cstheme="minorBidi"/>
        </w:rPr>
        <w:t xml:space="preserve">because the </w:t>
      </w:r>
      <w:r>
        <w:rPr>
          <w:rFonts w:eastAsiaTheme="minorHAnsi" w:cstheme="minorBidi"/>
        </w:rPr>
        <w:t xml:space="preserve">burden </w:t>
      </w:r>
      <w:r w:rsidRPr="008A37AF">
        <w:rPr>
          <w:rFonts w:eastAsiaTheme="minorHAnsi" w:cstheme="minorBidi"/>
        </w:rPr>
        <w:t>estimate</w:t>
      </w:r>
      <w:r>
        <w:rPr>
          <w:rFonts w:eastAsiaTheme="minorHAnsi" w:cstheme="minorBidi"/>
        </w:rPr>
        <w:t>s allow</w:t>
      </w:r>
      <w:r w:rsidRPr="008A37AF">
        <w:rPr>
          <w:rFonts w:eastAsiaTheme="minorHAnsi" w:cstheme="minorBidi"/>
        </w:rPr>
        <w:t xml:space="preserve"> for differences in the time needed to complete and submit the </w:t>
      </w:r>
      <w:r>
        <w:rPr>
          <w:rFonts w:eastAsiaTheme="minorHAnsi" w:cstheme="minorBidi"/>
        </w:rPr>
        <w:t xml:space="preserve">information. </w:t>
      </w:r>
    </w:p>
    <w:p w:rsidR="003C1B64" w:rsidP="001E182C" w14:paraId="4D0D8103" w14:textId="77777777">
      <w:pPr>
        <w:widowControl/>
        <w:autoSpaceDE w:val="0"/>
        <w:autoSpaceDN w:val="0"/>
        <w:rPr>
          <w:rFonts w:eastAsiaTheme="minorHAnsi" w:cstheme="minorBidi"/>
        </w:rPr>
      </w:pPr>
    </w:p>
    <w:p w:rsidR="00B65426" w:rsidRPr="00B65426" w:rsidP="001E182C" w14:paraId="7778962A" w14:textId="3B0EA763">
      <w:pPr>
        <w:widowControl/>
        <w:autoSpaceDE w:val="0"/>
        <w:autoSpaceDN w:val="0"/>
        <w:rPr>
          <w:rFonts w:eastAsiaTheme="minorHAnsi" w:cstheme="minorBidi"/>
        </w:rPr>
      </w:pPr>
      <w:r>
        <w:rPr>
          <w:rFonts w:eastAsiaTheme="minorHAnsi" w:cstheme="minorBidi"/>
        </w:rPr>
        <w:t>T</w:t>
      </w:r>
      <w:r w:rsidRPr="00A104B3" w:rsidR="00A104B3">
        <w:rPr>
          <w:rFonts w:eastAsiaTheme="minorHAnsi" w:cstheme="minorBidi"/>
        </w:rPr>
        <w:t xml:space="preserve">his </w:t>
      </w:r>
      <w:r>
        <w:rPr>
          <w:rFonts w:eastAsiaTheme="minorHAnsi" w:cstheme="minorBidi"/>
        </w:rPr>
        <w:t xml:space="preserve">rule also </w:t>
      </w:r>
      <w:r w:rsidRPr="00A104B3" w:rsidR="00A104B3">
        <w:rPr>
          <w:rFonts w:eastAsiaTheme="minorHAnsi" w:cstheme="minorBidi"/>
        </w:rPr>
        <w:t>temporarily remove</w:t>
      </w:r>
      <w:r w:rsidR="00965B64">
        <w:rPr>
          <w:rFonts w:eastAsiaTheme="minorHAnsi" w:cstheme="minorBidi"/>
        </w:rPr>
        <w:t>s</w:t>
      </w:r>
      <w:r w:rsidRPr="00A104B3" w:rsidR="00A104B3">
        <w:rPr>
          <w:rFonts w:eastAsiaTheme="minorHAnsi" w:cstheme="minorBidi"/>
        </w:rPr>
        <w:t xml:space="preserve"> the Adak CQE residency requirement for five years</w:t>
      </w:r>
      <w:r w:rsidRPr="003C1B64">
        <w:t xml:space="preserve"> </w:t>
      </w:r>
      <w:r w:rsidRPr="003C1B64">
        <w:rPr>
          <w:rFonts w:eastAsiaTheme="minorHAnsi" w:cstheme="minorBidi"/>
        </w:rPr>
        <w:t xml:space="preserve">to provide </w:t>
      </w:r>
      <w:r>
        <w:rPr>
          <w:rFonts w:eastAsiaTheme="minorHAnsi" w:cstheme="minorBidi"/>
        </w:rPr>
        <w:t xml:space="preserve">the </w:t>
      </w:r>
      <w:r w:rsidRPr="003C1B64">
        <w:rPr>
          <w:rFonts w:eastAsiaTheme="minorHAnsi" w:cstheme="minorBidi"/>
        </w:rPr>
        <w:t xml:space="preserve">opportunity for the Adak CQE </w:t>
      </w:r>
      <w:r w:rsidRPr="003C1B64">
        <w:rPr>
          <w:rFonts w:eastAsiaTheme="minorHAnsi" w:cstheme="minorBidi"/>
        </w:rPr>
        <w:t>to fully harvest</w:t>
      </w:r>
      <w:r w:rsidRPr="003C1B64">
        <w:rPr>
          <w:rFonts w:eastAsiaTheme="minorHAnsi" w:cstheme="minorBidi"/>
        </w:rPr>
        <w:t xml:space="preserve"> its allocation.</w:t>
      </w:r>
      <w:r w:rsidRPr="00463188" w:rsidR="00463188">
        <w:t xml:space="preserve"> </w:t>
      </w:r>
      <w:r w:rsidRPr="00463188" w:rsidR="00463188">
        <w:rPr>
          <w:rFonts w:eastAsiaTheme="minorHAnsi" w:cstheme="minorBidi"/>
        </w:rPr>
        <w:t xml:space="preserve">As of March 17, 2019, the Adak CQE </w:t>
      </w:r>
      <w:r w:rsidR="00E50FA1">
        <w:rPr>
          <w:rFonts w:eastAsiaTheme="minorHAnsi" w:cstheme="minorBidi"/>
        </w:rPr>
        <w:t>has been</w:t>
      </w:r>
      <w:r w:rsidRPr="00463188" w:rsidR="00463188">
        <w:rPr>
          <w:rFonts w:eastAsiaTheme="minorHAnsi" w:cstheme="minorBidi"/>
        </w:rPr>
        <w:t xml:space="preserve"> required to lease the annual IFQ derived from QS to only eligible community residents of Adak.</w:t>
      </w:r>
      <w:r w:rsidRPr="00463188" w:rsidR="00463188">
        <w:t xml:space="preserve"> </w:t>
      </w:r>
      <w:r w:rsidRPr="00463188" w:rsidR="00463188">
        <w:rPr>
          <w:rFonts w:eastAsiaTheme="minorHAnsi" w:cstheme="minorBidi"/>
        </w:rPr>
        <w:t>Th</w:t>
      </w:r>
      <w:r w:rsidR="00E50FA1">
        <w:rPr>
          <w:rFonts w:eastAsiaTheme="minorHAnsi" w:cstheme="minorBidi"/>
        </w:rPr>
        <w:t xml:space="preserve">is </w:t>
      </w:r>
      <w:r w:rsidRPr="00463188" w:rsidR="00463188">
        <w:rPr>
          <w:rFonts w:eastAsiaTheme="minorHAnsi" w:cstheme="minorBidi"/>
        </w:rPr>
        <w:t xml:space="preserve">requirement </w:t>
      </w:r>
      <w:r w:rsidRPr="00463188" w:rsidR="00463188">
        <w:rPr>
          <w:rFonts w:eastAsiaTheme="minorHAnsi" w:cstheme="minorBidi"/>
        </w:rPr>
        <w:t xml:space="preserve">was </w:t>
      </w:r>
      <w:r w:rsidR="00E50FA1">
        <w:rPr>
          <w:rFonts w:eastAsiaTheme="minorHAnsi" w:cstheme="minorBidi"/>
        </w:rPr>
        <w:t>intended</w:t>
      </w:r>
      <w:r w:rsidR="00E50FA1">
        <w:rPr>
          <w:rFonts w:eastAsiaTheme="minorHAnsi" w:cstheme="minorBidi"/>
        </w:rPr>
        <w:t xml:space="preserve"> to</w:t>
      </w:r>
      <w:r w:rsidRPr="00463188" w:rsidR="00463188">
        <w:rPr>
          <w:rFonts w:eastAsiaTheme="minorHAnsi" w:cstheme="minorBidi"/>
        </w:rPr>
        <w:t xml:space="preserve"> explicitly tie the potential long-term benefits of QS held by an Aleutian Islands CQE to the residents of Adak.</w:t>
      </w:r>
      <w:r w:rsidRPr="00463188" w:rsidR="00463188">
        <w:t xml:space="preserve"> </w:t>
      </w:r>
      <w:r w:rsidRPr="00463188" w:rsidR="00463188">
        <w:rPr>
          <w:rFonts w:eastAsiaTheme="minorHAnsi" w:cstheme="minorBidi"/>
        </w:rPr>
        <w:t xml:space="preserve">In February 2021, the Council requested an emergency rule to suspend the residency requirements applicable to the Adak CQE Program for the </w:t>
      </w:r>
      <w:r w:rsidRPr="00463188" w:rsidR="00463188">
        <w:rPr>
          <w:rFonts w:eastAsiaTheme="minorHAnsi" w:cstheme="minorBidi"/>
        </w:rPr>
        <w:t>2021 fishing</w:t>
      </w:r>
      <w:r w:rsidRPr="00463188" w:rsidR="00463188">
        <w:rPr>
          <w:rFonts w:eastAsiaTheme="minorHAnsi" w:cstheme="minorBidi"/>
        </w:rPr>
        <w:t xml:space="preserve"> year. The Secretary of Commerce denied the request for emergency action because it did not meet the emergency criteria described at section 305(c) of the Magnuson-Stevens Act.</w:t>
      </w:r>
      <w:r w:rsidRPr="00463188" w:rsidR="00463188">
        <w:t xml:space="preserve"> </w:t>
      </w:r>
      <w:r w:rsidR="00463188">
        <w:rPr>
          <w:rFonts w:eastAsiaTheme="minorHAnsi" w:cstheme="minorBidi"/>
        </w:rPr>
        <w:t>The</w:t>
      </w:r>
      <w:r w:rsidRPr="00463188" w:rsidR="00463188">
        <w:rPr>
          <w:rFonts w:eastAsiaTheme="minorHAnsi" w:cstheme="minorBidi"/>
        </w:rPr>
        <w:t xml:space="preserve"> denial letter noted that a longer-term management solution would be the best approach to address the ongoing challenges and impacts on the community of Adak. As a result, the Council recommended this rule to remove the residency requirement for five years with the intent of creating additional opportunities for the Adak CQE </w:t>
      </w:r>
      <w:r w:rsidRPr="00463188" w:rsidR="00463188">
        <w:rPr>
          <w:rFonts w:eastAsiaTheme="minorHAnsi" w:cstheme="minorBidi"/>
        </w:rPr>
        <w:t>to fully harvest</w:t>
      </w:r>
      <w:r w:rsidRPr="00463188" w:rsidR="00463188">
        <w:rPr>
          <w:rFonts w:eastAsiaTheme="minorHAnsi" w:cstheme="minorBidi"/>
        </w:rPr>
        <w:t xml:space="preserve"> its allocation.</w:t>
      </w:r>
    </w:p>
    <w:p w:rsidR="00B65426" w:rsidRPr="00B65426" w:rsidP="001E182C" w14:paraId="5CF933B3" w14:textId="6A72EFEC">
      <w:pPr>
        <w:widowControl/>
        <w:autoSpaceDE w:val="0"/>
        <w:autoSpaceDN w:val="0"/>
        <w:rPr>
          <w:rFonts w:eastAsiaTheme="minorHAnsi" w:cstheme="minorBidi"/>
        </w:rPr>
      </w:pPr>
    </w:p>
    <w:p w:rsidR="00BD2A55" w:rsidP="00C155AE" w14:paraId="5C0BBF1E" w14:textId="324DEBA8">
      <w:pPr>
        <w:pStyle w:val="Heading1"/>
        <w:widowControl/>
        <w:numPr>
          <w:ilvl w:val="0"/>
          <w:numId w:val="3"/>
        </w:numPr>
        <w:tabs>
          <w:tab w:val="left" w:pos="360"/>
        </w:tabs>
        <w:spacing w:before="0"/>
        <w:ind w:left="0" w:firstLine="0"/>
      </w:pPr>
      <w:r>
        <w:t xml:space="preserve">Indicate how, by whom, and for what purpose the information is to </w:t>
      </w:r>
      <w:r>
        <w:t>be used</w:t>
      </w:r>
      <w:r>
        <w:t>. Except for a new collection, indicate the actual use the agency has made of the information received from the current collection.</w:t>
      </w:r>
    </w:p>
    <w:p w:rsidR="005F37F9" w:rsidP="00C155AE" w14:paraId="7326161C" w14:textId="77777777">
      <w:pPr>
        <w:pStyle w:val="Heading1"/>
        <w:widowControl/>
        <w:tabs>
          <w:tab w:val="left" w:pos="360"/>
        </w:tabs>
        <w:spacing w:before="0"/>
        <w:rPr>
          <w:b w:val="0"/>
        </w:rPr>
      </w:pPr>
    </w:p>
    <w:p w:rsidR="005F37F9" w:rsidRPr="005F37F9" w:rsidP="005F37F9" w14:paraId="72565D67" w14:textId="362103F7">
      <w:pPr>
        <w:pStyle w:val="Heading1"/>
        <w:widowControl/>
        <w:tabs>
          <w:tab w:val="left" w:pos="360"/>
        </w:tabs>
        <w:spacing w:before="0"/>
        <w:ind w:left="0"/>
        <w:rPr>
          <w:b w:val="0"/>
        </w:rPr>
      </w:pPr>
      <w:r>
        <w:rPr>
          <w:b w:val="0"/>
        </w:rPr>
        <w:t>The table below lists the</w:t>
      </w:r>
      <w:r w:rsidR="00B1732E">
        <w:rPr>
          <w:b w:val="0"/>
        </w:rPr>
        <w:t xml:space="preserve"> instruments in this collection,</w:t>
      </w:r>
      <w:r>
        <w:rPr>
          <w:b w:val="0"/>
        </w:rPr>
        <w:t xml:space="preserve"> and for each provides the </w:t>
      </w:r>
      <w:r w:rsidR="00B1732E">
        <w:rPr>
          <w:b w:val="0"/>
        </w:rPr>
        <w:t>regulation for the requirements</w:t>
      </w:r>
      <w:r>
        <w:rPr>
          <w:b w:val="0"/>
        </w:rPr>
        <w:t xml:space="preserve"> and summarizes who submits the information, the submission method and frequency, and whether there is a form available.</w:t>
      </w:r>
    </w:p>
    <w:p w:rsidR="00DC6F01" w:rsidRPr="00333FBA" w:rsidP="005A3188" w14:paraId="12967D18" w14:textId="77777777">
      <w:pPr>
        <w:pStyle w:val="Heading1"/>
        <w:widowControl/>
        <w:spacing w:before="0"/>
        <w:ind w:left="0"/>
        <w:rPr>
          <w:b w:val="0"/>
        </w:rPr>
      </w:pPr>
    </w:p>
    <w:p w:rsidR="00D86152" w:rsidP="005A3188" w14:paraId="10792BC3" w14:textId="77777777">
      <w:pPr>
        <w:widowControl/>
        <w:pBdr>
          <w:top w:val="nil"/>
          <w:left w:val="nil"/>
          <w:bottom w:val="nil"/>
          <w:right w:val="nil"/>
          <w:between w:val="nil"/>
        </w:pBdr>
        <w:spacing w:before="7"/>
        <w:sectPr w:rsidSect="005A3188">
          <w:footerReference w:type="default" r:id="rId17"/>
          <w:pgSz w:w="12240" w:h="15840"/>
          <w:pgMar w:top="1440" w:right="1440" w:bottom="1440" w:left="1440" w:header="0" w:footer="1014" w:gutter="0"/>
          <w:cols w:space="720"/>
          <w:docGrid w:linePitch="326"/>
        </w:sectPr>
      </w:pPr>
    </w:p>
    <w:tbl>
      <w:tblPr>
        <w:tblpPr w:leftFromText="180" w:rightFromText="180" w:vertAnchor="text" w:tblpXSpec="center" w:tblpY="1"/>
        <w:tblOverlap w:val="never"/>
        <w:tblW w:w="12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3"/>
        <w:gridCol w:w="1115"/>
        <w:gridCol w:w="1561"/>
        <w:gridCol w:w="2063"/>
        <w:gridCol w:w="751"/>
        <w:gridCol w:w="1072"/>
        <w:gridCol w:w="4282"/>
      </w:tblGrid>
      <w:tr w14:paraId="2004C189" w14:textId="5C8DD290" w:rsidTr="002C2179">
        <w:tblPrEx>
          <w:tblW w:w="12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19"/>
        </w:trPr>
        <w:tc>
          <w:tcPr>
            <w:tcW w:w="2558" w:type="dxa"/>
            <w:gridSpan w:val="2"/>
            <w:tcBorders>
              <w:bottom w:val="single" w:sz="4" w:space="0" w:color="auto"/>
            </w:tcBorders>
            <w:shd w:val="clear" w:color="auto" w:fill="DBE5F1"/>
            <w:vAlign w:val="center"/>
          </w:tcPr>
          <w:p w:rsidR="00E81B27" w:rsidRPr="00D42F4B" w:rsidP="00D42F4B" w14:paraId="2C4AC493" w14:textId="77777777">
            <w:pPr>
              <w:widowControl/>
              <w:jc w:val="center"/>
              <w:rPr>
                <w:rFonts w:ascii="Calibri" w:eastAsia="Calibri" w:hAnsi="Calibri"/>
                <w:b/>
                <w:sz w:val="18"/>
                <w:szCs w:val="18"/>
              </w:rPr>
            </w:pPr>
            <w:r w:rsidRPr="00D42F4B">
              <w:rPr>
                <w:rFonts w:ascii="Calibri" w:eastAsia="Calibri" w:hAnsi="Calibri"/>
                <w:b/>
                <w:sz w:val="18"/>
                <w:szCs w:val="18"/>
              </w:rPr>
              <w:t>Limited Access Program</w:t>
            </w:r>
          </w:p>
        </w:tc>
        <w:tc>
          <w:tcPr>
            <w:tcW w:w="1561" w:type="dxa"/>
            <w:tcBorders>
              <w:bottom w:val="single" w:sz="4" w:space="0" w:color="auto"/>
            </w:tcBorders>
            <w:shd w:val="clear" w:color="auto" w:fill="DBE5F1"/>
            <w:vAlign w:val="center"/>
          </w:tcPr>
          <w:p w:rsidR="00E81B27" w:rsidRPr="00D42F4B" w:rsidP="00D42F4B" w14:paraId="3E685D69" w14:textId="77777777">
            <w:pPr>
              <w:widowControl/>
              <w:jc w:val="center"/>
              <w:rPr>
                <w:rFonts w:ascii="Calibri" w:eastAsia="Calibri" w:hAnsi="Calibri"/>
                <w:b/>
                <w:sz w:val="18"/>
                <w:szCs w:val="18"/>
              </w:rPr>
            </w:pPr>
            <w:r w:rsidRPr="00D42F4B">
              <w:rPr>
                <w:rFonts w:ascii="Calibri" w:eastAsia="Calibri" w:hAnsi="Calibri"/>
                <w:b/>
                <w:sz w:val="18"/>
                <w:szCs w:val="18"/>
              </w:rPr>
              <w:t>Requirement</w:t>
            </w:r>
          </w:p>
          <w:p w:rsidR="00313AF1" w:rsidRPr="00D42F4B" w:rsidP="00D42F4B" w14:paraId="4B640DC0" w14:textId="4C4781EF">
            <w:pPr>
              <w:widowControl/>
              <w:jc w:val="center"/>
              <w:rPr>
                <w:rFonts w:ascii="Calibri" w:eastAsia="Calibri" w:hAnsi="Calibri"/>
                <w:b/>
                <w:sz w:val="18"/>
                <w:szCs w:val="18"/>
              </w:rPr>
            </w:pPr>
            <w:r w:rsidRPr="00D42F4B">
              <w:rPr>
                <w:rFonts w:ascii="Calibri" w:eastAsia="Calibri" w:hAnsi="Calibri"/>
                <w:b/>
                <w:sz w:val="18"/>
                <w:szCs w:val="18"/>
              </w:rPr>
              <w:t>50 CFR</w:t>
            </w:r>
          </w:p>
        </w:tc>
        <w:tc>
          <w:tcPr>
            <w:tcW w:w="2063" w:type="dxa"/>
            <w:tcBorders>
              <w:bottom w:val="single" w:sz="4" w:space="0" w:color="auto"/>
            </w:tcBorders>
            <w:shd w:val="clear" w:color="auto" w:fill="DBE5F1"/>
          </w:tcPr>
          <w:p w:rsidR="00E81B27" w:rsidRPr="00D42F4B" w:rsidP="00D42F4B" w14:paraId="68BDC2A7" w14:textId="63914029">
            <w:pPr>
              <w:widowControl/>
              <w:jc w:val="center"/>
              <w:rPr>
                <w:rFonts w:ascii="Calibri" w:eastAsia="Calibri" w:hAnsi="Calibri"/>
                <w:b/>
                <w:sz w:val="18"/>
                <w:szCs w:val="18"/>
              </w:rPr>
            </w:pPr>
            <w:r w:rsidRPr="00D42F4B">
              <w:rPr>
                <w:rFonts w:ascii="Calibri" w:eastAsia="Calibri" w:hAnsi="Calibri"/>
                <w:b/>
                <w:sz w:val="18"/>
                <w:szCs w:val="18"/>
              </w:rPr>
              <w:t xml:space="preserve">From whom </w:t>
            </w:r>
            <w:r w:rsidRPr="00D42F4B">
              <w:rPr>
                <w:rFonts w:ascii="Calibri" w:eastAsia="Calibri" w:hAnsi="Calibri"/>
                <w:b/>
                <w:sz w:val="18"/>
                <w:szCs w:val="18"/>
              </w:rPr>
              <w:t>will the information be collected</w:t>
            </w:r>
            <w:r w:rsidRPr="00D42F4B">
              <w:rPr>
                <w:rFonts w:ascii="Calibri" w:eastAsia="Calibri" w:hAnsi="Calibri"/>
                <w:b/>
                <w:sz w:val="18"/>
                <w:szCs w:val="18"/>
              </w:rPr>
              <w:t>?</w:t>
            </w:r>
          </w:p>
        </w:tc>
        <w:tc>
          <w:tcPr>
            <w:tcW w:w="751" w:type="dxa"/>
            <w:tcBorders>
              <w:bottom w:val="single" w:sz="4" w:space="0" w:color="auto"/>
            </w:tcBorders>
            <w:shd w:val="clear" w:color="auto" w:fill="DBE5F1"/>
            <w:vAlign w:val="center"/>
          </w:tcPr>
          <w:p w:rsidR="00E81B27" w:rsidRPr="00D42F4B" w:rsidP="00D42F4B" w14:paraId="58704A20" w14:textId="63E87AD9">
            <w:pPr>
              <w:widowControl/>
              <w:jc w:val="center"/>
              <w:rPr>
                <w:rFonts w:ascii="Calibri" w:eastAsia="Calibri" w:hAnsi="Calibri"/>
                <w:b/>
                <w:sz w:val="18"/>
                <w:szCs w:val="18"/>
              </w:rPr>
            </w:pPr>
            <w:r w:rsidRPr="00D42F4B">
              <w:rPr>
                <w:rFonts w:ascii="Calibri" w:eastAsia="Calibri" w:hAnsi="Calibri"/>
                <w:b/>
                <w:sz w:val="18"/>
                <w:szCs w:val="18"/>
              </w:rPr>
              <w:t>Form?</w:t>
            </w:r>
            <w:r w:rsidRPr="00D42F4B">
              <w:rPr>
                <w:rFonts w:ascii="Calibri" w:eastAsia="Calibri" w:hAnsi="Calibri"/>
                <w:b/>
                <w:sz w:val="18"/>
                <w:szCs w:val="18"/>
                <w:vertAlign w:val="superscript"/>
              </w:rPr>
              <w:t>1</w:t>
            </w:r>
          </w:p>
        </w:tc>
        <w:tc>
          <w:tcPr>
            <w:tcW w:w="1072" w:type="dxa"/>
            <w:tcBorders>
              <w:bottom w:val="single" w:sz="4" w:space="0" w:color="auto"/>
            </w:tcBorders>
            <w:shd w:val="clear" w:color="auto" w:fill="DBE5F1"/>
          </w:tcPr>
          <w:p w:rsidR="00E81B27" w:rsidRPr="00D42F4B" w:rsidP="00D42F4B" w14:paraId="66D8A37C" w14:textId="77777777">
            <w:pPr>
              <w:widowControl/>
              <w:jc w:val="center"/>
              <w:rPr>
                <w:rFonts w:ascii="Calibri" w:eastAsia="Calibri" w:hAnsi="Calibri"/>
                <w:b/>
                <w:sz w:val="18"/>
                <w:szCs w:val="18"/>
              </w:rPr>
            </w:pPr>
            <w:r w:rsidRPr="00D42F4B">
              <w:rPr>
                <w:rFonts w:ascii="Calibri" w:eastAsia="Calibri" w:hAnsi="Calibri"/>
                <w:b/>
                <w:sz w:val="18"/>
                <w:szCs w:val="18"/>
              </w:rPr>
              <w:t>Submission Method</w:t>
            </w:r>
            <w:r w:rsidRPr="00D42F4B">
              <w:rPr>
                <w:rFonts w:eastAsia="Calibri" w:asciiTheme="minorHAnsi" w:hAnsiTheme="minorHAnsi"/>
                <w:b/>
                <w:sz w:val="18"/>
                <w:szCs w:val="18"/>
                <w:vertAlign w:val="superscript"/>
              </w:rPr>
              <w:t>2</w:t>
            </w:r>
          </w:p>
        </w:tc>
        <w:tc>
          <w:tcPr>
            <w:tcW w:w="4282" w:type="dxa"/>
            <w:tcBorders>
              <w:bottom w:val="single" w:sz="4" w:space="0" w:color="auto"/>
            </w:tcBorders>
            <w:shd w:val="clear" w:color="auto" w:fill="DBE5F1"/>
          </w:tcPr>
          <w:p w:rsidR="00E81B27" w:rsidRPr="00D42F4B" w:rsidP="00D42F4B" w14:paraId="4995B0C3" w14:textId="77777777">
            <w:pPr>
              <w:widowControl/>
              <w:jc w:val="center"/>
              <w:rPr>
                <w:rFonts w:ascii="Calibri" w:eastAsia="Calibri" w:hAnsi="Calibri"/>
                <w:b/>
                <w:sz w:val="18"/>
                <w:szCs w:val="18"/>
              </w:rPr>
            </w:pPr>
            <w:r w:rsidRPr="00D42F4B">
              <w:rPr>
                <w:rFonts w:ascii="Calibri" w:eastAsia="Calibri" w:hAnsi="Calibri"/>
                <w:b/>
                <w:sz w:val="18"/>
                <w:szCs w:val="18"/>
              </w:rPr>
              <w:t>How often</w:t>
            </w:r>
          </w:p>
          <w:p w:rsidR="00E81B27" w:rsidRPr="00D42F4B" w:rsidP="00D42F4B" w14:paraId="47D3B754" w14:textId="0EAB00E2">
            <w:pPr>
              <w:widowControl/>
              <w:jc w:val="center"/>
              <w:rPr>
                <w:rFonts w:ascii="Calibri" w:eastAsia="Calibri" w:hAnsi="Calibri"/>
                <w:b/>
                <w:sz w:val="18"/>
                <w:szCs w:val="18"/>
              </w:rPr>
            </w:pPr>
            <w:r w:rsidRPr="00D42F4B">
              <w:rPr>
                <w:rFonts w:ascii="Calibri" w:eastAsia="Calibri" w:hAnsi="Calibri"/>
                <w:b/>
                <w:sz w:val="18"/>
                <w:szCs w:val="18"/>
              </w:rPr>
              <w:t xml:space="preserve"> </w:t>
            </w:r>
            <w:r w:rsidRPr="00D42F4B">
              <w:rPr>
                <w:rFonts w:ascii="Calibri" w:eastAsia="Calibri" w:hAnsi="Calibri"/>
                <w:b/>
                <w:sz w:val="18"/>
                <w:szCs w:val="18"/>
              </w:rPr>
              <w:t>is</w:t>
            </w:r>
            <w:r w:rsidRPr="00D42F4B">
              <w:rPr>
                <w:rFonts w:ascii="Calibri" w:eastAsia="Calibri" w:hAnsi="Calibri"/>
                <w:b/>
                <w:sz w:val="18"/>
                <w:szCs w:val="18"/>
              </w:rPr>
              <w:t xml:space="preserve"> the information collected?</w:t>
            </w:r>
          </w:p>
        </w:tc>
      </w:tr>
      <w:tr w14:paraId="06B9806B" w14:textId="202CE344" w:rsidTr="002C2179">
        <w:tblPrEx>
          <w:tblW w:w="12287" w:type="dxa"/>
          <w:tblLook w:val="04A0"/>
        </w:tblPrEx>
        <w:trPr>
          <w:trHeight w:val="371"/>
        </w:trPr>
        <w:tc>
          <w:tcPr>
            <w:tcW w:w="2558" w:type="dxa"/>
            <w:gridSpan w:val="2"/>
            <w:tcBorders>
              <w:top w:val="single" w:sz="4" w:space="0" w:color="auto"/>
              <w:left w:val="single" w:sz="4" w:space="0" w:color="auto"/>
              <w:bottom w:val="single" w:sz="4" w:space="0" w:color="auto"/>
              <w:right w:val="nil"/>
            </w:tcBorders>
            <w:shd w:val="clear" w:color="auto" w:fill="FDEADA" w:themeFill="accent6" w:themeFillTint="33"/>
            <w:vAlign w:val="center"/>
          </w:tcPr>
          <w:p w:rsidR="00E81B27" w:rsidRPr="00D42F4B" w:rsidP="00D42F4B" w14:paraId="7181776A" w14:textId="77777777">
            <w:pPr>
              <w:widowControl/>
              <w:rPr>
                <w:rFonts w:ascii="Calibri" w:eastAsia="Calibri" w:hAnsi="Calibri"/>
                <w:b/>
                <w:sz w:val="18"/>
                <w:szCs w:val="18"/>
              </w:rPr>
            </w:pPr>
            <w:r w:rsidRPr="00D42F4B">
              <w:rPr>
                <w:rFonts w:ascii="Calibri" w:eastAsia="Calibri" w:hAnsi="Calibri"/>
                <w:b/>
                <w:sz w:val="18"/>
                <w:szCs w:val="18"/>
              </w:rPr>
              <w:t>All CQEs</w:t>
            </w:r>
          </w:p>
        </w:tc>
        <w:tc>
          <w:tcPr>
            <w:tcW w:w="1561" w:type="dxa"/>
            <w:tcBorders>
              <w:top w:val="single" w:sz="4" w:space="0" w:color="auto"/>
              <w:left w:val="nil"/>
              <w:bottom w:val="single" w:sz="4" w:space="0" w:color="auto"/>
              <w:right w:val="nil"/>
            </w:tcBorders>
            <w:shd w:val="clear" w:color="auto" w:fill="FDEADA" w:themeFill="accent6" w:themeFillTint="33"/>
            <w:vAlign w:val="center"/>
          </w:tcPr>
          <w:p w:rsidR="00E81B27" w:rsidRPr="00D42F4B" w:rsidP="00D42F4B" w14:paraId="0ECF04C3" w14:textId="77777777">
            <w:pPr>
              <w:widowControl/>
              <w:jc w:val="center"/>
              <w:rPr>
                <w:rFonts w:ascii="Calibri" w:eastAsia="Calibri" w:hAnsi="Calibri"/>
                <w:sz w:val="18"/>
                <w:szCs w:val="18"/>
              </w:rPr>
            </w:pPr>
          </w:p>
        </w:tc>
        <w:tc>
          <w:tcPr>
            <w:tcW w:w="2063" w:type="dxa"/>
            <w:tcBorders>
              <w:top w:val="single" w:sz="4" w:space="0" w:color="auto"/>
              <w:left w:val="nil"/>
              <w:bottom w:val="single" w:sz="4" w:space="0" w:color="auto"/>
              <w:right w:val="nil"/>
            </w:tcBorders>
            <w:shd w:val="clear" w:color="auto" w:fill="FDEADA" w:themeFill="accent6" w:themeFillTint="33"/>
          </w:tcPr>
          <w:p w:rsidR="00E81B27" w:rsidRPr="00D42F4B" w:rsidP="00D42F4B" w14:paraId="2C8A85AE" w14:textId="77777777">
            <w:pPr>
              <w:widowControl/>
              <w:jc w:val="center"/>
              <w:rPr>
                <w:rFonts w:ascii="Calibri" w:eastAsia="Calibri" w:hAnsi="Calibri"/>
                <w:sz w:val="18"/>
                <w:szCs w:val="18"/>
              </w:rPr>
            </w:pPr>
          </w:p>
        </w:tc>
        <w:tc>
          <w:tcPr>
            <w:tcW w:w="751" w:type="dxa"/>
            <w:tcBorders>
              <w:top w:val="single" w:sz="4" w:space="0" w:color="auto"/>
              <w:left w:val="nil"/>
              <w:bottom w:val="single" w:sz="4" w:space="0" w:color="auto"/>
              <w:right w:val="nil"/>
            </w:tcBorders>
            <w:shd w:val="clear" w:color="auto" w:fill="FDEADA" w:themeFill="accent6" w:themeFillTint="33"/>
            <w:vAlign w:val="center"/>
          </w:tcPr>
          <w:p w:rsidR="00E81B27" w:rsidRPr="00D42F4B" w:rsidP="00D42F4B" w14:paraId="36F66C01" w14:textId="52E1691E">
            <w:pPr>
              <w:widowControl/>
              <w:jc w:val="center"/>
              <w:rPr>
                <w:rFonts w:ascii="Calibri" w:eastAsia="Calibri" w:hAnsi="Calibri"/>
                <w:sz w:val="18"/>
                <w:szCs w:val="18"/>
              </w:rPr>
            </w:pPr>
          </w:p>
        </w:tc>
        <w:tc>
          <w:tcPr>
            <w:tcW w:w="1072" w:type="dxa"/>
            <w:tcBorders>
              <w:top w:val="single" w:sz="4" w:space="0" w:color="auto"/>
              <w:left w:val="nil"/>
              <w:bottom w:val="single" w:sz="4" w:space="0" w:color="auto"/>
              <w:right w:val="single" w:sz="4" w:space="0" w:color="auto"/>
            </w:tcBorders>
            <w:shd w:val="clear" w:color="auto" w:fill="FDEADA" w:themeFill="accent6" w:themeFillTint="33"/>
            <w:vAlign w:val="center"/>
          </w:tcPr>
          <w:p w:rsidR="00E81B27" w:rsidRPr="00D42F4B" w:rsidP="00D42F4B" w14:paraId="269A40ED" w14:textId="77777777">
            <w:pPr>
              <w:widowControl/>
              <w:jc w:val="center"/>
              <w:rPr>
                <w:rFonts w:ascii="Calibri" w:eastAsia="Calibri" w:hAnsi="Calibri"/>
                <w:sz w:val="18"/>
                <w:szCs w:val="18"/>
              </w:rPr>
            </w:pPr>
          </w:p>
        </w:tc>
        <w:tc>
          <w:tcPr>
            <w:tcW w:w="4282" w:type="dxa"/>
            <w:tcBorders>
              <w:top w:val="single" w:sz="4" w:space="0" w:color="auto"/>
              <w:left w:val="nil"/>
              <w:bottom w:val="single" w:sz="4" w:space="0" w:color="auto"/>
              <w:right w:val="single" w:sz="4" w:space="0" w:color="auto"/>
            </w:tcBorders>
            <w:shd w:val="clear" w:color="auto" w:fill="FDEADA" w:themeFill="accent6" w:themeFillTint="33"/>
          </w:tcPr>
          <w:p w:rsidR="00E81B27" w:rsidRPr="00D42F4B" w:rsidP="00D42F4B" w14:paraId="751761B2" w14:textId="77777777">
            <w:pPr>
              <w:widowControl/>
              <w:jc w:val="center"/>
              <w:rPr>
                <w:rFonts w:ascii="Calibri" w:eastAsia="Calibri" w:hAnsi="Calibri"/>
                <w:sz w:val="18"/>
                <w:szCs w:val="18"/>
              </w:rPr>
            </w:pPr>
          </w:p>
        </w:tc>
      </w:tr>
      <w:tr w14:paraId="42F232CC" w14:textId="1D0BDA22" w:rsidTr="002C2179">
        <w:tblPrEx>
          <w:tblW w:w="12287" w:type="dxa"/>
          <w:tblLook w:val="04A0"/>
        </w:tblPrEx>
        <w:trPr>
          <w:trHeight w:val="446"/>
        </w:trPr>
        <w:tc>
          <w:tcPr>
            <w:tcW w:w="25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1B27" w:rsidRPr="00D42F4B" w:rsidP="00D42F4B" w14:paraId="158044D1" w14:textId="77777777">
            <w:pPr>
              <w:widowControl/>
              <w:rPr>
                <w:rFonts w:ascii="Calibri" w:eastAsia="Calibri" w:hAnsi="Calibri"/>
                <w:sz w:val="18"/>
                <w:szCs w:val="18"/>
              </w:rPr>
            </w:pPr>
            <w:r w:rsidRPr="00D42F4B">
              <w:rPr>
                <w:rFonts w:ascii="Calibri" w:eastAsia="Calibri" w:hAnsi="Calibri"/>
                <w:sz w:val="18"/>
                <w:szCs w:val="18"/>
              </w:rPr>
              <w:t xml:space="preserve">Application for Nonprofit Corporation to be Designated as a CQE </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E81B27" w:rsidRPr="00D42F4B" w:rsidP="00D42F4B" w14:paraId="74DCC563" w14:textId="583BA285">
            <w:pPr>
              <w:widowControl/>
              <w:jc w:val="center"/>
              <w:rPr>
                <w:rFonts w:ascii="Calibri" w:eastAsia="Calibri" w:hAnsi="Calibri"/>
                <w:sz w:val="18"/>
                <w:szCs w:val="18"/>
              </w:rPr>
            </w:pPr>
            <w:hyperlink r:id="rId18" w:anchor="p-679.41(l)(3)" w:history="1">
              <w:r w:rsidRPr="00D42F4B" w:rsidR="00313AF1">
                <w:rPr>
                  <w:rStyle w:val="Hyperlink"/>
                  <w:rFonts w:ascii="Calibri" w:eastAsia="Calibri" w:hAnsi="Calibri"/>
                  <w:sz w:val="18"/>
                  <w:szCs w:val="18"/>
                </w:rPr>
                <w:t xml:space="preserve">§ </w:t>
              </w:r>
              <w:r w:rsidRPr="00D42F4B">
                <w:rPr>
                  <w:rStyle w:val="Hyperlink"/>
                  <w:rFonts w:ascii="Calibri" w:eastAsia="Calibri" w:hAnsi="Calibri"/>
                  <w:sz w:val="18"/>
                  <w:szCs w:val="18"/>
                </w:rPr>
                <w:t>679.41(l)(3)</w:t>
              </w:r>
            </w:hyperlink>
          </w:p>
        </w:tc>
        <w:tc>
          <w:tcPr>
            <w:tcW w:w="2063" w:type="dxa"/>
            <w:tcBorders>
              <w:top w:val="single" w:sz="4" w:space="0" w:color="auto"/>
              <w:left w:val="single" w:sz="4" w:space="0" w:color="auto"/>
              <w:bottom w:val="single" w:sz="4" w:space="0" w:color="auto"/>
              <w:right w:val="single" w:sz="4" w:space="0" w:color="auto"/>
            </w:tcBorders>
            <w:vAlign w:val="center"/>
          </w:tcPr>
          <w:p w:rsidR="00E81B27" w:rsidRPr="00D42F4B" w:rsidP="00D42F4B" w14:paraId="3790A7AE" w14:textId="399AD348">
            <w:pPr>
              <w:widowControl/>
              <w:jc w:val="center"/>
              <w:rPr>
                <w:rFonts w:ascii="Calibri" w:eastAsia="Calibri" w:hAnsi="Calibri"/>
                <w:sz w:val="18"/>
                <w:szCs w:val="18"/>
              </w:rPr>
            </w:pPr>
            <w:r w:rsidRPr="00D42F4B">
              <w:rPr>
                <w:rFonts w:ascii="Calibri" w:eastAsia="Calibri" w:hAnsi="Calibri"/>
                <w:sz w:val="18"/>
                <w:szCs w:val="18"/>
              </w:rPr>
              <w:t>R</w:t>
            </w:r>
            <w:r w:rsidRPr="00D42F4B">
              <w:rPr>
                <w:rFonts w:ascii="Calibri" w:eastAsia="Calibri" w:hAnsi="Calibri"/>
                <w:sz w:val="18"/>
                <w:szCs w:val="18"/>
              </w:rPr>
              <w:t>epresentative of a non-profit entity seeking to become a CQE</w:t>
            </w:r>
          </w:p>
        </w:tc>
        <w:tc>
          <w:tcPr>
            <w:tcW w:w="751" w:type="dxa"/>
            <w:tcBorders>
              <w:top w:val="single" w:sz="4" w:space="0" w:color="auto"/>
              <w:left w:val="single" w:sz="4" w:space="0" w:color="auto"/>
              <w:bottom w:val="single" w:sz="4" w:space="0" w:color="auto"/>
              <w:right w:val="single" w:sz="4" w:space="0" w:color="auto"/>
            </w:tcBorders>
            <w:vAlign w:val="center"/>
          </w:tcPr>
          <w:p w:rsidR="00E81B27" w:rsidRPr="00D42F4B" w:rsidP="00D42F4B" w14:paraId="548D6166" w14:textId="59373F9F">
            <w:pPr>
              <w:widowControl/>
              <w:jc w:val="center"/>
              <w:rPr>
                <w:rFonts w:ascii="Calibri" w:eastAsia="Calibri" w:hAnsi="Calibri"/>
                <w:sz w:val="18"/>
                <w:szCs w:val="18"/>
              </w:rPr>
            </w:pPr>
            <w:r w:rsidRPr="00D42F4B">
              <w:rPr>
                <w:rFonts w:ascii="Calibri" w:eastAsia="Calibri" w:hAnsi="Calibri"/>
                <w:sz w:val="18"/>
                <w:szCs w:val="18"/>
              </w:rPr>
              <w:t>Y</w:t>
            </w:r>
          </w:p>
        </w:tc>
        <w:tc>
          <w:tcPr>
            <w:tcW w:w="1072" w:type="dxa"/>
            <w:tcBorders>
              <w:top w:val="single" w:sz="4" w:space="0" w:color="auto"/>
              <w:left w:val="single" w:sz="4" w:space="0" w:color="auto"/>
              <w:bottom w:val="single" w:sz="4" w:space="0" w:color="auto"/>
              <w:right w:val="single" w:sz="4" w:space="0" w:color="auto"/>
            </w:tcBorders>
            <w:vAlign w:val="center"/>
          </w:tcPr>
          <w:p w:rsidR="00E81B27" w:rsidRPr="00D42F4B" w:rsidP="00D42F4B" w14:paraId="4EDE5866" w14:textId="6F34AB80">
            <w:pPr>
              <w:widowControl/>
              <w:jc w:val="center"/>
              <w:rPr>
                <w:rFonts w:ascii="Calibri" w:eastAsia="Calibri" w:hAnsi="Calibri"/>
                <w:sz w:val="18"/>
                <w:szCs w:val="18"/>
              </w:rPr>
            </w:pPr>
            <w:r w:rsidRPr="00D42F4B">
              <w:rPr>
                <w:rFonts w:ascii="Calibri" w:eastAsia="Calibri" w:hAnsi="Calibri"/>
                <w:sz w:val="18"/>
                <w:szCs w:val="18"/>
              </w:rPr>
              <w:t>mail</w:t>
            </w:r>
            <w:r w:rsidRPr="00D42F4B" w:rsidR="002068AC">
              <w:rPr>
                <w:rFonts w:ascii="Calibri" w:eastAsia="Calibri" w:hAnsi="Calibri"/>
                <w:sz w:val="18"/>
                <w:szCs w:val="18"/>
              </w:rPr>
              <w:t>,</w:t>
            </w:r>
            <w:r w:rsidRPr="00D42F4B">
              <w:rPr>
                <w:rFonts w:ascii="Calibri" w:eastAsia="Calibri" w:hAnsi="Calibri"/>
                <w:sz w:val="18"/>
                <w:szCs w:val="18"/>
              </w:rPr>
              <w:t xml:space="preserve"> delivery</w:t>
            </w:r>
            <w:r w:rsidRPr="00D42F4B" w:rsidR="002068AC">
              <w:rPr>
                <w:rFonts w:ascii="Calibri" w:eastAsia="Calibri" w:hAnsi="Calibri"/>
                <w:sz w:val="18"/>
                <w:szCs w:val="18"/>
              </w:rPr>
              <w:t>, or fax</w:t>
            </w:r>
          </w:p>
        </w:tc>
        <w:tc>
          <w:tcPr>
            <w:tcW w:w="4282" w:type="dxa"/>
            <w:tcBorders>
              <w:top w:val="single" w:sz="4" w:space="0" w:color="auto"/>
              <w:left w:val="single" w:sz="4" w:space="0" w:color="auto"/>
              <w:bottom w:val="single" w:sz="4" w:space="0" w:color="auto"/>
              <w:right w:val="single" w:sz="4" w:space="0" w:color="auto"/>
            </w:tcBorders>
            <w:vAlign w:val="center"/>
          </w:tcPr>
          <w:p w:rsidR="00E81B27" w:rsidRPr="00D42F4B" w:rsidP="00D42F4B" w14:paraId="6ABC168D" w14:textId="5EB285D2">
            <w:pPr>
              <w:widowControl/>
              <w:jc w:val="center"/>
              <w:rPr>
                <w:rFonts w:ascii="Calibri" w:eastAsia="Calibri" w:hAnsi="Calibri"/>
                <w:sz w:val="18"/>
                <w:szCs w:val="18"/>
              </w:rPr>
            </w:pPr>
            <w:r w:rsidRPr="00D42F4B">
              <w:rPr>
                <w:rFonts w:ascii="Calibri" w:eastAsia="Calibri" w:hAnsi="Calibri"/>
                <w:sz w:val="18"/>
                <w:szCs w:val="18"/>
              </w:rPr>
              <w:t>O</w:t>
            </w:r>
            <w:r w:rsidRPr="00D42F4B">
              <w:rPr>
                <w:rFonts w:ascii="Calibri" w:eastAsia="Calibri" w:hAnsi="Calibri"/>
                <w:sz w:val="18"/>
                <w:szCs w:val="18"/>
              </w:rPr>
              <w:t>nce</w:t>
            </w:r>
          </w:p>
        </w:tc>
      </w:tr>
      <w:tr w14:paraId="4752662A" w14:textId="4CBA1502" w:rsidTr="002C2179">
        <w:tblPrEx>
          <w:tblW w:w="12287" w:type="dxa"/>
          <w:tblLook w:val="04A0"/>
        </w:tblPrEx>
        <w:trPr>
          <w:trHeight w:val="446"/>
        </w:trPr>
        <w:tc>
          <w:tcPr>
            <w:tcW w:w="25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1B27" w:rsidRPr="00D42F4B" w:rsidP="00D42F4B" w14:paraId="60938B9B" w14:textId="77777777">
            <w:pPr>
              <w:widowControl/>
              <w:rPr>
                <w:rFonts w:ascii="Calibri" w:eastAsia="Calibri" w:hAnsi="Calibri"/>
                <w:sz w:val="18"/>
                <w:szCs w:val="18"/>
              </w:rPr>
            </w:pPr>
            <w:r w:rsidRPr="00D42F4B">
              <w:rPr>
                <w:rFonts w:ascii="Calibri" w:eastAsia="Calibri" w:hAnsi="Calibri"/>
                <w:sz w:val="18"/>
                <w:szCs w:val="18"/>
              </w:rPr>
              <w:t>CQE Annual Report</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E81B27" w:rsidRPr="00D42F4B" w:rsidP="00D42F4B" w14:paraId="175FAECD" w14:textId="64D5C685">
            <w:pPr>
              <w:widowControl/>
              <w:jc w:val="center"/>
              <w:rPr>
                <w:rFonts w:ascii="Calibri" w:eastAsia="Calibri" w:hAnsi="Calibri"/>
                <w:sz w:val="18"/>
                <w:szCs w:val="18"/>
              </w:rPr>
            </w:pPr>
            <w:hyperlink r:id="rId19" w:anchor="p-679.5(t)" w:history="1">
              <w:r w:rsidRPr="00D42F4B" w:rsidR="00313AF1">
                <w:rPr>
                  <w:rStyle w:val="Hyperlink"/>
                  <w:rFonts w:ascii="Calibri" w:eastAsia="Calibri" w:hAnsi="Calibri"/>
                  <w:sz w:val="18"/>
                  <w:szCs w:val="18"/>
                </w:rPr>
                <w:t>§</w:t>
              </w:r>
              <w:r w:rsidRPr="00D42F4B">
                <w:rPr>
                  <w:rStyle w:val="Hyperlink"/>
                  <w:rFonts w:ascii="Calibri" w:eastAsia="Calibri" w:hAnsi="Calibri"/>
                  <w:sz w:val="18"/>
                  <w:szCs w:val="18"/>
                </w:rPr>
                <w:t xml:space="preserve"> 679.5(t)</w:t>
              </w:r>
            </w:hyperlink>
          </w:p>
        </w:tc>
        <w:tc>
          <w:tcPr>
            <w:tcW w:w="2063" w:type="dxa"/>
            <w:tcBorders>
              <w:top w:val="single" w:sz="4" w:space="0" w:color="auto"/>
              <w:left w:val="single" w:sz="4" w:space="0" w:color="auto"/>
              <w:bottom w:val="single" w:sz="4" w:space="0" w:color="auto"/>
              <w:right w:val="single" w:sz="4" w:space="0" w:color="auto"/>
            </w:tcBorders>
            <w:vAlign w:val="center"/>
          </w:tcPr>
          <w:p w:rsidR="00E81B27" w:rsidRPr="00D42F4B" w:rsidP="00D42F4B" w14:paraId="42B52E1D" w14:textId="35B32A7E">
            <w:pPr>
              <w:widowControl/>
              <w:jc w:val="center"/>
              <w:rPr>
                <w:rFonts w:ascii="Calibri" w:eastAsia="Calibri" w:hAnsi="Calibri"/>
                <w:sz w:val="18"/>
                <w:szCs w:val="18"/>
              </w:rPr>
            </w:pPr>
            <w:r w:rsidRPr="00D42F4B">
              <w:rPr>
                <w:rFonts w:ascii="Calibri" w:eastAsia="Calibri" w:hAnsi="Calibri"/>
                <w:sz w:val="18"/>
                <w:szCs w:val="18"/>
              </w:rPr>
              <w:t>CQE representative</w:t>
            </w:r>
          </w:p>
        </w:tc>
        <w:tc>
          <w:tcPr>
            <w:tcW w:w="751" w:type="dxa"/>
            <w:tcBorders>
              <w:top w:val="single" w:sz="4" w:space="0" w:color="auto"/>
              <w:left w:val="single" w:sz="4" w:space="0" w:color="auto"/>
              <w:bottom w:val="single" w:sz="4" w:space="0" w:color="auto"/>
              <w:right w:val="single" w:sz="4" w:space="0" w:color="auto"/>
            </w:tcBorders>
            <w:vAlign w:val="center"/>
          </w:tcPr>
          <w:p w:rsidR="00E81B27" w:rsidRPr="00D42F4B" w:rsidP="00D42F4B" w14:paraId="4CC19AC1" w14:textId="437D8DC9">
            <w:pPr>
              <w:widowControl/>
              <w:jc w:val="center"/>
              <w:rPr>
                <w:rFonts w:ascii="Calibri" w:eastAsia="Calibri" w:hAnsi="Calibri"/>
                <w:sz w:val="18"/>
                <w:szCs w:val="18"/>
              </w:rPr>
            </w:pPr>
            <w:r w:rsidRPr="00D42F4B">
              <w:rPr>
                <w:rFonts w:ascii="Calibri" w:eastAsia="Calibri" w:hAnsi="Calibri"/>
                <w:sz w:val="18"/>
                <w:szCs w:val="18"/>
              </w:rPr>
              <w:t>N</w:t>
            </w:r>
          </w:p>
        </w:tc>
        <w:tc>
          <w:tcPr>
            <w:tcW w:w="1072" w:type="dxa"/>
            <w:tcBorders>
              <w:top w:val="single" w:sz="4" w:space="0" w:color="auto"/>
              <w:left w:val="single" w:sz="4" w:space="0" w:color="auto"/>
              <w:bottom w:val="single" w:sz="4" w:space="0" w:color="auto"/>
              <w:right w:val="single" w:sz="4" w:space="0" w:color="auto"/>
            </w:tcBorders>
            <w:vAlign w:val="center"/>
          </w:tcPr>
          <w:p w:rsidR="00E81B27" w:rsidRPr="00D42F4B" w:rsidP="00D42F4B" w14:paraId="3A5AC55D" w14:textId="77777777">
            <w:pPr>
              <w:widowControl/>
              <w:jc w:val="center"/>
              <w:rPr>
                <w:rFonts w:ascii="Calibri" w:eastAsia="Calibri" w:hAnsi="Calibri"/>
                <w:sz w:val="18"/>
                <w:szCs w:val="18"/>
              </w:rPr>
            </w:pPr>
            <w:r w:rsidRPr="00D42F4B">
              <w:rPr>
                <w:rFonts w:ascii="Calibri" w:eastAsia="Calibri" w:hAnsi="Calibri"/>
                <w:sz w:val="18"/>
                <w:szCs w:val="18"/>
              </w:rPr>
              <w:t>mail or delivery</w:t>
            </w:r>
          </w:p>
        </w:tc>
        <w:tc>
          <w:tcPr>
            <w:tcW w:w="4282" w:type="dxa"/>
            <w:tcBorders>
              <w:top w:val="single" w:sz="4" w:space="0" w:color="auto"/>
              <w:left w:val="single" w:sz="4" w:space="0" w:color="auto"/>
              <w:bottom w:val="single" w:sz="4" w:space="0" w:color="auto"/>
              <w:right w:val="single" w:sz="4" w:space="0" w:color="auto"/>
            </w:tcBorders>
            <w:vAlign w:val="center"/>
          </w:tcPr>
          <w:p w:rsidR="00333362" w:rsidRPr="00D42F4B" w:rsidP="00D42F4B" w14:paraId="0085C673" w14:textId="3F1E148E">
            <w:pPr>
              <w:widowControl/>
              <w:jc w:val="center"/>
              <w:rPr>
                <w:sz w:val="18"/>
                <w:szCs w:val="18"/>
              </w:rPr>
            </w:pPr>
            <w:r w:rsidRPr="00D42F4B">
              <w:rPr>
                <w:rFonts w:ascii="Calibri" w:eastAsia="Calibri" w:hAnsi="Calibri"/>
                <w:sz w:val="18"/>
                <w:szCs w:val="18"/>
              </w:rPr>
              <w:t>A</w:t>
            </w:r>
            <w:r w:rsidRPr="00D42F4B" w:rsidR="00E81B27">
              <w:rPr>
                <w:rFonts w:ascii="Calibri" w:eastAsia="Calibri" w:hAnsi="Calibri"/>
                <w:sz w:val="18"/>
                <w:szCs w:val="18"/>
              </w:rPr>
              <w:t>nnually</w:t>
            </w:r>
            <w:r w:rsidRPr="00D42F4B">
              <w:rPr>
                <w:rFonts w:ascii="Calibri" w:eastAsia="Calibri" w:hAnsi="Calibri"/>
                <w:sz w:val="18"/>
                <w:szCs w:val="18"/>
              </w:rPr>
              <w:t>, by January 31 for the prior calendar year</w:t>
            </w:r>
            <w:r w:rsidRPr="00D42F4B">
              <w:rPr>
                <w:rFonts w:ascii="Calibri" w:eastAsia="Calibri" w:hAnsi="Calibri"/>
                <w:sz w:val="18"/>
                <w:szCs w:val="18"/>
              </w:rPr>
              <w:t>.</w:t>
            </w:r>
          </w:p>
          <w:p w:rsidR="00E81B27" w:rsidRPr="00D42F4B" w:rsidP="00D42F4B" w14:paraId="19C4DC40" w14:textId="41D4E5DB">
            <w:pPr>
              <w:widowControl/>
              <w:spacing w:before="120"/>
              <w:jc w:val="center"/>
              <w:rPr>
                <w:rFonts w:ascii="Calibri" w:eastAsia="Calibri" w:hAnsi="Calibri"/>
                <w:sz w:val="18"/>
                <w:szCs w:val="18"/>
              </w:rPr>
            </w:pPr>
            <w:r w:rsidRPr="00D42F4B">
              <w:rPr>
                <w:rFonts w:ascii="Calibri" w:eastAsia="Calibri" w:hAnsi="Calibri"/>
                <w:sz w:val="18"/>
                <w:szCs w:val="18"/>
              </w:rPr>
              <w:t>A CQE is not required to submit an annual report for any calendar year in which it did not hold any community charter halibut permits, IFQ, or LLP</w:t>
            </w:r>
            <w:r w:rsidRPr="00D42F4B" w:rsidR="00C24E9D">
              <w:rPr>
                <w:rFonts w:ascii="Calibri" w:eastAsia="Calibri" w:hAnsi="Calibri"/>
                <w:sz w:val="18"/>
                <w:szCs w:val="18"/>
              </w:rPr>
              <w:t xml:space="preserve"> license</w:t>
            </w:r>
            <w:r w:rsidRPr="00D42F4B">
              <w:rPr>
                <w:rFonts w:ascii="Calibri" w:eastAsia="Calibri" w:hAnsi="Calibri"/>
                <w:sz w:val="18"/>
                <w:szCs w:val="18"/>
              </w:rPr>
              <w:t>s.</w:t>
            </w:r>
          </w:p>
        </w:tc>
      </w:tr>
      <w:tr w14:paraId="256B9AB9" w14:textId="304233A8" w:rsidTr="002C2179">
        <w:tblPrEx>
          <w:tblW w:w="12287" w:type="dxa"/>
          <w:tblLook w:val="04A0"/>
        </w:tblPrEx>
        <w:trPr>
          <w:trHeight w:val="371"/>
        </w:trPr>
        <w:tc>
          <w:tcPr>
            <w:tcW w:w="2558" w:type="dxa"/>
            <w:gridSpan w:val="2"/>
            <w:tcBorders>
              <w:top w:val="single" w:sz="4" w:space="0" w:color="auto"/>
              <w:left w:val="single" w:sz="4" w:space="0" w:color="auto"/>
              <w:bottom w:val="single" w:sz="4" w:space="0" w:color="auto"/>
              <w:right w:val="nil"/>
            </w:tcBorders>
            <w:shd w:val="clear" w:color="auto" w:fill="FDEADA" w:themeFill="accent6" w:themeFillTint="33"/>
            <w:vAlign w:val="center"/>
          </w:tcPr>
          <w:p w:rsidR="00E81B27" w:rsidRPr="00D42F4B" w:rsidP="00D42F4B" w14:paraId="3F2629E2" w14:textId="77777777">
            <w:pPr>
              <w:widowControl/>
              <w:rPr>
                <w:rFonts w:ascii="Calibri" w:eastAsia="Calibri" w:hAnsi="Calibri"/>
                <w:b/>
                <w:sz w:val="18"/>
                <w:szCs w:val="18"/>
              </w:rPr>
            </w:pPr>
            <w:r w:rsidRPr="00D42F4B">
              <w:rPr>
                <w:rFonts w:ascii="Calibri" w:eastAsia="Calibri" w:hAnsi="Calibri"/>
                <w:b/>
                <w:sz w:val="18"/>
                <w:szCs w:val="18"/>
              </w:rPr>
              <w:t>Halibut and Sablefish IFQ Program</w:t>
            </w:r>
          </w:p>
        </w:tc>
        <w:tc>
          <w:tcPr>
            <w:tcW w:w="1561" w:type="dxa"/>
            <w:tcBorders>
              <w:top w:val="single" w:sz="4" w:space="0" w:color="auto"/>
              <w:left w:val="nil"/>
              <w:bottom w:val="single" w:sz="4" w:space="0" w:color="auto"/>
              <w:right w:val="nil"/>
            </w:tcBorders>
            <w:shd w:val="clear" w:color="auto" w:fill="FDEADA" w:themeFill="accent6" w:themeFillTint="33"/>
            <w:vAlign w:val="center"/>
          </w:tcPr>
          <w:p w:rsidR="00E81B27" w:rsidRPr="00D42F4B" w:rsidP="00D42F4B" w14:paraId="362187A9" w14:textId="77777777">
            <w:pPr>
              <w:widowControl/>
              <w:jc w:val="center"/>
              <w:rPr>
                <w:rFonts w:ascii="Calibri" w:eastAsia="Calibri" w:hAnsi="Calibri"/>
                <w:sz w:val="18"/>
                <w:szCs w:val="18"/>
              </w:rPr>
            </w:pPr>
          </w:p>
        </w:tc>
        <w:tc>
          <w:tcPr>
            <w:tcW w:w="2063" w:type="dxa"/>
            <w:tcBorders>
              <w:top w:val="single" w:sz="4" w:space="0" w:color="auto"/>
              <w:left w:val="nil"/>
              <w:bottom w:val="single" w:sz="4" w:space="0" w:color="auto"/>
              <w:right w:val="nil"/>
            </w:tcBorders>
            <w:shd w:val="clear" w:color="auto" w:fill="FDEADA" w:themeFill="accent6" w:themeFillTint="33"/>
            <w:vAlign w:val="center"/>
          </w:tcPr>
          <w:p w:rsidR="00E81B27" w:rsidRPr="00D42F4B" w:rsidP="00D42F4B" w14:paraId="714B7013" w14:textId="77777777">
            <w:pPr>
              <w:widowControl/>
              <w:jc w:val="center"/>
              <w:rPr>
                <w:rFonts w:ascii="Calibri" w:eastAsia="Calibri" w:hAnsi="Calibri"/>
                <w:sz w:val="18"/>
                <w:szCs w:val="18"/>
              </w:rPr>
            </w:pPr>
          </w:p>
        </w:tc>
        <w:tc>
          <w:tcPr>
            <w:tcW w:w="751" w:type="dxa"/>
            <w:tcBorders>
              <w:top w:val="single" w:sz="4" w:space="0" w:color="auto"/>
              <w:left w:val="nil"/>
              <w:bottom w:val="single" w:sz="4" w:space="0" w:color="auto"/>
              <w:right w:val="nil"/>
            </w:tcBorders>
            <w:shd w:val="clear" w:color="auto" w:fill="FDEADA" w:themeFill="accent6" w:themeFillTint="33"/>
            <w:vAlign w:val="center"/>
          </w:tcPr>
          <w:p w:rsidR="00E81B27" w:rsidRPr="00D42F4B" w:rsidP="00D42F4B" w14:paraId="3F5E3FF4" w14:textId="3BB6DD10">
            <w:pPr>
              <w:widowControl/>
              <w:jc w:val="center"/>
              <w:rPr>
                <w:rFonts w:ascii="Calibri" w:eastAsia="Calibri" w:hAnsi="Calibri"/>
                <w:sz w:val="18"/>
                <w:szCs w:val="18"/>
              </w:rPr>
            </w:pPr>
          </w:p>
        </w:tc>
        <w:tc>
          <w:tcPr>
            <w:tcW w:w="1072" w:type="dxa"/>
            <w:tcBorders>
              <w:top w:val="single" w:sz="4" w:space="0" w:color="auto"/>
              <w:left w:val="nil"/>
              <w:bottom w:val="single" w:sz="4" w:space="0" w:color="auto"/>
              <w:right w:val="single" w:sz="4" w:space="0" w:color="auto"/>
            </w:tcBorders>
            <w:shd w:val="clear" w:color="auto" w:fill="FDEADA" w:themeFill="accent6" w:themeFillTint="33"/>
            <w:vAlign w:val="center"/>
          </w:tcPr>
          <w:p w:rsidR="00E81B27" w:rsidRPr="00D42F4B" w:rsidP="00D42F4B" w14:paraId="1DC83A27" w14:textId="77777777">
            <w:pPr>
              <w:widowControl/>
              <w:jc w:val="center"/>
              <w:rPr>
                <w:rFonts w:ascii="Calibri" w:eastAsia="Calibri" w:hAnsi="Calibri"/>
                <w:sz w:val="18"/>
                <w:szCs w:val="18"/>
              </w:rPr>
            </w:pPr>
          </w:p>
        </w:tc>
        <w:tc>
          <w:tcPr>
            <w:tcW w:w="4282" w:type="dxa"/>
            <w:tcBorders>
              <w:top w:val="single" w:sz="4" w:space="0" w:color="auto"/>
              <w:left w:val="nil"/>
              <w:bottom w:val="single" w:sz="4" w:space="0" w:color="auto"/>
              <w:right w:val="single" w:sz="4" w:space="0" w:color="auto"/>
            </w:tcBorders>
            <w:shd w:val="clear" w:color="auto" w:fill="FDEADA" w:themeFill="accent6" w:themeFillTint="33"/>
            <w:vAlign w:val="center"/>
          </w:tcPr>
          <w:p w:rsidR="00E81B27" w:rsidRPr="00D42F4B" w:rsidP="00D42F4B" w14:paraId="76C4748B" w14:textId="77777777">
            <w:pPr>
              <w:widowControl/>
              <w:jc w:val="center"/>
              <w:rPr>
                <w:rFonts w:ascii="Calibri" w:eastAsia="Calibri" w:hAnsi="Calibri"/>
                <w:sz w:val="18"/>
                <w:szCs w:val="18"/>
              </w:rPr>
            </w:pPr>
          </w:p>
        </w:tc>
      </w:tr>
      <w:tr w14:paraId="0D53E169" w14:textId="69B7E165" w:rsidTr="002C2179">
        <w:tblPrEx>
          <w:tblW w:w="12287" w:type="dxa"/>
          <w:tblLook w:val="04A0"/>
        </w:tblPrEx>
        <w:trPr>
          <w:trHeight w:val="446"/>
        </w:trPr>
        <w:tc>
          <w:tcPr>
            <w:tcW w:w="25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1B27" w:rsidRPr="00D42F4B" w:rsidP="00D42F4B" w14:paraId="2C1B79A9" w14:textId="77777777">
            <w:pPr>
              <w:widowControl/>
              <w:rPr>
                <w:rFonts w:ascii="Calibri" w:eastAsia="Calibri" w:hAnsi="Calibri"/>
                <w:sz w:val="18"/>
                <w:szCs w:val="18"/>
              </w:rPr>
            </w:pPr>
            <w:r w:rsidRPr="00D42F4B">
              <w:rPr>
                <w:rFonts w:ascii="Calibri" w:eastAsia="Calibri" w:hAnsi="Calibri"/>
                <w:sz w:val="18"/>
                <w:szCs w:val="18"/>
              </w:rPr>
              <w:t>Application for Transfer of Quota Share to or from a Community Quota Entity</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E81B27" w:rsidRPr="00D42F4B" w:rsidP="00D42F4B" w14:paraId="351702B1" w14:textId="3F15977F">
            <w:pPr>
              <w:widowControl/>
              <w:jc w:val="center"/>
              <w:rPr>
                <w:rFonts w:ascii="Calibri" w:eastAsia="Calibri" w:hAnsi="Calibri"/>
                <w:sz w:val="18"/>
                <w:szCs w:val="18"/>
              </w:rPr>
            </w:pPr>
            <w:hyperlink r:id="rId18" w:anchor="p-679.41(b)" w:history="1">
              <w:r w:rsidRPr="00D42F4B" w:rsidR="00313AF1">
                <w:rPr>
                  <w:rStyle w:val="Hyperlink"/>
                  <w:rFonts w:ascii="Calibri" w:eastAsia="Calibri" w:hAnsi="Calibri"/>
                  <w:sz w:val="18"/>
                  <w:szCs w:val="18"/>
                </w:rPr>
                <w:t>§§ 6</w:t>
              </w:r>
              <w:r w:rsidRPr="00D42F4B">
                <w:rPr>
                  <w:rStyle w:val="Hyperlink"/>
                  <w:rFonts w:ascii="Calibri" w:eastAsia="Calibri" w:hAnsi="Calibri"/>
                  <w:sz w:val="18"/>
                  <w:szCs w:val="18"/>
                </w:rPr>
                <w:t>79.41(b)</w:t>
              </w:r>
            </w:hyperlink>
            <w:r w:rsidRPr="00D42F4B">
              <w:rPr>
                <w:rFonts w:ascii="Calibri" w:eastAsia="Calibri" w:hAnsi="Calibri"/>
                <w:sz w:val="18"/>
                <w:szCs w:val="18"/>
              </w:rPr>
              <w:t xml:space="preserve"> and </w:t>
            </w:r>
            <w:hyperlink r:id="rId18" w:anchor="p-679.41(c)" w:history="1">
              <w:r w:rsidRPr="00D42F4B">
                <w:rPr>
                  <w:rStyle w:val="Hyperlink"/>
                  <w:rFonts w:ascii="Calibri" w:eastAsia="Calibri" w:hAnsi="Calibri"/>
                  <w:sz w:val="18"/>
                  <w:szCs w:val="18"/>
                </w:rPr>
                <w:t>(c)</w:t>
              </w:r>
            </w:hyperlink>
          </w:p>
        </w:tc>
        <w:tc>
          <w:tcPr>
            <w:tcW w:w="2063" w:type="dxa"/>
            <w:tcBorders>
              <w:top w:val="single" w:sz="4" w:space="0" w:color="auto"/>
              <w:left w:val="single" w:sz="4" w:space="0" w:color="auto"/>
              <w:bottom w:val="single" w:sz="4" w:space="0" w:color="auto"/>
              <w:right w:val="single" w:sz="4" w:space="0" w:color="auto"/>
            </w:tcBorders>
            <w:vAlign w:val="center"/>
          </w:tcPr>
          <w:p w:rsidR="00D03CDF" w:rsidRPr="00D42F4B" w:rsidP="00D42F4B" w14:paraId="357DC918" w14:textId="5582FBD9">
            <w:pPr>
              <w:widowControl/>
              <w:jc w:val="center"/>
              <w:rPr>
                <w:rFonts w:ascii="Calibri" w:eastAsia="Calibri" w:hAnsi="Calibri"/>
                <w:sz w:val="18"/>
                <w:szCs w:val="18"/>
              </w:rPr>
            </w:pPr>
            <w:r w:rsidRPr="00D42F4B">
              <w:rPr>
                <w:rFonts w:ascii="Calibri" w:eastAsia="Calibri" w:hAnsi="Calibri"/>
                <w:sz w:val="18"/>
                <w:szCs w:val="18"/>
              </w:rPr>
              <w:t>CQE representative and eligible community resident</w:t>
            </w:r>
            <w:r w:rsidRPr="00D42F4B">
              <w:rPr>
                <w:rFonts w:ascii="Calibri" w:eastAsia="Calibri" w:hAnsi="Calibri"/>
                <w:sz w:val="18"/>
                <w:szCs w:val="18"/>
              </w:rPr>
              <w:t>.</w:t>
            </w:r>
          </w:p>
          <w:p w:rsidR="00E81B27" w:rsidRPr="00D42F4B" w:rsidP="00D42F4B" w14:paraId="7B677701" w14:textId="006ECB66">
            <w:pPr>
              <w:widowControl/>
              <w:spacing w:before="120"/>
              <w:jc w:val="center"/>
              <w:rPr>
                <w:rFonts w:ascii="Calibri" w:eastAsia="Calibri" w:hAnsi="Calibri"/>
                <w:sz w:val="18"/>
                <w:szCs w:val="18"/>
              </w:rPr>
            </w:pPr>
            <w:r w:rsidRPr="00D42F4B">
              <w:rPr>
                <w:rFonts w:ascii="Calibri" w:eastAsia="Calibri" w:hAnsi="Calibri"/>
                <w:sz w:val="18"/>
                <w:szCs w:val="18"/>
              </w:rPr>
              <w:t xml:space="preserve">Signature of community representative required only when CQE proposes </w:t>
            </w:r>
            <w:r w:rsidRPr="00D42F4B">
              <w:rPr>
                <w:rFonts w:ascii="Calibri" w:eastAsia="Calibri" w:hAnsi="Calibri"/>
                <w:sz w:val="18"/>
                <w:szCs w:val="18"/>
              </w:rPr>
              <w:t>to permanently transfer</w:t>
            </w:r>
            <w:r w:rsidRPr="00D42F4B">
              <w:rPr>
                <w:rFonts w:ascii="Calibri" w:eastAsia="Calibri" w:hAnsi="Calibri"/>
                <w:sz w:val="18"/>
                <w:szCs w:val="18"/>
              </w:rPr>
              <w:t xml:space="preserve"> QS.</w:t>
            </w:r>
          </w:p>
        </w:tc>
        <w:tc>
          <w:tcPr>
            <w:tcW w:w="751" w:type="dxa"/>
            <w:tcBorders>
              <w:top w:val="single" w:sz="4" w:space="0" w:color="auto"/>
              <w:left w:val="single" w:sz="4" w:space="0" w:color="auto"/>
              <w:bottom w:val="single" w:sz="4" w:space="0" w:color="auto"/>
              <w:right w:val="single" w:sz="4" w:space="0" w:color="auto"/>
            </w:tcBorders>
            <w:vAlign w:val="center"/>
          </w:tcPr>
          <w:p w:rsidR="00E81B27" w:rsidRPr="00D42F4B" w:rsidP="00D42F4B" w14:paraId="4ECEFFEA" w14:textId="76176AC1">
            <w:pPr>
              <w:widowControl/>
              <w:jc w:val="center"/>
              <w:rPr>
                <w:rFonts w:ascii="Calibri" w:eastAsia="Calibri" w:hAnsi="Calibri"/>
                <w:sz w:val="18"/>
                <w:szCs w:val="18"/>
              </w:rPr>
            </w:pPr>
            <w:r w:rsidRPr="00D42F4B">
              <w:rPr>
                <w:rFonts w:ascii="Calibri" w:eastAsia="Calibri" w:hAnsi="Calibri"/>
                <w:sz w:val="18"/>
                <w:szCs w:val="18"/>
              </w:rPr>
              <w:t>Y</w:t>
            </w:r>
          </w:p>
        </w:tc>
        <w:tc>
          <w:tcPr>
            <w:tcW w:w="1072" w:type="dxa"/>
            <w:tcBorders>
              <w:top w:val="single" w:sz="4" w:space="0" w:color="auto"/>
              <w:left w:val="single" w:sz="4" w:space="0" w:color="auto"/>
              <w:bottom w:val="single" w:sz="4" w:space="0" w:color="auto"/>
              <w:right w:val="single" w:sz="4" w:space="0" w:color="auto"/>
            </w:tcBorders>
            <w:vAlign w:val="center"/>
          </w:tcPr>
          <w:p w:rsidR="00E81B27" w:rsidRPr="00D42F4B" w:rsidP="00D42F4B" w14:paraId="763C9603" w14:textId="54D81C49">
            <w:pPr>
              <w:widowControl/>
              <w:jc w:val="center"/>
              <w:rPr>
                <w:rFonts w:ascii="Calibri" w:eastAsia="Calibri" w:hAnsi="Calibri"/>
                <w:sz w:val="18"/>
                <w:szCs w:val="18"/>
              </w:rPr>
            </w:pPr>
            <w:r w:rsidRPr="00D42F4B">
              <w:rPr>
                <w:rFonts w:ascii="Calibri" w:eastAsia="Calibri" w:hAnsi="Calibri"/>
                <w:sz w:val="18"/>
                <w:szCs w:val="18"/>
              </w:rPr>
              <w:t>mail</w:t>
            </w:r>
            <w:r w:rsidRPr="00D42F4B" w:rsidR="002068AC">
              <w:rPr>
                <w:rFonts w:ascii="Calibri" w:eastAsia="Calibri" w:hAnsi="Calibri"/>
                <w:sz w:val="18"/>
                <w:szCs w:val="18"/>
              </w:rPr>
              <w:t>,</w:t>
            </w:r>
            <w:r w:rsidRPr="00D42F4B">
              <w:rPr>
                <w:rFonts w:ascii="Calibri" w:eastAsia="Calibri" w:hAnsi="Calibri"/>
                <w:sz w:val="18"/>
                <w:szCs w:val="18"/>
              </w:rPr>
              <w:t xml:space="preserve"> delivery</w:t>
            </w:r>
            <w:r w:rsidRPr="00D42F4B" w:rsidR="002068AC">
              <w:rPr>
                <w:rFonts w:ascii="Calibri" w:eastAsia="Calibri" w:hAnsi="Calibri"/>
                <w:sz w:val="18"/>
                <w:szCs w:val="18"/>
              </w:rPr>
              <w:t>, or fax</w:t>
            </w:r>
          </w:p>
        </w:tc>
        <w:tc>
          <w:tcPr>
            <w:tcW w:w="4282" w:type="dxa"/>
            <w:tcBorders>
              <w:top w:val="single" w:sz="4" w:space="0" w:color="auto"/>
              <w:left w:val="single" w:sz="4" w:space="0" w:color="auto"/>
              <w:bottom w:val="single" w:sz="4" w:space="0" w:color="auto"/>
              <w:right w:val="single" w:sz="4" w:space="0" w:color="auto"/>
            </w:tcBorders>
            <w:vAlign w:val="center"/>
          </w:tcPr>
          <w:p w:rsidR="00E81B27" w:rsidRPr="00D42F4B" w:rsidP="00D42F4B" w14:paraId="4E4EC4EB" w14:textId="436BFA03">
            <w:pPr>
              <w:widowControl/>
              <w:jc w:val="center"/>
              <w:rPr>
                <w:rFonts w:ascii="Calibri" w:eastAsia="Calibri" w:hAnsi="Calibri"/>
                <w:sz w:val="18"/>
                <w:szCs w:val="18"/>
              </w:rPr>
            </w:pPr>
            <w:r w:rsidRPr="00D42F4B">
              <w:rPr>
                <w:rFonts w:ascii="Calibri" w:eastAsia="Calibri" w:hAnsi="Calibri"/>
                <w:sz w:val="18"/>
                <w:szCs w:val="18"/>
              </w:rPr>
              <w:t>As needed</w:t>
            </w:r>
          </w:p>
        </w:tc>
      </w:tr>
      <w:tr w14:paraId="7733BA82" w14:textId="3EE5546C" w:rsidTr="002C2179">
        <w:tblPrEx>
          <w:tblW w:w="12287" w:type="dxa"/>
          <w:tblLook w:val="04A0"/>
        </w:tblPrEx>
        <w:trPr>
          <w:trHeight w:val="446"/>
        </w:trPr>
        <w:tc>
          <w:tcPr>
            <w:tcW w:w="2558" w:type="dxa"/>
            <w:gridSpan w:val="2"/>
            <w:shd w:val="clear" w:color="auto" w:fill="auto"/>
            <w:vAlign w:val="center"/>
          </w:tcPr>
          <w:p w:rsidR="00E81B27" w:rsidRPr="00D42F4B" w:rsidP="00D42F4B" w14:paraId="65FB3768" w14:textId="77777777">
            <w:pPr>
              <w:widowControl/>
              <w:rPr>
                <w:rFonts w:ascii="Calibri" w:eastAsia="Calibri" w:hAnsi="Calibri"/>
                <w:sz w:val="18"/>
                <w:szCs w:val="18"/>
              </w:rPr>
            </w:pPr>
            <w:r w:rsidRPr="00D42F4B">
              <w:rPr>
                <w:rFonts w:ascii="Calibri" w:eastAsia="Calibri" w:hAnsi="Calibri"/>
                <w:sz w:val="18"/>
                <w:szCs w:val="18"/>
              </w:rPr>
              <w:t>Application for a CQE to Transfer IFQ to an Eligible Community Resident or Non-resident</w:t>
            </w:r>
          </w:p>
        </w:tc>
        <w:tc>
          <w:tcPr>
            <w:tcW w:w="1561" w:type="dxa"/>
            <w:shd w:val="clear" w:color="auto" w:fill="auto"/>
            <w:vAlign w:val="center"/>
          </w:tcPr>
          <w:p w:rsidR="00E81B27" w:rsidRPr="00D42F4B" w:rsidP="00D42F4B" w14:paraId="71898ECF" w14:textId="4350C7D4">
            <w:pPr>
              <w:widowControl/>
              <w:jc w:val="center"/>
              <w:rPr>
                <w:rFonts w:ascii="Calibri" w:eastAsia="Calibri" w:hAnsi="Calibri"/>
                <w:sz w:val="18"/>
                <w:szCs w:val="18"/>
              </w:rPr>
            </w:pPr>
            <w:hyperlink r:id="rId18" w:anchor="p-679.41(b)" w:history="1">
              <w:r w:rsidRPr="00D42F4B" w:rsidR="00313AF1">
                <w:rPr>
                  <w:rStyle w:val="Hyperlink"/>
                  <w:rFonts w:ascii="Calibri" w:eastAsia="Calibri" w:hAnsi="Calibri"/>
                  <w:sz w:val="18"/>
                  <w:szCs w:val="18"/>
                </w:rPr>
                <w:t>§§ 6</w:t>
              </w:r>
              <w:r w:rsidRPr="00D42F4B">
                <w:rPr>
                  <w:rStyle w:val="Hyperlink"/>
                  <w:rFonts w:ascii="Calibri" w:eastAsia="Calibri" w:hAnsi="Calibri"/>
                  <w:sz w:val="18"/>
                  <w:szCs w:val="18"/>
                </w:rPr>
                <w:t>79.41(b)</w:t>
              </w:r>
            </w:hyperlink>
            <w:r w:rsidRPr="00D42F4B">
              <w:rPr>
                <w:rFonts w:ascii="Calibri" w:eastAsia="Calibri" w:hAnsi="Calibri"/>
                <w:sz w:val="18"/>
                <w:szCs w:val="18"/>
              </w:rPr>
              <w:t xml:space="preserve"> and </w:t>
            </w:r>
            <w:hyperlink r:id="rId18" w:anchor="p-679.41(c)" w:history="1">
              <w:r w:rsidRPr="00D42F4B">
                <w:rPr>
                  <w:rStyle w:val="Hyperlink"/>
                  <w:rFonts w:ascii="Calibri" w:eastAsia="Calibri" w:hAnsi="Calibri"/>
                  <w:sz w:val="18"/>
                  <w:szCs w:val="18"/>
                </w:rPr>
                <w:t>(c)</w:t>
              </w:r>
            </w:hyperlink>
          </w:p>
        </w:tc>
        <w:tc>
          <w:tcPr>
            <w:tcW w:w="2063" w:type="dxa"/>
            <w:vAlign w:val="center"/>
          </w:tcPr>
          <w:p w:rsidR="00E81B27" w:rsidRPr="00D42F4B" w:rsidP="00D42F4B" w14:paraId="71D5D2BB" w14:textId="0704CF6A">
            <w:pPr>
              <w:widowControl/>
              <w:jc w:val="center"/>
              <w:rPr>
                <w:rFonts w:ascii="Calibri" w:eastAsia="Calibri" w:hAnsi="Calibri"/>
                <w:sz w:val="18"/>
                <w:szCs w:val="18"/>
              </w:rPr>
            </w:pPr>
            <w:r w:rsidRPr="00D42F4B">
              <w:rPr>
                <w:rFonts w:ascii="Calibri" w:eastAsia="Calibri" w:hAnsi="Calibri"/>
                <w:sz w:val="18"/>
                <w:szCs w:val="18"/>
              </w:rPr>
              <w:t>CQE representative and eligible community resident or non-resident</w:t>
            </w:r>
          </w:p>
        </w:tc>
        <w:tc>
          <w:tcPr>
            <w:tcW w:w="751" w:type="dxa"/>
            <w:vAlign w:val="center"/>
          </w:tcPr>
          <w:p w:rsidR="00E81B27" w:rsidRPr="00D42F4B" w:rsidP="00D42F4B" w14:paraId="453888F8" w14:textId="4B4D5C2C">
            <w:pPr>
              <w:widowControl/>
              <w:jc w:val="center"/>
              <w:rPr>
                <w:rFonts w:ascii="Calibri" w:eastAsia="Calibri" w:hAnsi="Calibri"/>
                <w:sz w:val="18"/>
                <w:szCs w:val="18"/>
              </w:rPr>
            </w:pPr>
            <w:r w:rsidRPr="00D42F4B">
              <w:rPr>
                <w:rFonts w:ascii="Calibri" w:eastAsia="Calibri" w:hAnsi="Calibri"/>
                <w:sz w:val="18"/>
                <w:szCs w:val="18"/>
              </w:rPr>
              <w:t>Y</w:t>
            </w:r>
          </w:p>
        </w:tc>
        <w:tc>
          <w:tcPr>
            <w:tcW w:w="1072" w:type="dxa"/>
            <w:vAlign w:val="center"/>
          </w:tcPr>
          <w:p w:rsidR="00E81B27" w:rsidRPr="00D42F4B" w:rsidP="00D42F4B" w14:paraId="24EB6FFB" w14:textId="77777777">
            <w:pPr>
              <w:widowControl/>
              <w:jc w:val="center"/>
              <w:rPr>
                <w:rFonts w:ascii="Calibri" w:eastAsia="Calibri" w:hAnsi="Calibri"/>
                <w:sz w:val="18"/>
                <w:szCs w:val="18"/>
              </w:rPr>
            </w:pPr>
            <w:r w:rsidRPr="00D42F4B">
              <w:rPr>
                <w:rFonts w:ascii="Calibri" w:eastAsia="Calibri" w:hAnsi="Calibri"/>
                <w:sz w:val="18"/>
                <w:szCs w:val="18"/>
              </w:rPr>
              <w:t>mail, delivery, or fax</w:t>
            </w:r>
          </w:p>
        </w:tc>
        <w:tc>
          <w:tcPr>
            <w:tcW w:w="4282" w:type="dxa"/>
            <w:vAlign w:val="center"/>
          </w:tcPr>
          <w:p w:rsidR="00E81B27" w:rsidRPr="00D42F4B" w:rsidP="00D42F4B" w14:paraId="7EE48008" w14:textId="14D9DB14">
            <w:pPr>
              <w:widowControl/>
              <w:jc w:val="center"/>
              <w:rPr>
                <w:rFonts w:ascii="Calibri" w:eastAsia="Calibri" w:hAnsi="Calibri"/>
                <w:sz w:val="18"/>
                <w:szCs w:val="18"/>
              </w:rPr>
            </w:pPr>
            <w:r w:rsidRPr="00D42F4B">
              <w:rPr>
                <w:rFonts w:ascii="Calibri" w:eastAsia="Calibri" w:hAnsi="Calibri"/>
                <w:sz w:val="18"/>
                <w:szCs w:val="18"/>
              </w:rPr>
              <w:t>As needed</w:t>
            </w:r>
          </w:p>
        </w:tc>
      </w:tr>
      <w:tr w14:paraId="0F5A9B22" w14:textId="1F10BA14" w:rsidTr="002C2179">
        <w:tblPrEx>
          <w:tblW w:w="12287" w:type="dxa"/>
          <w:tblLook w:val="04A0"/>
        </w:tblPrEx>
        <w:trPr>
          <w:trHeight w:val="446"/>
        </w:trPr>
        <w:tc>
          <w:tcPr>
            <w:tcW w:w="25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1B27" w:rsidRPr="00D42F4B" w:rsidP="00D42F4B" w14:paraId="168714A0" w14:textId="77777777">
            <w:pPr>
              <w:widowControl/>
              <w:rPr>
                <w:rFonts w:ascii="Calibri" w:eastAsia="Calibri" w:hAnsi="Calibri"/>
                <w:sz w:val="18"/>
                <w:szCs w:val="18"/>
              </w:rPr>
            </w:pPr>
            <w:r w:rsidRPr="00D42F4B">
              <w:rPr>
                <w:rFonts w:ascii="Calibri" w:eastAsia="Calibri" w:hAnsi="Calibri"/>
                <w:sz w:val="18"/>
                <w:szCs w:val="18"/>
              </w:rPr>
              <w:t>Application for Transfer (Lease) Between IFQ and Guided Angler Fish by a Community Quota Entity (CQE)</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E81B27" w:rsidRPr="00D42F4B" w:rsidP="00D42F4B" w14:paraId="572EFA4B" w14:textId="7F6069EE">
            <w:pPr>
              <w:widowControl/>
              <w:jc w:val="center"/>
              <w:rPr>
                <w:rFonts w:ascii="Calibri" w:eastAsia="Calibri" w:hAnsi="Calibri"/>
                <w:sz w:val="18"/>
                <w:szCs w:val="18"/>
              </w:rPr>
            </w:pPr>
            <w:hyperlink r:id="rId20" w:anchor="p-300.65(c)(5)(ii)" w:history="1">
              <w:r w:rsidRPr="00D42F4B" w:rsidR="00313AF1">
                <w:rPr>
                  <w:rStyle w:val="Hyperlink"/>
                  <w:rFonts w:ascii="Calibri" w:eastAsia="Calibri" w:hAnsi="Calibri"/>
                  <w:sz w:val="18"/>
                  <w:szCs w:val="18"/>
                </w:rPr>
                <w:t>§</w:t>
              </w:r>
              <w:r w:rsidRPr="00D42F4B">
                <w:rPr>
                  <w:rStyle w:val="Hyperlink"/>
                  <w:rFonts w:ascii="Calibri" w:eastAsia="Calibri" w:hAnsi="Calibri"/>
                  <w:sz w:val="18"/>
                  <w:szCs w:val="18"/>
                </w:rPr>
                <w:t xml:space="preserve"> 300.65(c)(5)</w:t>
              </w:r>
              <w:r w:rsidRPr="00D42F4B" w:rsidR="00944834">
                <w:rPr>
                  <w:rStyle w:val="Hyperlink"/>
                  <w:rFonts w:ascii="Calibri" w:eastAsia="Calibri" w:hAnsi="Calibri"/>
                  <w:sz w:val="18"/>
                  <w:szCs w:val="18"/>
                </w:rPr>
                <w:t>(ii)</w:t>
              </w:r>
            </w:hyperlink>
          </w:p>
        </w:tc>
        <w:tc>
          <w:tcPr>
            <w:tcW w:w="2063" w:type="dxa"/>
            <w:tcBorders>
              <w:top w:val="single" w:sz="4" w:space="0" w:color="auto"/>
              <w:left w:val="single" w:sz="4" w:space="0" w:color="auto"/>
              <w:bottom w:val="single" w:sz="4" w:space="0" w:color="auto"/>
              <w:right w:val="single" w:sz="4" w:space="0" w:color="auto"/>
            </w:tcBorders>
            <w:vAlign w:val="center"/>
          </w:tcPr>
          <w:p w:rsidR="00E81B27" w:rsidRPr="00D42F4B" w:rsidP="00D42F4B" w14:paraId="7A3C46DF" w14:textId="6F61BD6C">
            <w:pPr>
              <w:widowControl/>
              <w:jc w:val="center"/>
              <w:rPr>
                <w:rFonts w:ascii="Calibri" w:eastAsia="Calibri" w:hAnsi="Calibri"/>
                <w:sz w:val="18"/>
                <w:szCs w:val="18"/>
              </w:rPr>
            </w:pPr>
            <w:r w:rsidRPr="00D42F4B">
              <w:rPr>
                <w:rFonts w:ascii="Calibri" w:eastAsia="Calibri" w:hAnsi="Calibri"/>
                <w:sz w:val="18"/>
                <w:szCs w:val="18"/>
              </w:rPr>
              <w:t>CQE representative and eligible community resident holding charter halibut permits</w:t>
            </w:r>
          </w:p>
        </w:tc>
        <w:tc>
          <w:tcPr>
            <w:tcW w:w="751" w:type="dxa"/>
            <w:tcBorders>
              <w:top w:val="single" w:sz="4" w:space="0" w:color="auto"/>
              <w:left w:val="single" w:sz="4" w:space="0" w:color="auto"/>
              <w:bottom w:val="single" w:sz="4" w:space="0" w:color="auto"/>
              <w:right w:val="single" w:sz="4" w:space="0" w:color="auto"/>
            </w:tcBorders>
            <w:vAlign w:val="center"/>
          </w:tcPr>
          <w:p w:rsidR="00E81B27" w:rsidRPr="00D42F4B" w:rsidP="00D42F4B" w14:paraId="4044E39E" w14:textId="33024C77">
            <w:pPr>
              <w:widowControl/>
              <w:jc w:val="center"/>
              <w:rPr>
                <w:rFonts w:ascii="Calibri" w:eastAsia="Calibri" w:hAnsi="Calibri"/>
                <w:sz w:val="18"/>
                <w:szCs w:val="18"/>
              </w:rPr>
            </w:pPr>
            <w:r w:rsidRPr="00D42F4B">
              <w:rPr>
                <w:rFonts w:ascii="Calibri" w:eastAsia="Calibri" w:hAnsi="Calibri"/>
                <w:sz w:val="18"/>
                <w:szCs w:val="18"/>
              </w:rPr>
              <w:t>Y</w:t>
            </w:r>
          </w:p>
        </w:tc>
        <w:tc>
          <w:tcPr>
            <w:tcW w:w="1072" w:type="dxa"/>
            <w:tcBorders>
              <w:top w:val="single" w:sz="4" w:space="0" w:color="auto"/>
              <w:left w:val="single" w:sz="4" w:space="0" w:color="auto"/>
              <w:bottom w:val="single" w:sz="4" w:space="0" w:color="auto"/>
              <w:right w:val="single" w:sz="4" w:space="0" w:color="auto"/>
            </w:tcBorders>
            <w:vAlign w:val="center"/>
          </w:tcPr>
          <w:p w:rsidR="00E81B27" w:rsidRPr="00D42F4B" w:rsidP="00D42F4B" w14:paraId="2DDCEC1B" w14:textId="77777777">
            <w:pPr>
              <w:widowControl/>
              <w:jc w:val="center"/>
              <w:rPr>
                <w:rFonts w:ascii="Calibri" w:eastAsia="Calibri" w:hAnsi="Calibri"/>
                <w:sz w:val="18"/>
                <w:szCs w:val="18"/>
              </w:rPr>
            </w:pPr>
            <w:r w:rsidRPr="00D42F4B">
              <w:rPr>
                <w:rFonts w:ascii="Calibri" w:eastAsia="Calibri" w:hAnsi="Calibri"/>
                <w:sz w:val="18"/>
                <w:szCs w:val="18"/>
              </w:rPr>
              <w:t>mail, delivery, or fax</w:t>
            </w:r>
          </w:p>
        </w:tc>
        <w:tc>
          <w:tcPr>
            <w:tcW w:w="4282" w:type="dxa"/>
            <w:tcBorders>
              <w:top w:val="single" w:sz="4" w:space="0" w:color="auto"/>
              <w:left w:val="single" w:sz="4" w:space="0" w:color="auto"/>
              <w:bottom w:val="single" w:sz="4" w:space="0" w:color="auto"/>
              <w:right w:val="single" w:sz="4" w:space="0" w:color="auto"/>
            </w:tcBorders>
            <w:vAlign w:val="center"/>
          </w:tcPr>
          <w:p w:rsidR="00E81B27" w:rsidRPr="00D42F4B" w:rsidP="00D42F4B" w14:paraId="5FBF5ED1" w14:textId="7FB43120">
            <w:pPr>
              <w:widowControl/>
              <w:jc w:val="center"/>
              <w:rPr>
                <w:rFonts w:ascii="Calibri" w:eastAsia="Calibri" w:hAnsi="Calibri"/>
                <w:sz w:val="18"/>
                <w:szCs w:val="18"/>
              </w:rPr>
            </w:pPr>
            <w:r w:rsidRPr="00D42F4B">
              <w:rPr>
                <w:rFonts w:ascii="Calibri" w:eastAsia="Calibri" w:hAnsi="Calibri"/>
                <w:sz w:val="18"/>
                <w:szCs w:val="18"/>
              </w:rPr>
              <w:t>As needed</w:t>
            </w:r>
          </w:p>
        </w:tc>
      </w:tr>
      <w:tr w14:paraId="0D0CC6D4" w14:textId="4BA551B1" w:rsidTr="002C2179">
        <w:tblPrEx>
          <w:tblW w:w="12287" w:type="dxa"/>
          <w:tblLook w:val="04A0"/>
        </w:tblPrEx>
        <w:trPr>
          <w:trHeight w:val="371"/>
        </w:trPr>
        <w:tc>
          <w:tcPr>
            <w:tcW w:w="1443" w:type="dxa"/>
            <w:tcBorders>
              <w:right w:val="nil"/>
            </w:tcBorders>
            <w:shd w:val="clear" w:color="auto" w:fill="FDEADA" w:themeFill="accent6" w:themeFillTint="33"/>
            <w:vAlign w:val="center"/>
          </w:tcPr>
          <w:p w:rsidR="00E81B27" w:rsidRPr="00D42F4B" w:rsidP="00D42F4B" w14:paraId="21FE1A3B" w14:textId="77777777">
            <w:pPr>
              <w:widowControl/>
              <w:rPr>
                <w:rFonts w:ascii="Calibri" w:eastAsia="Calibri" w:hAnsi="Calibri"/>
                <w:b/>
                <w:sz w:val="18"/>
                <w:szCs w:val="18"/>
              </w:rPr>
            </w:pPr>
            <w:r w:rsidRPr="00D42F4B">
              <w:rPr>
                <w:rFonts w:ascii="Calibri" w:eastAsia="Calibri" w:hAnsi="Calibri"/>
                <w:b/>
                <w:sz w:val="18"/>
                <w:szCs w:val="18"/>
              </w:rPr>
              <w:t>License Limitation Program</w:t>
            </w:r>
          </w:p>
        </w:tc>
        <w:tc>
          <w:tcPr>
            <w:tcW w:w="2676" w:type="dxa"/>
            <w:gridSpan w:val="2"/>
            <w:tcBorders>
              <w:left w:val="nil"/>
              <w:right w:val="nil"/>
            </w:tcBorders>
            <w:shd w:val="clear" w:color="auto" w:fill="FDEADA" w:themeFill="accent6" w:themeFillTint="33"/>
            <w:vAlign w:val="center"/>
          </w:tcPr>
          <w:p w:rsidR="00E81B27" w:rsidRPr="00D42F4B" w:rsidP="00D42F4B" w14:paraId="2C4109B9" w14:textId="77777777">
            <w:pPr>
              <w:widowControl/>
              <w:jc w:val="center"/>
              <w:rPr>
                <w:rFonts w:ascii="Calibri" w:eastAsia="Calibri" w:hAnsi="Calibri"/>
                <w:sz w:val="18"/>
                <w:szCs w:val="18"/>
              </w:rPr>
            </w:pPr>
          </w:p>
        </w:tc>
        <w:tc>
          <w:tcPr>
            <w:tcW w:w="2063" w:type="dxa"/>
            <w:tcBorders>
              <w:left w:val="nil"/>
              <w:right w:val="nil"/>
            </w:tcBorders>
            <w:shd w:val="clear" w:color="auto" w:fill="FDEADA" w:themeFill="accent6" w:themeFillTint="33"/>
            <w:vAlign w:val="center"/>
          </w:tcPr>
          <w:p w:rsidR="00E81B27" w:rsidRPr="00D42F4B" w:rsidP="00D42F4B" w14:paraId="0F9E9E48" w14:textId="77777777">
            <w:pPr>
              <w:widowControl/>
              <w:jc w:val="center"/>
              <w:rPr>
                <w:rFonts w:ascii="Calibri" w:eastAsia="Calibri" w:hAnsi="Calibri"/>
                <w:sz w:val="18"/>
                <w:szCs w:val="18"/>
              </w:rPr>
            </w:pPr>
          </w:p>
        </w:tc>
        <w:tc>
          <w:tcPr>
            <w:tcW w:w="751" w:type="dxa"/>
            <w:tcBorders>
              <w:left w:val="nil"/>
              <w:right w:val="nil"/>
            </w:tcBorders>
            <w:shd w:val="clear" w:color="auto" w:fill="FDEADA" w:themeFill="accent6" w:themeFillTint="33"/>
            <w:vAlign w:val="center"/>
          </w:tcPr>
          <w:p w:rsidR="00E81B27" w:rsidRPr="00D42F4B" w:rsidP="00D42F4B" w14:paraId="561ED233" w14:textId="7577CA73">
            <w:pPr>
              <w:widowControl/>
              <w:jc w:val="center"/>
              <w:rPr>
                <w:rFonts w:ascii="Calibri" w:eastAsia="Calibri" w:hAnsi="Calibri"/>
                <w:sz w:val="18"/>
                <w:szCs w:val="18"/>
              </w:rPr>
            </w:pPr>
          </w:p>
        </w:tc>
        <w:tc>
          <w:tcPr>
            <w:tcW w:w="1072" w:type="dxa"/>
            <w:tcBorders>
              <w:left w:val="nil"/>
            </w:tcBorders>
            <w:shd w:val="clear" w:color="auto" w:fill="FDEADA" w:themeFill="accent6" w:themeFillTint="33"/>
            <w:vAlign w:val="center"/>
          </w:tcPr>
          <w:p w:rsidR="00E81B27" w:rsidRPr="00D42F4B" w:rsidP="00D42F4B" w14:paraId="7772E01E" w14:textId="77777777">
            <w:pPr>
              <w:widowControl/>
              <w:jc w:val="center"/>
              <w:rPr>
                <w:rFonts w:ascii="Calibri" w:eastAsia="Calibri" w:hAnsi="Calibri"/>
                <w:sz w:val="18"/>
                <w:szCs w:val="18"/>
              </w:rPr>
            </w:pPr>
          </w:p>
        </w:tc>
        <w:tc>
          <w:tcPr>
            <w:tcW w:w="4282" w:type="dxa"/>
            <w:tcBorders>
              <w:left w:val="nil"/>
            </w:tcBorders>
            <w:shd w:val="clear" w:color="auto" w:fill="FDEADA" w:themeFill="accent6" w:themeFillTint="33"/>
            <w:vAlign w:val="center"/>
          </w:tcPr>
          <w:p w:rsidR="00E81B27" w:rsidRPr="00D42F4B" w:rsidP="00D42F4B" w14:paraId="203BBE02" w14:textId="77777777">
            <w:pPr>
              <w:widowControl/>
              <w:jc w:val="center"/>
              <w:rPr>
                <w:rFonts w:ascii="Calibri" w:eastAsia="Calibri" w:hAnsi="Calibri"/>
                <w:sz w:val="18"/>
                <w:szCs w:val="18"/>
              </w:rPr>
            </w:pPr>
          </w:p>
        </w:tc>
      </w:tr>
      <w:tr w14:paraId="0900A1A2" w14:textId="2EF509E0" w:rsidTr="002C2179">
        <w:tblPrEx>
          <w:tblW w:w="12287" w:type="dxa"/>
          <w:tblLook w:val="04A0"/>
        </w:tblPrEx>
        <w:trPr>
          <w:trHeight w:val="446"/>
        </w:trPr>
        <w:tc>
          <w:tcPr>
            <w:tcW w:w="2558" w:type="dxa"/>
            <w:gridSpan w:val="2"/>
            <w:shd w:val="clear" w:color="auto" w:fill="auto"/>
            <w:vAlign w:val="center"/>
          </w:tcPr>
          <w:p w:rsidR="00E81B27" w:rsidRPr="00D42F4B" w:rsidP="00D42F4B" w14:paraId="3E346418" w14:textId="77777777">
            <w:pPr>
              <w:widowControl/>
              <w:rPr>
                <w:rFonts w:ascii="Calibri" w:eastAsia="Calibri" w:hAnsi="Calibri"/>
                <w:sz w:val="18"/>
                <w:szCs w:val="18"/>
              </w:rPr>
            </w:pPr>
            <w:r w:rsidRPr="00D42F4B">
              <w:rPr>
                <w:rFonts w:ascii="Calibri" w:eastAsia="Calibri" w:hAnsi="Calibri"/>
                <w:sz w:val="18"/>
                <w:szCs w:val="18"/>
              </w:rPr>
              <w:t>Application for a CQE to Receive a Non-trawl Groundfish LLP License</w:t>
            </w:r>
          </w:p>
        </w:tc>
        <w:tc>
          <w:tcPr>
            <w:tcW w:w="1561" w:type="dxa"/>
            <w:shd w:val="clear" w:color="auto" w:fill="auto"/>
            <w:vAlign w:val="center"/>
          </w:tcPr>
          <w:p w:rsidR="00E81B27" w:rsidRPr="00D42F4B" w:rsidP="00D42F4B" w14:paraId="7AF0C595" w14:textId="570FBA76">
            <w:pPr>
              <w:widowControl/>
              <w:jc w:val="center"/>
              <w:rPr>
                <w:rFonts w:ascii="Calibri" w:eastAsia="Calibri" w:hAnsi="Calibri"/>
                <w:sz w:val="18"/>
                <w:szCs w:val="18"/>
              </w:rPr>
            </w:pPr>
            <w:hyperlink r:id="rId21" w:anchor="p-679.4(k)(10)(vi)" w:history="1">
              <w:r w:rsidRPr="00D42F4B" w:rsidR="00313AF1">
                <w:rPr>
                  <w:rStyle w:val="Hyperlink"/>
                  <w:rFonts w:ascii="Calibri" w:eastAsia="Calibri" w:hAnsi="Calibri"/>
                  <w:sz w:val="18"/>
                  <w:szCs w:val="18"/>
                </w:rPr>
                <w:t xml:space="preserve">§§ </w:t>
              </w:r>
              <w:r w:rsidRPr="00D42F4B" w:rsidR="00330927">
                <w:rPr>
                  <w:rStyle w:val="Hyperlink"/>
                  <w:rFonts w:ascii="Calibri" w:eastAsia="Calibri" w:hAnsi="Calibri"/>
                  <w:sz w:val="18"/>
                  <w:szCs w:val="18"/>
                </w:rPr>
                <w:t>679.4(k)(10)(vi)(A) through (C)</w:t>
              </w:r>
            </w:hyperlink>
          </w:p>
        </w:tc>
        <w:tc>
          <w:tcPr>
            <w:tcW w:w="2063" w:type="dxa"/>
            <w:vAlign w:val="center"/>
          </w:tcPr>
          <w:p w:rsidR="00E81B27" w:rsidRPr="00D42F4B" w:rsidP="00D42F4B" w14:paraId="32626D62" w14:textId="250E75C9">
            <w:pPr>
              <w:widowControl/>
              <w:jc w:val="center"/>
              <w:rPr>
                <w:rFonts w:ascii="Calibri" w:eastAsia="Calibri" w:hAnsi="Calibri"/>
                <w:sz w:val="18"/>
                <w:szCs w:val="18"/>
              </w:rPr>
            </w:pPr>
            <w:r w:rsidRPr="00D42F4B">
              <w:rPr>
                <w:rFonts w:ascii="Calibri" w:eastAsia="Calibri" w:hAnsi="Calibri"/>
                <w:sz w:val="18"/>
                <w:szCs w:val="18"/>
              </w:rPr>
              <w:t>CQE representative</w:t>
            </w:r>
          </w:p>
        </w:tc>
        <w:tc>
          <w:tcPr>
            <w:tcW w:w="751" w:type="dxa"/>
            <w:vAlign w:val="center"/>
          </w:tcPr>
          <w:p w:rsidR="00E81B27" w:rsidRPr="00D42F4B" w:rsidP="00D42F4B" w14:paraId="01D8CF4E" w14:textId="532AF76A">
            <w:pPr>
              <w:widowControl/>
              <w:jc w:val="center"/>
              <w:rPr>
                <w:rFonts w:ascii="Calibri" w:eastAsia="Calibri" w:hAnsi="Calibri"/>
                <w:sz w:val="18"/>
                <w:szCs w:val="18"/>
              </w:rPr>
            </w:pPr>
            <w:r w:rsidRPr="00D42F4B">
              <w:rPr>
                <w:rFonts w:ascii="Calibri" w:eastAsia="Calibri" w:hAnsi="Calibri"/>
                <w:sz w:val="18"/>
                <w:szCs w:val="18"/>
              </w:rPr>
              <w:t>Y</w:t>
            </w:r>
          </w:p>
        </w:tc>
        <w:tc>
          <w:tcPr>
            <w:tcW w:w="1072" w:type="dxa"/>
            <w:vAlign w:val="center"/>
          </w:tcPr>
          <w:p w:rsidR="00E81B27" w:rsidRPr="00D42F4B" w:rsidP="00D42F4B" w14:paraId="7595A5A5" w14:textId="77777777">
            <w:pPr>
              <w:widowControl/>
              <w:jc w:val="center"/>
              <w:rPr>
                <w:rFonts w:ascii="Calibri" w:eastAsia="Calibri" w:hAnsi="Calibri"/>
                <w:sz w:val="18"/>
                <w:szCs w:val="18"/>
              </w:rPr>
            </w:pPr>
            <w:r w:rsidRPr="00D42F4B">
              <w:rPr>
                <w:rFonts w:ascii="Calibri" w:eastAsia="Calibri" w:hAnsi="Calibri"/>
                <w:sz w:val="18"/>
                <w:szCs w:val="18"/>
              </w:rPr>
              <w:t>mail, delivery, or fax</w:t>
            </w:r>
          </w:p>
        </w:tc>
        <w:tc>
          <w:tcPr>
            <w:tcW w:w="4282" w:type="dxa"/>
            <w:vAlign w:val="center"/>
          </w:tcPr>
          <w:p w:rsidR="00E81B27" w:rsidRPr="00D42F4B" w:rsidP="00D42F4B" w14:paraId="0988A43B" w14:textId="004F3BE6">
            <w:pPr>
              <w:widowControl/>
              <w:jc w:val="center"/>
              <w:rPr>
                <w:rFonts w:ascii="Calibri" w:eastAsia="Calibri" w:hAnsi="Calibri"/>
                <w:sz w:val="18"/>
                <w:szCs w:val="18"/>
              </w:rPr>
            </w:pPr>
            <w:r w:rsidRPr="00D42F4B">
              <w:rPr>
                <w:rFonts w:ascii="Calibri" w:eastAsia="Calibri" w:hAnsi="Calibri"/>
                <w:sz w:val="18"/>
                <w:szCs w:val="18"/>
              </w:rPr>
              <w:t>O</w:t>
            </w:r>
            <w:r w:rsidRPr="00D42F4B" w:rsidR="003721E5">
              <w:rPr>
                <w:rFonts w:ascii="Calibri" w:eastAsia="Calibri" w:hAnsi="Calibri"/>
                <w:sz w:val="18"/>
                <w:szCs w:val="18"/>
              </w:rPr>
              <w:t>nce</w:t>
            </w:r>
          </w:p>
        </w:tc>
      </w:tr>
      <w:tr w14:paraId="54245292" w14:textId="5A111458" w:rsidTr="002C2179">
        <w:tblPrEx>
          <w:tblW w:w="12287" w:type="dxa"/>
          <w:tblLook w:val="04A0"/>
        </w:tblPrEx>
        <w:trPr>
          <w:trHeight w:val="446"/>
        </w:trPr>
        <w:tc>
          <w:tcPr>
            <w:tcW w:w="25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1B27" w:rsidRPr="00D42F4B" w:rsidP="00D42F4B" w14:paraId="7845839D" w14:textId="77777777">
            <w:pPr>
              <w:widowControl/>
              <w:rPr>
                <w:rFonts w:ascii="Calibri" w:eastAsia="Calibri" w:hAnsi="Calibri"/>
                <w:sz w:val="18"/>
                <w:szCs w:val="18"/>
              </w:rPr>
            </w:pPr>
            <w:r w:rsidRPr="00D42F4B">
              <w:rPr>
                <w:rFonts w:ascii="Calibri" w:eastAsia="Calibri" w:hAnsi="Calibri"/>
                <w:sz w:val="18"/>
                <w:szCs w:val="18"/>
              </w:rPr>
              <w:t xml:space="preserve">CQE License Limitation Program Authorization letter  </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E81B27" w:rsidRPr="00D42F4B" w:rsidP="00D42F4B" w14:paraId="1DD70DFB" w14:textId="1981C417">
            <w:pPr>
              <w:widowControl/>
              <w:jc w:val="center"/>
              <w:rPr>
                <w:rFonts w:ascii="Calibri" w:eastAsia="Calibri" w:hAnsi="Calibri"/>
                <w:sz w:val="18"/>
                <w:szCs w:val="18"/>
              </w:rPr>
            </w:pPr>
            <w:hyperlink r:id="rId21" w:anchor="p-679.4(k)(10)(vi)(D)" w:history="1">
              <w:r w:rsidRPr="00D42F4B" w:rsidR="00313AF1">
                <w:rPr>
                  <w:rStyle w:val="Hyperlink"/>
                  <w:rFonts w:ascii="Calibri" w:eastAsia="Calibri" w:hAnsi="Calibri"/>
                  <w:sz w:val="18"/>
                  <w:szCs w:val="18"/>
                </w:rPr>
                <w:t xml:space="preserve">§§ </w:t>
              </w:r>
              <w:r w:rsidRPr="00D42F4B">
                <w:rPr>
                  <w:rStyle w:val="Hyperlink"/>
                  <w:rFonts w:ascii="Calibri" w:eastAsia="Calibri" w:hAnsi="Calibri"/>
                  <w:sz w:val="18"/>
                  <w:szCs w:val="18"/>
                </w:rPr>
                <w:t>679.4(k)(10)(vi)(D)</w:t>
              </w:r>
            </w:hyperlink>
            <w:r w:rsidRPr="00D42F4B">
              <w:rPr>
                <w:rFonts w:ascii="Calibri" w:eastAsia="Calibri" w:hAnsi="Calibri"/>
                <w:sz w:val="18"/>
                <w:szCs w:val="18"/>
              </w:rPr>
              <w:t xml:space="preserve"> </w:t>
            </w:r>
            <w:r w:rsidRPr="00D42F4B" w:rsidR="000C1250">
              <w:rPr>
                <w:rFonts w:ascii="Calibri" w:eastAsia="Calibri" w:hAnsi="Calibri"/>
                <w:sz w:val="18"/>
                <w:szCs w:val="18"/>
              </w:rPr>
              <w:t xml:space="preserve">and </w:t>
            </w:r>
            <w:hyperlink r:id="rId21" w:anchor="p-679.4(k)(10)(vi)(E)" w:history="1">
              <w:r w:rsidRPr="00D42F4B" w:rsidR="000C1250">
                <w:rPr>
                  <w:rStyle w:val="Hyperlink"/>
                  <w:rFonts w:ascii="Calibri" w:eastAsia="Calibri" w:hAnsi="Calibri"/>
                  <w:sz w:val="18"/>
                  <w:szCs w:val="18"/>
                </w:rPr>
                <w:t>(E)</w:t>
              </w:r>
            </w:hyperlink>
          </w:p>
        </w:tc>
        <w:tc>
          <w:tcPr>
            <w:tcW w:w="2063" w:type="dxa"/>
            <w:tcBorders>
              <w:top w:val="single" w:sz="4" w:space="0" w:color="auto"/>
              <w:left w:val="single" w:sz="4" w:space="0" w:color="auto"/>
              <w:bottom w:val="single" w:sz="4" w:space="0" w:color="auto"/>
              <w:right w:val="single" w:sz="4" w:space="0" w:color="auto"/>
            </w:tcBorders>
            <w:vAlign w:val="center"/>
          </w:tcPr>
          <w:p w:rsidR="00E81B27" w:rsidRPr="00D42F4B" w:rsidP="00D42F4B" w14:paraId="1512F34C" w14:textId="7D4A6F77">
            <w:pPr>
              <w:widowControl/>
              <w:jc w:val="center"/>
              <w:rPr>
                <w:rFonts w:ascii="Calibri" w:eastAsia="Calibri" w:hAnsi="Calibri"/>
                <w:sz w:val="18"/>
                <w:szCs w:val="18"/>
              </w:rPr>
            </w:pPr>
            <w:r w:rsidRPr="00D42F4B">
              <w:rPr>
                <w:rFonts w:ascii="Calibri" w:eastAsia="Calibri" w:hAnsi="Calibri"/>
                <w:sz w:val="18"/>
                <w:szCs w:val="18"/>
              </w:rPr>
              <w:t>CQE representative</w:t>
            </w:r>
          </w:p>
        </w:tc>
        <w:tc>
          <w:tcPr>
            <w:tcW w:w="751" w:type="dxa"/>
            <w:tcBorders>
              <w:top w:val="single" w:sz="4" w:space="0" w:color="auto"/>
              <w:left w:val="single" w:sz="4" w:space="0" w:color="auto"/>
              <w:bottom w:val="single" w:sz="4" w:space="0" w:color="auto"/>
              <w:right w:val="single" w:sz="4" w:space="0" w:color="auto"/>
            </w:tcBorders>
            <w:vAlign w:val="center"/>
          </w:tcPr>
          <w:p w:rsidR="00E81B27" w:rsidRPr="00D42F4B" w:rsidP="00D42F4B" w14:paraId="5E40180B" w14:textId="050B1435">
            <w:pPr>
              <w:widowControl/>
              <w:jc w:val="center"/>
              <w:rPr>
                <w:rFonts w:ascii="Calibri" w:eastAsia="Calibri" w:hAnsi="Calibri"/>
                <w:sz w:val="18"/>
                <w:szCs w:val="18"/>
              </w:rPr>
            </w:pPr>
            <w:r w:rsidRPr="00D42F4B">
              <w:rPr>
                <w:rFonts w:ascii="Calibri" w:eastAsia="Calibri" w:hAnsi="Calibri"/>
                <w:sz w:val="18"/>
                <w:szCs w:val="18"/>
              </w:rPr>
              <w:t>N</w:t>
            </w:r>
          </w:p>
        </w:tc>
        <w:tc>
          <w:tcPr>
            <w:tcW w:w="1072" w:type="dxa"/>
            <w:tcBorders>
              <w:top w:val="single" w:sz="4" w:space="0" w:color="auto"/>
              <w:left w:val="single" w:sz="4" w:space="0" w:color="auto"/>
              <w:bottom w:val="single" w:sz="4" w:space="0" w:color="auto"/>
              <w:right w:val="single" w:sz="4" w:space="0" w:color="auto"/>
            </w:tcBorders>
            <w:vAlign w:val="center"/>
          </w:tcPr>
          <w:p w:rsidR="00E81B27" w:rsidRPr="00D42F4B" w:rsidP="00D42F4B" w14:paraId="5BE7513C" w14:textId="77777777">
            <w:pPr>
              <w:widowControl/>
              <w:jc w:val="center"/>
              <w:rPr>
                <w:rFonts w:ascii="Calibri" w:eastAsia="Calibri" w:hAnsi="Calibri"/>
                <w:sz w:val="18"/>
                <w:szCs w:val="18"/>
              </w:rPr>
            </w:pPr>
            <w:r w:rsidRPr="00D42F4B">
              <w:rPr>
                <w:rFonts w:ascii="Calibri" w:eastAsia="Calibri" w:hAnsi="Calibri"/>
                <w:sz w:val="18"/>
                <w:szCs w:val="18"/>
              </w:rPr>
              <w:t>mail, delivery, or fax</w:t>
            </w:r>
          </w:p>
        </w:tc>
        <w:tc>
          <w:tcPr>
            <w:tcW w:w="4282" w:type="dxa"/>
            <w:tcBorders>
              <w:top w:val="single" w:sz="4" w:space="0" w:color="auto"/>
              <w:left w:val="single" w:sz="4" w:space="0" w:color="auto"/>
              <w:bottom w:val="single" w:sz="4" w:space="0" w:color="auto"/>
              <w:right w:val="single" w:sz="4" w:space="0" w:color="auto"/>
            </w:tcBorders>
            <w:vAlign w:val="center"/>
          </w:tcPr>
          <w:p w:rsidR="00E81B27" w:rsidRPr="00D42F4B" w:rsidP="00D42F4B" w14:paraId="5C46548D" w14:textId="5C1B8169">
            <w:pPr>
              <w:widowControl/>
              <w:jc w:val="center"/>
              <w:rPr>
                <w:rFonts w:ascii="Calibri" w:eastAsia="Calibri" w:hAnsi="Calibri"/>
                <w:sz w:val="18"/>
                <w:szCs w:val="18"/>
              </w:rPr>
            </w:pPr>
            <w:r w:rsidRPr="00D42F4B">
              <w:rPr>
                <w:rFonts w:ascii="Calibri" w:eastAsia="Calibri" w:hAnsi="Calibri"/>
                <w:sz w:val="18"/>
                <w:szCs w:val="18"/>
              </w:rPr>
              <w:t>Annually</w:t>
            </w:r>
          </w:p>
        </w:tc>
      </w:tr>
      <w:tr w14:paraId="096DD095" w14:textId="1126843C" w:rsidTr="002C2179">
        <w:tblPrEx>
          <w:tblW w:w="12287" w:type="dxa"/>
          <w:tblLook w:val="04A0"/>
        </w:tblPrEx>
        <w:trPr>
          <w:trHeight w:val="371"/>
        </w:trPr>
        <w:tc>
          <w:tcPr>
            <w:tcW w:w="12287" w:type="dxa"/>
            <w:gridSpan w:val="7"/>
            <w:shd w:val="clear" w:color="auto" w:fill="FDEADA" w:themeFill="accent6" w:themeFillTint="33"/>
            <w:vAlign w:val="center"/>
          </w:tcPr>
          <w:p w:rsidR="00035551" w:rsidRPr="00D42F4B" w:rsidP="00D42F4B" w14:paraId="0DABB190" w14:textId="0AA92217">
            <w:pPr>
              <w:widowControl/>
              <w:rPr>
                <w:rFonts w:ascii="Calibri" w:eastAsia="Calibri" w:hAnsi="Calibri"/>
                <w:sz w:val="18"/>
                <w:szCs w:val="18"/>
              </w:rPr>
            </w:pPr>
            <w:r w:rsidRPr="00D42F4B">
              <w:rPr>
                <w:rFonts w:ascii="Calibri" w:eastAsia="Calibri" w:hAnsi="Calibri"/>
                <w:b/>
                <w:sz w:val="18"/>
                <w:szCs w:val="18"/>
              </w:rPr>
              <w:t>Charter Halibut Limited Access Program</w:t>
            </w:r>
          </w:p>
        </w:tc>
      </w:tr>
      <w:tr w14:paraId="562718BD" w14:textId="0EC7AAE5" w:rsidTr="002C2179">
        <w:tblPrEx>
          <w:tblW w:w="12287" w:type="dxa"/>
          <w:tblLook w:val="04A0"/>
        </w:tblPrEx>
        <w:trPr>
          <w:trHeight w:val="446"/>
        </w:trPr>
        <w:tc>
          <w:tcPr>
            <w:tcW w:w="2558" w:type="dxa"/>
            <w:gridSpan w:val="2"/>
            <w:shd w:val="clear" w:color="auto" w:fill="auto"/>
            <w:vAlign w:val="center"/>
          </w:tcPr>
          <w:p w:rsidR="00E81B27" w:rsidRPr="00D42F4B" w:rsidP="00D42F4B" w14:paraId="54E7A8C3" w14:textId="77777777">
            <w:pPr>
              <w:widowControl/>
              <w:rPr>
                <w:rFonts w:ascii="Calibri" w:eastAsia="Calibri" w:hAnsi="Calibri"/>
                <w:sz w:val="18"/>
                <w:szCs w:val="18"/>
              </w:rPr>
            </w:pPr>
            <w:r w:rsidRPr="00D42F4B">
              <w:rPr>
                <w:rFonts w:ascii="Calibri" w:eastAsia="Calibri" w:hAnsi="Calibri"/>
                <w:sz w:val="18"/>
                <w:szCs w:val="18"/>
              </w:rPr>
              <w:t xml:space="preserve">Application for Community Charter Halibut Permit </w:t>
            </w:r>
          </w:p>
        </w:tc>
        <w:tc>
          <w:tcPr>
            <w:tcW w:w="1561" w:type="dxa"/>
            <w:shd w:val="clear" w:color="auto" w:fill="auto"/>
            <w:vAlign w:val="center"/>
          </w:tcPr>
          <w:p w:rsidR="00E81B27" w:rsidRPr="00D42F4B" w:rsidP="00D42F4B" w14:paraId="5642295D" w14:textId="7DF8ECA1">
            <w:pPr>
              <w:widowControl/>
              <w:jc w:val="center"/>
              <w:rPr>
                <w:rFonts w:ascii="Calibri" w:eastAsia="Calibri" w:hAnsi="Calibri"/>
                <w:sz w:val="18"/>
                <w:szCs w:val="18"/>
              </w:rPr>
            </w:pPr>
            <w:hyperlink r:id="rId22" w:anchor="p-300.67(k)" w:history="1">
              <w:r w:rsidRPr="00D42F4B" w:rsidR="00313AF1">
                <w:rPr>
                  <w:rStyle w:val="Hyperlink"/>
                  <w:rFonts w:ascii="Calibri" w:eastAsia="Calibri" w:hAnsi="Calibri"/>
                  <w:sz w:val="18"/>
                  <w:szCs w:val="18"/>
                </w:rPr>
                <w:t xml:space="preserve">§ </w:t>
              </w:r>
              <w:r w:rsidRPr="00D42F4B">
                <w:rPr>
                  <w:rStyle w:val="Hyperlink"/>
                  <w:rFonts w:ascii="Calibri" w:eastAsia="Calibri" w:hAnsi="Calibri"/>
                  <w:sz w:val="18"/>
                  <w:szCs w:val="18"/>
                </w:rPr>
                <w:t>300.67(k)</w:t>
              </w:r>
            </w:hyperlink>
          </w:p>
        </w:tc>
        <w:tc>
          <w:tcPr>
            <w:tcW w:w="2063" w:type="dxa"/>
            <w:vAlign w:val="center"/>
          </w:tcPr>
          <w:p w:rsidR="00E81B27" w:rsidRPr="00D42F4B" w:rsidP="00D42F4B" w14:paraId="13DE2B66" w14:textId="43B51495">
            <w:pPr>
              <w:widowControl/>
              <w:jc w:val="center"/>
              <w:rPr>
                <w:rFonts w:ascii="Calibri" w:eastAsia="Calibri" w:hAnsi="Calibri"/>
                <w:sz w:val="18"/>
                <w:szCs w:val="18"/>
              </w:rPr>
            </w:pPr>
            <w:r w:rsidRPr="00D42F4B">
              <w:rPr>
                <w:rFonts w:ascii="Calibri" w:eastAsia="Calibri" w:hAnsi="Calibri"/>
                <w:sz w:val="18"/>
                <w:szCs w:val="18"/>
              </w:rPr>
              <w:t>CQE representative</w:t>
            </w:r>
          </w:p>
        </w:tc>
        <w:tc>
          <w:tcPr>
            <w:tcW w:w="751" w:type="dxa"/>
            <w:vAlign w:val="center"/>
          </w:tcPr>
          <w:p w:rsidR="00E81B27" w:rsidRPr="00D42F4B" w:rsidP="00D42F4B" w14:paraId="4339BD89" w14:textId="6C870BD7">
            <w:pPr>
              <w:widowControl/>
              <w:jc w:val="center"/>
              <w:rPr>
                <w:rFonts w:ascii="Calibri" w:eastAsia="Calibri" w:hAnsi="Calibri"/>
                <w:sz w:val="18"/>
                <w:szCs w:val="18"/>
              </w:rPr>
            </w:pPr>
            <w:r w:rsidRPr="00D42F4B">
              <w:rPr>
                <w:rFonts w:ascii="Calibri" w:eastAsia="Calibri" w:hAnsi="Calibri"/>
                <w:sz w:val="18"/>
                <w:szCs w:val="18"/>
              </w:rPr>
              <w:t>Y</w:t>
            </w:r>
          </w:p>
        </w:tc>
        <w:tc>
          <w:tcPr>
            <w:tcW w:w="1072" w:type="dxa"/>
            <w:vAlign w:val="center"/>
          </w:tcPr>
          <w:p w:rsidR="00E81B27" w:rsidRPr="00D42F4B" w:rsidP="00D42F4B" w14:paraId="19290810" w14:textId="77777777">
            <w:pPr>
              <w:widowControl/>
              <w:jc w:val="center"/>
              <w:rPr>
                <w:rFonts w:ascii="Calibri" w:eastAsia="Calibri" w:hAnsi="Calibri"/>
                <w:sz w:val="18"/>
                <w:szCs w:val="18"/>
              </w:rPr>
            </w:pPr>
            <w:r w:rsidRPr="00D42F4B">
              <w:rPr>
                <w:rFonts w:ascii="Calibri" w:eastAsia="Calibri" w:hAnsi="Calibri"/>
                <w:sz w:val="18"/>
                <w:szCs w:val="18"/>
              </w:rPr>
              <w:t>mail, delivery, or fax</w:t>
            </w:r>
          </w:p>
        </w:tc>
        <w:tc>
          <w:tcPr>
            <w:tcW w:w="4282" w:type="dxa"/>
            <w:vAlign w:val="center"/>
          </w:tcPr>
          <w:p w:rsidR="00E81B27" w:rsidRPr="00D42F4B" w:rsidP="00D42F4B" w14:paraId="1CF3D4E8" w14:textId="57FD5520">
            <w:pPr>
              <w:widowControl/>
              <w:jc w:val="center"/>
              <w:rPr>
                <w:rFonts w:ascii="Calibri" w:eastAsia="Calibri" w:hAnsi="Calibri"/>
                <w:sz w:val="18"/>
                <w:szCs w:val="18"/>
              </w:rPr>
            </w:pPr>
            <w:r w:rsidRPr="00D42F4B">
              <w:rPr>
                <w:rFonts w:ascii="Calibri" w:eastAsia="Calibri" w:hAnsi="Calibri"/>
                <w:sz w:val="18"/>
                <w:szCs w:val="18"/>
              </w:rPr>
              <w:t>As needed</w:t>
            </w:r>
          </w:p>
        </w:tc>
      </w:tr>
    </w:tbl>
    <w:p w:rsidR="00E657D8" w:rsidRPr="00501F6B" w:rsidP="00867B2C" w14:paraId="34ECFD14" w14:textId="46194991">
      <w:pPr>
        <w:widowControl/>
        <w:spacing w:before="60"/>
        <w:rPr>
          <w:rFonts w:eastAsia="Calibri" w:asciiTheme="minorHAnsi" w:hAnsiTheme="minorHAnsi"/>
          <w:sz w:val="18"/>
          <w:szCs w:val="18"/>
        </w:rPr>
      </w:pPr>
      <w:r w:rsidRPr="00501F6B">
        <w:rPr>
          <w:rFonts w:eastAsia="Calibri" w:asciiTheme="minorHAnsi" w:hAnsiTheme="minorHAnsi"/>
          <w:sz w:val="18"/>
          <w:szCs w:val="18"/>
          <w:vertAlign w:val="superscript"/>
        </w:rPr>
        <w:t>1</w:t>
      </w:r>
      <w:r w:rsidRPr="00501F6B">
        <w:rPr>
          <w:rFonts w:eastAsia="Calibri" w:asciiTheme="minorHAnsi" w:hAnsiTheme="minorHAnsi"/>
          <w:sz w:val="18"/>
          <w:szCs w:val="18"/>
        </w:rPr>
        <w:t xml:space="preserve"> Forms are available as fillable pdfs on the </w:t>
      </w:r>
      <w:hyperlink r:id="rId23" w:history="1">
        <w:r w:rsidRPr="00501F6B">
          <w:rPr>
            <w:rStyle w:val="Hyperlink"/>
            <w:rFonts w:eastAsia="Arial" w:asciiTheme="minorHAnsi" w:hAnsiTheme="minorHAnsi"/>
            <w:sz w:val="18"/>
            <w:szCs w:val="18"/>
          </w:rPr>
          <w:t>NMFS Alaska Region website</w:t>
        </w:r>
        <w:r w:rsidRPr="00501F6B" w:rsidR="00F10000">
          <w:rPr>
            <w:rStyle w:val="Hyperlink"/>
            <w:rFonts w:eastAsia="Arial" w:asciiTheme="minorHAnsi" w:hAnsiTheme="minorHAnsi"/>
            <w:sz w:val="18"/>
            <w:szCs w:val="18"/>
          </w:rPr>
          <w:t xml:space="preserve"> for Alaska CQE applications</w:t>
        </w:r>
      </w:hyperlink>
      <w:r w:rsidRPr="00501F6B">
        <w:rPr>
          <w:rFonts w:eastAsia="Calibri" w:asciiTheme="minorHAnsi" w:hAnsiTheme="minorHAnsi"/>
          <w:sz w:val="18"/>
          <w:szCs w:val="18"/>
        </w:rPr>
        <w:t>.</w:t>
      </w:r>
    </w:p>
    <w:p w:rsidR="00E657D8" w:rsidRPr="00501F6B" w:rsidP="00867B2C" w14:paraId="02B5A9C2" w14:textId="77777777">
      <w:pPr>
        <w:widowControl/>
        <w:spacing w:before="60"/>
        <w:rPr>
          <w:rFonts w:eastAsia="Calibri" w:asciiTheme="minorHAnsi" w:hAnsiTheme="minorHAnsi"/>
          <w:sz w:val="18"/>
          <w:szCs w:val="18"/>
        </w:rPr>
      </w:pPr>
      <w:r w:rsidRPr="00501F6B">
        <w:rPr>
          <w:rFonts w:eastAsia="Calibri" w:asciiTheme="minorHAnsi" w:hAnsiTheme="minorHAnsi"/>
          <w:sz w:val="18"/>
          <w:szCs w:val="18"/>
          <w:vertAlign w:val="superscript"/>
        </w:rPr>
        <w:t>2</w:t>
      </w:r>
      <w:r w:rsidRPr="00501F6B">
        <w:rPr>
          <w:rFonts w:eastAsia="Calibri" w:asciiTheme="minorHAnsi" w:hAnsiTheme="minorHAnsi"/>
          <w:sz w:val="18"/>
          <w:szCs w:val="18"/>
        </w:rPr>
        <w:t xml:space="preserve"> </w:t>
      </w:r>
      <w:r w:rsidRPr="00501F6B">
        <w:rPr>
          <w:rFonts w:eastAsia="Calibri" w:asciiTheme="minorHAnsi" w:hAnsiTheme="minorHAnsi"/>
          <w:b/>
          <w:sz w:val="18"/>
          <w:szCs w:val="18"/>
        </w:rPr>
        <w:t>Mail</w:t>
      </w:r>
      <w:r w:rsidRPr="00501F6B">
        <w:rPr>
          <w:rFonts w:eastAsia="Calibri" w:asciiTheme="minorHAnsi" w:hAnsiTheme="minorHAnsi"/>
          <w:sz w:val="18"/>
          <w:szCs w:val="18"/>
        </w:rPr>
        <w:t>: NMFS Alaska Region, Restricted Access Management, P.O. Box 21668, Juneau, AK 99802-1668</w:t>
      </w:r>
    </w:p>
    <w:p w:rsidR="00E657D8" w:rsidRPr="00501F6B" w:rsidP="005A3188" w14:paraId="0E3E2184" w14:textId="77777777">
      <w:pPr>
        <w:widowControl/>
        <w:rPr>
          <w:rFonts w:eastAsia="Calibri" w:asciiTheme="minorHAnsi" w:hAnsiTheme="minorHAnsi"/>
          <w:sz w:val="18"/>
          <w:szCs w:val="18"/>
        </w:rPr>
      </w:pPr>
      <w:r w:rsidRPr="00501F6B">
        <w:rPr>
          <w:rFonts w:eastAsia="Calibri" w:asciiTheme="minorHAnsi" w:hAnsiTheme="minorHAnsi"/>
          <w:sz w:val="18"/>
          <w:szCs w:val="18"/>
        </w:rPr>
        <w:t xml:space="preserve">  </w:t>
      </w:r>
      <w:r w:rsidRPr="00501F6B">
        <w:rPr>
          <w:rFonts w:eastAsia="Calibri" w:asciiTheme="minorHAnsi" w:hAnsiTheme="minorHAnsi"/>
          <w:b/>
          <w:sz w:val="18"/>
          <w:szCs w:val="18"/>
        </w:rPr>
        <w:t>Delivery</w:t>
      </w:r>
      <w:r w:rsidRPr="00501F6B">
        <w:rPr>
          <w:rFonts w:eastAsia="Calibri" w:asciiTheme="minorHAnsi" w:hAnsiTheme="minorHAnsi"/>
          <w:sz w:val="18"/>
          <w:szCs w:val="18"/>
        </w:rPr>
        <w:t>: 709 West 9</w:t>
      </w:r>
      <w:r w:rsidRPr="00501F6B">
        <w:rPr>
          <w:rFonts w:eastAsia="Calibri" w:asciiTheme="minorHAnsi" w:hAnsiTheme="minorHAnsi"/>
          <w:sz w:val="18"/>
          <w:szCs w:val="18"/>
          <w:vertAlign w:val="superscript"/>
        </w:rPr>
        <w:t>th</w:t>
      </w:r>
      <w:r w:rsidRPr="00501F6B">
        <w:rPr>
          <w:rFonts w:eastAsia="Calibri" w:asciiTheme="minorHAnsi" w:hAnsiTheme="minorHAnsi"/>
          <w:sz w:val="18"/>
          <w:szCs w:val="18"/>
        </w:rPr>
        <w:t xml:space="preserve"> Street, Room 713, Juneau, AK, 99801</w:t>
      </w:r>
    </w:p>
    <w:p w:rsidR="00E657D8" w:rsidRPr="00501F6B" w:rsidP="005A3188" w14:paraId="0098749D" w14:textId="77777777">
      <w:pPr>
        <w:widowControl/>
        <w:rPr>
          <w:rFonts w:eastAsia="Calibri" w:asciiTheme="minorHAnsi" w:hAnsiTheme="minorHAnsi"/>
          <w:sz w:val="18"/>
          <w:szCs w:val="18"/>
        </w:rPr>
      </w:pPr>
      <w:r w:rsidRPr="00501F6B">
        <w:rPr>
          <w:rFonts w:eastAsia="Calibri" w:asciiTheme="minorHAnsi" w:hAnsiTheme="minorHAnsi"/>
          <w:sz w:val="18"/>
          <w:szCs w:val="18"/>
        </w:rPr>
        <w:t xml:space="preserve">  </w:t>
      </w:r>
      <w:r w:rsidRPr="00501F6B">
        <w:rPr>
          <w:rFonts w:eastAsia="Calibri" w:asciiTheme="minorHAnsi" w:hAnsiTheme="minorHAnsi"/>
          <w:b/>
          <w:sz w:val="18"/>
          <w:szCs w:val="18"/>
        </w:rPr>
        <w:t>Fax</w:t>
      </w:r>
      <w:r w:rsidRPr="00501F6B">
        <w:rPr>
          <w:rFonts w:eastAsia="Calibri" w:asciiTheme="minorHAnsi" w:hAnsiTheme="minorHAnsi"/>
          <w:sz w:val="18"/>
          <w:szCs w:val="18"/>
        </w:rPr>
        <w:t>: (907) 586-7354</w:t>
      </w:r>
    </w:p>
    <w:p w:rsidR="00D86152" w:rsidRPr="00501F6B" w:rsidP="005A3188" w14:paraId="1CFC54AB" w14:textId="77777777">
      <w:pPr>
        <w:widowControl/>
        <w:pBdr>
          <w:top w:val="nil"/>
          <w:left w:val="nil"/>
          <w:bottom w:val="nil"/>
          <w:right w:val="nil"/>
          <w:between w:val="nil"/>
        </w:pBdr>
        <w:spacing w:before="7"/>
        <w:rPr>
          <w:sz w:val="18"/>
          <w:szCs w:val="18"/>
        </w:rPr>
        <w:sectPr w:rsidSect="00D42F4B">
          <w:pgSz w:w="15840" w:h="12240" w:orient="landscape"/>
          <w:pgMar w:top="1080" w:right="1080" w:bottom="1080" w:left="1080" w:header="0" w:footer="1008" w:gutter="0"/>
          <w:cols w:space="720"/>
          <w:docGrid w:linePitch="326"/>
        </w:sectPr>
      </w:pPr>
    </w:p>
    <w:p w:rsidR="00D33A5A" w:rsidP="005A3188" w14:paraId="53B98023" w14:textId="36EF1F39">
      <w:pPr>
        <w:widowControl/>
        <w:tabs>
          <w:tab w:val="left" w:pos="360"/>
          <w:tab w:val="left" w:pos="720"/>
          <w:tab w:val="left" w:pos="1080"/>
          <w:tab w:val="left" w:pos="1440"/>
        </w:tabs>
        <w:rPr>
          <w:b/>
        </w:rPr>
      </w:pPr>
      <w:r w:rsidRPr="008A1603">
        <w:rPr>
          <w:rFonts w:eastAsiaTheme="minorHAnsi"/>
          <w:b/>
          <w:bCs/>
        </w:rPr>
        <w:t xml:space="preserve"> </w:t>
      </w:r>
      <w:r w:rsidRPr="003861A2">
        <w:rPr>
          <w:rFonts w:eastAsiaTheme="minorHAnsi"/>
          <w:b/>
          <w:bCs/>
        </w:rPr>
        <w:t>Dissemination of Information</w:t>
      </w:r>
    </w:p>
    <w:p w:rsidR="00D33A5A" w:rsidP="005A3188" w14:paraId="0E75B315" w14:textId="77777777">
      <w:pPr>
        <w:widowControl/>
      </w:pPr>
    </w:p>
    <w:p w:rsidR="00A22729" w:rsidRPr="003861A2" w:rsidP="005A3188" w14:paraId="6155F18A" w14:textId="77777777">
      <w:pPr>
        <w:widowControl/>
        <w:autoSpaceDE w:val="0"/>
        <w:autoSpaceDN w:val="0"/>
        <w:rPr>
          <w:rFonts w:eastAsiaTheme="minorHAnsi" w:cstheme="minorBidi"/>
        </w:rPr>
      </w:pPr>
      <w:r w:rsidRPr="003861A2">
        <w:rPr>
          <w:rFonts w:eastAsiaTheme="minorHAnsi" w:cstheme="minorBidi"/>
        </w:rPr>
        <w:t xml:space="preserve">This information collection </w:t>
      </w:r>
      <w:r w:rsidRPr="003861A2">
        <w:rPr>
          <w:rFonts w:eastAsiaTheme="minorHAnsi" w:cstheme="minorBidi"/>
        </w:rPr>
        <w:t>is designed</w:t>
      </w:r>
      <w:r w:rsidRPr="003861A2">
        <w:rPr>
          <w:rFonts w:eastAsiaTheme="minorHAnsi" w:cstheme="minorBidi"/>
        </w:rPr>
        <w:t xml:space="preserve"> to yield data that meet all applicable information quality guidelines. Prior to dissemination, the information will be subjected to quality control measures and a pre-dissemination review pursuant to </w:t>
      </w:r>
      <w:hyperlink r:id="rId24" w:history="1">
        <w:r w:rsidRPr="003861A2">
          <w:rPr>
            <w:color w:val="0000FF"/>
            <w:u w:val="single"/>
          </w:rPr>
          <w:t>Section 515 of Public Law 106-554</w:t>
        </w:r>
      </w:hyperlink>
      <w:r w:rsidRPr="003861A2">
        <w:rPr>
          <w:rFonts w:eastAsiaTheme="minorHAnsi" w:cstheme="minorBidi"/>
        </w:rPr>
        <w:t xml:space="preserve"> </w:t>
      </w:r>
      <w:r w:rsidRPr="003861A2">
        <w:rPr>
          <w:rFonts w:eastAsia="Calibri"/>
          <w:color w:val="000000"/>
        </w:rPr>
        <w:t>(the Information Quality Act)</w:t>
      </w:r>
      <w:r w:rsidRPr="003861A2">
        <w:rPr>
          <w:rFonts w:eastAsiaTheme="minorHAnsi" w:cstheme="minorBidi"/>
        </w:rPr>
        <w:t xml:space="preserve">, which requires </w:t>
      </w:r>
      <w:r w:rsidRPr="003861A2">
        <w:rPr>
          <w:rFonts w:eastAsia="Calibri"/>
          <w:color w:val="000000"/>
        </w:rPr>
        <w:t xml:space="preserve">NMFS to ensure the quality, objectivity, utility, and integrity of information it publicly disseminates. Public dissemination of data collected by this information collection </w:t>
      </w:r>
      <w:r w:rsidRPr="003861A2">
        <w:rPr>
          <w:rFonts w:eastAsia="Calibri"/>
          <w:color w:val="000000"/>
        </w:rPr>
        <w:t>is governed</w:t>
      </w:r>
      <w:r w:rsidRPr="003861A2">
        <w:rPr>
          <w:rFonts w:eastAsia="Calibri"/>
          <w:color w:val="000000"/>
        </w:rPr>
        <w:t xml:space="preserve"> by </w:t>
      </w:r>
      <w:hyperlink r:id="rId25" w:history="1">
        <w:r w:rsidRPr="003861A2">
          <w:rPr>
            <w:rFonts w:eastAsia="Calibri"/>
            <w:color w:val="0000FF" w:themeColor="hyperlink"/>
            <w:u w:val="single"/>
          </w:rPr>
          <w:t>NOAA's information quality guidelines</w:t>
        </w:r>
      </w:hyperlink>
      <w:r w:rsidRPr="003861A2">
        <w:rPr>
          <w:rFonts w:eastAsia="Calibri"/>
          <w:color w:val="000000"/>
        </w:rPr>
        <w:t>, which were issued on October 30, 2014.</w:t>
      </w:r>
      <w:r w:rsidRPr="003861A2">
        <w:rPr>
          <w:rFonts w:eastAsiaTheme="minorHAnsi" w:cstheme="minorBidi"/>
        </w:rPr>
        <w:t xml:space="preserve"> </w:t>
      </w:r>
    </w:p>
    <w:p w:rsidR="00A22729" w:rsidRPr="003861A2" w:rsidP="005A3188" w14:paraId="39203052" w14:textId="77777777">
      <w:pPr>
        <w:widowControl/>
        <w:autoSpaceDE w:val="0"/>
        <w:autoSpaceDN w:val="0"/>
        <w:rPr>
          <w:rFonts w:eastAsiaTheme="minorHAnsi"/>
        </w:rPr>
      </w:pPr>
    </w:p>
    <w:p w:rsidR="00D33A5A" w:rsidP="005A3188" w14:paraId="4F4B0D76" w14:textId="7CE10D65">
      <w:pPr>
        <w:widowControl/>
        <w:autoSpaceDE w:val="0"/>
        <w:autoSpaceDN w:val="0"/>
      </w:pPr>
      <w:r w:rsidRPr="003861A2">
        <w:rPr>
          <w:rFonts w:eastAsiaTheme="minorHAnsi" w:cstheme="minorBidi"/>
        </w:rPr>
        <w:t xml:space="preserve">It </w:t>
      </w:r>
      <w:r w:rsidRPr="003861A2">
        <w:rPr>
          <w:rFonts w:eastAsiaTheme="minorHAnsi" w:cstheme="minorBidi"/>
        </w:rPr>
        <w:t>is anticipated</w:t>
      </w:r>
      <w:r w:rsidRPr="003861A2">
        <w:rPr>
          <w:rFonts w:eastAsiaTheme="minorHAnsi" w:cstheme="minorBidi"/>
        </w:rPr>
        <w:t xml:space="preserve"> that </w:t>
      </w:r>
      <w:r>
        <w:rPr>
          <w:rFonts w:eastAsiaTheme="minorHAnsi" w:cstheme="minorBidi"/>
        </w:rPr>
        <w:t xml:space="preserve">some of </w:t>
      </w:r>
      <w:r w:rsidRPr="003861A2">
        <w:rPr>
          <w:rFonts w:eastAsiaTheme="minorHAnsi" w:cstheme="minorBidi"/>
        </w:rPr>
        <w:t xml:space="preserve">the information collected will be disseminated to the public or used to support publicly disseminated information. NMFS will retain control over the information and safeguard it from improper access, modification, and destruction, consistent with NOAA standards for confidentiality, privacy, and electronic information. See Question 10 of this Supporting Statement for more information on confidentiality and privacy. See Question 16 of this Supporting Statement for information from </w:t>
      </w:r>
      <w:r w:rsidRPr="003861A2">
        <w:rPr>
          <w:rFonts w:eastAsiaTheme="minorHAnsi" w:cstheme="minorBidi"/>
        </w:rPr>
        <w:t>this</w:t>
      </w:r>
      <w:r w:rsidRPr="003861A2">
        <w:rPr>
          <w:rFonts w:eastAsiaTheme="minorHAnsi" w:cstheme="minorBidi"/>
        </w:rPr>
        <w:t xml:space="preserve"> collection that is posted on the </w:t>
      </w:r>
      <w:r>
        <w:rPr>
          <w:rFonts w:eastAsiaTheme="minorHAnsi" w:cstheme="minorBidi"/>
        </w:rPr>
        <w:t>NMFS website</w:t>
      </w:r>
      <w:r w:rsidRPr="003861A2">
        <w:rPr>
          <w:rFonts w:eastAsiaTheme="minorHAnsi" w:cstheme="minorBidi"/>
        </w:rPr>
        <w:t xml:space="preserve">.  </w:t>
      </w:r>
    </w:p>
    <w:p w:rsidR="00D33A5A" w:rsidP="005A3188" w14:paraId="0C77CDBA" w14:textId="77777777">
      <w:pPr>
        <w:widowControl/>
        <w:pBdr>
          <w:top w:val="nil"/>
          <w:left w:val="nil"/>
          <w:bottom w:val="nil"/>
          <w:right w:val="nil"/>
          <w:between w:val="nil"/>
        </w:pBdr>
        <w:spacing w:before="7"/>
      </w:pPr>
    </w:p>
    <w:p w:rsidR="00B24C4D" w:rsidRPr="005F3E68" w:rsidP="005A3188" w14:paraId="25D09429" w14:textId="76E278DF">
      <w:pPr>
        <w:widowControl/>
        <w:ind w:left="270" w:hanging="270"/>
        <w:rPr>
          <w:b/>
          <w:bCs/>
          <w:color w:val="C00000"/>
        </w:rPr>
      </w:pPr>
      <w:r w:rsidRPr="00114B54">
        <w:rPr>
          <w:b/>
        </w:rPr>
        <w:t>a.</w:t>
      </w:r>
      <w:r>
        <w:rPr>
          <w:b/>
        </w:rPr>
        <w:t xml:space="preserve"> </w:t>
      </w:r>
      <w:r w:rsidRPr="00114B54">
        <w:rPr>
          <w:b/>
          <w:bCs/>
        </w:rPr>
        <w:t xml:space="preserve">Application for a </w:t>
      </w:r>
      <w:r>
        <w:rPr>
          <w:b/>
          <w:bCs/>
        </w:rPr>
        <w:t>Nonprofit</w:t>
      </w:r>
      <w:r w:rsidRPr="00114B54">
        <w:rPr>
          <w:b/>
          <w:bCs/>
        </w:rPr>
        <w:t xml:space="preserve"> Corporation to be Designated as a Community Quota</w:t>
      </w:r>
      <w:r>
        <w:rPr>
          <w:b/>
          <w:bCs/>
        </w:rPr>
        <w:t xml:space="preserve"> </w:t>
      </w:r>
      <w:r w:rsidR="008532D2">
        <w:rPr>
          <w:b/>
          <w:bCs/>
        </w:rPr>
        <w:t>Entity (CQE)</w:t>
      </w:r>
      <w:r w:rsidRPr="00CA62A0" w:rsidR="00BF3525">
        <w:rPr>
          <w:b/>
          <w:bCs/>
          <w:color w:val="C00000"/>
        </w:rPr>
        <w:t xml:space="preserve"> </w:t>
      </w:r>
      <w:r w:rsidRPr="005F3E68" w:rsidR="00BF3525">
        <w:rPr>
          <w:b/>
          <w:bCs/>
          <w:color w:val="C00000"/>
        </w:rPr>
        <w:t>[</w:t>
      </w:r>
      <w:r w:rsidR="002F5378">
        <w:rPr>
          <w:b/>
          <w:bCs/>
          <w:color w:val="C00000"/>
        </w:rPr>
        <w:t xml:space="preserve">Rule revises </w:t>
      </w:r>
      <w:hyperlink r:id="rId18" w:anchor="p-679.41(l)(3)" w:history="1">
        <w:r w:rsidRPr="005F3E68" w:rsidR="005F3E68">
          <w:rPr>
            <w:rStyle w:val="Hyperlink"/>
            <w:rFonts w:eastAsia="Calibri"/>
            <w:b/>
          </w:rPr>
          <w:t>§ 679.41(l</w:t>
        </w:r>
        <w:r w:rsidRPr="005F3E68" w:rsidR="005F3E68">
          <w:rPr>
            <w:rStyle w:val="Hyperlink"/>
            <w:rFonts w:eastAsia="Calibri"/>
            <w:b/>
          </w:rPr>
          <w:t>)(</w:t>
        </w:r>
        <w:r w:rsidRPr="005F3E68" w:rsidR="005F3E68">
          <w:rPr>
            <w:rStyle w:val="Hyperlink"/>
            <w:rFonts w:eastAsia="Calibri"/>
            <w:b/>
          </w:rPr>
          <w:t>3)</w:t>
        </w:r>
      </w:hyperlink>
      <w:r w:rsidRPr="005F3E68" w:rsidR="00141B27">
        <w:rPr>
          <w:b/>
          <w:bCs/>
          <w:color w:val="C00000"/>
        </w:rPr>
        <w:t xml:space="preserve"> to </w:t>
      </w:r>
      <w:r w:rsidR="00447F43">
        <w:rPr>
          <w:b/>
          <w:bCs/>
          <w:color w:val="C00000"/>
        </w:rPr>
        <w:t>increase</w:t>
      </w:r>
      <w:r w:rsidRPr="005F3E68" w:rsidR="00141B27">
        <w:rPr>
          <w:b/>
          <w:bCs/>
          <w:color w:val="C00000"/>
        </w:rPr>
        <w:t xml:space="preserve"> submission methods</w:t>
      </w:r>
      <w:r w:rsidR="002F5378">
        <w:rPr>
          <w:b/>
          <w:bCs/>
          <w:color w:val="C00000"/>
        </w:rPr>
        <w:t>.</w:t>
      </w:r>
      <w:r w:rsidRPr="005F3E68" w:rsidR="00CA62A0">
        <w:rPr>
          <w:b/>
          <w:bCs/>
          <w:color w:val="C00000"/>
        </w:rPr>
        <w:t>]</w:t>
      </w:r>
    </w:p>
    <w:p w:rsidR="005F3E68" w:rsidRPr="00BF3A19" w:rsidP="005A3188" w14:paraId="4DDE0156" w14:textId="77777777">
      <w:pPr>
        <w:widowControl/>
        <w:ind w:left="270" w:hanging="270"/>
        <w:rPr>
          <w:b/>
          <w:sz w:val="23"/>
        </w:rPr>
      </w:pPr>
    </w:p>
    <w:p w:rsidR="00D0719B" w:rsidP="005A3188" w14:paraId="5E4CAC0C" w14:textId="1CC18D50">
      <w:pPr>
        <w:widowControl/>
        <w:tabs>
          <w:tab w:val="left" w:pos="720"/>
        </w:tabs>
      </w:pPr>
      <w:r>
        <w:t>A non</w:t>
      </w:r>
      <w:r w:rsidRPr="00D0719B">
        <w:t xml:space="preserve">profit entity that intends to represent </w:t>
      </w:r>
      <w:r>
        <w:t>an</w:t>
      </w:r>
      <w:r w:rsidRPr="00D0719B">
        <w:t xml:space="preserve"> eligible community as a CQE must have approval from the </w:t>
      </w:r>
      <w:r>
        <w:t xml:space="preserve">NMFS </w:t>
      </w:r>
      <w:r w:rsidRPr="00D0719B">
        <w:t>Regional Administrator. To</w:t>
      </w:r>
      <w:r>
        <w:t xml:space="preserve"> receive that approval, the non</w:t>
      </w:r>
      <w:r w:rsidRPr="00D0719B">
        <w:t xml:space="preserve">profit entity seeking to become a CQE </w:t>
      </w:r>
      <w:r>
        <w:t>is required to s</w:t>
      </w:r>
      <w:r w:rsidRPr="00D0719B">
        <w:t xml:space="preserve">ubmit a complete Application for a Nonprofit Corporation to be </w:t>
      </w:r>
      <w:r w:rsidRPr="00D0719B">
        <w:t>Designated</w:t>
      </w:r>
      <w:r w:rsidRPr="00D0719B">
        <w:t xml:space="preserve"> as a Community Quota Entity (CQE</w:t>
      </w:r>
      <w:r>
        <w:t>).</w:t>
      </w:r>
      <w:r w:rsidRPr="00D0719B">
        <w:rPr>
          <w:bCs/>
        </w:rPr>
        <w:t xml:space="preserve"> </w:t>
      </w:r>
      <w:r>
        <w:rPr>
          <w:bCs/>
        </w:rPr>
        <w:t xml:space="preserve">A </w:t>
      </w:r>
      <w:r>
        <w:t>CQE must be approved by NMFS in order to, on behalf of an eligible community, request charter halibut permits;</w:t>
      </w:r>
      <w:r w:rsidRPr="00114B54">
        <w:t xml:space="preserve"> buy, sell, and hold halibut and sablefish QS</w:t>
      </w:r>
      <w:r>
        <w:t xml:space="preserve">; and request Pacific cod. </w:t>
      </w:r>
    </w:p>
    <w:p w:rsidR="00D0719B" w:rsidP="005A3188" w14:paraId="6C53E9DA" w14:textId="1EF11DE2">
      <w:pPr>
        <w:widowControl/>
        <w:tabs>
          <w:tab w:val="left" w:pos="720"/>
        </w:tabs>
      </w:pPr>
    </w:p>
    <w:p w:rsidR="00D33A5A" w:rsidP="005A3188" w14:paraId="384A4667" w14:textId="429F81E9">
      <w:pPr>
        <w:widowControl/>
        <w:tabs>
          <w:tab w:val="left" w:pos="720"/>
        </w:tabs>
      </w:pPr>
      <w:r>
        <w:t xml:space="preserve">A CQE </w:t>
      </w:r>
      <w:r w:rsidRPr="00114B54">
        <w:t xml:space="preserve">must be a new </w:t>
      </w:r>
      <w:r>
        <w:t>nonprofit</w:t>
      </w:r>
      <w:r w:rsidRPr="00114B54">
        <w:t xml:space="preserve"> entity incorporated under the State of Alaska or a new </w:t>
      </w:r>
      <w:r>
        <w:t>nonprofit</w:t>
      </w:r>
      <w:r w:rsidRPr="00114B54">
        <w:t xml:space="preserve"> entity formed by an aggregation of several eligible communities. </w:t>
      </w:r>
      <w:r>
        <w:t>A</w:t>
      </w:r>
      <w:r w:rsidRPr="00114B54">
        <w:t xml:space="preserve"> </w:t>
      </w:r>
      <w:r>
        <w:t>CQE</w:t>
      </w:r>
      <w:r w:rsidRPr="00114B54">
        <w:t xml:space="preserve"> </w:t>
      </w:r>
      <w:r w:rsidRPr="00114B54">
        <w:t xml:space="preserve">must </w:t>
      </w:r>
      <w:r>
        <w:t xml:space="preserve">be </w:t>
      </w:r>
      <w:r w:rsidRPr="00114B54">
        <w:t>incorporated</w:t>
      </w:r>
      <w:r w:rsidRPr="00114B54">
        <w:t xml:space="preserve"> after April 10, 2002</w:t>
      </w:r>
      <w:r>
        <w:t xml:space="preserve">, and must </w:t>
      </w:r>
      <w:r w:rsidRPr="00114B54">
        <w:rPr>
          <w:bCs/>
        </w:rPr>
        <w:t xml:space="preserve">represent at least one eligible community listed in </w:t>
      </w:r>
      <w:hyperlink r:id="rId26" w:history="1">
        <w:r w:rsidRPr="00D0719B" w:rsidR="00D0719B">
          <w:rPr>
            <w:rStyle w:val="Hyperlink"/>
            <w:bCs/>
          </w:rPr>
          <w:t>Table 21 of 50 CFR 679.</w:t>
        </w:r>
      </w:hyperlink>
      <w:r w:rsidR="00D0719B">
        <w:rPr>
          <w:bCs/>
        </w:rPr>
        <w:t xml:space="preserve"> </w:t>
      </w:r>
    </w:p>
    <w:p w:rsidR="00D33A5A" w:rsidP="005A3188" w14:paraId="147BA667" w14:textId="77777777">
      <w:pPr>
        <w:widowControl/>
        <w:tabs>
          <w:tab w:val="left" w:pos="720"/>
        </w:tabs>
      </w:pPr>
    </w:p>
    <w:p w:rsidR="00D33A5A" w:rsidP="005A3188" w14:paraId="66AB6DBF" w14:textId="7777777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w:t>
      </w:r>
      <w:r w:rsidRPr="00114B54">
        <w:t xml:space="preserve"> CQE </w:t>
      </w:r>
      <w:r w:rsidRPr="00AA380E">
        <w:t>must have the written approval of each community it represents</w:t>
      </w:r>
      <w:r>
        <w:t>. A CQE</w:t>
      </w:r>
      <w:r w:rsidRPr="00AA380E">
        <w:t xml:space="preserve"> </w:t>
      </w:r>
      <w:r>
        <w:t>may</w:t>
      </w:r>
      <w:r w:rsidRPr="00114B54">
        <w:t xml:space="preserve"> represent more than one community, </w:t>
      </w:r>
      <w:r>
        <w:t>but</w:t>
      </w:r>
      <w:r w:rsidRPr="00114B54">
        <w:t xml:space="preserve"> a community </w:t>
      </w:r>
      <w:r>
        <w:t>may</w:t>
      </w:r>
      <w:r w:rsidRPr="00114B54">
        <w:t xml:space="preserve"> </w:t>
      </w:r>
      <w:r>
        <w:t>be represented</w:t>
      </w:r>
      <w:r>
        <w:t xml:space="preserve"> by</w:t>
      </w:r>
      <w:r w:rsidRPr="00114B54">
        <w:t xml:space="preserve"> </w:t>
      </w:r>
      <w:r>
        <w:t xml:space="preserve">only </w:t>
      </w:r>
      <w:r w:rsidRPr="00114B54">
        <w:t>one CQE.</w:t>
      </w:r>
      <w:r>
        <w:t xml:space="preserve"> </w:t>
      </w:r>
    </w:p>
    <w:p w:rsidR="00D33A5A" w:rsidP="005A3188" w14:paraId="599E184B" w14:textId="7777777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D33A5A" w:rsidP="005A3188" w14:paraId="2116E245" w14:textId="77777777">
      <w:pPr>
        <w:widowControl/>
      </w:pPr>
      <w:r w:rsidRPr="00114B54">
        <w:t xml:space="preserve">This application </w:t>
      </w:r>
      <w:r w:rsidRPr="00114B54">
        <w:t xml:space="preserve">is </w:t>
      </w:r>
      <w:r>
        <w:t>submitted</w:t>
      </w:r>
      <w:r w:rsidRPr="00114B54">
        <w:t xml:space="preserve"> only once, unless a community withdraws support from </w:t>
      </w:r>
      <w:r>
        <w:t>its</w:t>
      </w:r>
      <w:r w:rsidRPr="00114B54">
        <w:t xml:space="preserve"> CQE.</w:t>
      </w:r>
      <w:r>
        <w:t xml:space="preserve"> A separate application </w:t>
      </w:r>
      <w:r>
        <w:t>is submitted</w:t>
      </w:r>
      <w:r>
        <w:t xml:space="preserve"> for each community that the CQE will represent.  </w:t>
      </w:r>
    </w:p>
    <w:p w:rsidR="00D33A5A" w:rsidP="005A3188" w14:paraId="05F32F8F" w14:textId="77777777">
      <w:pPr>
        <w:widowControl/>
      </w:pPr>
    </w:p>
    <w:p w:rsidR="00D33A5A" w:rsidP="005A3188" w14:paraId="5D744728" w14:textId="5A9E5093">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As part of the approval process, NMFS provides a copy of the complete application to the Alaska Department of Community and Economic Development and considers comments received from it. </w:t>
      </w:r>
      <w:r w:rsidRPr="007605CF" w:rsidR="007605CF">
        <w:t xml:space="preserve">The Alaska Department of Community and Economic Development must submit </w:t>
      </w:r>
      <w:r w:rsidR="007605CF">
        <w:t xml:space="preserve">its </w:t>
      </w:r>
      <w:r w:rsidRPr="007605CF" w:rsidR="007605CF">
        <w:t xml:space="preserve">comments within 30 days of receipt of the application in order for those comments to </w:t>
      </w:r>
      <w:r w:rsidRPr="007605CF" w:rsidR="007605CF">
        <w:t>be considered</w:t>
      </w:r>
      <w:r w:rsidRPr="007605CF" w:rsidR="007605CF">
        <w:t xml:space="preserve"> by </w:t>
      </w:r>
      <w:r w:rsidR="007605CF">
        <w:t>NMFS</w:t>
      </w:r>
      <w:r w:rsidRPr="007605CF" w:rsidR="007605CF">
        <w:t xml:space="preserve"> during the approval process.</w:t>
      </w:r>
    </w:p>
    <w:p w:rsidR="00D33A5A" w:rsidRPr="00114B54" w:rsidP="005A3188" w14:paraId="50DAAAF0" w14:textId="7777777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D33A5A" w:rsidP="005A3188" w14:paraId="6FDC981E" w14:textId="46A8991F">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605CF">
        <w:t xml:space="preserve">A list of CQEs and the community represented by each </w:t>
      </w:r>
      <w:r w:rsidRPr="007605CF">
        <w:t>is posted</w:t>
      </w:r>
      <w:r w:rsidRPr="007605CF">
        <w:t xml:space="preserve"> on the </w:t>
      </w:r>
      <w:hyperlink r:id="rId27" w:anchor="community-quota-entities" w:history="1">
        <w:r w:rsidRPr="007605CF" w:rsidR="007605CF">
          <w:rPr>
            <w:rStyle w:val="Hyperlink"/>
            <w:rFonts w:eastAsia="Arial"/>
          </w:rPr>
          <w:t>NMFS Alaska Region website for permits and licenses in Alaska</w:t>
        </w:r>
      </w:hyperlink>
      <w:r w:rsidRPr="007605CF">
        <w:t xml:space="preserve">. </w:t>
      </w:r>
    </w:p>
    <w:p w:rsidR="00D33A5A" w:rsidP="005A3188" w14:paraId="7CC4BC6B" w14:textId="77777777">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67034" w:rsidP="005A3188" w14:paraId="5658A45A" w14:textId="2290C38E">
      <w:pPr>
        <w:widowControl/>
      </w:pPr>
      <w:r>
        <w:t>T</w:t>
      </w:r>
      <w:r w:rsidR="00A778C7">
        <w:t>he information collected on the</w:t>
      </w:r>
      <w:r>
        <w:t xml:space="preserve"> </w:t>
      </w:r>
      <w:r w:rsidRPr="00A778C7" w:rsidR="00A778C7">
        <w:t>Application for a Nonprofit Corporation to be Designated as a Community Quota Entity (CQE)</w:t>
      </w:r>
      <w:r>
        <w:t>includes taxpayer identification</w:t>
      </w:r>
      <w:r w:rsidR="00F64E35">
        <w:t xml:space="preserve"> num</w:t>
      </w:r>
      <w:r w:rsidR="00A778C7">
        <w:t>b</w:t>
      </w:r>
      <w:r w:rsidR="00F64E35">
        <w:t>er</w:t>
      </w:r>
      <w:r w:rsidR="00961F8A">
        <w:t>,</w:t>
      </w:r>
      <w:r>
        <w:t xml:space="preserve"> </w:t>
      </w:r>
      <w:r w:rsidR="00961F8A">
        <w:t xml:space="preserve">NMFS CQE Person ID, </w:t>
      </w:r>
      <w:r w:rsidR="00F64E35">
        <w:t xml:space="preserve">name of non-profit organization, name of representative, </w:t>
      </w:r>
      <w:r w:rsidR="00961F8A">
        <w:t xml:space="preserve">and </w:t>
      </w:r>
      <w:r>
        <w:t xml:space="preserve">contact information for the nonprofit </w:t>
      </w:r>
      <w:r w:rsidR="005741AB">
        <w:t>entity</w:t>
      </w:r>
      <w:r w:rsidR="00B239A0">
        <w:t xml:space="preserve"> applying to become a CQE</w:t>
      </w:r>
      <w:r w:rsidR="00961F8A">
        <w:t>;</w:t>
      </w:r>
      <w:r>
        <w:t xml:space="preserve"> </w:t>
      </w:r>
      <w:r>
        <w:t xml:space="preserve">the </w:t>
      </w:r>
      <w:r>
        <w:t xml:space="preserve">name of the community represented by the nonprofit </w:t>
      </w:r>
      <w:r w:rsidR="005741AB">
        <w:t>entity</w:t>
      </w:r>
      <w:r>
        <w:t xml:space="preserve"> and contact information f</w:t>
      </w:r>
      <w:r w:rsidR="00961F8A">
        <w:t>or the community governing body;</w:t>
      </w:r>
      <w:r>
        <w:t xml:space="preserve"> </w:t>
      </w:r>
      <w:r>
        <w:t xml:space="preserve">and </w:t>
      </w:r>
      <w:r w:rsidR="00B239A0">
        <w:t>the signature</w:t>
      </w:r>
      <w:r w:rsidR="00696126">
        <w:t xml:space="preserve"> and printed name</w:t>
      </w:r>
      <w:r w:rsidR="00B239A0">
        <w:t xml:space="preserve"> of the applicant or authorized representative</w:t>
      </w:r>
      <w:r w:rsidR="00696126">
        <w:t xml:space="preserve"> and date signed</w:t>
      </w:r>
      <w:r>
        <w:t>.</w:t>
      </w:r>
      <w:r>
        <w:t xml:space="preserve"> </w:t>
      </w:r>
      <w:r w:rsidRPr="00696126" w:rsidR="00696126">
        <w:t xml:space="preserve">If </w:t>
      </w:r>
      <w:r w:rsidRPr="00696126" w:rsidR="00696126">
        <w:t>it is completed by a representative</w:t>
      </w:r>
      <w:r w:rsidRPr="00696126" w:rsidR="00696126">
        <w:t>, their authorization must be attached.</w:t>
      </w:r>
    </w:p>
    <w:p w:rsidR="00967034" w:rsidP="005A3188" w14:paraId="36347EB4" w14:textId="77777777">
      <w:pPr>
        <w:widowControl/>
      </w:pPr>
    </w:p>
    <w:p w:rsidR="00967034" w:rsidP="005A3188" w14:paraId="44C0D09C" w14:textId="233527C7">
      <w:pPr>
        <w:widowControl/>
      </w:pPr>
      <w:r>
        <w:t xml:space="preserve">The application also requires the following attachments: </w:t>
      </w:r>
    </w:p>
    <w:p w:rsidR="00967034" w:rsidP="005A3188" w14:paraId="43446853" w14:textId="77777777">
      <w:pPr>
        <w:pStyle w:val="ListParagraph"/>
        <w:widowControl/>
        <w:numPr>
          <w:ilvl w:val="0"/>
          <w:numId w:val="21"/>
        </w:numPr>
        <w:spacing w:before="0"/>
      </w:pPr>
      <w:r>
        <w:t xml:space="preserve">The applicant's Articles of Incorporation </w:t>
      </w:r>
    </w:p>
    <w:p w:rsidR="00967034" w:rsidP="005A3188" w14:paraId="1BAC4F6F" w14:textId="30FBB466">
      <w:pPr>
        <w:pStyle w:val="ListParagraph"/>
        <w:widowControl/>
        <w:numPr>
          <w:ilvl w:val="0"/>
          <w:numId w:val="21"/>
        </w:numPr>
        <w:spacing w:before="0"/>
      </w:pPr>
      <w:r>
        <w:t>The applicant's Corporate By-laws</w:t>
      </w:r>
    </w:p>
    <w:p w:rsidR="00967034" w:rsidP="005A3188" w14:paraId="3C702593" w14:textId="77777777">
      <w:pPr>
        <w:pStyle w:val="ListParagraph"/>
        <w:widowControl/>
        <w:numPr>
          <w:ilvl w:val="0"/>
          <w:numId w:val="21"/>
        </w:numPr>
        <w:spacing w:before="0"/>
      </w:pPr>
      <w:r>
        <w:t>A list of the applicant's key personnel, including its Board of Directors and Officers</w:t>
      </w:r>
    </w:p>
    <w:p w:rsidR="00967034" w:rsidP="005A3188" w14:paraId="7BDCA4D8" w14:textId="2E7F460D">
      <w:pPr>
        <w:pStyle w:val="ListParagraph"/>
        <w:widowControl/>
        <w:numPr>
          <w:ilvl w:val="0"/>
          <w:numId w:val="21"/>
        </w:numPr>
        <w:spacing w:before="0"/>
      </w:pPr>
      <w:r>
        <w:t>The applicant's Organizational Chart or, at a minimum, a written explanation that fully reveals the applicant's line and staff responsibilities and relationships</w:t>
      </w:r>
    </w:p>
    <w:p w:rsidR="00967034" w:rsidP="005A3188" w14:paraId="5AACDD77" w14:textId="77777777">
      <w:pPr>
        <w:pStyle w:val="ListParagraph"/>
        <w:widowControl/>
        <w:numPr>
          <w:ilvl w:val="0"/>
          <w:numId w:val="21"/>
        </w:numPr>
        <w:spacing w:before="0"/>
      </w:pPr>
      <w:r>
        <w:t>A statement designating the eligible coastal community(</w:t>
      </w:r>
      <w:r>
        <w:t>ies</w:t>
      </w:r>
      <w:r>
        <w:t>) that the entity seeks to represent</w:t>
      </w:r>
    </w:p>
    <w:p w:rsidR="00967034" w:rsidP="005A3188" w14:paraId="34B906C2" w14:textId="318D83A4">
      <w:pPr>
        <w:pStyle w:val="ListParagraph"/>
        <w:widowControl/>
        <w:numPr>
          <w:ilvl w:val="0"/>
          <w:numId w:val="21"/>
        </w:numPr>
        <w:spacing w:before="0"/>
      </w:pPr>
      <w:r>
        <w:t>An explanation of how the applicant will manage QS/IFQ on behalf of the community(</w:t>
      </w:r>
      <w:r>
        <w:t>ies</w:t>
      </w:r>
      <w:r>
        <w:t>) it seeks to represent</w:t>
      </w:r>
    </w:p>
    <w:p w:rsidR="00967034" w:rsidP="005A3188" w14:paraId="34DB8BB2" w14:textId="5E1BCD70">
      <w:pPr>
        <w:pStyle w:val="ListParagraph"/>
        <w:widowControl/>
        <w:numPr>
          <w:ilvl w:val="0"/>
          <w:numId w:val="21"/>
        </w:numPr>
        <w:spacing w:before="0"/>
      </w:pPr>
      <w:r>
        <w:t>A statement that explains the procedures that will be used to solicit requests from community residents to use (lease) annual IFQ held by the applicant and that sets out the criteria and procedures to be used to select from among those who have expressed a desire to use the IFQ.</w:t>
      </w:r>
    </w:p>
    <w:p w:rsidR="00967034" w:rsidP="005A3188" w14:paraId="3CAD5CBB" w14:textId="77777777">
      <w:pPr>
        <w:pStyle w:val="ListParagraph"/>
        <w:widowControl/>
        <w:numPr>
          <w:ilvl w:val="0"/>
          <w:numId w:val="21"/>
        </w:numPr>
        <w:spacing w:before="0"/>
      </w:pPr>
      <w:r>
        <w:t>Formal resolution from the community governing body (i.e., the city council if a municipality, the tribal governing body if not a municipality, or the non-profit community association if neither a municipality nor a tribe) that unambiguously designates the applicant as the community's representative and CQE.</w:t>
      </w:r>
    </w:p>
    <w:p w:rsidR="00967034" w:rsidP="005A3188" w14:paraId="291102C9" w14:textId="77777777">
      <w:pPr>
        <w:widowControl/>
      </w:pPr>
    </w:p>
    <w:p w:rsidR="00967034" w:rsidP="005A3188" w14:paraId="24AA79D0" w14:textId="58E4B182">
      <w:pPr>
        <w:widowControl/>
      </w:pPr>
      <w:r>
        <w:t>In addition to the above attachments, an entity applying to become an Aleutian Islands CQE, must also attach the following:</w:t>
      </w:r>
    </w:p>
    <w:p w:rsidR="00967034" w:rsidP="005A3188" w14:paraId="6C48B2A5" w14:textId="0503ECBC">
      <w:pPr>
        <w:pStyle w:val="ListParagraph"/>
        <w:widowControl/>
        <w:numPr>
          <w:ilvl w:val="0"/>
          <w:numId w:val="21"/>
        </w:numPr>
        <w:spacing w:before="0"/>
      </w:pPr>
      <w:r>
        <w:t>Procedures to determine the distribution of IFQ to eligible community residents and non-residents of Adak.</w:t>
      </w:r>
    </w:p>
    <w:p w:rsidR="00967034" w:rsidP="005A3188" w14:paraId="3BFA456C" w14:textId="6D0FC0F0">
      <w:pPr>
        <w:pStyle w:val="ListParagraph"/>
        <w:widowControl/>
        <w:numPr>
          <w:ilvl w:val="0"/>
          <w:numId w:val="21"/>
        </w:numPr>
        <w:spacing w:before="0"/>
      </w:pPr>
      <w:r>
        <w:t>Procedures to solicit requests from eligible community residents and non-residents to lease IFQ.</w:t>
      </w:r>
    </w:p>
    <w:p w:rsidR="00967034" w:rsidRPr="00114B54" w:rsidP="005A3188" w14:paraId="71EC3229" w14:textId="27410D60">
      <w:pPr>
        <w:pStyle w:val="ListParagraph"/>
        <w:widowControl/>
        <w:numPr>
          <w:ilvl w:val="0"/>
          <w:numId w:val="21"/>
        </w:numPr>
        <w:spacing w:before="0"/>
      </w:pPr>
      <w:r>
        <w:t>Criteria to determine the distribution of IFQ leases among eligible community residents and nonresidents and the relative weighting of those criteria.</w:t>
      </w:r>
    </w:p>
    <w:p w:rsidR="00D33A5A" w:rsidP="005A3188" w14:paraId="62BBFFF3" w14:textId="5E001F07">
      <w:pPr>
        <w:widowControl/>
        <w:rPr>
          <w:bCs/>
        </w:rPr>
      </w:pPr>
    </w:p>
    <w:p w:rsidR="006E7140" w:rsidRPr="005F3E68" w:rsidP="005F3E68" w14:paraId="76A61CD6" w14:textId="28F3483B">
      <w:pPr>
        <w:widowControl/>
        <w:spacing w:before="120"/>
        <w:ind w:left="274" w:hanging="274"/>
        <w:rPr>
          <w:b/>
          <w:bCs/>
          <w:color w:val="C00000"/>
        </w:rPr>
      </w:pPr>
      <w:r>
        <w:rPr>
          <w:b/>
        </w:rPr>
        <w:t>b</w:t>
      </w:r>
      <w:r w:rsidRPr="00FD0E0B">
        <w:rPr>
          <w:b/>
        </w:rPr>
        <w:t>.  Community</w:t>
      </w:r>
      <w:r w:rsidRPr="00FD0E0B">
        <w:rPr>
          <w:b/>
        </w:rPr>
        <w:t xml:space="preserve"> Q</w:t>
      </w:r>
      <w:r w:rsidR="00B24C4D">
        <w:rPr>
          <w:b/>
        </w:rPr>
        <w:t>uota Entity (CQE) Annual Report</w:t>
      </w:r>
      <w:r w:rsidR="00BF3525">
        <w:rPr>
          <w:b/>
        </w:rPr>
        <w:t xml:space="preserve"> </w:t>
      </w:r>
      <w:r w:rsidRPr="005F3E68">
        <w:rPr>
          <w:b/>
          <w:bCs/>
          <w:color w:val="C00000"/>
        </w:rPr>
        <w:t>[</w:t>
      </w:r>
      <w:r w:rsidR="002F5378">
        <w:rPr>
          <w:b/>
          <w:bCs/>
          <w:color w:val="C00000"/>
        </w:rPr>
        <w:t>Rule r</w:t>
      </w:r>
      <w:r w:rsidRPr="005F3E68" w:rsidR="005F3E68">
        <w:rPr>
          <w:b/>
          <w:bCs/>
          <w:color w:val="C00000"/>
        </w:rPr>
        <w:t>evise</w:t>
      </w:r>
      <w:r w:rsidR="002F5378">
        <w:rPr>
          <w:b/>
          <w:bCs/>
          <w:color w:val="C00000"/>
        </w:rPr>
        <w:t>s</w:t>
      </w:r>
      <w:r w:rsidRPr="005F3E68">
        <w:rPr>
          <w:b/>
          <w:bCs/>
          <w:color w:val="C00000"/>
        </w:rPr>
        <w:t xml:space="preserve"> </w:t>
      </w:r>
      <w:hyperlink r:id="rId28" w:anchor="p-679.5(t)(2)" w:history="1">
        <w:r w:rsidRPr="005F3E68" w:rsidR="005F3E68">
          <w:rPr>
            <w:rStyle w:val="Hyperlink"/>
            <w:rFonts w:eastAsia="Calibri"/>
            <w:b/>
          </w:rPr>
          <w:t>§ 679.5(t)(2)</w:t>
        </w:r>
      </w:hyperlink>
      <w:r w:rsidRPr="005F3E68">
        <w:rPr>
          <w:b/>
          <w:bCs/>
          <w:color w:val="C00000"/>
        </w:rPr>
        <w:t xml:space="preserve"> to</w:t>
      </w:r>
      <w:r w:rsidRPr="005F3E68">
        <w:rPr>
          <w:b/>
          <w:bCs/>
          <w:color w:val="C00000"/>
          <w:sz w:val="28"/>
        </w:rPr>
        <w:t xml:space="preserve"> </w:t>
      </w:r>
      <w:r w:rsidR="00447F43">
        <w:rPr>
          <w:b/>
          <w:bCs/>
          <w:color w:val="C00000"/>
        </w:rPr>
        <w:t>increase</w:t>
      </w:r>
      <w:r w:rsidRPr="005F3E68">
        <w:rPr>
          <w:b/>
          <w:bCs/>
          <w:color w:val="C00000"/>
        </w:rPr>
        <w:t xml:space="preserve"> submission methods</w:t>
      </w:r>
      <w:r w:rsidR="002F5378">
        <w:rPr>
          <w:b/>
          <w:bCs/>
          <w:color w:val="C00000"/>
        </w:rPr>
        <w:t>.</w:t>
      </w:r>
      <w:r w:rsidRPr="005F3E68">
        <w:rPr>
          <w:b/>
          <w:bCs/>
          <w:color w:val="C00000"/>
        </w:rPr>
        <w:t>]</w:t>
      </w:r>
    </w:p>
    <w:p w:rsidR="005F3E68" w:rsidRPr="00BF3A19" w:rsidP="006E7140" w14:paraId="278F7ADF" w14:textId="77777777">
      <w:pPr>
        <w:widowControl/>
        <w:ind w:left="270" w:hanging="270"/>
        <w:rPr>
          <w:b/>
          <w:sz w:val="23"/>
        </w:rPr>
      </w:pPr>
    </w:p>
    <w:p w:rsidR="00333362" w:rsidP="00BC2171" w14:paraId="772909BD" w14:textId="75808D74">
      <w:pPr>
        <w:widowControl/>
        <w:tabs>
          <w:tab w:val="left" w:pos="720"/>
        </w:tabs>
      </w:pPr>
      <w:r>
        <w:rPr>
          <w:b/>
        </w:rPr>
        <w:t xml:space="preserve"> </w:t>
      </w:r>
      <w:r>
        <w:t xml:space="preserve">A CQE must submit annual report data for the community charter halibut permit, IFQ, and LLP </w:t>
      </w:r>
      <w:r w:rsidR="00C24E9D">
        <w:t>licenses</w:t>
      </w:r>
      <w:r>
        <w:t xml:space="preserve"> it held during the calendar year. </w:t>
      </w:r>
      <w:r w:rsidRPr="00333362">
        <w:t>The CQE may combine annual reports about its holdings of community charter halibut permits, IFQ, and LLP</w:t>
      </w:r>
      <w:r w:rsidR="00C24E9D">
        <w:t xml:space="preserve"> license</w:t>
      </w:r>
      <w:r w:rsidRPr="00333362" w:rsidR="00C24E9D">
        <w:t>s</w:t>
      </w:r>
      <w:r w:rsidRPr="00333362">
        <w:t xml:space="preserve"> in one report. </w:t>
      </w:r>
      <w:r>
        <w:t xml:space="preserve">A CQE is </w:t>
      </w:r>
      <w:r>
        <w:t>not required to submit an annual report for any calendar year in which it did not hold any community charter halibut permits, IFQ, or LLP</w:t>
      </w:r>
      <w:r w:rsidR="00C24E9D">
        <w:t xml:space="preserve"> license</w:t>
      </w:r>
      <w:r>
        <w:t>s.</w:t>
      </w:r>
    </w:p>
    <w:p w:rsidR="00333362" w:rsidP="005A3188" w14:paraId="794F8450" w14:textId="77777777">
      <w:pPr>
        <w:widowControl/>
        <w:tabs>
          <w:tab w:val="left" w:pos="360"/>
          <w:tab w:val="left" w:pos="720"/>
          <w:tab w:val="left" w:pos="1080"/>
        </w:tabs>
      </w:pPr>
    </w:p>
    <w:p w:rsidR="00D33A5A" w:rsidRPr="00FD0E0B" w:rsidP="005A3188" w14:paraId="69B50602" w14:textId="08177062">
      <w:pPr>
        <w:widowControl/>
        <w:tabs>
          <w:tab w:val="left" w:pos="360"/>
          <w:tab w:val="left" w:pos="720"/>
          <w:tab w:val="left" w:pos="1080"/>
        </w:tabs>
      </w:pPr>
      <w:r w:rsidRPr="00FD0E0B">
        <w:t xml:space="preserve">A CQE </w:t>
      </w:r>
      <w:r>
        <w:t>must</w:t>
      </w:r>
      <w:r w:rsidRPr="00FD0E0B">
        <w:t xml:space="preserve"> submit an annual report for any calendar year in which </w:t>
      </w:r>
      <w:r>
        <w:t>it held</w:t>
      </w:r>
      <w:r w:rsidRPr="00FD0E0B">
        <w:t xml:space="preserve"> any community</w:t>
      </w:r>
      <w:r>
        <w:t xml:space="preserve"> </w:t>
      </w:r>
      <w:r w:rsidRPr="00FD0E0B">
        <w:t>charter halibut permits, IFQ, or LLP</w:t>
      </w:r>
      <w:r>
        <w:t xml:space="preserve"> license</w:t>
      </w:r>
      <w:r w:rsidRPr="00FD0E0B">
        <w:t>s.</w:t>
      </w:r>
      <w:r>
        <w:t xml:space="preserve"> </w:t>
      </w:r>
    </w:p>
    <w:p w:rsidR="00D33A5A" w:rsidRPr="00FD0E0B" w:rsidP="005A3188" w14:paraId="60B46798" w14:textId="77777777">
      <w:pPr>
        <w:widowControl/>
        <w:tabs>
          <w:tab w:val="left" w:pos="360"/>
          <w:tab w:val="left" w:pos="720"/>
          <w:tab w:val="left" w:pos="1080"/>
        </w:tabs>
      </w:pPr>
    </w:p>
    <w:p w:rsidR="00D33A5A" w:rsidRPr="00EC3878" w:rsidP="005A3188" w14:paraId="03F72F81" w14:textId="2594F4FC">
      <w:pPr>
        <w:widowControl/>
        <w:tabs>
          <w:tab w:val="left" w:pos="360"/>
          <w:tab w:val="left" w:pos="720"/>
          <w:tab w:val="left" w:pos="1080"/>
        </w:tabs>
      </w:pPr>
      <w:r w:rsidRPr="00FD0E0B">
        <w:t xml:space="preserve">By January 31, the CQE must submit a complete annual report for the prior calendar year to </w:t>
      </w:r>
      <w:r>
        <w:t xml:space="preserve">NMFS </w:t>
      </w:r>
      <w:r w:rsidRPr="00FD0E0B">
        <w:t xml:space="preserve">and to the governing body of each community represented by the CQE as identified in </w:t>
      </w:r>
      <w:r w:rsidRPr="00F2555B">
        <w:rPr>
          <w:rStyle w:val="Hyperlink"/>
          <w:rFonts w:eastAsia="Arial"/>
          <w:color w:val="auto"/>
          <w:u w:val="none"/>
        </w:rPr>
        <w:t xml:space="preserve">Table 21 to part 679. </w:t>
      </w:r>
    </w:p>
    <w:p w:rsidR="00D33A5A" w:rsidP="005A3188" w14:paraId="3CE60FF3" w14:textId="77777777">
      <w:pPr>
        <w:widowControl/>
        <w:tabs>
          <w:tab w:val="left" w:pos="360"/>
          <w:tab w:val="left" w:pos="720"/>
          <w:tab w:val="left" w:pos="1080"/>
        </w:tabs>
        <w:rPr>
          <w:color w:val="000000" w:themeColor="text1"/>
        </w:rPr>
      </w:pPr>
    </w:p>
    <w:p w:rsidR="00B61535" w:rsidP="005A3188" w14:paraId="4718CCED" w14:textId="7D4CC443">
      <w:pPr>
        <w:widowControl/>
        <w:tabs>
          <w:tab w:val="left" w:pos="360"/>
          <w:tab w:val="left" w:pos="720"/>
          <w:tab w:val="left" w:pos="1080"/>
        </w:tabs>
        <w:rPr>
          <w:color w:val="000000" w:themeColor="text1"/>
        </w:rPr>
      </w:pPr>
      <w:r w:rsidRPr="00B61535">
        <w:rPr>
          <w:color w:val="000000" w:themeColor="text1"/>
        </w:rPr>
        <w:t xml:space="preserve">The purpose of the annual report is to help NMFS and the Council assess the performance of the CQEs in meeting the objectives of providing for community-held QS. </w:t>
      </w:r>
      <w:r w:rsidR="00317ABF">
        <w:rPr>
          <w:color w:val="000000" w:themeColor="text1"/>
        </w:rPr>
        <w:t>T</w:t>
      </w:r>
      <w:r w:rsidRPr="00317ABF" w:rsidR="00317ABF">
        <w:rPr>
          <w:color w:val="000000" w:themeColor="text1"/>
        </w:rPr>
        <w:t xml:space="preserve">he information collected through CQE annual reports provides essential information for the effective and sustainable management of the CQE Program and related fisheries. </w:t>
      </w:r>
      <w:r w:rsidR="00317ABF">
        <w:rPr>
          <w:color w:val="000000" w:themeColor="text1"/>
        </w:rPr>
        <w:t>I</w:t>
      </w:r>
      <w:r>
        <w:rPr>
          <w:color w:val="000000" w:themeColor="text1"/>
        </w:rPr>
        <w:t xml:space="preserve">t is important </w:t>
      </w:r>
      <w:r w:rsidRPr="00317ABF" w:rsidR="00317ABF">
        <w:rPr>
          <w:color w:val="000000" w:themeColor="text1"/>
        </w:rPr>
        <w:t xml:space="preserve">to have regularly updated information to ensure that program requirements and objectives </w:t>
      </w:r>
      <w:r w:rsidRPr="00317ABF" w:rsidR="00317ABF">
        <w:rPr>
          <w:color w:val="000000" w:themeColor="text1"/>
        </w:rPr>
        <w:t>are consistently met</w:t>
      </w:r>
      <w:r w:rsidRPr="00317ABF" w:rsidR="00317ABF">
        <w:rPr>
          <w:color w:val="000000" w:themeColor="text1"/>
        </w:rPr>
        <w:t xml:space="preserve">. </w:t>
      </w:r>
      <w:r w:rsidRPr="00EC3516" w:rsidR="00EC3516">
        <w:rPr>
          <w:color w:val="000000" w:themeColor="text1"/>
        </w:rPr>
        <w:t xml:space="preserve">The </w:t>
      </w:r>
      <w:r w:rsidR="00A778C7">
        <w:rPr>
          <w:color w:val="000000" w:themeColor="text1"/>
        </w:rPr>
        <w:t xml:space="preserve">CQE annual </w:t>
      </w:r>
      <w:r w:rsidRPr="00EC3516" w:rsidR="00EC3516">
        <w:rPr>
          <w:color w:val="000000" w:themeColor="text1"/>
        </w:rPr>
        <w:t>report describes the CQE’s administrative activities, business operation</w:t>
      </w:r>
      <w:r w:rsidR="00EC3516">
        <w:rPr>
          <w:color w:val="000000" w:themeColor="text1"/>
        </w:rPr>
        <w:t>s</w:t>
      </w:r>
      <w:r w:rsidRPr="00EC3516" w:rsidR="00EC3516">
        <w:rPr>
          <w:color w:val="000000" w:themeColor="text1"/>
        </w:rPr>
        <w:t>, and community fishing activities for the char</w:t>
      </w:r>
      <w:r w:rsidR="00C24E9D">
        <w:rPr>
          <w:color w:val="000000" w:themeColor="text1"/>
        </w:rPr>
        <w:t>ter halibut permit, IFQ, and license limitation</w:t>
      </w:r>
      <w:r w:rsidRPr="00EC3516" w:rsidR="00EC3516">
        <w:rPr>
          <w:color w:val="000000" w:themeColor="text1"/>
        </w:rPr>
        <w:t xml:space="preserve"> programs for each eligible community represented by the CQE for that calendar year.</w:t>
      </w:r>
      <w:r w:rsidR="00EC3516">
        <w:rPr>
          <w:color w:val="000000" w:themeColor="text1"/>
        </w:rPr>
        <w:t xml:space="preserve"> </w:t>
      </w:r>
    </w:p>
    <w:p w:rsidR="00B61535" w:rsidP="005A3188" w14:paraId="7A12D5E3" w14:textId="77777777">
      <w:pPr>
        <w:widowControl/>
        <w:tabs>
          <w:tab w:val="left" w:pos="360"/>
          <w:tab w:val="left" w:pos="720"/>
          <w:tab w:val="left" w:pos="1080"/>
        </w:tabs>
        <w:rPr>
          <w:color w:val="000000" w:themeColor="text1"/>
        </w:rPr>
      </w:pPr>
    </w:p>
    <w:p w:rsidR="00D33A5A" w:rsidRPr="00EC3878" w:rsidP="005A3188" w14:paraId="60FEBDEF" w14:textId="7D171879">
      <w:pPr>
        <w:widowControl/>
        <w:tabs>
          <w:tab w:val="left" w:pos="360"/>
          <w:tab w:val="left" w:pos="720"/>
          <w:tab w:val="left" w:pos="1080"/>
        </w:tabs>
      </w:pPr>
      <w:r w:rsidRPr="00B05B93">
        <w:rPr>
          <w:color w:val="000000" w:themeColor="text1"/>
        </w:rPr>
        <w:t>NMFS does not have a form for this report because of the unknown nature of the responses that may come from each CQE that is required to report.  Each CQE holds different permits and has different mechanisms for deciding how to distribute those permits.  Each CQE is free to format their own annual report provided that it covers all the required criteria set out in the regulations</w:t>
      </w:r>
      <w:r>
        <w:rPr>
          <w:color w:val="000000" w:themeColor="text1"/>
        </w:rPr>
        <w:t xml:space="preserve"> at §</w:t>
      </w:r>
      <w:r w:rsidRPr="00E364EE">
        <w:rPr>
          <w:color w:val="000000" w:themeColor="text1"/>
        </w:rPr>
        <w:t xml:space="preserve"> 679.5(t)</w:t>
      </w:r>
      <w:r>
        <w:rPr>
          <w:color w:val="000000" w:themeColor="text1"/>
        </w:rPr>
        <w:t>.</w:t>
      </w:r>
    </w:p>
    <w:p w:rsidR="00D33A5A" w:rsidP="005A3188" w14:paraId="27C95FCE" w14:textId="77777777">
      <w:pPr>
        <w:widowControl/>
        <w:tabs>
          <w:tab w:val="left" w:pos="360"/>
          <w:tab w:val="left" w:pos="720"/>
          <w:tab w:val="left" w:pos="1080"/>
        </w:tabs>
      </w:pPr>
    </w:p>
    <w:p w:rsidR="00D33A5A" w:rsidP="00F55906" w14:paraId="2B801A59" w14:textId="595EFDB8">
      <w:pPr>
        <w:keepNext/>
        <w:keepLines/>
        <w:widowControl/>
        <w:spacing w:before="120"/>
        <w:rPr>
          <w:b/>
        </w:rPr>
      </w:pPr>
      <w:r>
        <w:rPr>
          <w:b/>
        </w:rPr>
        <w:t>c</w:t>
      </w:r>
      <w:r w:rsidRPr="00114B54">
        <w:rPr>
          <w:b/>
        </w:rPr>
        <w:t xml:space="preserve">. Application for Transfer of QS to or from a </w:t>
      </w:r>
      <w:r w:rsidRPr="00BA362A">
        <w:rPr>
          <w:b/>
        </w:rPr>
        <w:t xml:space="preserve">CQE </w:t>
      </w:r>
      <w:r w:rsidRPr="00F414A7" w:rsidR="00F414A7">
        <w:rPr>
          <w:b/>
        </w:rPr>
        <w:t>[no change]</w:t>
      </w:r>
    </w:p>
    <w:p w:rsidR="00D33A5A" w:rsidP="00B91524" w14:paraId="6C7F8492" w14:textId="0BD04C87">
      <w:pPr>
        <w:keepNext/>
        <w:keepLines/>
        <w:widowControl/>
        <w:rPr>
          <w:b/>
        </w:rPr>
      </w:pPr>
    </w:p>
    <w:p w:rsidR="00D33A5A" w:rsidRPr="00114B54" w:rsidP="005A3188" w14:paraId="730DD6BD" w14:textId="77777777">
      <w:pPr>
        <w:widowControl/>
      </w:pPr>
      <w:r w:rsidRPr="00114B54">
        <w:t>To participate in a fishery, an eligible community must first form a CQE and purchase catcher vessel QS through a transfer.</w:t>
      </w:r>
      <w:r>
        <w:t xml:space="preserve"> </w:t>
      </w:r>
      <w:r w:rsidRPr="00114B54">
        <w:t xml:space="preserve">Once QS </w:t>
      </w:r>
      <w:r w:rsidRPr="00114B54">
        <w:t>is held</w:t>
      </w:r>
      <w:r>
        <w:t>,</w:t>
      </w:r>
      <w:r w:rsidRPr="00114B54">
        <w:t xml:space="preserve"> the CQE </w:t>
      </w:r>
      <w:r>
        <w:t>may</w:t>
      </w:r>
      <w:r w:rsidRPr="00114B54">
        <w:t xml:space="preserve"> lease the annual IFQ resulting from the QS to individual community residents.</w:t>
      </w:r>
      <w:r>
        <w:t xml:space="preserve"> </w:t>
      </w:r>
    </w:p>
    <w:p w:rsidR="00D33A5A" w:rsidRPr="00114B54" w:rsidP="005A3188" w14:paraId="74F3FAAE" w14:textId="77777777">
      <w:pPr>
        <w:widowControl/>
      </w:pPr>
    </w:p>
    <w:p w:rsidR="00D33A5A" w:rsidRPr="00114B54" w:rsidP="005A3188" w14:paraId="4EE4E650" w14:textId="0325D106">
      <w:pPr>
        <w:widowControl/>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The</w:t>
      </w:r>
      <w:r w:rsidRPr="00114B54">
        <w:t xml:space="preserve"> </w:t>
      </w:r>
      <w:r w:rsidRPr="00F2196F">
        <w:t xml:space="preserve">Application for Transfer of QS </w:t>
      </w:r>
      <w:r w:rsidRPr="00114B54">
        <w:t>is used</w:t>
      </w:r>
      <w:r w:rsidRPr="00114B54">
        <w:t xml:space="preserve"> to apply for a transfer of </w:t>
      </w:r>
      <w:r w:rsidR="00E65291">
        <w:t xml:space="preserve">permanent </w:t>
      </w:r>
      <w:r w:rsidRPr="00114B54">
        <w:t xml:space="preserve">QS </w:t>
      </w:r>
      <w:r w:rsidR="00E65291">
        <w:t xml:space="preserve">(with or without IFQ) </w:t>
      </w:r>
      <w:r w:rsidRPr="00114B54">
        <w:t>to or from a CQE.</w:t>
      </w:r>
      <w:r>
        <w:t xml:space="preserve"> Persons receiving</w:t>
      </w:r>
      <w:r w:rsidRPr="00114B54">
        <w:t xml:space="preserve"> the QS transfer must hold a Transfer Eligibility Certificate (TEC) (</w:t>
      </w:r>
      <w:r>
        <w:t>approved under</w:t>
      </w:r>
      <w:r w:rsidRPr="00114B54">
        <w:t xml:space="preserve"> OMB 0648-0272).</w:t>
      </w:r>
      <w:r>
        <w:t xml:space="preserve"> </w:t>
      </w:r>
      <w:r w:rsidRPr="00114B54">
        <w:t xml:space="preserve">If the application is to permanently transfer QS from a CQE to another party, </w:t>
      </w:r>
      <w:r w:rsidRPr="00114B54">
        <w:t>the application must be signed by a representative of the community for whom the CQE holds the QS</w:t>
      </w:r>
      <w:r w:rsidRPr="00114B54">
        <w:t>.</w:t>
      </w:r>
      <w:r>
        <w:t xml:space="preserve"> </w:t>
      </w:r>
      <w:r w:rsidRPr="00114B54">
        <w:t xml:space="preserve">Transfers of </w:t>
      </w:r>
      <w:r>
        <w:t>c</w:t>
      </w:r>
      <w:r w:rsidRPr="00114B54">
        <w:t xml:space="preserve">harter halibut permits or LLP </w:t>
      </w:r>
      <w:r>
        <w:t>licenses</w:t>
      </w:r>
      <w:r w:rsidRPr="00114B54">
        <w:t xml:space="preserve"> </w:t>
      </w:r>
      <w:r w:rsidRPr="00114B54">
        <w:t>are not allowed</w:t>
      </w:r>
      <w:r w:rsidRPr="00114B54">
        <w:t xml:space="preserve"> in the CQE program. </w:t>
      </w:r>
    </w:p>
    <w:p w:rsidR="00D33A5A" w:rsidP="005A3188" w14:paraId="3E6463B4" w14:textId="77777777">
      <w:pPr>
        <w:widowControl/>
      </w:pPr>
    </w:p>
    <w:p w:rsidR="00D33A5A" w:rsidRPr="00114B54" w:rsidP="005A3188" w14:paraId="2C51C5A9" w14:textId="77777777">
      <w:pPr>
        <w:widowControl/>
        <w:tabs>
          <w:tab w:val="left" w:pos="360"/>
          <w:tab w:val="left" w:pos="720"/>
          <w:tab w:val="left" w:pos="1080"/>
        </w:tabs>
      </w:pPr>
      <w:r>
        <w:t xml:space="preserve">A </w:t>
      </w:r>
      <w:r w:rsidRPr="00114B54">
        <w:t xml:space="preserve">CQE may transfer QS </w:t>
      </w:r>
      <w:r>
        <w:t>for the following reasons (§ 679.41(g</w:t>
      </w:r>
      <w:r>
        <w:t>)(</w:t>
      </w:r>
      <w:r>
        <w:t>7)):</w:t>
      </w:r>
      <w:r w:rsidRPr="00114B54">
        <w:t xml:space="preserve"> </w:t>
      </w:r>
    </w:p>
    <w:p w:rsidR="00D33A5A" w:rsidRPr="00114B54" w:rsidP="005A3188" w14:paraId="5818B2FE" w14:textId="77777777">
      <w:pPr>
        <w:pStyle w:val="ListParagraph"/>
        <w:widowControl/>
        <w:numPr>
          <w:ilvl w:val="0"/>
          <w:numId w:val="13"/>
        </w:numPr>
        <w:tabs>
          <w:tab w:val="left" w:pos="360"/>
          <w:tab w:val="left" w:pos="720"/>
          <w:tab w:val="left" w:pos="1080"/>
        </w:tabs>
        <w:spacing w:before="0"/>
        <w:contextualSpacing/>
      </w:pPr>
      <w:r w:rsidRPr="00114B54">
        <w:t>to</w:t>
      </w:r>
      <w:r>
        <w:t xml:space="preserve"> generate revenue</w:t>
      </w:r>
      <w:r w:rsidRPr="00114B54">
        <w:t xml:space="preserve"> to provide funds to meet administrative costs for managing the community QS holdings</w:t>
      </w:r>
      <w:r>
        <w:t>;</w:t>
      </w:r>
    </w:p>
    <w:p w:rsidR="00D33A5A" w:rsidRPr="00114B54" w:rsidP="005A3188" w14:paraId="4697A8DE" w14:textId="77777777">
      <w:pPr>
        <w:pStyle w:val="ListParagraph"/>
        <w:widowControl/>
        <w:numPr>
          <w:ilvl w:val="0"/>
          <w:numId w:val="13"/>
        </w:numPr>
        <w:tabs>
          <w:tab w:val="left" w:pos="360"/>
          <w:tab w:val="left" w:pos="720"/>
          <w:tab w:val="left" w:pos="1080"/>
        </w:tabs>
        <w:spacing w:before="0"/>
        <w:contextualSpacing/>
      </w:pPr>
      <w:r w:rsidRPr="00114B54">
        <w:t>to</w:t>
      </w:r>
      <w:r>
        <w:t xml:space="preserve"> generate revenue</w:t>
      </w:r>
      <w:r w:rsidRPr="00114B54">
        <w:t xml:space="preserve"> to improve the ability of residents within the community to participate in the halibut and sablefish IFQ fisheries</w:t>
      </w:r>
      <w:r>
        <w:t>;</w:t>
      </w:r>
      <w:r w:rsidRPr="00114B54">
        <w:t xml:space="preserve"> </w:t>
      </w:r>
    </w:p>
    <w:p w:rsidR="00D33A5A" w:rsidP="005A3188" w14:paraId="43362A62" w14:textId="77777777">
      <w:pPr>
        <w:pStyle w:val="ListParagraph"/>
        <w:widowControl/>
        <w:numPr>
          <w:ilvl w:val="0"/>
          <w:numId w:val="13"/>
        </w:numPr>
        <w:tabs>
          <w:tab w:val="left" w:pos="360"/>
          <w:tab w:val="left" w:pos="720"/>
          <w:tab w:val="left" w:pos="1080"/>
        </w:tabs>
        <w:spacing w:before="0"/>
        <w:contextualSpacing/>
      </w:pPr>
      <w:r w:rsidRPr="00114B54">
        <w:t>to</w:t>
      </w:r>
      <w:r>
        <w:t xml:space="preserve"> generate revenue</w:t>
      </w:r>
      <w:r w:rsidRPr="00114B54">
        <w:t xml:space="preserve"> to purchase QS to yield IFQ for use by community residents</w:t>
      </w:r>
    </w:p>
    <w:p w:rsidR="00D33A5A" w:rsidP="005A3188" w14:paraId="1004D45C" w14:textId="77777777">
      <w:pPr>
        <w:pStyle w:val="ListParagraph"/>
        <w:widowControl/>
        <w:numPr>
          <w:ilvl w:val="0"/>
          <w:numId w:val="13"/>
        </w:numPr>
        <w:tabs>
          <w:tab w:val="left" w:pos="360"/>
          <w:tab w:val="left" w:pos="720"/>
          <w:tab w:val="left" w:pos="1080"/>
        </w:tabs>
        <w:spacing w:before="0"/>
        <w:contextualSpacing/>
      </w:pPr>
      <w:r>
        <w:t xml:space="preserve">to dissolve the CQE; or </w:t>
      </w:r>
    </w:p>
    <w:p w:rsidR="00D33A5A" w:rsidRPr="00114B54" w:rsidP="005A3188" w14:paraId="24539056" w14:textId="77777777">
      <w:pPr>
        <w:pStyle w:val="ListParagraph"/>
        <w:widowControl/>
        <w:numPr>
          <w:ilvl w:val="0"/>
          <w:numId w:val="14"/>
        </w:numPr>
        <w:tabs>
          <w:tab w:val="left" w:pos="360"/>
          <w:tab w:val="left" w:pos="720"/>
          <w:tab w:val="left" w:pos="1080"/>
        </w:tabs>
        <w:spacing w:before="0"/>
        <w:contextualSpacing/>
      </w:pPr>
      <w:r w:rsidRPr="00114B54">
        <w:t>as</w:t>
      </w:r>
      <w:r w:rsidRPr="00114B54">
        <w:t xml:space="preserve"> a result of a court order, operation of law, or as part of a security agreement.</w:t>
      </w:r>
    </w:p>
    <w:p w:rsidR="00F2196F" w:rsidP="005A3188" w14:paraId="2A56B077" w14:textId="77777777">
      <w:pPr>
        <w:widowControl/>
        <w:tabs>
          <w:tab w:val="left" w:pos="360"/>
          <w:tab w:val="left" w:pos="720"/>
          <w:tab w:val="left" w:pos="1080"/>
          <w:tab w:val="left" w:pos="1440"/>
        </w:tabs>
      </w:pPr>
    </w:p>
    <w:p w:rsidR="00967034" w:rsidP="005A3188" w14:paraId="5B879100" w14:textId="73CF4001">
      <w:pPr>
        <w:widowControl/>
        <w:tabs>
          <w:tab w:val="left" w:pos="360"/>
          <w:tab w:val="left" w:pos="720"/>
          <w:tab w:val="left" w:pos="1080"/>
          <w:tab w:val="left" w:pos="1440"/>
        </w:tabs>
      </w:pPr>
      <w:r>
        <w:t xml:space="preserve">The information collected on </w:t>
      </w:r>
      <w:r w:rsidR="00A778C7">
        <w:t xml:space="preserve">the </w:t>
      </w:r>
      <w:r w:rsidRPr="00A778C7" w:rsidR="00A778C7">
        <w:t xml:space="preserve">Application for Transfer of QS </w:t>
      </w:r>
      <w:r>
        <w:t>includes</w:t>
      </w:r>
      <w:r w:rsidR="00776301">
        <w:t xml:space="preserve"> </w:t>
      </w:r>
      <w:r w:rsidR="00961F8A">
        <w:t>NMFS Person ID</w:t>
      </w:r>
      <w:r w:rsidR="00AD2940">
        <w:t>, name,</w:t>
      </w:r>
      <w:r>
        <w:t xml:space="preserve"> and contact information fo</w:t>
      </w:r>
      <w:r w:rsidR="00961F8A">
        <w:t>r the transferor and transferee;</w:t>
      </w:r>
      <w:r>
        <w:t xml:space="preserve"> </w:t>
      </w:r>
      <w:r w:rsidRPr="00776301" w:rsidR="00776301">
        <w:t xml:space="preserve">name of the community represented by the </w:t>
      </w:r>
      <w:r w:rsidR="00776301">
        <w:t>CQE</w:t>
      </w:r>
      <w:r w:rsidRPr="00776301" w:rsidR="00776301">
        <w:t xml:space="preserve"> and contact information for the community governing body</w:t>
      </w:r>
      <w:r w:rsidR="00776301">
        <w:t>;</w:t>
      </w:r>
      <w:r>
        <w:t xml:space="preserve"> sweep-up information if this QS is a sweep-up; identification information </w:t>
      </w:r>
      <w:r w:rsidR="00E65291">
        <w:t xml:space="preserve">and amount </w:t>
      </w:r>
      <w:r>
        <w:t xml:space="preserve">of QS to be transferred; </w:t>
      </w:r>
      <w:r w:rsidR="00E65291">
        <w:t>reason for transfer and transaction information; signatures</w:t>
      </w:r>
      <w:r w:rsidR="008A42EF">
        <w:t xml:space="preserve"> and printed names</w:t>
      </w:r>
      <w:r w:rsidR="00E65291">
        <w:t xml:space="preserve"> of the transferor and transferee</w:t>
      </w:r>
      <w:r w:rsidR="008A42EF">
        <w:t>, or their authorized representatives, and date signed</w:t>
      </w:r>
      <w:r w:rsidR="00E65291">
        <w:t>; and signature</w:t>
      </w:r>
      <w:r w:rsidR="004168A4">
        <w:t>, printed name, and title</w:t>
      </w:r>
      <w:r w:rsidR="00E65291">
        <w:t xml:space="preserve"> of the community representative, which is only required when the CQE is permanently transferring QS</w:t>
      </w:r>
      <w:r w:rsidR="008A42EF">
        <w:t>, and date signed</w:t>
      </w:r>
      <w:r w:rsidR="00E65291">
        <w:t>.</w:t>
      </w:r>
      <w:r w:rsidR="00E65291">
        <w:t xml:space="preserve"> If it is a </w:t>
      </w:r>
      <w:r w:rsidRPr="00967034">
        <w:t xml:space="preserve">sweep-up, </w:t>
      </w:r>
      <w:r w:rsidR="00E65291">
        <w:t>the original QS c</w:t>
      </w:r>
      <w:r w:rsidRPr="00967034">
        <w:t>ertificates of both the transferor and the transferee</w:t>
      </w:r>
      <w:r w:rsidR="00E65291">
        <w:t xml:space="preserve"> </w:t>
      </w:r>
      <w:r w:rsidR="00E65291">
        <w:t>must be attached</w:t>
      </w:r>
      <w:r w:rsidR="00E65291">
        <w:t>.</w:t>
      </w:r>
      <w:r w:rsidR="008A42EF">
        <w:t xml:space="preserve"> </w:t>
      </w:r>
      <w:r w:rsidRPr="008A42EF" w:rsidR="008A42EF">
        <w:t xml:space="preserve">If </w:t>
      </w:r>
      <w:r w:rsidRPr="008A42EF" w:rsidR="008A42EF">
        <w:t>it is completed by a representative</w:t>
      </w:r>
      <w:r w:rsidRPr="008A42EF" w:rsidR="008A42EF">
        <w:t>, their authorization must be attached.</w:t>
      </w:r>
    </w:p>
    <w:p w:rsidR="00C6460B" w:rsidP="00C6460B" w14:paraId="0BFB0E02" w14:textId="77777777">
      <w:pPr>
        <w:widowControl/>
        <w:autoSpaceDE w:val="0"/>
        <w:autoSpaceDN w:val="0"/>
        <w:adjustRightInd w:val="0"/>
      </w:pPr>
    </w:p>
    <w:p w:rsidR="00D33A5A" w:rsidP="00F55906" w14:paraId="7BF4173F" w14:textId="23AB7FA9">
      <w:pPr>
        <w:keepNext/>
        <w:widowControl/>
        <w:spacing w:before="120"/>
        <w:rPr>
          <w:b/>
        </w:rPr>
      </w:pPr>
      <w:r w:rsidRPr="00314422">
        <w:rPr>
          <w:b/>
        </w:rPr>
        <w:t>d.</w:t>
      </w:r>
      <w:r w:rsidRPr="00314422" w:rsidR="00D64852">
        <w:rPr>
          <w:b/>
        </w:rPr>
        <w:t xml:space="preserve"> </w:t>
      </w:r>
      <w:r w:rsidRPr="00314422">
        <w:rPr>
          <w:b/>
        </w:rPr>
        <w:t>Application for a CQE to Transfer IFQ to an Eligible Community Resident or Non-</w:t>
      </w:r>
      <w:r w:rsidRPr="007F36C2">
        <w:rPr>
          <w:b/>
        </w:rPr>
        <w:t>resident</w:t>
      </w:r>
      <w:r w:rsidRPr="0065493C">
        <w:rPr>
          <w:b/>
        </w:rPr>
        <w:t xml:space="preserve"> </w:t>
      </w:r>
      <w:r w:rsidR="00ED27CD">
        <w:rPr>
          <w:b/>
          <w:color w:val="C00000"/>
        </w:rPr>
        <w:t>[Revise</w:t>
      </w:r>
      <w:r w:rsidR="004E2920">
        <w:rPr>
          <w:b/>
          <w:color w:val="C00000"/>
        </w:rPr>
        <w:t>d</w:t>
      </w:r>
      <w:r w:rsidRPr="006774D8" w:rsidR="006774D8">
        <w:rPr>
          <w:b/>
          <w:color w:val="C00000"/>
        </w:rPr>
        <w:t>]</w:t>
      </w:r>
    </w:p>
    <w:p w:rsidR="008532D2" w:rsidRPr="00BF3A19" w:rsidP="008532D2" w14:paraId="001840B1" w14:textId="77777777">
      <w:pPr>
        <w:keepNext/>
        <w:widowControl/>
        <w:autoSpaceDE w:val="0"/>
        <w:autoSpaceDN w:val="0"/>
      </w:pPr>
      <w:r w:rsidRPr="00BF3A19">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84455</wp:posOffset>
                </wp:positionV>
                <wp:extent cx="5715000" cy="0"/>
                <wp:effectExtent l="0" t="19050" r="19050" b="1905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flipV="1">
                          <a:off x="0" y="0"/>
                          <a:ext cx="5715000" cy="0"/>
                        </a:xfrm>
                        <a:prstGeom prst="line">
                          <a:avLst/>
                        </a:prstGeom>
                        <a:noFill/>
                        <a:ln w="38100">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5" style="flip:y;mso-height-percent:0;mso-height-relative:margin;mso-width-percent:0;mso-width-relative:margin;mso-wrap-distance-bottom:0;mso-wrap-distance-left:9pt;mso-wrap-distance-right:9pt;mso-wrap-distance-top:0;mso-wrap-style:square;position:absolute;visibility:visible;z-index:251659264" from="9pt,6.65pt" to="459pt,6.65pt" strokecolor="#4a7ebb" strokeweight="3pt"/>
            </w:pict>
          </mc:Fallback>
        </mc:AlternateContent>
      </w:r>
    </w:p>
    <w:p w:rsidR="008532D2" w:rsidP="008532D2" w14:paraId="3D767A27" w14:textId="62327A22">
      <w:pPr>
        <w:keepNext/>
        <w:widowControl/>
        <w:autoSpaceDE w:val="0"/>
        <w:autoSpaceDN w:val="0"/>
        <w:ind w:left="288" w:right="288"/>
        <w:rPr>
          <w:rFonts w:asciiTheme="minorHAnsi" w:hAnsiTheme="minorHAnsi" w:cstheme="minorHAnsi"/>
          <w:sz w:val="22"/>
          <w:szCs w:val="22"/>
        </w:rPr>
      </w:pPr>
      <w:r w:rsidRPr="00BF3A19">
        <w:rPr>
          <w:rFonts w:asciiTheme="minorHAnsi" w:hAnsiTheme="minorHAnsi" w:cstheme="minorHAnsi"/>
          <w:b/>
          <w:color w:val="C00000"/>
          <w:sz w:val="22"/>
          <w:szCs w:val="22"/>
        </w:rPr>
        <w:t>Revision:</w:t>
      </w:r>
      <w:r w:rsidRPr="00BF3A19">
        <w:rPr>
          <w:rFonts w:asciiTheme="minorHAnsi" w:hAnsiTheme="minorHAnsi" w:cstheme="minorHAnsi"/>
          <w:color w:val="C00000"/>
          <w:sz w:val="22"/>
          <w:szCs w:val="22"/>
        </w:rPr>
        <w:t xml:space="preserve"> </w:t>
      </w:r>
      <w:r w:rsidRPr="00BF3A19">
        <w:rPr>
          <w:rFonts w:asciiTheme="minorHAnsi" w:hAnsiTheme="minorHAnsi" w:cstheme="minorHAnsi"/>
          <w:sz w:val="22"/>
          <w:szCs w:val="22"/>
        </w:rPr>
        <w:t xml:space="preserve">The </w:t>
      </w:r>
      <w:r w:rsidR="00247AF2">
        <w:rPr>
          <w:rFonts w:asciiTheme="minorHAnsi" w:hAnsiTheme="minorHAnsi" w:cstheme="minorHAnsi"/>
          <w:sz w:val="22"/>
          <w:szCs w:val="22"/>
        </w:rPr>
        <w:t xml:space="preserve">text below and the </w:t>
      </w:r>
      <w:r w:rsidRPr="00BF3A19">
        <w:rPr>
          <w:rFonts w:asciiTheme="minorHAnsi" w:hAnsiTheme="minorHAnsi" w:cstheme="minorHAnsi"/>
          <w:sz w:val="22"/>
          <w:szCs w:val="22"/>
        </w:rPr>
        <w:t xml:space="preserve">Application </w:t>
      </w:r>
      <w:r w:rsidRPr="00D97B0B" w:rsidR="00D97B0B">
        <w:rPr>
          <w:rFonts w:asciiTheme="minorHAnsi" w:hAnsiTheme="minorHAnsi" w:cstheme="minorHAnsi"/>
          <w:sz w:val="22"/>
          <w:szCs w:val="22"/>
        </w:rPr>
        <w:t>for a CQE to Transfer IFQ to an Eligible Community Resident or Non-resident</w:t>
      </w:r>
      <w:r w:rsidRPr="00B24C4D">
        <w:rPr>
          <w:rFonts w:asciiTheme="minorHAnsi" w:hAnsiTheme="minorHAnsi" w:cstheme="minorHAnsi"/>
          <w:sz w:val="22"/>
          <w:szCs w:val="22"/>
        </w:rPr>
        <w:t xml:space="preserve"> </w:t>
      </w:r>
      <w:r w:rsidRPr="00BF3A19">
        <w:rPr>
          <w:rFonts w:asciiTheme="minorHAnsi" w:hAnsiTheme="minorHAnsi" w:cstheme="minorHAnsi"/>
          <w:sz w:val="22"/>
          <w:szCs w:val="22"/>
        </w:rPr>
        <w:t>is revised</w:t>
      </w:r>
      <w:r w:rsidRPr="00BF3A19">
        <w:rPr>
          <w:rFonts w:asciiTheme="minorHAnsi" w:hAnsiTheme="minorHAnsi" w:cstheme="minorHAnsi"/>
          <w:sz w:val="22"/>
          <w:szCs w:val="22"/>
        </w:rPr>
        <w:t xml:space="preserve"> to </w:t>
      </w:r>
      <w:r w:rsidR="008A4EC6">
        <w:rPr>
          <w:rFonts w:asciiTheme="minorHAnsi" w:hAnsiTheme="minorHAnsi" w:cstheme="minorHAnsi"/>
          <w:sz w:val="22"/>
          <w:szCs w:val="22"/>
        </w:rPr>
        <w:t xml:space="preserve">temporarily </w:t>
      </w:r>
      <w:r w:rsidRPr="00BF3A19">
        <w:rPr>
          <w:rFonts w:asciiTheme="minorHAnsi" w:hAnsiTheme="minorHAnsi" w:cstheme="minorHAnsi"/>
          <w:sz w:val="22"/>
          <w:szCs w:val="22"/>
        </w:rPr>
        <w:t xml:space="preserve">remove </w:t>
      </w:r>
      <w:r w:rsidR="00161C02">
        <w:rPr>
          <w:rFonts w:asciiTheme="minorHAnsi" w:hAnsiTheme="minorHAnsi" w:cstheme="minorHAnsi"/>
          <w:sz w:val="22"/>
          <w:szCs w:val="22"/>
        </w:rPr>
        <w:t xml:space="preserve">the </w:t>
      </w:r>
      <w:r w:rsidRPr="00161C02" w:rsidR="00161C02">
        <w:rPr>
          <w:rFonts w:asciiTheme="minorHAnsi" w:hAnsiTheme="minorHAnsi" w:cstheme="minorHAnsi"/>
          <w:sz w:val="22"/>
          <w:szCs w:val="22"/>
        </w:rPr>
        <w:t>Adak CQE residency requirement</w:t>
      </w:r>
      <w:r w:rsidR="00470064">
        <w:rPr>
          <w:rFonts w:asciiTheme="minorHAnsi" w:hAnsiTheme="minorHAnsi" w:cstheme="minorHAnsi"/>
          <w:sz w:val="22"/>
          <w:szCs w:val="22"/>
        </w:rPr>
        <w:t xml:space="preserve"> for the person receiving the transfer of IFQ</w:t>
      </w:r>
      <w:r w:rsidR="00161C02">
        <w:rPr>
          <w:rFonts w:asciiTheme="minorHAnsi" w:hAnsiTheme="minorHAnsi" w:cstheme="minorHAnsi"/>
          <w:sz w:val="22"/>
          <w:szCs w:val="22"/>
        </w:rPr>
        <w:t xml:space="preserve">. This is necessary because the associated rule </w:t>
      </w:r>
      <w:r w:rsidR="004E2920">
        <w:rPr>
          <w:rFonts w:asciiTheme="minorHAnsi" w:hAnsiTheme="minorHAnsi" w:cstheme="minorHAnsi"/>
          <w:sz w:val="22"/>
          <w:szCs w:val="22"/>
        </w:rPr>
        <w:t xml:space="preserve">(RIN 0648-BL54) </w:t>
      </w:r>
      <w:r w:rsidR="00161C02">
        <w:rPr>
          <w:rFonts w:asciiTheme="minorHAnsi" w:hAnsiTheme="minorHAnsi" w:cstheme="minorHAnsi"/>
          <w:sz w:val="22"/>
          <w:szCs w:val="22"/>
        </w:rPr>
        <w:t xml:space="preserve">revises </w:t>
      </w:r>
      <w:hyperlink r:id="rId29" w:anchor="p-679.42(e)(8)(ii)" w:history="1">
        <w:r w:rsidRPr="004366D2" w:rsidR="00161C02">
          <w:rPr>
            <w:rStyle w:val="Hyperlink"/>
            <w:rFonts w:asciiTheme="minorHAnsi" w:hAnsiTheme="minorHAnsi" w:cstheme="minorHAnsi"/>
            <w:sz w:val="22"/>
            <w:szCs w:val="22"/>
          </w:rPr>
          <w:t>50 CFR 679.42(e</w:t>
        </w:r>
        <w:r w:rsidRPr="004366D2" w:rsidR="00161C02">
          <w:rPr>
            <w:rStyle w:val="Hyperlink"/>
            <w:rFonts w:asciiTheme="minorHAnsi" w:hAnsiTheme="minorHAnsi" w:cstheme="minorHAnsi"/>
            <w:sz w:val="22"/>
            <w:szCs w:val="22"/>
          </w:rPr>
          <w:t>)(</w:t>
        </w:r>
        <w:r w:rsidRPr="004366D2" w:rsidR="00161C02">
          <w:rPr>
            <w:rStyle w:val="Hyperlink"/>
            <w:rFonts w:asciiTheme="minorHAnsi" w:hAnsiTheme="minorHAnsi" w:cstheme="minorHAnsi"/>
            <w:sz w:val="22"/>
            <w:szCs w:val="22"/>
          </w:rPr>
          <w:t>8)(ii)</w:t>
        </w:r>
      </w:hyperlink>
      <w:r w:rsidR="00161C02">
        <w:rPr>
          <w:rFonts w:asciiTheme="minorHAnsi" w:hAnsiTheme="minorHAnsi" w:cstheme="minorHAnsi"/>
          <w:sz w:val="22"/>
          <w:szCs w:val="22"/>
        </w:rPr>
        <w:t xml:space="preserve"> </w:t>
      </w:r>
      <w:r w:rsidRPr="007E4655" w:rsidR="006A7FFB">
        <w:rPr>
          <w:rFonts w:asciiTheme="minorHAnsi" w:hAnsiTheme="minorHAnsi" w:cstheme="minorHAnsi"/>
          <w:sz w:val="22"/>
          <w:szCs w:val="22"/>
        </w:rPr>
        <w:t xml:space="preserve">and </w:t>
      </w:r>
      <w:hyperlink r:id="rId29" w:anchor="p-679.42(f)(7)(ii)" w:history="1">
        <w:r w:rsidRPr="007E4655" w:rsidR="006A7FFB">
          <w:rPr>
            <w:rStyle w:val="Hyperlink"/>
            <w:rFonts w:asciiTheme="minorHAnsi" w:hAnsiTheme="minorHAnsi" w:cstheme="minorHAnsi"/>
            <w:sz w:val="22"/>
            <w:szCs w:val="22"/>
          </w:rPr>
          <w:t>679.42(f)(7)(ii)</w:t>
        </w:r>
      </w:hyperlink>
      <w:r w:rsidRPr="007E4655" w:rsidR="006A7FFB">
        <w:rPr>
          <w:rFonts w:asciiTheme="minorHAnsi" w:hAnsiTheme="minorHAnsi" w:cstheme="minorHAnsi"/>
          <w:sz w:val="22"/>
          <w:szCs w:val="22"/>
        </w:rPr>
        <w:t xml:space="preserve"> </w:t>
      </w:r>
      <w:r w:rsidRPr="007E4655" w:rsidR="00161C02">
        <w:rPr>
          <w:rFonts w:asciiTheme="minorHAnsi" w:hAnsiTheme="minorHAnsi" w:cstheme="minorHAnsi"/>
          <w:sz w:val="22"/>
          <w:szCs w:val="22"/>
        </w:rPr>
        <w:t>to</w:t>
      </w:r>
      <w:r w:rsidR="00161C02">
        <w:rPr>
          <w:rFonts w:asciiTheme="minorHAnsi" w:hAnsiTheme="minorHAnsi" w:cstheme="minorHAnsi"/>
          <w:sz w:val="22"/>
          <w:szCs w:val="22"/>
        </w:rPr>
        <w:t xml:space="preserve"> </w:t>
      </w:r>
      <w:r w:rsidRPr="00161C02" w:rsidR="00161C02">
        <w:rPr>
          <w:rFonts w:asciiTheme="minorHAnsi" w:hAnsiTheme="minorHAnsi" w:cstheme="minorHAnsi"/>
          <w:sz w:val="22"/>
          <w:szCs w:val="22"/>
        </w:rPr>
        <w:t>remove the Adak CQE residency requirement for five years to provide the opportunity for the Adak CQE to fully harvest its allocation.</w:t>
      </w:r>
      <w:r w:rsidR="00D97B0B">
        <w:rPr>
          <w:rFonts w:asciiTheme="minorHAnsi" w:hAnsiTheme="minorHAnsi" w:cstheme="minorHAnsi"/>
          <w:sz w:val="22"/>
          <w:szCs w:val="22"/>
        </w:rPr>
        <w:t xml:space="preserve"> </w:t>
      </w:r>
      <w:r>
        <w:rPr>
          <w:rFonts w:asciiTheme="minorHAnsi" w:hAnsiTheme="minorHAnsi" w:cstheme="minorHAnsi"/>
          <w:sz w:val="22"/>
          <w:szCs w:val="22"/>
        </w:rPr>
        <w:t>See the section “</w:t>
      </w:r>
      <w:r w:rsidRPr="00303D8E">
        <w:rPr>
          <w:rFonts w:asciiTheme="minorHAnsi" w:hAnsiTheme="minorHAnsi" w:cstheme="minorHAnsi"/>
          <w:sz w:val="22"/>
          <w:szCs w:val="22"/>
        </w:rPr>
        <w:t xml:space="preserve">Reason for </w:t>
      </w:r>
      <w:r w:rsidR="00D97B0B">
        <w:rPr>
          <w:rFonts w:asciiTheme="minorHAnsi" w:hAnsiTheme="minorHAnsi" w:cstheme="minorHAnsi"/>
          <w:sz w:val="22"/>
          <w:szCs w:val="22"/>
        </w:rPr>
        <w:t xml:space="preserve">the </w:t>
      </w:r>
      <w:r w:rsidRPr="00303D8E">
        <w:rPr>
          <w:rFonts w:asciiTheme="minorHAnsi" w:hAnsiTheme="minorHAnsi" w:cstheme="minorHAnsi"/>
          <w:sz w:val="22"/>
          <w:szCs w:val="22"/>
        </w:rPr>
        <w:t>Revisions Due to the Rule (RIN 0648-</w:t>
      </w:r>
      <w:r w:rsidRPr="00303D8E" w:rsidR="00D97B0B">
        <w:rPr>
          <w:rFonts w:asciiTheme="minorHAnsi" w:hAnsiTheme="minorHAnsi" w:cstheme="minorHAnsi"/>
          <w:sz w:val="22"/>
          <w:szCs w:val="22"/>
        </w:rPr>
        <w:t>B</w:t>
      </w:r>
      <w:r w:rsidR="00D97B0B">
        <w:rPr>
          <w:rFonts w:asciiTheme="minorHAnsi" w:hAnsiTheme="minorHAnsi" w:cstheme="minorHAnsi"/>
          <w:sz w:val="22"/>
          <w:szCs w:val="22"/>
        </w:rPr>
        <w:t>L54</w:t>
      </w:r>
      <w:r w:rsidRPr="00303D8E">
        <w:rPr>
          <w:rFonts w:asciiTheme="minorHAnsi" w:hAnsiTheme="minorHAnsi" w:cstheme="minorHAnsi"/>
          <w:sz w:val="22"/>
          <w:szCs w:val="22"/>
        </w:rPr>
        <w:t>)</w:t>
      </w:r>
      <w:r>
        <w:rPr>
          <w:rFonts w:asciiTheme="minorHAnsi" w:hAnsiTheme="minorHAnsi" w:cstheme="minorHAnsi"/>
          <w:sz w:val="22"/>
          <w:szCs w:val="22"/>
        </w:rPr>
        <w:t xml:space="preserve">” under Question #1 above for more information </w:t>
      </w:r>
      <w:r w:rsidR="00D97B0B">
        <w:rPr>
          <w:rFonts w:asciiTheme="minorHAnsi" w:hAnsiTheme="minorHAnsi" w:cstheme="minorHAnsi"/>
          <w:sz w:val="22"/>
          <w:szCs w:val="22"/>
        </w:rPr>
        <w:t xml:space="preserve">this revision. </w:t>
      </w:r>
      <w:r>
        <w:rPr>
          <w:rFonts w:asciiTheme="minorHAnsi" w:hAnsiTheme="minorHAnsi" w:cstheme="minorHAnsi"/>
          <w:sz w:val="22"/>
          <w:szCs w:val="22"/>
        </w:rPr>
        <w:t xml:space="preserve"> </w:t>
      </w:r>
      <w:r w:rsidR="00247AF2">
        <w:rPr>
          <w:rFonts w:asciiTheme="minorHAnsi" w:hAnsiTheme="minorHAnsi" w:cstheme="minorHAnsi"/>
          <w:sz w:val="22"/>
          <w:szCs w:val="22"/>
        </w:rPr>
        <w:t xml:space="preserve">No changes </w:t>
      </w:r>
      <w:r w:rsidR="00247AF2">
        <w:rPr>
          <w:rFonts w:asciiTheme="minorHAnsi" w:hAnsiTheme="minorHAnsi" w:cstheme="minorHAnsi"/>
          <w:sz w:val="22"/>
          <w:szCs w:val="22"/>
        </w:rPr>
        <w:t>are made</w:t>
      </w:r>
      <w:r w:rsidR="00247AF2">
        <w:rPr>
          <w:rFonts w:asciiTheme="minorHAnsi" w:hAnsiTheme="minorHAnsi" w:cstheme="minorHAnsi"/>
          <w:sz w:val="22"/>
          <w:szCs w:val="22"/>
        </w:rPr>
        <w:t xml:space="preserve"> to the </w:t>
      </w:r>
      <w:r w:rsidR="00D97B0B">
        <w:rPr>
          <w:rFonts w:asciiTheme="minorHAnsi" w:hAnsiTheme="minorHAnsi" w:cstheme="minorHAnsi"/>
          <w:sz w:val="22"/>
          <w:szCs w:val="22"/>
        </w:rPr>
        <w:t xml:space="preserve">estimated burden, respondents, or responses for this application. </w:t>
      </w:r>
    </w:p>
    <w:p w:rsidR="008532D2" w:rsidP="008532D2" w14:paraId="0538F853" w14:textId="77777777">
      <w:pPr>
        <w:keepNext/>
        <w:widowControl/>
        <w:autoSpaceDE w:val="0"/>
        <w:autoSpaceDN w:val="0"/>
      </w:pPr>
      <w:r w:rsidRPr="00BF3A19">
        <w:rPr>
          <w:noProof/>
        </w:rPr>
        <mc:AlternateContent>
          <mc:Choice Requires="wps">
            <w:drawing>
              <wp:anchor distT="0" distB="0" distL="114300" distR="114300" simplePos="0" relativeHeight="251660288" behindDoc="0" locked="0" layoutInCell="1" allowOverlap="1">
                <wp:simplePos x="0" y="0"/>
                <wp:positionH relativeFrom="column">
                  <wp:posOffset>121920</wp:posOffset>
                </wp:positionH>
                <wp:positionV relativeFrom="paragraph">
                  <wp:posOffset>49530</wp:posOffset>
                </wp:positionV>
                <wp:extent cx="5707380" cy="0"/>
                <wp:effectExtent l="0" t="19050" r="26670" b="19050"/>
                <wp:wrapNone/>
                <wp:docPr id="6" name="Straight Connector 6"/>
                <wp:cNvGraphicFramePr/>
                <a:graphic xmlns:a="http://schemas.openxmlformats.org/drawingml/2006/main">
                  <a:graphicData uri="http://schemas.microsoft.com/office/word/2010/wordprocessingShape">
                    <wps:wsp xmlns:wps="http://schemas.microsoft.com/office/word/2010/wordprocessingShape">
                      <wps:cNvCnPr/>
                      <wps:spPr>
                        <a:xfrm>
                          <a:off x="0" y="0"/>
                          <a:ext cx="5707380" cy="0"/>
                        </a:xfrm>
                        <a:prstGeom prst="line">
                          <a:avLst/>
                        </a:prstGeom>
                        <a:noFill/>
                        <a:ln w="38100">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mso-height-percent:0;mso-height-relative:margin;mso-width-percent:0;mso-width-relative:margin;mso-wrap-distance-bottom:0;mso-wrap-distance-left:9pt;mso-wrap-distance-right:9pt;mso-wrap-distance-top:0;mso-wrap-style:square;position:absolute;visibility:visible;z-index:251661312" from="9.6pt,3.9pt" to="459pt,3.9pt" strokecolor="#4a7ebb" strokeweight="3pt"/>
            </w:pict>
          </mc:Fallback>
        </mc:AlternateContent>
      </w:r>
    </w:p>
    <w:p w:rsidR="00D33A5A" w:rsidP="00424A67" w14:paraId="78B253AF" w14:textId="229ADB7F">
      <w:pPr>
        <w:keepNext/>
        <w:widowControl/>
        <w:spacing w:before="120"/>
      </w:pPr>
      <w:r w:rsidRPr="00114B54">
        <w:rPr>
          <w:bCs/>
        </w:rPr>
        <w:t xml:space="preserve">A </w:t>
      </w:r>
      <w:r>
        <w:rPr>
          <w:bCs/>
        </w:rPr>
        <w:t>CQE that</w:t>
      </w:r>
      <w:r w:rsidRPr="00114B54">
        <w:rPr>
          <w:bCs/>
        </w:rPr>
        <w:t xml:space="preserve"> receive</w:t>
      </w:r>
      <w:r>
        <w:rPr>
          <w:bCs/>
        </w:rPr>
        <w:t>s</w:t>
      </w:r>
      <w:r w:rsidRPr="00114B54">
        <w:rPr>
          <w:bCs/>
        </w:rPr>
        <w:t xml:space="preserve"> transferred halibut or sablefish QS on behalf of an eligible community may lease the resulting IFQ to persons who are residents of the eligible community.</w:t>
      </w:r>
      <w:r>
        <w:rPr>
          <w:bCs/>
        </w:rPr>
        <w:t xml:space="preserve"> </w:t>
      </w:r>
      <w:r>
        <w:t xml:space="preserve">On </w:t>
      </w:r>
      <w:r w:rsidRPr="001555E3">
        <w:t>NMFS approv</w:t>
      </w:r>
      <w:r>
        <w:t xml:space="preserve">al of </w:t>
      </w:r>
      <w:r w:rsidRPr="001555E3">
        <w:t xml:space="preserve">the transfer of QS </w:t>
      </w:r>
      <w:r>
        <w:t xml:space="preserve">to a </w:t>
      </w:r>
      <w:r w:rsidRPr="001555E3">
        <w:t>CQE</w:t>
      </w:r>
      <w:r>
        <w:t xml:space="preserve"> (see </w:t>
      </w:r>
      <w:r w:rsidR="00AD7FC3">
        <w:t>2c</w:t>
      </w:r>
      <w:r>
        <w:t xml:space="preserve">, above), the CQE may </w:t>
      </w:r>
      <w:r w:rsidRPr="008A7A5D">
        <w:t xml:space="preserve">transfer halibut and sablefish IFQ </w:t>
      </w:r>
      <w:r w:rsidRPr="005E1824">
        <w:t>to individual</w:t>
      </w:r>
      <w:r>
        <w:t>,</w:t>
      </w:r>
      <w:r w:rsidRPr="005E1824">
        <w:t xml:space="preserve"> </w:t>
      </w:r>
      <w:r>
        <w:t xml:space="preserve">eligible </w:t>
      </w:r>
      <w:r w:rsidRPr="005E1824">
        <w:t>community residents</w:t>
      </w:r>
      <w:r>
        <w:t xml:space="preserve"> and non-residents</w:t>
      </w:r>
      <w:r w:rsidRPr="005E1824">
        <w:t>.</w:t>
      </w:r>
      <w:r>
        <w:t xml:space="preserve"> </w:t>
      </w:r>
      <w:r w:rsidR="001E51FF">
        <w:t xml:space="preserve">In the case of the city of Adak, </w:t>
      </w:r>
      <w:r w:rsidR="00823A0F">
        <w:t xml:space="preserve">since March 17, 2019, </w:t>
      </w:r>
      <w:r w:rsidR="001E51FF">
        <w:t xml:space="preserve">the transferee </w:t>
      </w:r>
      <w:r w:rsidR="00823A0F">
        <w:t xml:space="preserve">has been required </w:t>
      </w:r>
      <w:r w:rsidR="001E51FF">
        <w:t>to be a</w:t>
      </w:r>
      <w:r w:rsidR="00823A0F">
        <w:t>n eligible</w:t>
      </w:r>
      <w:r w:rsidR="001E51FF">
        <w:t xml:space="preserve"> community resident</w:t>
      </w:r>
      <w:r w:rsidR="00823A0F">
        <w:t xml:space="preserve"> of Adak</w:t>
      </w:r>
      <w:r w:rsidR="001E51FF">
        <w:t>.</w:t>
      </w:r>
      <w:r w:rsidR="00823A0F">
        <w:t xml:space="preserve"> </w:t>
      </w:r>
      <w:r w:rsidR="005E2CCC">
        <w:t>T</w:t>
      </w:r>
      <w:r w:rsidR="00823A0F">
        <w:t xml:space="preserve">he associated rule (RIN 0648-BL54) </w:t>
      </w:r>
      <w:r w:rsidR="005E2CCC">
        <w:t xml:space="preserve">would remove </w:t>
      </w:r>
      <w:r w:rsidR="00823A0F">
        <w:t xml:space="preserve">this requirement until five years after the effective date of the final rule. </w:t>
      </w:r>
    </w:p>
    <w:p w:rsidR="00D33A5A" w:rsidP="00974664" w14:paraId="6C415B4E" w14:textId="77777777">
      <w:pPr>
        <w:widowControl/>
      </w:pPr>
    </w:p>
    <w:p w:rsidR="00D33A5A" w:rsidP="00974664" w14:paraId="2258AD8F" w14:textId="71C1D2FF">
      <w:pPr>
        <w:widowControl/>
      </w:pPr>
      <w:r>
        <w:t>The</w:t>
      </w:r>
      <w:r w:rsidRPr="00114B54">
        <w:t xml:space="preserve"> </w:t>
      </w:r>
      <w:r w:rsidRPr="00AD7FC3">
        <w:t>Application for a CQE to Transfer IFQ to an Eligible Community Resident or Non-resident</w:t>
      </w:r>
      <w:r w:rsidRPr="00114B54">
        <w:t xml:space="preserve"> </w:t>
      </w:r>
      <w:r w:rsidRPr="00114B54">
        <w:t>is used</w:t>
      </w:r>
      <w:r w:rsidRPr="00114B54">
        <w:t xml:space="preserve"> </w:t>
      </w:r>
      <w:r>
        <w:t>by CQEs to</w:t>
      </w:r>
      <w:r w:rsidRPr="00114B54">
        <w:t xml:space="preserve"> apply </w:t>
      </w:r>
      <w:r>
        <w:t xml:space="preserve">to transfer </w:t>
      </w:r>
      <w:r>
        <w:t>IFQ</w:t>
      </w:r>
      <w:r>
        <w:t xml:space="preserve"> to these eligible residents and non-residents</w:t>
      </w:r>
      <w:r w:rsidRPr="00114B54">
        <w:t>.</w:t>
      </w:r>
      <w:r>
        <w:t xml:space="preserve"> Persons receiving the IFQ</w:t>
      </w:r>
      <w:r w:rsidRPr="00114B54">
        <w:t xml:space="preserve"> must hold a TEC (</w:t>
      </w:r>
      <w:r>
        <w:t>approved under</w:t>
      </w:r>
      <w:r w:rsidRPr="00114B54">
        <w:t xml:space="preserve"> OMB 0648-0272)</w:t>
      </w:r>
      <w:r w:rsidR="001E51FF">
        <w:t xml:space="preserve"> </w:t>
      </w:r>
      <w:r w:rsidRPr="00823A0F" w:rsidR="001E51FF">
        <w:t>unless they are a resident of the Aleutian Islands (Adak)</w:t>
      </w:r>
      <w:r w:rsidRPr="001E51FF" w:rsidR="001E51FF">
        <w:t xml:space="preserve"> for at least 12 months.</w:t>
      </w:r>
    </w:p>
    <w:p w:rsidR="00D33A5A" w:rsidP="00974664" w14:paraId="3F0701EB" w14:textId="6647C927">
      <w:pPr>
        <w:widowControl/>
        <w:numPr>
          <w:ilvl w:val="12"/>
          <w:numId w:val="0"/>
        </w:numPr>
        <w:tabs>
          <w:tab w:val="left" w:pos="-1560"/>
          <w:tab w:val="left" w:pos="-780"/>
          <w:tab w:val="left" w:pos="-120"/>
          <w:tab w:val="left" w:pos="360"/>
          <w:tab w:val="left" w:pos="720"/>
          <w:tab w:val="left" w:pos="1080"/>
          <w:tab w:val="left" w:pos="1440"/>
          <w:tab w:val="left" w:pos="2760"/>
          <w:tab w:val="left" w:pos="3480"/>
          <w:tab w:val="left" w:pos="4200"/>
          <w:tab w:val="left" w:pos="4920"/>
          <w:tab w:val="left" w:pos="5640"/>
          <w:tab w:val="left" w:pos="6360"/>
          <w:tab w:val="left" w:pos="7080"/>
          <w:tab w:val="left" w:pos="7800"/>
          <w:tab w:val="left" w:pos="8520"/>
          <w:tab w:val="left" w:pos="9240"/>
        </w:tabs>
        <w:ind w:right="-270"/>
        <w:jc w:val="both"/>
      </w:pPr>
    </w:p>
    <w:p w:rsidR="00AD7FC3" w:rsidP="00974664" w14:paraId="4E624002" w14:textId="02ADEF81">
      <w:pPr>
        <w:widowControl/>
        <w:tabs>
          <w:tab w:val="left" w:pos="360"/>
          <w:tab w:val="left" w:pos="720"/>
          <w:tab w:val="left" w:pos="1080"/>
          <w:tab w:val="left" w:pos="1440"/>
        </w:tabs>
      </w:pPr>
      <w:r>
        <w:t xml:space="preserve">The information collected on </w:t>
      </w:r>
      <w:r w:rsidR="00A778C7">
        <w:t xml:space="preserve">the </w:t>
      </w:r>
      <w:r w:rsidRPr="00A778C7" w:rsidR="00A778C7">
        <w:t xml:space="preserve">Application for a CQE to Transfer IFQ to an Eligible Community Resident or Non-resident </w:t>
      </w:r>
      <w:r>
        <w:t>includes NMFS Person ID</w:t>
      </w:r>
      <w:r w:rsidR="00AD2940">
        <w:t>, name,</w:t>
      </w:r>
      <w:r>
        <w:t xml:space="preserve"> and contact information for the transferor and transferee; </w:t>
      </w:r>
      <w:r w:rsidRPr="00776301">
        <w:t xml:space="preserve">name of the community represented by the </w:t>
      </w:r>
      <w:r>
        <w:t>CQE; identification information and amount of IFQ to be transferred</w:t>
      </w:r>
      <w:r w:rsidRPr="00470064">
        <w:t xml:space="preserve">; </w:t>
      </w:r>
      <w:r w:rsidRPr="00470064" w:rsidR="001E51FF">
        <w:t xml:space="preserve">the transferee’s </w:t>
      </w:r>
      <w:r w:rsidRPr="00470064">
        <w:t xml:space="preserve">community and state of residence if not a resident of Adak, Alaska; </w:t>
      </w:r>
      <w:r w:rsidRPr="00470064" w:rsidR="001E51FF">
        <w:t>transaction</w:t>
      </w:r>
      <w:r w:rsidR="001E51FF">
        <w:t xml:space="preserve"> information; </w:t>
      </w:r>
      <w:r>
        <w:t xml:space="preserve">signatures </w:t>
      </w:r>
      <w:r w:rsidR="004168A4">
        <w:t xml:space="preserve">and printed names </w:t>
      </w:r>
      <w:r>
        <w:t>of the transferor and transferee</w:t>
      </w:r>
      <w:r w:rsidR="004168A4">
        <w:t>, or their authorized representative, and date signed</w:t>
      </w:r>
      <w:r>
        <w:t xml:space="preserve">; and signature </w:t>
      </w:r>
      <w:r w:rsidR="004168A4">
        <w:t xml:space="preserve">and printed name </w:t>
      </w:r>
      <w:r>
        <w:t xml:space="preserve">of the </w:t>
      </w:r>
      <w:r w:rsidR="001E51FF">
        <w:t>non-resident transferee</w:t>
      </w:r>
      <w:r w:rsidR="004168A4">
        <w:t xml:space="preserve"> (or their authorized representative),</w:t>
      </w:r>
      <w:r w:rsidR="001E51FF">
        <w:t xml:space="preserve"> </w:t>
      </w:r>
      <w:r w:rsidRPr="00470064">
        <w:t xml:space="preserve">which is </w:t>
      </w:r>
      <w:r w:rsidRPr="00470064" w:rsidR="001E51FF">
        <w:t>applicable to IFQ transferred from Adak CQE only.</w:t>
      </w:r>
      <w:r w:rsidRPr="00470064" w:rsidR="001E51FF">
        <w:t xml:space="preserve"> </w:t>
      </w:r>
      <w:r w:rsidRPr="00470064" w:rsidR="004168A4">
        <w:t xml:space="preserve">If </w:t>
      </w:r>
      <w:r w:rsidRPr="00470064" w:rsidR="004168A4">
        <w:t>it is completed by a</w:t>
      </w:r>
      <w:r w:rsidRPr="004168A4" w:rsidR="004168A4">
        <w:t xml:space="preserve"> representative</w:t>
      </w:r>
      <w:r w:rsidRPr="004168A4" w:rsidR="004168A4">
        <w:t>, their authorization must be attached.</w:t>
      </w:r>
    </w:p>
    <w:p w:rsidR="005003D1" w:rsidP="00974664" w14:paraId="65C9ECB8" w14:textId="0FC00EBD">
      <w:pPr>
        <w:widowControl/>
        <w:tabs>
          <w:tab w:val="left" w:pos="360"/>
          <w:tab w:val="left" w:pos="720"/>
          <w:tab w:val="left" w:pos="1080"/>
          <w:tab w:val="left" w:pos="1440"/>
        </w:tabs>
      </w:pPr>
    </w:p>
    <w:p w:rsidR="00D33A5A" w:rsidP="00F55906" w14:paraId="61AD8338" w14:textId="7CB28BE6">
      <w:pPr>
        <w:widowControl/>
        <w:tabs>
          <w:tab w:val="left" w:pos="360"/>
          <w:tab w:val="left" w:pos="720"/>
          <w:tab w:val="left" w:pos="1080"/>
          <w:tab w:val="left" w:pos="1440"/>
        </w:tabs>
        <w:spacing w:before="120"/>
        <w:rPr>
          <w:b/>
        </w:rPr>
      </w:pPr>
      <w:r>
        <w:rPr>
          <w:b/>
        </w:rPr>
        <w:t>e</w:t>
      </w:r>
      <w:r w:rsidR="00D64852">
        <w:rPr>
          <w:b/>
        </w:rPr>
        <w:t xml:space="preserve">. </w:t>
      </w:r>
      <w:r w:rsidRPr="006E7B3F">
        <w:rPr>
          <w:b/>
        </w:rPr>
        <w:t xml:space="preserve">Application for Transfer </w:t>
      </w:r>
      <w:r>
        <w:rPr>
          <w:b/>
        </w:rPr>
        <w:t xml:space="preserve">(Lease) </w:t>
      </w:r>
      <w:r w:rsidRPr="006E7B3F">
        <w:rPr>
          <w:b/>
        </w:rPr>
        <w:t xml:space="preserve">Between IFQ and GAF by a Community Quota Entity </w:t>
      </w:r>
      <w:r w:rsidR="0054550F">
        <w:rPr>
          <w:b/>
        </w:rPr>
        <w:t>(CQE)</w:t>
      </w:r>
      <w:r w:rsidR="00BF3525">
        <w:rPr>
          <w:b/>
        </w:rPr>
        <w:t xml:space="preserve"> [no change]</w:t>
      </w:r>
    </w:p>
    <w:p w:rsidR="00D33A5A" w:rsidP="00974664" w14:paraId="588FD3D5" w14:textId="77777777">
      <w:pPr>
        <w:widowControl/>
      </w:pPr>
    </w:p>
    <w:p w:rsidR="00D33A5A" w:rsidP="00974664" w14:paraId="20BE8013" w14:textId="6BAC31CE">
      <w:pPr>
        <w:widowControl/>
      </w:pPr>
      <w:r w:rsidRPr="00AD3AB5">
        <w:t>Th</w:t>
      </w:r>
      <w:r>
        <w:t>e</w:t>
      </w:r>
      <w:r w:rsidRPr="00AD3AB5">
        <w:t xml:space="preserve"> </w:t>
      </w:r>
      <w:r w:rsidRPr="00C26CF9">
        <w:t>Application for Transfer (Lease) Between IFQ and GAF by a Community Quota Entity (CQE)</w:t>
      </w:r>
      <w:r w:rsidR="000C0195">
        <w:t xml:space="preserve"> </w:t>
      </w:r>
      <w:r w:rsidRPr="00AD3AB5">
        <w:t>is use</w:t>
      </w:r>
      <w:r>
        <w:t>d to</w:t>
      </w:r>
      <w:r w:rsidRPr="00AD3AB5">
        <w:t xml:space="preserve"> transfer </w:t>
      </w:r>
      <w:r>
        <w:t>IPHC</w:t>
      </w:r>
      <w:r w:rsidRPr="00AD3AB5">
        <w:t xml:space="preserve"> Areas 2C (Southeast </w:t>
      </w:r>
      <w:r>
        <w:t>GOA</w:t>
      </w:r>
      <w:r w:rsidRPr="00AD3AB5">
        <w:t>) and 3A (Central G</w:t>
      </w:r>
      <w:r>
        <w:t>O</w:t>
      </w:r>
      <w:r w:rsidRPr="00AD3AB5">
        <w:t xml:space="preserve">A) commercial IFQ for use as guided angler fish (GAF) by a community resident holding one or more charter halibut permits for IPHC </w:t>
      </w:r>
      <w:r>
        <w:t>A</w:t>
      </w:r>
      <w:r w:rsidRPr="00AD3AB5">
        <w:t>reas 2C or 3A</w:t>
      </w:r>
      <w:r>
        <w:t xml:space="preserve">. </w:t>
      </w:r>
      <w:r w:rsidRPr="006E7B3F">
        <w:t xml:space="preserve"> </w:t>
      </w:r>
      <w:r w:rsidRPr="00AD3AB5">
        <w:t xml:space="preserve">This </w:t>
      </w:r>
      <w:r>
        <w:t xml:space="preserve">form </w:t>
      </w:r>
      <w:r w:rsidRPr="00AD3AB5">
        <w:t>is used</w:t>
      </w:r>
      <w:r w:rsidRPr="00AD3AB5">
        <w:t xml:space="preserve"> only if a CQE is the </w:t>
      </w:r>
      <w:r>
        <w:t>t</w:t>
      </w:r>
      <w:r w:rsidRPr="00AD3AB5">
        <w:t>ransferor or the transferee of the IFQ.</w:t>
      </w:r>
    </w:p>
    <w:p w:rsidR="000A51D3" w:rsidP="00974664" w14:paraId="47458102" w14:textId="77777777">
      <w:pPr>
        <w:widowControl/>
      </w:pPr>
    </w:p>
    <w:p w:rsidR="00D33A5A" w:rsidRPr="006E7B3F" w:rsidP="00974664" w14:paraId="47442FBE" w14:textId="77777777">
      <w:pPr>
        <w:pStyle w:val="ListParagraph"/>
        <w:widowControl/>
        <w:numPr>
          <w:ilvl w:val="0"/>
          <w:numId w:val="14"/>
        </w:numPr>
        <w:tabs>
          <w:tab w:val="left" w:pos="360"/>
          <w:tab w:val="left" w:pos="720"/>
          <w:tab w:val="left" w:pos="1080"/>
          <w:tab w:val="left" w:pos="1440"/>
        </w:tabs>
        <w:spacing w:before="0"/>
        <w:contextualSpacing/>
      </w:pPr>
      <w:r>
        <w:t xml:space="preserve">A </w:t>
      </w:r>
      <w:r w:rsidRPr="006E7B3F">
        <w:t xml:space="preserve">CQE applying for a transfer between IFQ and GAF must be eligible to hold IFQ on behalf of an eligible community in Area 2C or Area 3A and have received NMFS’ notification of approval of eligibility to receive IFQ for that community. </w:t>
      </w:r>
    </w:p>
    <w:p w:rsidR="00D33A5A" w:rsidRPr="006E7B3F" w:rsidP="00974664" w14:paraId="1DE879DF" w14:textId="77777777">
      <w:pPr>
        <w:pStyle w:val="ListParagraph"/>
        <w:widowControl/>
        <w:numPr>
          <w:ilvl w:val="0"/>
          <w:numId w:val="14"/>
        </w:numPr>
        <w:tabs>
          <w:tab w:val="left" w:pos="360"/>
          <w:tab w:val="left" w:pos="720"/>
          <w:tab w:val="left" w:pos="1080"/>
          <w:tab w:val="left" w:pos="1440"/>
        </w:tabs>
        <w:spacing w:before="0"/>
        <w:contextualSpacing/>
      </w:pPr>
      <w:r>
        <w:t xml:space="preserve">A </w:t>
      </w:r>
      <w:r w:rsidRPr="006E7B3F">
        <w:t xml:space="preserve">CQE applying to receive GAF must hold one or more valid community </w:t>
      </w:r>
      <w:r>
        <w:t>charter halibut permit</w:t>
      </w:r>
      <w:r w:rsidRPr="006E7B3F">
        <w:t>s.</w:t>
      </w:r>
    </w:p>
    <w:p w:rsidR="00D33A5A" w:rsidRPr="006E7B3F" w:rsidP="00974664" w14:paraId="7A981E6C" w14:textId="77777777">
      <w:pPr>
        <w:pStyle w:val="ListParagraph"/>
        <w:widowControl/>
        <w:numPr>
          <w:ilvl w:val="0"/>
          <w:numId w:val="14"/>
        </w:numPr>
        <w:tabs>
          <w:tab w:val="left" w:pos="360"/>
          <w:tab w:val="left" w:pos="720"/>
          <w:tab w:val="left" w:pos="1080"/>
          <w:tab w:val="left" w:pos="1440"/>
        </w:tabs>
        <w:spacing w:before="0"/>
        <w:contextualSpacing/>
      </w:pPr>
      <w:r>
        <w:t xml:space="preserve">A </w:t>
      </w:r>
      <w:r w:rsidRPr="006E7B3F">
        <w:t>CQE applying to transfer IFQ to GAF must submit a complete annual report(s) as required by 50 CFR part 679.5(l</w:t>
      </w:r>
      <w:r w:rsidRPr="006E7B3F">
        <w:t>)(</w:t>
      </w:r>
      <w:r w:rsidRPr="006E7B3F">
        <w:t>8).</w:t>
      </w:r>
    </w:p>
    <w:p w:rsidR="00D33A5A" w:rsidRPr="006E7B3F" w:rsidP="00974664" w14:paraId="38D42134" w14:textId="77777777">
      <w:pPr>
        <w:pStyle w:val="ListParagraph"/>
        <w:widowControl/>
        <w:numPr>
          <w:ilvl w:val="0"/>
          <w:numId w:val="14"/>
        </w:numPr>
        <w:tabs>
          <w:tab w:val="left" w:pos="360"/>
          <w:tab w:val="left" w:pos="720"/>
          <w:tab w:val="left" w:pos="1080"/>
          <w:tab w:val="left" w:pos="1440"/>
        </w:tabs>
        <w:spacing w:before="0"/>
        <w:contextualSpacing/>
      </w:pPr>
      <w:r w:rsidRPr="006E7B3F">
        <w:t>An individual applying to receive GAF from Area 2C or Area 3A IFQ held by a CQE must be an eligible community resident of the eligible community in whose name the CQE is holding IFQ.</w:t>
      </w:r>
    </w:p>
    <w:p w:rsidR="00D33A5A" w:rsidRPr="006E7B3F" w:rsidP="00974664" w14:paraId="3D0A870E" w14:textId="77777777">
      <w:pPr>
        <w:widowControl/>
        <w:tabs>
          <w:tab w:val="left" w:pos="360"/>
          <w:tab w:val="left" w:pos="720"/>
          <w:tab w:val="left" w:pos="1080"/>
          <w:tab w:val="left" w:pos="1440"/>
        </w:tabs>
      </w:pPr>
    </w:p>
    <w:p w:rsidR="00D33A5A" w:rsidP="00974664" w14:paraId="57EC02A5" w14:textId="77777777">
      <w:pPr>
        <w:widowControl/>
      </w:pPr>
      <w:r>
        <w:t>T</w:t>
      </w:r>
      <w:r w:rsidRPr="00B6016E">
        <w:t xml:space="preserve">his form </w:t>
      </w:r>
      <w:r>
        <w:t>is also used</w:t>
      </w:r>
      <w:r>
        <w:t xml:space="preserve"> </w:t>
      </w:r>
      <w:r w:rsidRPr="00B6016E">
        <w:t xml:space="preserve">to return unused GAF to the CQE from which it was obtained. NMFS will accept </w:t>
      </w:r>
      <w:r>
        <w:t>a</w:t>
      </w:r>
      <w:r w:rsidRPr="00B6016E">
        <w:t xml:space="preserve">pplications to return GAF to IFQ from August 1 to August 31 only. </w:t>
      </w:r>
      <w:r>
        <w:t xml:space="preserve">NMFS will return unused GAF to the IFQ permit holder from which they were obtained </w:t>
      </w:r>
      <w:r w:rsidRPr="00B6016E">
        <w:t>on or about 15 calendar days prior to the closing of the co</w:t>
      </w:r>
      <w:r>
        <w:t xml:space="preserve">mmercial </w:t>
      </w:r>
      <w:r>
        <w:t>halibut fishing</w:t>
      </w:r>
      <w:r>
        <w:t xml:space="preserve"> season.</w:t>
      </w:r>
    </w:p>
    <w:p w:rsidR="00D33A5A" w:rsidRPr="006E7B3F" w:rsidP="00974664" w14:paraId="142E56A0" w14:textId="77777777">
      <w:pPr>
        <w:widowControl/>
      </w:pPr>
    </w:p>
    <w:p w:rsidR="00D33A5A" w:rsidRPr="00991B43" w:rsidP="00974664" w14:paraId="50BDF411" w14:textId="77777777">
      <w:pPr>
        <w:widowControl/>
      </w:pPr>
      <w:r>
        <w:t xml:space="preserve">NMFS will not approve an application before the annual IFQ </w:t>
      </w:r>
      <w:r>
        <w:t>is issued</w:t>
      </w:r>
      <w:r>
        <w:t xml:space="preserve">, one month prior to the close of the commercial IFQ fishing season, or after November </w:t>
      </w:r>
      <w:r w:rsidRPr="00991B43">
        <w:t>1</w:t>
      </w:r>
      <w:r>
        <w:t xml:space="preserve">. NMFS </w:t>
      </w:r>
      <w:r w:rsidRPr="00991B43">
        <w:t>will return all unharvested GAF to the CQE on or about November 1 each year.</w:t>
      </w:r>
      <w:r>
        <w:t xml:space="preserve"> </w:t>
      </w:r>
    </w:p>
    <w:p w:rsidR="00D33A5A" w:rsidP="00974664" w14:paraId="22491601" w14:textId="77777777">
      <w:pPr>
        <w:widowControl/>
        <w:tabs>
          <w:tab w:val="left" w:pos="360"/>
          <w:tab w:val="left" w:pos="720"/>
        </w:tabs>
      </w:pPr>
    </w:p>
    <w:p w:rsidR="00D33A5A" w:rsidRPr="006E7B3F" w:rsidP="00974664" w14:paraId="68DDF86E" w14:textId="2BB60878">
      <w:pPr>
        <w:widowControl/>
      </w:pPr>
      <w:r>
        <w:t xml:space="preserve">The </w:t>
      </w:r>
      <w:r w:rsidRPr="002E2FE1">
        <w:t xml:space="preserve">IFQ permit holder is </w:t>
      </w:r>
      <w:r>
        <w:t xml:space="preserve">responsible for all cost recovery fees </w:t>
      </w:r>
      <w:r w:rsidRPr="006E7B3F">
        <w:t>(</w:t>
      </w:r>
      <w:r w:rsidR="000A51D3">
        <w:t xml:space="preserve">approved under </w:t>
      </w:r>
      <w:r w:rsidRPr="006E7B3F">
        <w:t>OMB Control No. 0648-0</w:t>
      </w:r>
      <w:r>
        <w:t>711)</w:t>
      </w:r>
      <w:r w:rsidRPr="006E7B3F">
        <w:t xml:space="preserve"> </w:t>
      </w:r>
      <w:r>
        <w:t xml:space="preserve">resulting from the GAF harvested </w:t>
      </w:r>
      <w:r>
        <w:t>as a result</w:t>
      </w:r>
      <w:r>
        <w:t xml:space="preserve"> of this transfer. No fees </w:t>
      </w:r>
      <w:r>
        <w:t>will be assessed</w:t>
      </w:r>
      <w:r>
        <w:t xml:space="preserve"> for any unused GAF.</w:t>
      </w:r>
    </w:p>
    <w:p w:rsidR="00D33A5A" w:rsidP="00974664" w14:paraId="26908C86" w14:textId="52BEA19D">
      <w:pPr>
        <w:widowControl/>
        <w:tabs>
          <w:tab w:val="left" w:pos="360"/>
          <w:tab w:val="left" w:pos="720"/>
          <w:tab w:val="left" w:pos="1080"/>
          <w:tab w:val="left" w:pos="1440"/>
        </w:tabs>
      </w:pPr>
    </w:p>
    <w:p w:rsidR="005B2839" w:rsidP="00974664" w14:paraId="1905EEB6" w14:textId="06227F23">
      <w:pPr>
        <w:widowControl/>
        <w:tabs>
          <w:tab w:val="left" w:pos="360"/>
          <w:tab w:val="left" w:pos="720"/>
          <w:tab w:val="left" w:pos="1080"/>
          <w:tab w:val="left" w:pos="1440"/>
        </w:tabs>
      </w:pPr>
      <w:r>
        <w:t xml:space="preserve">The information collected on </w:t>
      </w:r>
      <w:r w:rsidR="00A778C7">
        <w:t>t</w:t>
      </w:r>
      <w:r w:rsidRPr="00A778C7" w:rsidR="00A778C7">
        <w:t>he Application for Transfer (Lease) Between IFQ and GAF by a Community Quota Entity (CQE)</w:t>
      </w:r>
      <w:r w:rsidR="00A778C7">
        <w:t xml:space="preserve"> </w:t>
      </w:r>
      <w:r>
        <w:t>include</w:t>
      </w:r>
      <w:r>
        <w:t>s N</w:t>
      </w:r>
      <w:r w:rsidRPr="005B2839">
        <w:t>MFS Person ID</w:t>
      </w:r>
      <w:r w:rsidR="00AD2940">
        <w:t>, name,</w:t>
      </w:r>
      <w:r w:rsidRPr="005B2839">
        <w:t xml:space="preserve"> and contact information for the transferor and transferee; name of the community represented by the CQE</w:t>
      </w:r>
      <w:r>
        <w:t xml:space="preserve">; whether the transferee intends to begin or end their charter halibut fishing trip in the community listed by the transferor; identification of IFQ and/or GAF to be transferred; transaction information; </w:t>
      </w:r>
      <w:r w:rsidR="000121BA">
        <w:t xml:space="preserve">and </w:t>
      </w:r>
      <w:r w:rsidRPr="000121BA" w:rsidR="000121BA">
        <w:t xml:space="preserve">signatures </w:t>
      </w:r>
      <w:r w:rsidR="004168A4">
        <w:t xml:space="preserve">and printed names </w:t>
      </w:r>
      <w:r w:rsidRPr="000121BA" w:rsidR="000121BA">
        <w:t>of the transferor and transferee</w:t>
      </w:r>
      <w:r w:rsidR="004168A4">
        <w:t>, or their authorized representative, and date signed</w:t>
      </w:r>
      <w:r w:rsidR="000121BA">
        <w:t>.</w:t>
      </w:r>
      <w:r w:rsidR="000121BA">
        <w:t xml:space="preserve"> </w:t>
      </w:r>
      <w:r w:rsidRPr="004168A4" w:rsidR="004168A4">
        <w:t xml:space="preserve">If </w:t>
      </w:r>
      <w:r w:rsidRPr="004168A4" w:rsidR="004168A4">
        <w:t>it is completed by a</w:t>
      </w:r>
      <w:r w:rsidR="004168A4">
        <w:t xml:space="preserve"> </w:t>
      </w:r>
      <w:r w:rsidRPr="004168A4" w:rsidR="004168A4">
        <w:t>representative</w:t>
      </w:r>
      <w:r w:rsidRPr="004168A4" w:rsidR="004168A4">
        <w:t xml:space="preserve">, their authorization must be attached. </w:t>
      </w:r>
      <w:r>
        <w:t xml:space="preserve">The application also requires the following attachments: </w:t>
      </w:r>
      <w:r w:rsidR="000121BA">
        <w:t>c</w:t>
      </w:r>
      <w:r>
        <w:t>opy of IFQ permit(s)</w:t>
      </w:r>
      <w:r w:rsidR="00D64852">
        <w:t>;</w:t>
      </w:r>
      <w:r>
        <w:t xml:space="preserve"> valid Charter Halibut Permit</w:t>
      </w:r>
      <w:r w:rsidRPr="005B2839">
        <w:t xml:space="preserve"> </w:t>
      </w:r>
      <w:r>
        <w:t>(</w:t>
      </w:r>
      <w:r>
        <w:t>t</w:t>
      </w:r>
      <w:r w:rsidRPr="005B2839">
        <w:t>ransferee receiving</w:t>
      </w:r>
      <w:r w:rsidRPr="005B2839">
        <w:t xml:space="preserve"> GAF must have a valid Charter Halibu</w:t>
      </w:r>
      <w:r>
        <w:t>t Permit); and Power of Attorney (if applicable).</w:t>
      </w:r>
    </w:p>
    <w:p w:rsidR="00CB0684" w:rsidP="00974664" w14:paraId="0792BCA2" w14:textId="6578CADB">
      <w:pPr>
        <w:widowControl/>
        <w:tabs>
          <w:tab w:val="left" w:pos="360"/>
          <w:tab w:val="left" w:pos="720"/>
          <w:tab w:val="left" w:pos="1080"/>
          <w:tab w:val="left" w:pos="1440"/>
        </w:tabs>
      </w:pPr>
    </w:p>
    <w:p w:rsidR="005F3E68" w:rsidRPr="005F3E68" w:rsidP="005F3E68" w14:paraId="2B39635E" w14:textId="269C0A6B">
      <w:pPr>
        <w:widowControl/>
        <w:spacing w:before="120"/>
        <w:ind w:left="274" w:hanging="274"/>
        <w:rPr>
          <w:b/>
          <w:bCs/>
          <w:color w:val="C00000"/>
        </w:rPr>
      </w:pPr>
      <w:r>
        <w:rPr>
          <w:b/>
        </w:rPr>
        <w:t>f</w:t>
      </w:r>
      <w:r w:rsidR="00D64852">
        <w:rPr>
          <w:b/>
        </w:rPr>
        <w:t xml:space="preserve">. </w:t>
      </w:r>
      <w:r w:rsidRPr="00114B54">
        <w:rPr>
          <w:b/>
        </w:rPr>
        <w:t>Application for a CQE to Receive a</w:t>
      </w:r>
      <w:r w:rsidRPr="00114B54">
        <w:t xml:space="preserve"> </w:t>
      </w:r>
      <w:r w:rsidRPr="00114B54">
        <w:rPr>
          <w:b/>
        </w:rPr>
        <w:t xml:space="preserve">Non-trawl Groundfish </w:t>
      </w:r>
      <w:r w:rsidR="003721E5">
        <w:rPr>
          <w:b/>
        </w:rPr>
        <w:t>LLP License</w:t>
      </w:r>
      <w:r w:rsidRPr="005F3E68">
        <w:rPr>
          <w:b/>
          <w:bCs/>
          <w:color w:val="C00000"/>
        </w:rPr>
        <w:t xml:space="preserve"> [</w:t>
      </w:r>
      <w:r w:rsidR="002F5378">
        <w:rPr>
          <w:b/>
          <w:bCs/>
          <w:color w:val="C00000"/>
        </w:rPr>
        <w:t>Rule r</w:t>
      </w:r>
      <w:r w:rsidRPr="00D104CC">
        <w:rPr>
          <w:b/>
          <w:bCs/>
          <w:color w:val="C00000"/>
        </w:rPr>
        <w:t>evise</w:t>
      </w:r>
      <w:r w:rsidR="002F5378">
        <w:rPr>
          <w:b/>
          <w:bCs/>
          <w:color w:val="C00000"/>
        </w:rPr>
        <w:t>s</w:t>
      </w:r>
      <w:r w:rsidRPr="00D104CC">
        <w:rPr>
          <w:b/>
          <w:bCs/>
          <w:color w:val="C00000"/>
        </w:rPr>
        <w:t xml:space="preserve"> </w:t>
      </w:r>
      <w:hyperlink r:id="rId30" w:anchor="p-679.4(k)(10)(vi)(A)" w:history="1">
        <w:r w:rsidRPr="00D104CC">
          <w:rPr>
            <w:rStyle w:val="Hyperlink"/>
            <w:rFonts w:eastAsia="Calibri"/>
            <w:b/>
          </w:rPr>
          <w:t xml:space="preserve">§ </w:t>
        </w:r>
        <w:r w:rsidRPr="00D104CC" w:rsidR="00D104CC">
          <w:rPr>
            <w:rStyle w:val="Hyperlink"/>
            <w:rFonts w:eastAsia="Calibri"/>
            <w:b/>
          </w:rPr>
          <w:t>679.4(k</w:t>
        </w:r>
        <w:r w:rsidRPr="00D104CC" w:rsidR="00D104CC">
          <w:rPr>
            <w:rStyle w:val="Hyperlink"/>
            <w:rFonts w:eastAsia="Calibri"/>
            <w:b/>
          </w:rPr>
          <w:t>)(</w:t>
        </w:r>
        <w:r w:rsidRPr="00D104CC" w:rsidR="00D104CC">
          <w:rPr>
            <w:rStyle w:val="Hyperlink"/>
            <w:rFonts w:eastAsia="Calibri"/>
            <w:b/>
          </w:rPr>
          <w:t>10)(vi)(A)</w:t>
        </w:r>
      </w:hyperlink>
      <w:r w:rsidRPr="00D104CC">
        <w:rPr>
          <w:b/>
          <w:bCs/>
          <w:color w:val="C00000"/>
        </w:rPr>
        <w:t xml:space="preserve"> to</w:t>
      </w:r>
      <w:r w:rsidRPr="00D104CC">
        <w:rPr>
          <w:b/>
          <w:bCs/>
          <w:color w:val="C00000"/>
          <w:sz w:val="28"/>
        </w:rPr>
        <w:t xml:space="preserve"> </w:t>
      </w:r>
      <w:r w:rsidR="00447F43">
        <w:rPr>
          <w:b/>
          <w:bCs/>
          <w:color w:val="C00000"/>
        </w:rPr>
        <w:t>increase</w:t>
      </w:r>
      <w:r w:rsidRPr="00D104CC">
        <w:rPr>
          <w:b/>
          <w:bCs/>
          <w:color w:val="C00000"/>
        </w:rPr>
        <w:t xml:space="preserve"> submission methods</w:t>
      </w:r>
      <w:r w:rsidR="002F5378">
        <w:rPr>
          <w:b/>
          <w:bCs/>
          <w:color w:val="C00000"/>
        </w:rPr>
        <w:t>.</w:t>
      </w:r>
      <w:r w:rsidRPr="00D104CC">
        <w:rPr>
          <w:b/>
          <w:bCs/>
          <w:color w:val="C00000"/>
        </w:rPr>
        <w:t>]</w:t>
      </w:r>
    </w:p>
    <w:p w:rsidR="00D33A5A" w:rsidRPr="00114B54" w:rsidP="00974664" w14:paraId="54F597D6" w14:textId="76878549">
      <w:pPr>
        <w:widowControl/>
        <w:tabs>
          <w:tab w:val="left" w:pos="0"/>
          <w:tab w:val="left" w:pos="360"/>
          <w:tab w:val="left" w:pos="720"/>
          <w:tab w:val="left" w:pos="1080"/>
          <w:tab w:val="left" w:pos="1440"/>
        </w:tabs>
        <w:rPr>
          <w:b/>
        </w:rPr>
      </w:pPr>
    </w:p>
    <w:p w:rsidR="00D33A5A" w:rsidP="00974664" w14:paraId="549C48AE" w14:textId="77777777">
      <w:pPr>
        <w:widowControl/>
        <w:tabs>
          <w:tab w:val="left" w:pos="0"/>
          <w:tab w:val="left" w:pos="360"/>
          <w:tab w:val="left" w:pos="720"/>
          <w:tab w:val="left" w:pos="1080"/>
          <w:tab w:val="left" w:pos="1440"/>
        </w:tabs>
      </w:pPr>
      <w:r w:rsidRPr="00F3010F">
        <w:t xml:space="preserve">The LLP authorizes CQEs to request non-trawl LLP </w:t>
      </w:r>
      <w:r>
        <w:t xml:space="preserve">groundfish </w:t>
      </w:r>
      <w:r w:rsidRPr="00F3010F">
        <w:t>licenses endorsed for Pacific cod in the central or western G</w:t>
      </w:r>
      <w:r>
        <w:t xml:space="preserve">OA. </w:t>
      </w:r>
      <w:r w:rsidRPr="00445541">
        <w:t xml:space="preserve">A license holder must have a Pacific cod endorsement on his or her groundfish license to conduct directed fishing for Pacific cod in the Western Gulf of Alaska (Western GOA) or Central Gulf of Alaska (Central GOA) with hook-and-line gear, pot gear, or jig gear. A license holder </w:t>
      </w:r>
      <w:r>
        <w:t>may</w:t>
      </w:r>
      <w:r w:rsidRPr="00445541">
        <w:t xml:space="preserve"> only use the specific non-trawl gear(s) indicated on his or her license to conduct directed fishing for Pacific cod in the Western GOA or Central G</w:t>
      </w:r>
      <w:r>
        <w:t>OA.</w:t>
      </w:r>
    </w:p>
    <w:p w:rsidR="00D33A5A" w:rsidP="00974664" w14:paraId="0A9D0B76" w14:textId="77777777">
      <w:pPr>
        <w:widowControl/>
        <w:tabs>
          <w:tab w:val="left" w:pos="0"/>
          <w:tab w:val="left" w:pos="360"/>
          <w:tab w:val="left" w:pos="720"/>
          <w:tab w:val="left" w:pos="1080"/>
          <w:tab w:val="left" w:pos="1440"/>
        </w:tabs>
      </w:pPr>
    </w:p>
    <w:p w:rsidR="00D33A5A" w:rsidP="00974664" w14:paraId="45CD75F3" w14:textId="77777777">
      <w:pPr>
        <w:widowControl/>
        <w:tabs>
          <w:tab w:val="left" w:pos="0"/>
          <w:tab w:val="left" w:pos="360"/>
          <w:tab w:val="left" w:pos="720"/>
          <w:tab w:val="left" w:pos="1080"/>
          <w:tab w:val="left" w:pos="1440"/>
        </w:tabs>
      </w:pPr>
      <w:r>
        <w:t xml:space="preserve">This application </w:t>
      </w:r>
      <w:r>
        <w:t>is used</w:t>
      </w:r>
      <w:r>
        <w:t xml:space="preserve"> by a </w:t>
      </w:r>
      <w:r w:rsidRPr="00114B54">
        <w:t xml:space="preserve">CQE </w:t>
      </w:r>
      <w:r>
        <w:t>to request</w:t>
      </w:r>
      <w:r w:rsidRPr="00114B54">
        <w:t xml:space="preserve"> </w:t>
      </w:r>
      <w:r>
        <w:t xml:space="preserve">LLP groundfish </w:t>
      </w:r>
      <w:r w:rsidRPr="00114B54">
        <w:t xml:space="preserve">licenses </w:t>
      </w:r>
      <w:r>
        <w:t xml:space="preserve">endorsed for Pacific cod </w:t>
      </w:r>
      <w:r w:rsidRPr="00114B54">
        <w:t xml:space="preserve">on behalf of the communities </w:t>
      </w:r>
      <w:r>
        <w:t>it</w:t>
      </w:r>
      <w:r w:rsidRPr="00114B54">
        <w:t xml:space="preserve"> represent</w:t>
      </w:r>
      <w:r>
        <w:t>s</w:t>
      </w:r>
      <w:r w:rsidRPr="00114B54">
        <w:t>.</w:t>
      </w:r>
      <w:r>
        <w:t xml:space="preserve"> </w:t>
      </w:r>
      <w:r w:rsidRPr="00114B54">
        <w:t xml:space="preserve">A CQE may apply for and may receive a maximum </w:t>
      </w:r>
      <w:r>
        <w:t xml:space="preserve">number </w:t>
      </w:r>
      <w:r w:rsidRPr="00114B54">
        <w:t xml:space="preserve">of </w:t>
      </w:r>
      <w:r>
        <w:t>LLP groundfish licenses</w:t>
      </w:r>
      <w:r w:rsidRPr="00114B54">
        <w:t xml:space="preserve"> designated in the regulatory area specified for </w:t>
      </w:r>
      <w:r>
        <w:t>each</w:t>
      </w:r>
      <w:r w:rsidRPr="00114B54">
        <w:t xml:space="preserve"> community</w:t>
      </w:r>
      <w:r>
        <w:t xml:space="preserve"> it represents</w:t>
      </w:r>
      <w:r w:rsidRPr="00114B54">
        <w:t>.</w:t>
      </w:r>
      <w:r>
        <w:t xml:space="preserve"> </w:t>
      </w:r>
      <w:r w:rsidRPr="00114B54">
        <w:t>Licenses w</w:t>
      </w:r>
      <w:r>
        <w:t xml:space="preserve">ill </w:t>
      </w:r>
      <w:r w:rsidRPr="00114B54">
        <w:t>have a</w:t>
      </w:r>
      <w:r>
        <w:t xml:space="preserve"> maximum length overall </w:t>
      </w:r>
      <w:r w:rsidRPr="00114B54">
        <w:t>designation of</w:t>
      </w:r>
      <w:r>
        <w:t xml:space="preserve"> </w:t>
      </w:r>
      <w:r w:rsidRPr="00114B54">
        <w:t>60 ft.</w:t>
      </w:r>
      <w:r>
        <w:t xml:space="preserve"> </w:t>
      </w:r>
      <w:r w:rsidRPr="00114B54">
        <w:t>Western GOA licenses w</w:t>
      </w:r>
      <w:r>
        <w:t xml:space="preserve">ill </w:t>
      </w:r>
      <w:r w:rsidRPr="00114B54">
        <w:t>be endorsed for pot gear, and Central GOA CQEs may choose either a pot or hook-and-line endorsement.</w:t>
      </w:r>
      <w:r>
        <w:t xml:space="preserve"> The licenses </w:t>
      </w:r>
      <w:r>
        <w:t xml:space="preserve">may only be </w:t>
      </w:r>
      <w:r w:rsidRPr="00114B54">
        <w:t>use</w:t>
      </w:r>
      <w:r>
        <w:t>d</w:t>
      </w:r>
      <w:r w:rsidRPr="00114B54">
        <w:t xml:space="preserve"> on vessels designated by </w:t>
      </w:r>
      <w:r>
        <w:t>the CQEs</w:t>
      </w:r>
      <w:r w:rsidRPr="00114B54">
        <w:t xml:space="preserve"> representing the communities</w:t>
      </w:r>
      <w:r>
        <w:t xml:space="preserve">. </w:t>
      </w:r>
    </w:p>
    <w:p w:rsidR="00D33A5A" w:rsidP="00974664" w14:paraId="7632BB13" w14:textId="77777777">
      <w:pPr>
        <w:widowControl/>
        <w:tabs>
          <w:tab w:val="left" w:pos="0"/>
          <w:tab w:val="left" w:pos="360"/>
          <w:tab w:val="left" w:pos="720"/>
          <w:tab w:val="left" w:pos="1080"/>
          <w:tab w:val="left" w:pos="1440"/>
        </w:tabs>
      </w:pPr>
    </w:p>
    <w:p w:rsidR="00D33A5A" w:rsidP="00974664" w14:paraId="133FB2E7" w14:textId="77777777">
      <w:pPr>
        <w:widowControl/>
        <w:tabs>
          <w:tab w:val="left" w:pos="0"/>
          <w:tab w:val="left" w:pos="360"/>
          <w:tab w:val="left" w:pos="720"/>
          <w:tab w:val="left" w:pos="1080"/>
          <w:tab w:val="left" w:pos="1440"/>
        </w:tabs>
      </w:pPr>
      <w:r>
        <w:t xml:space="preserve">An application needs to be </w:t>
      </w:r>
      <w:r>
        <w:t>submitted</w:t>
      </w:r>
      <w:r>
        <w:t xml:space="preserve"> and approved only once. </w:t>
      </w:r>
    </w:p>
    <w:p w:rsidR="00D33A5A" w:rsidP="00974664" w14:paraId="0DBF0A15" w14:textId="09D337A0">
      <w:pPr>
        <w:widowControl/>
        <w:tabs>
          <w:tab w:val="left" w:pos="0"/>
          <w:tab w:val="left" w:pos="360"/>
          <w:tab w:val="left" w:pos="720"/>
          <w:tab w:val="left" w:pos="1080"/>
          <w:tab w:val="left" w:pos="1440"/>
        </w:tabs>
      </w:pPr>
    </w:p>
    <w:p w:rsidR="00AD2940" w:rsidP="00974664" w14:paraId="460824D6" w14:textId="127A6548">
      <w:pPr>
        <w:widowControl/>
      </w:pPr>
      <w:r>
        <w:t xml:space="preserve">The information collected on </w:t>
      </w:r>
      <w:r w:rsidR="00516C19">
        <w:t xml:space="preserve">the </w:t>
      </w:r>
      <w:r w:rsidR="00D64852">
        <w:t xml:space="preserve">Application </w:t>
      </w:r>
      <w:r w:rsidRPr="00516C19" w:rsidR="00516C19">
        <w:t xml:space="preserve">for a CQE to Receive a Non-trawl Groundfish LLP License </w:t>
      </w:r>
      <w:r>
        <w:t>includes name of CQE, N</w:t>
      </w:r>
      <w:r w:rsidRPr="005B2839">
        <w:t>MFS</w:t>
      </w:r>
      <w:r>
        <w:t xml:space="preserve"> CQE</w:t>
      </w:r>
      <w:r w:rsidRPr="005B2839">
        <w:t xml:space="preserve"> Person ID</w:t>
      </w:r>
      <w:r>
        <w:t xml:space="preserve">, and name and contact information for the CQE representative; </w:t>
      </w:r>
      <w:r w:rsidR="00B90A7D">
        <w:t>number of</w:t>
      </w:r>
      <w:r>
        <w:t xml:space="preserve"> LLP </w:t>
      </w:r>
      <w:r w:rsidR="00B90A7D">
        <w:t xml:space="preserve">groundfish </w:t>
      </w:r>
      <w:r>
        <w:t xml:space="preserve">licenses </w:t>
      </w:r>
      <w:r w:rsidR="00B90A7D">
        <w:t>being requested;</w:t>
      </w:r>
      <w:r w:rsidRPr="00B90A7D" w:rsidR="00B90A7D">
        <w:t xml:space="preserve"> the non-trawl gear type to be designated on each groundfish license requested</w:t>
      </w:r>
      <w:r w:rsidR="00B90A7D">
        <w:t xml:space="preserve">; </w:t>
      </w:r>
      <w:r w:rsidR="004168A4">
        <w:t>and the signature and printed name</w:t>
      </w:r>
      <w:r>
        <w:t xml:space="preserve"> of the applicant or authorized representative</w:t>
      </w:r>
      <w:r w:rsidR="004168A4">
        <w:t xml:space="preserve"> and date signed</w:t>
      </w:r>
      <w:r>
        <w:t>.</w:t>
      </w:r>
      <w:r>
        <w:t xml:space="preserve"> </w:t>
      </w:r>
      <w:r w:rsidRPr="004168A4" w:rsidR="004168A4">
        <w:t xml:space="preserve">If </w:t>
      </w:r>
      <w:r w:rsidR="004168A4">
        <w:t xml:space="preserve">it is </w:t>
      </w:r>
      <w:r w:rsidRPr="004168A4" w:rsidR="004168A4">
        <w:t>completed by a representative</w:t>
      </w:r>
      <w:r w:rsidRPr="004168A4" w:rsidR="004168A4">
        <w:t xml:space="preserve">, </w:t>
      </w:r>
      <w:r w:rsidR="004168A4">
        <w:t>their</w:t>
      </w:r>
      <w:r w:rsidRPr="004168A4" w:rsidR="004168A4">
        <w:t xml:space="preserve"> authorization</w:t>
      </w:r>
      <w:r w:rsidR="004168A4">
        <w:t xml:space="preserve"> must be attached</w:t>
      </w:r>
      <w:r w:rsidRPr="004168A4" w:rsidR="004168A4">
        <w:t>.</w:t>
      </w:r>
      <w:r w:rsidR="004168A4">
        <w:t xml:space="preserve"> </w:t>
      </w:r>
      <w:r w:rsidR="0074677E">
        <w:t>A complete application must include an attachment with a</w:t>
      </w:r>
      <w:r w:rsidR="00B90A7D">
        <w:t xml:space="preserve"> statement describing</w:t>
      </w:r>
      <w:r w:rsidR="0074677E">
        <w:t xml:space="preserve"> 1) t</w:t>
      </w:r>
      <w:r w:rsidR="00B90A7D">
        <w:t>he procedures the CQE used to determine the distribution of LLP licenses to residents of the community</w:t>
      </w:r>
      <w:r w:rsidR="0074677E">
        <w:t xml:space="preserve"> represented by that CQE, 2)</w:t>
      </w:r>
      <w:r w:rsidR="00B90A7D">
        <w:t xml:space="preserve"> </w:t>
      </w:r>
      <w:r w:rsidR="0074677E">
        <w:t>t</w:t>
      </w:r>
      <w:r w:rsidR="00B90A7D">
        <w:t>he procedures the CQE used to solicit requests from resident</w:t>
      </w:r>
      <w:r w:rsidR="0074677E">
        <w:t>s to be assigned an LLP license, and 3) t</w:t>
      </w:r>
      <w:r w:rsidR="00B90A7D">
        <w:t>he criteria the CQE used to determine the distribution of the use of LLP licenses among qualified community</w:t>
      </w:r>
      <w:r w:rsidR="0074677E">
        <w:t xml:space="preserve"> </w:t>
      </w:r>
      <w:r w:rsidR="00B90A7D">
        <w:t>residents and the relative weighting of those criteria.</w:t>
      </w:r>
    </w:p>
    <w:p w:rsidR="003A3C41" w:rsidP="00974664" w14:paraId="47935762" w14:textId="70D966EA">
      <w:pPr>
        <w:widowControl/>
      </w:pPr>
    </w:p>
    <w:p w:rsidR="005F3E68" w:rsidRPr="005F3E68" w:rsidP="005F3E68" w14:paraId="004EBA1C" w14:textId="1D4FB050">
      <w:pPr>
        <w:widowControl/>
        <w:spacing w:before="120"/>
        <w:ind w:left="274" w:hanging="274"/>
        <w:rPr>
          <w:b/>
          <w:bCs/>
          <w:color w:val="C00000"/>
        </w:rPr>
      </w:pPr>
      <w:r>
        <w:rPr>
          <w:b/>
        </w:rPr>
        <w:t>g</w:t>
      </w:r>
      <w:r w:rsidR="00D64852">
        <w:rPr>
          <w:b/>
        </w:rPr>
        <w:t xml:space="preserve">. </w:t>
      </w:r>
      <w:r w:rsidRPr="00114B54">
        <w:rPr>
          <w:b/>
        </w:rPr>
        <w:t>CQE</w:t>
      </w:r>
      <w:r w:rsidRPr="00114B54">
        <w:rPr>
          <w:b/>
        </w:rPr>
        <w:t xml:space="preserve"> LLP Authorization </w:t>
      </w:r>
      <w:r>
        <w:rPr>
          <w:b/>
        </w:rPr>
        <w:t>L</w:t>
      </w:r>
      <w:r w:rsidRPr="00114B54">
        <w:rPr>
          <w:b/>
        </w:rPr>
        <w:t>etter</w:t>
      </w:r>
      <w:r w:rsidRPr="005F3E68">
        <w:rPr>
          <w:b/>
          <w:bCs/>
          <w:color w:val="C00000"/>
        </w:rPr>
        <w:t xml:space="preserve"> [</w:t>
      </w:r>
      <w:r w:rsidR="002F5378">
        <w:rPr>
          <w:b/>
          <w:bCs/>
          <w:color w:val="C00000"/>
        </w:rPr>
        <w:t>Rule r</w:t>
      </w:r>
      <w:r w:rsidRPr="005F3E68">
        <w:rPr>
          <w:b/>
          <w:bCs/>
          <w:color w:val="C00000"/>
        </w:rPr>
        <w:t>evise</w:t>
      </w:r>
      <w:r w:rsidR="002F5378">
        <w:rPr>
          <w:b/>
          <w:bCs/>
          <w:color w:val="C00000"/>
        </w:rPr>
        <w:t>s</w:t>
      </w:r>
      <w:r w:rsidRPr="005F3E68">
        <w:rPr>
          <w:b/>
          <w:bCs/>
          <w:color w:val="C00000"/>
        </w:rPr>
        <w:t xml:space="preserve"> </w:t>
      </w:r>
      <w:hyperlink r:id="rId30" w:anchor="p-679.4(k)(10)(vi)(D)" w:history="1">
        <w:hyperlink r:id="rId30" w:anchor="p-679.4(k)(10)(vi)(D)" w:history="1">
          <w:r w:rsidRPr="00D104CC" w:rsidR="00D104CC">
            <w:rPr>
              <w:rStyle w:val="Hyperlink"/>
              <w:rFonts w:eastAsia="Calibri"/>
              <w:b/>
            </w:rPr>
            <w:t>§ 679.4(k)(10)(vi)(</w:t>
          </w:r>
          <w:r w:rsidR="00D104CC">
            <w:rPr>
              <w:rStyle w:val="Hyperlink"/>
              <w:rFonts w:eastAsia="Calibri"/>
              <w:b/>
            </w:rPr>
            <w:t>D</w:t>
          </w:r>
          <w:r w:rsidRPr="00D104CC" w:rsidR="00D104CC">
            <w:rPr>
              <w:rStyle w:val="Hyperlink"/>
              <w:rFonts w:eastAsia="Calibri"/>
              <w:b/>
            </w:rPr>
            <w:t>)</w:t>
          </w:r>
        </w:hyperlink>
        <w:r w:rsidRPr="00D104CC" w:rsidR="00D104CC">
          <w:rPr>
            <w:b/>
            <w:bCs/>
            <w:color w:val="C00000"/>
          </w:rPr>
          <w:t xml:space="preserve"> </w:t>
        </w:r>
      </w:hyperlink>
      <w:r w:rsidRPr="005F3E68">
        <w:rPr>
          <w:b/>
          <w:bCs/>
          <w:color w:val="C00000"/>
        </w:rPr>
        <w:t>to</w:t>
      </w:r>
      <w:r w:rsidRPr="005F3E68">
        <w:rPr>
          <w:b/>
          <w:bCs/>
          <w:color w:val="C00000"/>
          <w:sz w:val="28"/>
        </w:rPr>
        <w:t xml:space="preserve"> </w:t>
      </w:r>
      <w:r w:rsidR="00447F43">
        <w:rPr>
          <w:b/>
          <w:bCs/>
          <w:color w:val="C00000"/>
        </w:rPr>
        <w:t>increase s</w:t>
      </w:r>
      <w:r w:rsidRPr="005F3E68">
        <w:rPr>
          <w:b/>
          <w:bCs/>
          <w:color w:val="C00000"/>
        </w:rPr>
        <w:t>ubmission methods</w:t>
      </w:r>
      <w:r w:rsidR="002F5378">
        <w:rPr>
          <w:b/>
          <w:bCs/>
          <w:color w:val="C00000"/>
        </w:rPr>
        <w:t>.</w:t>
      </w:r>
      <w:r w:rsidRPr="005F3E68">
        <w:rPr>
          <w:b/>
          <w:bCs/>
          <w:color w:val="C00000"/>
        </w:rPr>
        <w:t>]</w:t>
      </w:r>
    </w:p>
    <w:p w:rsidR="00D33A5A" w:rsidRPr="00114B54" w:rsidP="00974664" w14:paraId="65DBE912" w14:textId="77777777">
      <w:pPr>
        <w:widowControl/>
        <w:tabs>
          <w:tab w:val="left" w:pos="360"/>
          <w:tab w:val="left" w:pos="1080"/>
        </w:tabs>
      </w:pPr>
    </w:p>
    <w:p w:rsidR="00D33A5A" w:rsidRPr="00114B54" w:rsidP="00974664" w14:paraId="40895771" w14:textId="77777777">
      <w:pPr>
        <w:widowControl/>
        <w:tabs>
          <w:tab w:val="left" w:pos="0"/>
          <w:tab w:val="left" w:pos="360"/>
          <w:tab w:val="left" w:pos="720"/>
          <w:tab w:val="left" w:pos="1080"/>
          <w:tab w:val="left" w:pos="1440"/>
        </w:tabs>
      </w:pPr>
      <w:r>
        <w:t>A</w:t>
      </w:r>
      <w:r w:rsidRPr="00F3010F">
        <w:t xml:space="preserve"> CQE must annually</w:t>
      </w:r>
      <w:r>
        <w:t xml:space="preserve"> </w:t>
      </w:r>
      <w:r w:rsidRPr="00F3010F">
        <w:t xml:space="preserve">assign each community LLP </w:t>
      </w:r>
      <w:r>
        <w:t xml:space="preserve">license </w:t>
      </w:r>
      <w:r w:rsidRPr="00F3010F">
        <w:t>to a user and vessel</w:t>
      </w:r>
      <w:r>
        <w:t xml:space="preserve">. This </w:t>
      </w:r>
      <w:r>
        <w:t>is done</w:t>
      </w:r>
      <w:r>
        <w:t xml:space="preserve"> through the CQE LLP authorization letter. A CQE</w:t>
      </w:r>
      <w:r w:rsidRPr="00F3010F">
        <w:t xml:space="preserve"> must provide a copy of the authorization letter, and any subsequent amendment to that authorization letter to both NMFS and the vessel operator prior to use </w:t>
      </w:r>
      <w:r>
        <w:t xml:space="preserve">of the LLP license </w:t>
      </w:r>
      <w:r w:rsidRPr="00F3010F">
        <w:t>by the person(s) designated.</w:t>
      </w:r>
      <w:r>
        <w:t xml:space="preserve"> A copy of t</w:t>
      </w:r>
      <w:r w:rsidRPr="00114B54">
        <w:t>he authorization letter must be on</w:t>
      </w:r>
      <w:r>
        <w:t xml:space="preserve"> </w:t>
      </w:r>
      <w:r w:rsidRPr="00114B54">
        <w:t>board the vessel</w:t>
      </w:r>
      <w:r>
        <w:t xml:space="preserve"> when that vessel </w:t>
      </w:r>
      <w:r>
        <w:t>is directed</w:t>
      </w:r>
      <w:r>
        <w:t xml:space="preserve"> fishing for Pacific cod under authority of that license</w:t>
      </w:r>
      <w:r w:rsidRPr="00114B54">
        <w:t>.</w:t>
      </w:r>
      <w:r>
        <w:t xml:space="preserve"> </w:t>
      </w:r>
      <w:r w:rsidRPr="00114B54">
        <w:t xml:space="preserve">The person specified for </w:t>
      </w:r>
      <w:r>
        <w:t>the</w:t>
      </w:r>
      <w:r w:rsidRPr="00114B54">
        <w:t xml:space="preserve"> LLP license in </w:t>
      </w:r>
      <w:r>
        <w:t>the</w:t>
      </w:r>
      <w:r w:rsidRPr="00114B54">
        <w:t xml:space="preserve"> authorization letter must be on</w:t>
      </w:r>
      <w:r>
        <w:t xml:space="preserve"> </w:t>
      </w:r>
      <w:r w:rsidRPr="00114B54">
        <w:t>board the vessel during directed fishing.</w:t>
      </w:r>
      <w:r>
        <w:t xml:space="preserve"> </w:t>
      </w:r>
    </w:p>
    <w:p w:rsidR="00D33A5A" w:rsidP="00974664" w14:paraId="6FEC6636" w14:textId="6EAEADAC">
      <w:pPr>
        <w:pStyle w:val="Default"/>
        <w:rPr>
          <w:color w:val="auto"/>
        </w:rPr>
      </w:pPr>
    </w:p>
    <w:p w:rsidR="00FE35D2" w:rsidP="00974664" w14:paraId="6C2BD54B" w14:textId="343913B6">
      <w:pPr>
        <w:pStyle w:val="Default"/>
        <w:rPr>
          <w:color w:val="auto"/>
        </w:rPr>
      </w:pPr>
      <w:r>
        <w:rPr>
          <w:color w:val="auto"/>
        </w:rPr>
        <w:t>Th</w:t>
      </w:r>
      <w:r w:rsidR="00516C19">
        <w:rPr>
          <w:color w:val="auto"/>
        </w:rPr>
        <w:t xml:space="preserve">e </w:t>
      </w:r>
      <w:r>
        <w:rPr>
          <w:color w:val="auto"/>
        </w:rPr>
        <w:t>CQE LLP authorization l</w:t>
      </w:r>
      <w:r w:rsidRPr="00FE35D2">
        <w:rPr>
          <w:color w:val="auto"/>
        </w:rPr>
        <w:t>etter</w:t>
      </w:r>
      <w:r>
        <w:rPr>
          <w:color w:val="auto"/>
        </w:rPr>
        <w:t xml:space="preserve"> includes </w:t>
      </w:r>
      <w:r w:rsidR="0028497C">
        <w:rPr>
          <w:color w:val="auto"/>
        </w:rPr>
        <w:t xml:space="preserve">following information: </w:t>
      </w:r>
    </w:p>
    <w:p w:rsidR="00D33A5A" w:rsidRPr="00196AC3" w:rsidP="00974664" w14:paraId="11D12194" w14:textId="2F2F31CD">
      <w:pPr>
        <w:pStyle w:val="Default"/>
        <w:numPr>
          <w:ilvl w:val="0"/>
          <w:numId w:val="22"/>
        </w:numPr>
        <w:tabs>
          <w:tab w:val="left" w:pos="360"/>
          <w:tab w:val="left" w:pos="720"/>
          <w:tab w:val="left" w:pos="1080"/>
        </w:tabs>
        <w:rPr>
          <w:color w:val="auto"/>
        </w:rPr>
      </w:pPr>
      <w:r w:rsidRPr="00196AC3">
        <w:rPr>
          <w:color w:val="auto"/>
        </w:rPr>
        <w:t>Assign</w:t>
      </w:r>
      <w:r w:rsidRPr="00196AC3" w:rsidR="0028497C">
        <w:rPr>
          <w:color w:val="auto"/>
        </w:rPr>
        <w:t>s</w:t>
      </w:r>
      <w:r w:rsidRPr="00196AC3">
        <w:rPr>
          <w:color w:val="auto"/>
        </w:rPr>
        <w:t xml:space="preserve"> each community LLP license to a specific vessel and designate</w:t>
      </w:r>
      <w:r w:rsidRPr="00196AC3" w:rsidR="0028497C">
        <w:rPr>
          <w:color w:val="auto"/>
        </w:rPr>
        <w:t>s</w:t>
      </w:r>
      <w:r w:rsidRPr="00196AC3">
        <w:rPr>
          <w:color w:val="auto"/>
        </w:rPr>
        <w:t xml:space="preserve"> the vessel operator</w:t>
      </w:r>
      <w:r w:rsidR="0028497C">
        <w:rPr>
          <w:color w:val="auto"/>
        </w:rPr>
        <w:t>.</w:t>
      </w:r>
    </w:p>
    <w:p w:rsidR="0028497C" w:rsidRPr="00196AC3" w:rsidP="00974664" w14:paraId="1A00750F" w14:textId="40963F9E">
      <w:pPr>
        <w:pStyle w:val="Default"/>
        <w:numPr>
          <w:ilvl w:val="0"/>
          <w:numId w:val="22"/>
        </w:numPr>
        <w:tabs>
          <w:tab w:val="left" w:pos="360"/>
          <w:tab w:val="left" w:pos="720"/>
          <w:tab w:val="left" w:pos="1080"/>
        </w:tabs>
        <w:rPr>
          <w:color w:val="auto"/>
        </w:rPr>
      </w:pPr>
      <w:r w:rsidRPr="00196AC3">
        <w:rPr>
          <w:color w:val="auto"/>
        </w:rPr>
        <w:t>A</w:t>
      </w:r>
      <w:r w:rsidRPr="00196AC3" w:rsidR="00D33A5A">
        <w:rPr>
          <w:color w:val="auto"/>
        </w:rPr>
        <w:t>ttest</w:t>
      </w:r>
      <w:r>
        <w:rPr>
          <w:color w:val="auto"/>
        </w:rPr>
        <w:t>s</w:t>
      </w:r>
      <w:r w:rsidRPr="00196AC3" w:rsidR="00D33A5A">
        <w:rPr>
          <w:color w:val="auto"/>
        </w:rPr>
        <w:t xml:space="preserve"> that the authorized representative using a groundfish license issued to a CQE</w:t>
      </w:r>
      <w:r>
        <w:rPr>
          <w:color w:val="auto"/>
        </w:rPr>
        <w:t>—</w:t>
      </w:r>
      <w:r w:rsidRPr="00196AC3" w:rsidR="00D33A5A">
        <w:rPr>
          <w:color w:val="auto"/>
        </w:rPr>
        <w:t xml:space="preserve"> </w:t>
      </w:r>
    </w:p>
    <w:p w:rsidR="00D33A5A" w:rsidRPr="00196AC3" w:rsidP="00974664" w14:paraId="26C3162B" w14:textId="79AD71EC">
      <w:pPr>
        <w:pStyle w:val="Default"/>
        <w:numPr>
          <w:ilvl w:val="0"/>
          <w:numId w:val="23"/>
        </w:numPr>
        <w:tabs>
          <w:tab w:val="left" w:pos="360"/>
          <w:tab w:val="left" w:pos="720"/>
          <w:tab w:val="left" w:pos="1080"/>
        </w:tabs>
        <w:ind w:left="1080"/>
        <w:rPr>
          <w:color w:val="auto"/>
        </w:rPr>
      </w:pPr>
      <w:r w:rsidRPr="00196AC3">
        <w:rPr>
          <w:color w:val="auto"/>
        </w:rPr>
        <w:t>I</w:t>
      </w:r>
      <w:r w:rsidRPr="00196AC3">
        <w:rPr>
          <w:color w:val="auto"/>
        </w:rPr>
        <w:t xml:space="preserve">s a citizen of the United States; </w:t>
      </w:r>
    </w:p>
    <w:p w:rsidR="00D33A5A" w:rsidRPr="009F7EC4" w:rsidP="00974664" w14:paraId="25364963" w14:textId="0DF864A5">
      <w:pPr>
        <w:pStyle w:val="ListParagraph"/>
        <w:widowControl/>
        <w:numPr>
          <w:ilvl w:val="0"/>
          <w:numId w:val="23"/>
        </w:numPr>
        <w:tabs>
          <w:tab w:val="left" w:pos="360"/>
          <w:tab w:val="left" w:pos="720"/>
          <w:tab w:val="left" w:pos="1080"/>
        </w:tabs>
        <w:spacing w:before="0"/>
        <w:ind w:left="1080"/>
      </w:pPr>
      <w:r w:rsidRPr="009F7EC4">
        <w:t xml:space="preserve">Has maintained a domicile in a CQE community in the Central GOA or Western GOA eligible to receive an LLP license endorsed for Pacific cod for the 12 consecutive months immediately preceding the time when the assertion of residence is made; and </w:t>
      </w:r>
    </w:p>
    <w:p w:rsidR="00D33A5A" w:rsidRPr="00196AC3" w:rsidP="00974664" w14:paraId="2EAA25AB" w14:textId="0D39D5CD">
      <w:pPr>
        <w:pStyle w:val="Default"/>
        <w:numPr>
          <w:ilvl w:val="0"/>
          <w:numId w:val="23"/>
        </w:numPr>
        <w:tabs>
          <w:tab w:val="left" w:pos="360"/>
          <w:tab w:val="left" w:pos="720"/>
          <w:tab w:val="left" w:pos="1080"/>
        </w:tabs>
        <w:ind w:left="1080"/>
        <w:rPr>
          <w:color w:val="auto"/>
        </w:rPr>
      </w:pPr>
      <w:r w:rsidRPr="009F7EC4">
        <w:rPr>
          <w:color w:val="auto"/>
        </w:rPr>
        <w:t xml:space="preserve">Is not claiming residency in another community, state, territory, or country, except that residents of the Village of </w:t>
      </w:r>
      <w:r w:rsidRPr="009F7EC4">
        <w:rPr>
          <w:color w:val="auto"/>
        </w:rPr>
        <w:t>Seldovia</w:t>
      </w:r>
      <w:r w:rsidRPr="009F7EC4">
        <w:rPr>
          <w:color w:val="auto"/>
        </w:rPr>
        <w:t xml:space="preserve"> shall be considered </w:t>
      </w:r>
      <w:r w:rsidRPr="009F7EC4">
        <w:rPr>
          <w:color w:val="auto"/>
        </w:rPr>
        <w:t>to be eligible</w:t>
      </w:r>
      <w:r w:rsidRPr="009F7EC4">
        <w:rPr>
          <w:color w:val="auto"/>
        </w:rPr>
        <w:t xml:space="preserve"> community residents of the City of </w:t>
      </w:r>
      <w:r w:rsidRPr="009F7EC4">
        <w:rPr>
          <w:color w:val="auto"/>
        </w:rPr>
        <w:t>Seldovia</w:t>
      </w:r>
      <w:r w:rsidRPr="009F7EC4">
        <w:rPr>
          <w:color w:val="auto"/>
        </w:rPr>
        <w:t xml:space="preserve"> for the purposes of eligibility to serve as an authorized vessel operator. The residency requirements for a vessel operator using a CQE license ensures that residents of a specific community actively participate in the Pacific cod fishery consistent with the overall goal the </w:t>
      </w:r>
      <w:r w:rsidR="00835DA5">
        <w:rPr>
          <w:color w:val="auto"/>
        </w:rPr>
        <w:t xml:space="preserve">North Pacific Fishery Management </w:t>
      </w:r>
      <w:r w:rsidRPr="00196AC3">
        <w:rPr>
          <w:color w:val="auto"/>
        </w:rPr>
        <w:t xml:space="preserve">Council established for CQE LLP licenses.  </w:t>
      </w:r>
    </w:p>
    <w:p w:rsidR="00D33A5A" w:rsidRPr="00A6037A" w:rsidP="00974664" w14:paraId="725916F4" w14:textId="77777777">
      <w:pPr>
        <w:widowControl/>
        <w:tabs>
          <w:tab w:val="left" w:pos="360"/>
          <w:tab w:val="left" w:pos="720"/>
          <w:tab w:val="left" w:pos="1080"/>
          <w:tab w:val="left" w:pos="1440"/>
        </w:tabs>
        <w:ind w:left="720" w:hanging="720"/>
        <w:rPr>
          <w:sz w:val="20"/>
          <w:szCs w:val="20"/>
        </w:rPr>
      </w:pPr>
    </w:p>
    <w:p w:rsidR="00D33A5A" w:rsidP="00F55906" w14:paraId="3CB19F8A" w14:textId="3937D3F3">
      <w:pPr>
        <w:widowControl/>
        <w:tabs>
          <w:tab w:val="left" w:pos="360"/>
          <w:tab w:val="left" w:pos="720"/>
          <w:tab w:val="left" w:pos="1080"/>
        </w:tabs>
        <w:spacing w:before="120"/>
        <w:rPr>
          <w:b/>
        </w:rPr>
      </w:pPr>
      <w:r>
        <w:rPr>
          <w:b/>
        </w:rPr>
        <w:t>h</w:t>
      </w:r>
      <w:r w:rsidR="00D64852">
        <w:rPr>
          <w:b/>
        </w:rPr>
        <w:t xml:space="preserve">. </w:t>
      </w:r>
      <w:r w:rsidRPr="00114B54">
        <w:rPr>
          <w:b/>
        </w:rPr>
        <w:t>Application</w:t>
      </w:r>
      <w:r>
        <w:rPr>
          <w:b/>
        </w:rPr>
        <w:t xml:space="preserve"> </w:t>
      </w:r>
      <w:r w:rsidRPr="00114B54">
        <w:rPr>
          <w:b/>
        </w:rPr>
        <w:t>for Communit</w:t>
      </w:r>
      <w:r w:rsidR="000229BB">
        <w:rPr>
          <w:b/>
        </w:rPr>
        <w:t>y Charter Halibut Permit (CCHP)</w:t>
      </w:r>
      <w:r w:rsidR="00BF3525">
        <w:rPr>
          <w:b/>
        </w:rPr>
        <w:t xml:space="preserve"> [no change]</w:t>
      </w:r>
    </w:p>
    <w:p w:rsidR="00D33A5A" w:rsidRPr="00114B54" w:rsidP="00974664" w14:paraId="05425876" w14:textId="77777777">
      <w:pPr>
        <w:widowControl/>
        <w:tabs>
          <w:tab w:val="left" w:pos="360"/>
          <w:tab w:val="left" w:pos="720"/>
          <w:tab w:val="left" w:pos="1080"/>
        </w:tabs>
        <w:rPr>
          <w:b/>
        </w:rPr>
      </w:pPr>
    </w:p>
    <w:p w:rsidR="00D33A5A" w:rsidP="00974664" w14:paraId="5D486CD9" w14:textId="1657E9C8">
      <w:pPr>
        <w:widowControl/>
        <w:tabs>
          <w:tab w:val="left" w:pos="360"/>
          <w:tab w:val="left" w:pos="720"/>
          <w:tab w:val="left" w:pos="1080"/>
        </w:tabs>
      </w:pPr>
      <w:r>
        <w:t>The Charter Halibu</w:t>
      </w:r>
      <w:r w:rsidR="00C24E9D">
        <w:t>t Limited Access Program</w:t>
      </w:r>
      <w:r>
        <w:t xml:space="preserve"> </w:t>
      </w:r>
      <w:r w:rsidR="00A006C7">
        <w:t xml:space="preserve">(CHLAP) </w:t>
      </w:r>
      <w:r>
        <w:t xml:space="preserve">established Federal charter halibut permits for operators in the charter halibut fishery in IPHC Areas 2C (Southeast Alaska) and 3A (South Central Alaska). All vessel operators in IPHC Areas 2C and 3A with charter anglers on board must have an original, valid permit on board during every charter </w:t>
      </w:r>
      <w:r>
        <w:t>vessel fishing</w:t>
      </w:r>
      <w:r>
        <w:t xml:space="preserve"> trip on which Pacific halibut are caught and retained. Charter halibut permits </w:t>
      </w:r>
      <w:r>
        <w:t>are endorsed</w:t>
      </w:r>
      <w:r>
        <w:t xml:space="preserve"> for the appropriate regulatory area and the number of anglers that may catch and retain charter halibut on a trip. </w:t>
      </w:r>
    </w:p>
    <w:p w:rsidR="00D33A5A" w:rsidP="00974664" w14:paraId="3E84B3B3" w14:textId="77777777">
      <w:pPr>
        <w:widowControl/>
        <w:tabs>
          <w:tab w:val="left" w:pos="360"/>
          <w:tab w:val="left" w:pos="720"/>
          <w:tab w:val="left" w:pos="1080"/>
        </w:tabs>
      </w:pPr>
    </w:p>
    <w:p w:rsidR="00D33A5A" w:rsidP="00974664" w14:paraId="03EE9EF7" w14:textId="63D16D0B">
      <w:pPr>
        <w:widowControl/>
        <w:tabs>
          <w:tab w:val="left" w:pos="360"/>
          <w:tab w:val="left" w:pos="720"/>
          <w:tab w:val="left" w:pos="1080"/>
        </w:tabs>
      </w:pPr>
      <w:r>
        <w:t xml:space="preserve">The </w:t>
      </w:r>
      <w:r w:rsidR="00A006C7">
        <w:t>CHLAP</w:t>
      </w:r>
      <w:r>
        <w:t xml:space="preserve"> also provides a limited number of permits issuable on request to CQEs representing specified rural communities </w:t>
      </w:r>
      <w:r w:rsidRPr="00114B54">
        <w:t xml:space="preserve">to </w:t>
      </w:r>
      <w:r>
        <w:t>give</w:t>
      </w:r>
      <w:r w:rsidRPr="00114B54">
        <w:t xml:space="preserve"> </w:t>
      </w:r>
      <w:r>
        <w:t>these communities</w:t>
      </w:r>
      <w:r w:rsidRPr="00114B54">
        <w:t xml:space="preserve"> the opportunity to </w:t>
      </w:r>
      <w:r>
        <w:t>benefit</w:t>
      </w:r>
      <w:r w:rsidRPr="00114B54">
        <w:t xml:space="preserve"> economic</w:t>
      </w:r>
      <w:r>
        <w:t>ally</w:t>
      </w:r>
      <w:r w:rsidRPr="00114B54">
        <w:t xml:space="preserve"> from the charter halibut industry.</w:t>
      </w:r>
      <w:r>
        <w:t xml:space="preserve"> </w:t>
      </w:r>
    </w:p>
    <w:p w:rsidR="00D33A5A" w:rsidP="00974664" w14:paraId="74552166" w14:textId="77777777">
      <w:pPr>
        <w:widowControl/>
        <w:tabs>
          <w:tab w:val="left" w:pos="360"/>
          <w:tab w:val="left" w:pos="720"/>
          <w:tab w:val="left" w:pos="1080"/>
        </w:tabs>
      </w:pPr>
    </w:p>
    <w:p w:rsidR="00B511DA" w:rsidP="00974664" w14:paraId="764CFB89" w14:textId="5E8D7C64">
      <w:pPr>
        <w:widowControl/>
        <w:tabs>
          <w:tab w:val="left" w:pos="360"/>
          <w:tab w:val="left" w:pos="720"/>
          <w:tab w:val="left" w:pos="1080"/>
        </w:tabs>
      </w:pPr>
      <w:r w:rsidRPr="00CC2AFE">
        <w:t xml:space="preserve">A CQE may apply at any time for community </w:t>
      </w:r>
      <w:r>
        <w:t>charter halibut permit</w:t>
      </w:r>
      <w:r w:rsidRPr="00CC2AFE">
        <w:t>s</w:t>
      </w:r>
      <w:r>
        <w:t xml:space="preserve"> (CCHP)</w:t>
      </w:r>
      <w:r w:rsidRPr="00D76837">
        <w:t xml:space="preserve"> </w:t>
      </w:r>
      <w:r w:rsidRPr="00114B54">
        <w:t>for eligible communities</w:t>
      </w:r>
      <w:r>
        <w:t xml:space="preserve">, </w:t>
      </w:r>
      <w:r w:rsidRPr="00114B54">
        <w:t xml:space="preserve">if they meet criteria for limited participation in the charter halibut fishery. </w:t>
      </w:r>
      <w:r w:rsidRPr="00D76837">
        <w:t xml:space="preserve">The communities eligible for a CCHP include those CQE communities in which 10 or fewer active charter vessel businesses terminated charter vessel trips in the community in each of the qualifying years, 2004 and 2005. </w:t>
      </w:r>
      <w:r>
        <w:t xml:space="preserve">Eligible </w:t>
      </w:r>
      <w:r w:rsidRPr="00D76837">
        <w:t xml:space="preserve">communities </w:t>
      </w:r>
      <w:r>
        <w:t xml:space="preserve">are listed at </w:t>
      </w:r>
      <w:hyperlink r:id="rId22" w:anchor="p-300.67(k)(2)" w:history="1">
        <w:r w:rsidRPr="00B511DA">
          <w:rPr>
            <w:rStyle w:val="Hyperlink"/>
          </w:rPr>
          <w:t>50 CFR 300.67(k</w:t>
        </w:r>
        <w:r w:rsidRPr="00B511DA">
          <w:rPr>
            <w:rStyle w:val="Hyperlink"/>
          </w:rPr>
          <w:t>)(</w:t>
        </w:r>
        <w:r w:rsidRPr="00B511DA">
          <w:rPr>
            <w:rStyle w:val="Hyperlink"/>
          </w:rPr>
          <w:t>2)</w:t>
        </w:r>
      </w:hyperlink>
      <w:r>
        <w:t>.</w:t>
      </w:r>
      <w:r w:rsidR="00A10836">
        <w:t xml:space="preserve"> </w:t>
      </w:r>
    </w:p>
    <w:p w:rsidR="00D33A5A" w:rsidP="00974664" w14:paraId="762AC683" w14:textId="77777777">
      <w:pPr>
        <w:widowControl/>
      </w:pPr>
    </w:p>
    <w:p w:rsidR="00D33A5A" w:rsidP="00974664" w14:paraId="620E80BB" w14:textId="77777777">
      <w:pPr>
        <w:widowControl/>
      </w:pPr>
      <w:r>
        <w:t>A CQE may</w:t>
      </w:r>
      <w:r w:rsidRPr="00114B54">
        <w:t xml:space="preserve"> receive a maximum of four CCHP</w:t>
      </w:r>
      <w:r>
        <w:t>s</w:t>
      </w:r>
      <w:r w:rsidRPr="00114B54">
        <w:t xml:space="preserve"> for each eligible community it represents</w:t>
      </w:r>
      <w:r>
        <w:t xml:space="preserve"> in Area 2C, and </w:t>
      </w:r>
      <w:r w:rsidRPr="00114B54">
        <w:t>a maximum of seven CCHPs for each eligible community it represents</w:t>
      </w:r>
      <w:r>
        <w:t xml:space="preserve"> in Area 3A</w:t>
      </w:r>
      <w:r w:rsidRPr="00114B54">
        <w:t>.</w:t>
      </w:r>
      <w:r>
        <w:t xml:space="preserve"> </w:t>
      </w:r>
      <w:r w:rsidRPr="00114B54">
        <w:t>The larger number of community permits allowed in Area 3A reflects the larger resource base in that area.</w:t>
      </w:r>
      <w:r>
        <w:t xml:space="preserve"> </w:t>
      </w:r>
    </w:p>
    <w:p w:rsidR="00D33A5A" w:rsidP="00974664" w14:paraId="616D75F3" w14:textId="77777777">
      <w:pPr>
        <w:widowControl/>
        <w:tabs>
          <w:tab w:val="left" w:pos="360"/>
          <w:tab w:val="left" w:pos="720"/>
          <w:tab w:val="left" w:pos="1080"/>
        </w:tabs>
      </w:pPr>
    </w:p>
    <w:p w:rsidR="00D33A5A" w:rsidP="00974664" w14:paraId="3F52DA52" w14:textId="77B65AC0">
      <w:pPr>
        <w:widowControl/>
        <w:tabs>
          <w:tab w:val="left" w:pos="360"/>
          <w:tab w:val="left" w:pos="720"/>
          <w:tab w:val="left" w:pos="1080"/>
        </w:tabs>
      </w:pPr>
      <w:r w:rsidRPr="00CC2AFE">
        <w:t xml:space="preserve">The CQE designates charter </w:t>
      </w:r>
      <w:r>
        <w:t xml:space="preserve">vessel </w:t>
      </w:r>
      <w:r w:rsidRPr="00CC2AFE">
        <w:t xml:space="preserve">operators to use its </w:t>
      </w:r>
      <w:r>
        <w:t>C</w:t>
      </w:r>
      <w:r w:rsidRPr="00CC2AFE">
        <w:t xml:space="preserve">CHPs, although the </w:t>
      </w:r>
      <w:r>
        <w:t>C</w:t>
      </w:r>
      <w:r w:rsidRPr="00CC2AFE">
        <w:t xml:space="preserve">CHP itself </w:t>
      </w:r>
      <w:r w:rsidRPr="00CC2AFE">
        <w:t>is retained</w:t>
      </w:r>
      <w:r w:rsidRPr="00CC2AFE">
        <w:t xml:space="preserve"> by the CQE. A charter vessel operator using a CCHP is subject to all charter fishing regulations and must either begin or end the charter </w:t>
      </w:r>
      <w:r w:rsidRPr="00CC2AFE">
        <w:t>vessel fishing</w:t>
      </w:r>
      <w:r w:rsidRPr="00CC2AFE">
        <w:t xml:space="preserve"> trip within the commu</w:t>
      </w:r>
      <w:r>
        <w:t xml:space="preserve">nity designated on the permit. </w:t>
      </w:r>
      <w:r w:rsidRPr="00D76837">
        <w:t xml:space="preserve">The purpose of this requirement is to </w:t>
      </w:r>
      <w:r w:rsidR="00B511DA">
        <w:t>en</w:t>
      </w:r>
      <w:r w:rsidRPr="00D76837">
        <w:t xml:space="preserve">sure that the charter vessel anglers on such a fishing trip have an opportunity to use the goods and services of the community. </w:t>
      </w:r>
    </w:p>
    <w:p w:rsidR="00D33A5A" w:rsidP="00974664" w14:paraId="688E5CF8" w14:textId="77777777">
      <w:pPr>
        <w:widowControl/>
        <w:tabs>
          <w:tab w:val="left" w:pos="360"/>
          <w:tab w:val="left" w:pos="720"/>
          <w:tab w:val="left" w:pos="1080"/>
        </w:tabs>
      </w:pPr>
      <w:r>
        <w:t xml:space="preserve"> </w:t>
      </w:r>
    </w:p>
    <w:p w:rsidR="00D33A5A" w:rsidRPr="00114B54" w:rsidP="00974664" w14:paraId="3891867D" w14:textId="77777777">
      <w:pPr>
        <w:widowControl/>
        <w:tabs>
          <w:tab w:val="left" w:pos="360"/>
          <w:tab w:val="left" w:pos="720"/>
          <w:tab w:val="left" w:pos="1080"/>
        </w:tabs>
      </w:pPr>
      <w:r w:rsidRPr="00114B54">
        <w:t xml:space="preserve">A CCHP </w:t>
      </w:r>
      <w:r>
        <w:t>has</w:t>
      </w:r>
      <w:r w:rsidRPr="00114B54">
        <w:t xml:space="preserve"> an angler endorsement of six</w:t>
      </w:r>
      <w:r>
        <w:t xml:space="preserve"> and is nontransferable</w:t>
      </w:r>
      <w:r w:rsidRPr="00114B54">
        <w:t>.</w:t>
      </w:r>
      <w:r>
        <w:t xml:space="preserve"> </w:t>
      </w:r>
      <w:r w:rsidRPr="00D76837">
        <w:t xml:space="preserve">A CCHP </w:t>
      </w:r>
      <w:r>
        <w:t>may</w:t>
      </w:r>
      <w:r w:rsidRPr="00D76837">
        <w:t xml:space="preserve"> not be transferred</w:t>
      </w:r>
      <w:r w:rsidRPr="00D76837">
        <w:t xml:space="preserve"> to a different CQE or to a non-CQE entity.</w:t>
      </w:r>
    </w:p>
    <w:p w:rsidR="00D33A5A" w:rsidRPr="00114B54" w:rsidP="00974664" w14:paraId="41E12E92" w14:textId="77777777">
      <w:pPr>
        <w:widowControl/>
        <w:tabs>
          <w:tab w:val="left" w:pos="360"/>
          <w:tab w:val="left" w:pos="720"/>
          <w:tab w:val="left" w:pos="1080"/>
        </w:tabs>
      </w:pPr>
    </w:p>
    <w:p w:rsidR="00D33A5A" w:rsidRPr="00114B54" w:rsidP="00974664" w14:paraId="76C4639D" w14:textId="622C6189">
      <w:pPr>
        <w:widowControl/>
        <w:tabs>
          <w:tab w:val="left" w:pos="360"/>
          <w:tab w:val="left" w:pos="720"/>
          <w:tab w:val="left" w:pos="1080"/>
        </w:tabs>
      </w:pPr>
      <w:r>
        <w:t xml:space="preserve">CCHPs are issued at no cost and do not expire as long as the CQE maintains its status. To request CCHPs, the CQE must submit a separate application for each community that it represents. </w:t>
      </w:r>
    </w:p>
    <w:p w:rsidR="00D33A5A" w:rsidP="00974664" w14:paraId="672E704C" w14:textId="542F1DC3">
      <w:pPr>
        <w:widowControl/>
        <w:tabs>
          <w:tab w:val="left" w:pos="360"/>
          <w:tab w:val="left" w:pos="720"/>
          <w:tab w:val="left" w:pos="1080"/>
        </w:tabs>
      </w:pPr>
    </w:p>
    <w:p w:rsidR="00514D92" w:rsidP="00974664" w14:paraId="70DAA96A" w14:textId="0D3DC335">
      <w:pPr>
        <w:widowControl/>
      </w:pPr>
      <w:r>
        <w:t xml:space="preserve">The information collected on the </w:t>
      </w:r>
      <w:r w:rsidRPr="00A778C7">
        <w:t xml:space="preserve">Application for a </w:t>
      </w:r>
      <w:r>
        <w:t xml:space="preserve">Community Charter Halibut Permit (CCHP) includes the </w:t>
      </w:r>
      <w:r w:rsidR="00853E67">
        <w:t>applicant’s name and contact information;</w:t>
      </w:r>
      <w:r>
        <w:t xml:space="preserve"> the name of the community represented by the CQE</w:t>
      </w:r>
      <w:r w:rsidR="00853E67">
        <w:t xml:space="preserve"> and</w:t>
      </w:r>
      <w:r>
        <w:t xml:space="preserve"> </w:t>
      </w:r>
      <w:r w:rsidR="00853E67">
        <w:t>the number of permits requested;</w:t>
      </w:r>
      <w:r>
        <w:t xml:space="preserve"> the locations, including the latitude and longitude, where all trips will begin or end within the boundaries of</w:t>
      </w:r>
      <w:r w:rsidR="00853E67">
        <w:t xml:space="preserve"> this community; and the signature, printed name, and title of the individual completing the application for the CQE</w:t>
      </w:r>
      <w:r w:rsidR="00F14507">
        <w:t xml:space="preserve"> and the date signed</w:t>
      </w:r>
      <w:r w:rsidR="00853E67">
        <w:t>.</w:t>
      </w:r>
      <w:r w:rsidRPr="00853E67" w:rsidR="00853E67">
        <w:t xml:space="preserve"> </w:t>
      </w:r>
      <w:r w:rsidR="00853E67">
        <w:t>The individual signing the application is required to provide documentation of their authority to apply on behalf of the applicant.</w:t>
      </w:r>
    </w:p>
    <w:p w:rsidR="003309A1" w:rsidP="00974664" w14:paraId="157679DC" w14:textId="76177341">
      <w:pPr>
        <w:widowControl/>
      </w:pPr>
    </w:p>
    <w:p w:rsidR="00BD2A55" w:rsidP="00974664" w14:paraId="4F185A97"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126F7A" w:rsidRPr="00126F7A" w:rsidP="00974664" w14:paraId="2362B53A" w14:textId="3B41B854">
      <w:pPr>
        <w:widowControl/>
      </w:pPr>
    </w:p>
    <w:p w:rsidR="00764FE4" w:rsidP="00974664" w14:paraId="463B59E7" w14:textId="6E029D0E">
      <w:pPr>
        <w:widowControl/>
      </w:pPr>
      <w:r w:rsidRPr="009B0637">
        <w:t xml:space="preserve">The applications are available as fillable pdfs on the </w:t>
      </w:r>
      <w:hyperlink r:id="rId31" w:history="1">
        <w:r w:rsidRPr="009B0637">
          <w:rPr>
            <w:color w:val="0000FF"/>
            <w:u w:val="single"/>
          </w:rPr>
          <w:t>NMFS Alaska Region website</w:t>
        </w:r>
      </w:hyperlink>
      <w:r w:rsidRPr="009B0637">
        <w:t xml:space="preserve"> and can be printed and submitted by mail or fax. The CQE annual report is a large report with various sizes of pages that </w:t>
      </w:r>
      <w:r w:rsidR="00775215">
        <w:t>is</w:t>
      </w:r>
      <w:r w:rsidRPr="009B0637">
        <w:t xml:space="preserve"> submitted</w:t>
      </w:r>
      <w:r w:rsidRPr="009B0637">
        <w:t xml:space="preserve"> by mail or in person. </w:t>
      </w:r>
      <w:r w:rsidRPr="00812643" w:rsidR="00812643">
        <w:t>NMFS Alaska Region is working toward offering more online services</w:t>
      </w:r>
      <w:r w:rsidR="00812643">
        <w:t xml:space="preserve"> and </w:t>
      </w:r>
      <w:r w:rsidRPr="00812643" w:rsidR="00812643">
        <w:t xml:space="preserve">is currently in developing a system for allowing </w:t>
      </w:r>
      <w:r w:rsidR="00F2555B">
        <w:t>more information</w:t>
      </w:r>
      <w:r w:rsidRPr="00812643" w:rsidR="00F2555B">
        <w:t xml:space="preserve"> </w:t>
      </w:r>
      <w:r w:rsidRPr="00812643" w:rsidR="00812643">
        <w:t xml:space="preserve">to </w:t>
      </w:r>
      <w:r w:rsidRPr="00812643" w:rsidR="00812643">
        <w:t>be submitted</w:t>
      </w:r>
      <w:r w:rsidRPr="00812643" w:rsidR="00812643">
        <w:t xml:space="preserve"> electronically. </w:t>
      </w:r>
    </w:p>
    <w:p w:rsidR="00764FE4" w:rsidP="00974664" w14:paraId="1B08B199" w14:textId="77777777">
      <w:pPr>
        <w:widowControl/>
      </w:pPr>
    </w:p>
    <w:p w:rsidR="00812643" w:rsidP="00974664" w14:paraId="0A53698A" w14:textId="3D6FE0DF">
      <w:pPr>
        <w:widowControl/>
      </w:pPr>
      <w:r>
        <w:t>Th</w:t>
      </w:r>
      <w:r w:rsidR="00775215">
        <w:t xml:space="preserve">e associated rule </w:t>
      </w:r>
      <w:r>
        <w:t xml:space="preserve">(RIN 0648-BL54) </w:t>
      </w:r>
      <w:r w:rsidR="00775215">
        <w:t>revise</w:t>
      </w:r>
      <w:r w:rsidR="00965B64">
        <w:t>s</w:t>
      </w:r>
      <w:r w:rsidR="00775215">
        <w:t xml:space="preserve"> regulations </w:t>
      </w:r>
      <w:r w:rsidR="00775215">
        <w:t>to not specify</w:t>
      </w:r>
      <w:r w:rsidR="00775215">
        <w:t xml:space="preserve"> submission methods. This </w:t>
      </w:r>
      <w:r w:rsidR="00965B64">
        <w:t xml:space="preserve">will </w:t>
      </w:r>
      <w:r w:rsidR="00775215">
        <w:t>provide a</w:t>
      </w:r>
      <w:r w:rsidRPr="00764FE4">
        <w:t>dditional methods for the public to submit information as the agency moves toward electronic submission</w:t>
      </w:r>
      <w:r w:rsidR="00775215">
        <w:t>s</w:t>
      </w:r>
      <w:r w:rsidRPr="00764FE4">
        <w:t>.</w:t>
      </w:r>
    </w:p>
    <w:p w:rsidR="00126F7A" w:rsidRPr="00126F7A" w:rsidP="00974664" w14:paraId="088A91F8" w14:textId="77777777">
      <w:pPr>
        <w:widowControl/>
      </w:pPr>
    </w:p>
    <w:p w:rsidR="00BD2A55" w:rsidP="00974664" w14:paraId="57A18CF5"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Describe efforts to identify duplication. Show specifically why any similar information already available cannot be used or modified for use for the purposes described in Question 2</w:t>
      </w:r>
    </w:p>
    <w:p w:rsidR="00126F7A" w:rsidRPr="00126F7A" w:rsidP="00974664" w14:paraId="505732CE" w14:textId="7EE470FA">
      <w:pPr>
        <w:widowControl/>
        <w:pBdr>
          <w:top w:val="nil"/>
          <w:left w:val="nil"/>
          <w:bottom w:val="nil"/>
          <w:right w:val="nil"/>
          <w:between w:val="nil"/>
        </w:pBdr>
      </w:pPr>
    </w:p>
    <w:p w:rsidR="00126F7A" w:rsidRPr="00126F7A" w:rsidP="00974664" w14:paraId="1CCF2407" w14:textId="54428795">
      <w:pPr>
        <w:widowControl/>
      </w:pPr>
      <w:r w:rsidRPr="00114B54">
        <w:t xml:space="preserve">None </w:t>
      </w:r>
      <w:r>
        <w:t>of the information collected</w:t>
      </w:r>
      <w:r w:rsidRPr="00114B54">
        <w:t xml:space="preserve"> duplicates other collections.</w:t>
      </w:r>
      <w:r>
        <w:t xml:space="preserve"> </w:t>
      </w:r>
    </w:p>
    <w:p w:rsidR="00126F7A" w:rsidRPr="00126F7A" w:rsidP="00974664" w14:paraId="52F80A19" w14:textId="77777777">
      <w:pPr>
        <w:widowControl/>
        <w:pBdr>
          <w:top w:val="nil"/>
          <w:left w:val="nil"/>
          <w:bottom w:val="nil"/>
          <w:right w:val="nil"/>
          <w:between w:val="nil"/>
        </w:pBdr>
      </w:pPr>
    </w:p>
    <w:p w:rsidR="00BD2A55" w:rsidP="00974664" w14:paraId="5EC9E03E"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 xml:space="preserve">If the collection of information </w:t>
      </w:r>
      <w:r>
        <w:rPr>
          <w:b/>
          <w:color w:val="000000"/>
        </w:rPr>
        <w:t>impacts</w:t>
      </w:r>
      <w:r>
        <w:rPr>
          <w:b/>
          <w:color w:val="000000"/>
        </w:rPr>
        <w:t xml:space="preserve"> small businesses or other small entities, describe any methods used to minimize burden.</w:t>
      </w:r>
    </w:p>
    <w:p w:rsidR="00126F7A" w:rsidRPr="00126F7A" w:rsidP="00974664" w14:paraId="22A8DFD2" w14:textId="4E85A7EA">
      <w:pPr>
        <w:widowControl/>
        <w:pBdr>
          <w:top w:val="nil"/>
          <w:left w:val="nil"/>
          <w:bottom w:val="nil"/>
          <w:right w:val="nil"/>
          <w:between w:val="nil"/>
        </w:pBdr>
      </w:pPr>
    </w:p>
    <w:p w:rsidR="009B0637" w:rsidP="00974664" w14:paraId="0B507E34" w14:textId="467D0E11">
      <w:pPr>
        <w:widowControl/>
      </w:pPr>
      <w:r w:rsidRPr="009B0637">
        <w:t xml:space="preserve">NMFS attempts to minimize the burden of this collection on all respondents by collecting only information necessary to manage the CQE Program. All of the applications in this information collection are available online as fillable pdfs. In addition to email, a toll-free phone number is available for participants to contact the NMFS Restricted Access Management Program for help or information on the elements in this information collection.  </w:t>
      </w:r>
    </w:p>
    <w:p w:rsidR="00A0795E" w:rsidP="00974664" w14:paraId="46916CF5" w14:textId="7D9646FF">
      <w:pPr>
        <w:widowControl/>
      </w:pPr>
    </w:p>
    <w:p w:rsidR="00126F7A" w:rsidRPr="00126F7A" w:rsidP="00974664" w14:paraId="4A9FD777" w14:textId="2C239014">
      <w:pPr>
        <w:widowControl/>
      </w:pPr>
      <w:r w:rsidRPr="00A0795E">
        <w:t>NMFS is continually working towards ways to reduce the burden</w:t>
      </w:r>
      <w:r>
        <w:t xml:space="preserve">. </w:t>
      </w:r>
      <w:r w:rsidR="00775215">
        <w:t xml:space="preserve">The associated rule </w:t>
      </w:r>
      <w:r w:rsidR="00764FE4">
        <w:t>(RIN 0648-BL54)</w:t>
      </w:r>
      <w:r w:rsidR="00775215">
        <w:t xml:space="preserve"> </w:t>
      </w:r>
      <w:r w:rsidR="00965B64">
        <w:t xml:space="preserve">will </w:t>
      </w:r>
      <w:r w:rsidR="00775215">
        <w:t xml:space="preserve">provide </w:t>
      </w:r>
      <w:r w:rsidRPr="00764FE4" w:rsidR="00764FE4">
        <w:t>additional methods for the public to submit information</w:t>
      </w:r>
      <w:r w:rsidR="00764FE4">
        <w:t xml:space="preserve">, </w:t>
      </w:r>
      <w:r w:rsidR="00775215">
        <w:t xml:space="preserve">which </w:t>
      </w:r>
      <w:r w:rsidR="00764FE4">
        <w:t xml:space="preserve">will increase efficiency and flexibility for program participants. </w:t>
      </w:r>
    </w:p>
    <w:p w:rsidR="00126F7A" w:rsidRPr="00126F7A" w:rsidP="00974664" w14:paraId="5E9F6423" w14:textId="77777777">
      <w:pPr>
        <w:widowControl/>
        <w:pBdr>
          <w:top w:val="nil"/>
          <w:left w:val="nil"/>
          <w:bottom w:val="nil"/>
          <w:right w:val="nil"/>
          <w:between w:val="nil"/>
        </w:pBdr>
      </w:pPr>
    </w:p>
    <w:p w:rsidR="00BD2A55" w:rsidP="00974664" w14:paraId="52FFAE37"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 xml:space="preserve">Describe the consequence to Federal program or policy activities if the collection </w:t>
      </w:r>
      <w:r>
        <w:rPr>
          <w:b/>
          <w:color w:val="000000"/>
        </w:rPr>
        <w:t>is not conducted</w:t>
      </w:r>
      <w:r>
        <w:rPr>
          <w:b/>
          <w:color w:val="000000"/>
        </w:rPr>
        <w:t xml:space="preserve"> or is conducted less frequently, as well as any technical or legal obstacles to reducing burden.</w:t>
      </w:r>
    </w:p>
    <w:p w:rsidR="00126F7A" w:rsidRPr="00126F7A" w:rsidP="00974664" w14:paraId="2F696DF4" w14:textId="1CCF3C71">
      <w:pPr>
        <w:widowControl/>
        <w:pBdr>
          <w:top w:val="nil"/>
          <w:left w:val="nil"/>
          <w:bottom w:val="nil"/>
          <w:right w:val="nil"/>
          <w:between w:val="nil"/>
        </w:pBdr>
      </w:pPr>
    </w:p>
    <w:p w:rsidR="00117AEF" w:rsidRPr="00117AEF" w:rsidP="00974664" w14:paraId="5B94EB78" w14:textId="77777777">
      <w:pPr>
        <w:widowControl/>
        <w:autoSpaceDE w:val="0"/>
        <w:autoSpaceDN w:val="0"/>
        <w:contextualSpacing/>
      </w:pPr>
      <w:r w:rsidRPr="00117AEF">
        <w:t xml:space="preserve">It would not be possible to effectively manage the CQE Program or carry out the mandates of the Magnuson-Stevens Act and Halibut Act if this collection </w:t>
      </w:r>
      <w:r w:rsidRPr="00117AEF">
        <w:t>were not conducted or conducted less frequently</w:t>
      </w:r>
      <w:r w:rsidRPr="00117AEF">
        <w:t>.</w:t>
      </w:r>
    </w:p>
    <w:p w:rsidR="00117AEF" w:rsidRPr="00117AEF" w:rsidP="00974664" w14:paraId="7B1A44B0" w14:textId="77777777">
      <w:pPr>
        <w:widowControl/>
        <w:autoSpaceDE w:val="0"/>
        <w:autoSpaceDN w:val="0"/>
        <w:contextualSpacing/>
      </w:pPr>
    </w:p>
    <w:p w:rsidR="00117AEF" w:rsidRPr="00117AEF" w:rsidP="00974664" w14:paraId="39CA1BEF" w14:textId="77777777">
      <w:pPr>
        <w:widowControl/>
      </w:pPr>
      <w:r w:rsidRPr="00117AEF">
        <w:t xml:space="preserve">The lack of adequate information to manage the CQE Program would result in the fishery management decision-making process being less objective, more political, and potentially less equitable. This would decrease the credibility of the fishery management process and result in an unnecessarily costly and ineffective management system. The cost of making decisions based on inadequate information would adversely affect the viability of the CQE fishing industry, and </w:t>
      </w:r>
      <w:r w:rsidRPr="00117AEF">
        <w:t>impact</w:t>
      </w:r>
      <w:r w:rsidRPr="00117AEF">
        <w:t xml:space="preserve"> the economic health of the participating communities.</w:t>
      </w:r>
    </w:p>
    <w:p w:rsidR="00126F7A" w:rsidRPr="00126F7A" w:rsidP="00974664" w14:paraId="6B47D4A5" w14:textId="77777777">
      <w:pPr>
        <w:widowControl/>
        <w:pBdr>
          <w:top w:val="nil"/>
          <w:left w:val="nil"/>
          <w:bottom w:val="nil"/>
          <w:right w:val="nil"/>
          <w:between w:val="nil"/>
        </w:pBdr>
      </w:pPr>
    </w:p>
    <w:p w:rsidR="00BD2A55" w:rsidP="00974664" w14:paraId="534D1BC6"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 xml:space="preserve">Explain any special circumstances that would cause an information collection to </w:t>
      </w:r>
      <w:r>
        <w:rPr>
          <w:b/>
          <w:color w:val="000000"/>
        </w:rPr>
        <w:t>be conducted</w:t>
      </w:r>
      <w:r>
        <w:rPr>
          <w:b/>
          <w:color w:val="000000"/>
        </w:rPr>
        <w:t xml:space="preserve"> in a manner inconsistent with OMB guidelines.</w:t>
      </w:r>
    </w:p>
    <w:p w:rsidR="00126F7A" w:rsidP="002C2179" w14:paraId="2B70F776" w14:textId="0D68825F">
      <w:pPr>
        <w:widowControl/>
        <w:pBdr>
          <w:top w:val="nil"/>
          <w:left w:val="nil"/>
          <w:bottom w:val="nil"/>
          <w:right w:val="nil"/>
          <w:between w:val="nil"/>
        </w:pBdr>
        <w:spacing w:before="120"/>
      </w:pPr>
      <w:r>
        <w:t xml:space="preserve">This collection </w:t>
      </w:r>
      <w:r w:rsidR="002C2179">
        <w:t>will be conducted</w:t>
      </w:r>
      <w:r w:rsidR="002C2179">
        <w:t xml:space="preserve"> in a manner consistent with OMB guidelines.</w:t>
      </w:r>
    </w:p>
    <w:p w:rsidR="002071B6" w:rsidRPr="00126F7A" w:rsidP="00974664" w14:paraId="5C2DCF35" w14:textId="77777777">
      <w:pPr>
        <w:widowControl/>
        <w:pBdr>
          <w:top w:val="nil"/>
          <w:left w:val="nil"/>
          <w:bottom w:val="nil"/>
          <w:right w:val="nil"/>
          <w:between w:val="nil"/>
        </w:pBdr>
      </w:pPr>
    </w:p>
    <w:p w:rsidR="00BD2A55" w:rsidP="00532A12" w14:paraId="6B6371CF" w14:textId="77777777">
      <w:pPr>
        <w:keepNext/>
        <w:keepLines/>
        <w:widowControl/>
        <w:numPr>
          <w:ilvl w:val="0"/>
          <w:numId w:val="3"/>
        </w:numPr>
        <w:pBdr>
          <w:top w:val="nil"/>
          <w:left w:val="nil"/>
          <w:bottom w:val="nil"/>
          <w:right w:val="nil"/>
          <w:between w:val="nil"/>
        </w:pBdr>
        <w:tabs>
          <w:tab w:val="left" w:pos="360"/>
        </w:tabs>
        <w:ind w:left="0" w:firstLine="0"/>
        <w:rPr>
          <w:b/>
          <w:color w:val="000000"/>
        </w:rPr>
      </w:pPr>
      <w:r>
        <w:rPr>
          <w:b/>
          <w:color w:val="000000"/>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126F7A" w:rsidP="00974664" w14:paraId="326435AC" w14:textId="620C9B27">
      <w:pPr>
        <w:widowControl/>
        <w:pBdr>
          <w:top w:val="nil"/>
          <w:left w:val="nil"/>
          <w:bottom w:val="nil"/>
          <w:right w:val="nil"/>
          <w:between w:val="nil"/>
        </w:pBdr>
      </w:pPr>
    </w:p>
    <w:p w:rsidR="00965B64" w:rsidRPr="00965B64" w:rsidP="00965B64" w14:paraId="380C7AFE" w14:textId="21C7A5F6">
      <w:pPr>
        <w:autoSpaceDE w:val="0"/>
        <w:autoSpaceDN w:val="0"/>
        <w:rPr>
          <w:rFonts w:eastAsia="Times New Roman"/>
        </w:rPr>
      </w:pPr>
      <w:r w:rsidRPr="00965B64">
        <w:rPr>
          <w:rFonts w:eastAsiaTheme="minorHAnsi" w:cstheme="minorBidi"/>
        </w:rPr>
        <w:t>A proposed rule (</w:t>
      </w:r>
      <w:hyperlink r:id="rId32" w:history="1">
        <w:r w:rsidRPr="00965B64">
          <w:rPr>
            <w:rFonts w:eastAsiaTheme="minorHAnsi" w:cstheme="minorBidi"/>
            <w:color w:val="0000FF" w:themeColor="hyperlink"/>
            <w:u w:val="single"/>
          </w:rPr>
          <w:t>87 FR 71559</w:t>
        </w:r>
      </w:hyperlink>
      <w:r w:rsidRPr="00965B64">
        <w:rPr>
          <w:rFonts w:eastAsiaTheme="minorHAnsi" w:cstheme="minorBidi"/>
        </w:rPr>
        <w:t xml:space="preserve">) soliciting public comments published on November 23, 2022. </w:t>
      </w:r>
      <w:r w:rsidRPr="00965B64">
        <w:rPr>
          <w:rFonts w:eastAsia="Calibri"/>
        </w:rPr>
        <w:t>The comment period ended on December 23, 2022</w:t>
      </w:r>
      <w:r w:rsidRPr="00734294">
        <w:rPr>
          <w:rFonts w:eastAsia="Calibri"/>
        </w:rPr>
        <w:t xml:space="preserve">. No comments </w:t>
      </w:r>
      <w:r w:rsidRPr="00734294">
        <w:rPr>
          <w:rFonts w:eastAsia="Calibri"/>
        </w:rPr>
        <w:t>were received</w:t>
      </w:r>
      <w:r w:rsidRPr="00734294">
        <w:rPr>
          <w:rFonts w:eastAsia="Calibri"/>
        </w:rPr>
        <w:t xml:space="preserve"> on this information collection.</w:t>
      </w:r>
    </w:p>
    <w:p w:rsidR="0042626D" w:rsidRPr="00126F7A" w:rsidP="00974664" w14:paraId="267B805E" w14:textId="77777777">
      <w:pPr>
        <w:widowControl/>
        <w:pBdr>
          <w:top w:val="nil"/>
          <w:left w:val="nil"/>
          <w:bottom w:val="nil"/>
          <w:right w:val="nil"/>
          <w:between w:val="nil"/>
        </w:pBdr>
      </w:pPr>
    </w:p>
    <w:p w:rsidR="00BD2A55" w:rsidP="00974664" w14:paraId="3CC7E574" w14:textId="77777777">
      <w:pPr>
        <w:keepNext/>
        <w:widowControl/>
        <w:numPr>
          <w:ilvl w:val="0"/>
          <w:numId w:val="3"/>
        </w:numPr>
        <w:pBdr>
          <w:top w:val="nil"/>
          <w:left w:val="nil"/>
          <w:bottom w:val="nil"/>
          <w:right w:val="nil"/>
          <w:between w:val="nil"/>
        </w:pBdr>
        <w:tabs>
          <w:tab w:val="left" w:pos="360"/>
        </w:tabs>
        <w:ind w:left="0" w:firstLine="0"/>
        <w:rPr>
          <w:b/>
          <w:color w:val="000000"/>
        </w:rPr>
      </w:pPr>
      <w:r>
        <w:rPr>
          <w:b/>
          <w:color w:val="000000"/>
        </w:rPr>
        <w:t>Explain any decision to provide any payment or gift to respondents, other than remuneration of contractors or grantees.</w:t>
      </w:r>
    </w:p>
    <w:p w:rsidR="00583859" w:rsidP="00974664" w14:paraId="567BB72B" w14:textId="77777777">
      <w:pPr>
        <w:keepNext/>
        <w:widowControl/>
      </w:pPr>
    </w:p>
    <w:p w:rsidR="00264851" w:rsidRPr="00264851" w:rsidP="00974664" w14:paraId="68127830" w14:textId="2E6AE90F">
      <w:pPr>
        <w:keepNext/>
        <w:widowControl/>
      </w:pPr>
      <w:r w:rsidRPr="0002236A">
        <w:t>No payment or gift</w:t>
      </w:r>
      <w:r>
        <w:t xml:space="preserve"> </w:t>
      </w:r>
      <w:r>
        <w:t>is provided</w:t>
      </w:r>
      <w:r>
        <w:t xml:space="preserve"> under this program.</w:t>
      </w:r>
    </w:p>
    <w:p w:rsidR="00264851" w:rsidRPr="00264851" w:rsidP="00974664" w14:paraId="08532952" w14:textId="77777777">
      <w:pPr>
        <w:widowControl/>
        <w:pBdr>
          <w:top w:val="nil"/>
          <w:left w:val="nil"/>
          <w:bottom w:val="nil"/>
          <w:right w:val="nil"/>
          <w:between w:val="nil"/>
        </w:pBdr>
      </w:pPr>
    </w:p>
    <w:p w:rsidR="00BD2A55" w:rsidP="00974664" w14:paraId="3ABEFE1A" w14:textId="01F11D19">
      <w:pPr>
        <w:widowControl/>
        <w:numPr>
          <w:ilvl w:val="0"/>
          <w:numId w:val="3"/>
        </w:numPr>
        <w:pBdr>
          <w:top w:val="nil"/>
          <w:left w:val="nil"/>
          <w:bottom w:val="nil"/>
          <w:right w:val="nil"/>
          <w:between w:val="nil"/>
        </w:pBdr>
        <w:tabs>
          <w:tab w:val="left" w:pos="360"/>
        </w:tabs>
        <w:ind w:left="0" w:firstLine="0"/>
        <w:rPr>
          <w:b/>
          <w:color w:val="000000"/>
        </w:rPr>
      </w:pPr>
      <w:r>
        <w:rPr>
          <w:b/>
          <w:color w:val="000000"/>
        </w:rPr>
        <w:t xml:space="preserve"> </w:t>
      </w:r>
      <w:r w:rsidR="00333FBA">
        <w:rPr>
          <w:b/>
          <w:color w:val="000000"/>
        </w:rPr>
        <w:t xml:space="preserve">Describe any assurance of confidentiality provided to respondents and the basis for the assurance in statute, regulation, or agency policy. If the collection requires a systems of records notice (SORN) or privacy impact assessment (PIA), those </w:t>
      </w:r>
      <w:r w:rsidR="00333FBA">
        <w:rPr>
          <w:b/>
          <w:color w:val="000000"/>
        </w:rPr>
        <w:t>should be cited and described here</w:t>
      </w:r>
      <w:r w:rsidR="00333FBA">
        <w:rPr>
          <w:b/>
          <w:color w:val="000000"/>
        </w:rPr>
        <w:t>.</w:t>
      </w:r>
    </w:p>
    <w:p w:rsidR="003C0E80" w:rsidRPr="003C0E80" w:rsidP="00974664" w14:paraId="26C5A784" w14:textId="31ED2D1B">
      <w:pPr>
        <w:widowControl/>
        <w:pBdr>
          <w:top w:val="nil"/>
          <w:left w:val="nil"/>
          <w:bottom w:val="nil"/>
          <w:right w:val="nil"/>
          <w:between w:val="nil"/>
        </w:pBdr>
      </w:pPr>
    </w:p>
    <w:p w:rsidR="004542C8" w:rsidRPr="00965325" w:rsidP="00974664" w14:paraId="55E6CF9B" w14:textId="77777777">
      <w:pPr>
        <w:keepNext/>
        <w:widowControl/>
      </w:pPr>
      <w:r w:rsidRPr="00015717">
        <w:t xml:space="preserve">All information collections by NMFS, Alaska Region, are protected under confidentiality provisions of section 402(b) of the Magnuson-Stevens Act as amended in 2006 (16 U.S.C. 1801, </w:t>
      </w:r>
      <w:r w:rsidRPr="00015717">
        <w:rPr>
          <w:i/>
        </w:rPr>
        <w:t>et seq</w:t>
      </w:r>
      <w:r w:rsidRPr="00015717">
        <w:t xml:space="preserve">.) and </w:t>
      </w:r>
      <w:r w:rsidRPr="00965325">
        <w:t>under</w:t>
      </w:r>
      <w:hyperlink r:id="rId33" w:history="1">
        <w:r w:rsidRPr="00965325">
          <w:rPr>
            <w:color w:val="0000FF"/>
            <w:u w:val="single"/>
          </w:rPr>
          <w:t xml:space="preserve"> NOAA Administrative Order 216-100</w:t>
        </w:r>
      </w:hyperlink>
      <w:r w:rsidRPr="00965325">
        <w:t>, which sets forth procedures to protect confidentiality of fishery statistics.</w:t>
      </w:r>
    </w:p>
    <w:p w:rsidR="004542C8" w:rsidRPr="00965325" w:rsidP="00974664" w14:paraId="12B75995" w14:textId="77777777">
      <w:pPr>
        <w:widowControl/>
        <w:autoSpaceDE w:val="0"/>
        <w:autoSpaceDN w:val="0"/>
        <w:adjustRightInd w:val="0"/>
      </w:pPr>
    </w:p>
    <w:p w:rsidR="004542C8" w:rsidRPr="0048104A" w:rsidP="00974664" w14:paraId="1EF46EAA" w14:textId="77777777">
      <w:pPr>
        <w:widowControl/>
        <w:autoSpaceDE w:val="0"/>
        <w:autoSpaceDN w:val="0"/>
        <w:adjustRightInd w:val="0"/>
      </w:pPr>
      <w:r w:rsidRPr="00965325">
        <w:t xml:space="preserve">The System of Records Notice that covers this information collection is </w:t>
      </w:r>
      <w:hyperlink r:id="rId34" w:history="1">
        <w:r w:rsidRPr="00965325">
          <w:rPr>
            <w:color w:val="0000FF"/>
            <w:u w:val="single"/>
          </w:rPr>
          <w:t>COMMERCE/NOAA-19, Permits and Registrations for United States Federally Regulated Fisheries</w:t>
        </w:r>
      </w:hyperlink>
      <w:r w:rsidRPr="00965325">
        <w:t xml:space="preserve">. An amended Privacy Act system of records notice was published in the </w:t>
      </w:r>
      <w:r w:rsidRPr="00965325">
        <w:rPr>
          <w:i/>
        </w:rPr>
        <w:t>Federal Register</w:t>
      </w:r>
      <w:r w:rsidRPr="00965325">
        <w:t xml:space="preserve"> on August 7, 2015 (80 FR 47457), and became effective September 15, 2015 (80 FR 55327</w:t>
      </w:r>
      <w:r w:rsidRPr="0048104A">
        <w:t xml:space="preserve">). </w:t>
      </w:r>
    </w:p>
    <w:p w:rsidR="004542C8" w:rsidRPr="00755168" w:rsidP="00974664" w14:paraId="224638D1" w14:textId="77777777">
      <w:pPr>
        <w:widowControl/>
        <w:autoSpaceDE w:val="0"/>
        <w:autoSpaceDN w:val="0"/>
        <w:rPr>
          <w:rFonts w:eastAsiaTheme="minorHAnsi"/>
          <w:color w:val="2F5496"/>
        </w:rPr>
      </w:pPr>
    </w:p>
    <w:p w:rsidR="004542C8" w:rsidRPr="00755168" w:rsidP="00974664" w14:paraId="7AFE6138" w14:textId="77777777">
      <w:pPr>
        <w:widowControl/>
        <w:autoSpaceDE w:val="0"/>
        <w:autoSpaceDN w:val="0"/>
        <w:rPr>
          <w:rFonts w:eastAsia="Arial"/>
          <w:lang w:bidi="en-US"/>
        </w:rPr>
      </w:pPr>
      <w:r w:rsidRPr="00755168">
        <w:rPr>
          <w:rFonts w:eastAsia="Arial"/>
          <w:lang w:bidi="en-US"/>
        </w:rPr>
        <w:t xml:space="preserve">The Privacy Impact Assessment that covers this information collection is </w:t>
      </w:r>
      <w:hyperlink r:id="rId35" w:history="1">
        <w:r w:rsidRPr="00755168">
          <w:rPr>
            <w:rFonts w:eastAsia="Arial"/>
            <w:color w:val="0000FF"/>
            <w:u w:val="single"/>
            <w:lang w:bidi="en-US"/>
          </w:rPr>
          <w:t>NOAA NMFS Alaska Region Local Area Network (NOAA4700)</w:t>
        </w:r>
      </w:hyperlink>
      <w:r w:rsidRPr="00755168">
        <w:rPr>
          <w:rFonts w:eastAsia="Arial"/>
          <w:lang w:bidi="en-US"/>
        </w:rPr>
        <w:t>.</w:t>
      </w:r>
    </w:p>
    <w:p w:rsidR="003C0E80" w:rsidRPr="003C0E80" w:rsidP="00974664" w14:paraId="57B690EE" w14:textId="019586A4">
      <w:pPr>
        <w:widowControl/>
        <w:pBdr>
          <w:top w:val="nil"/>
          <w:left w:val="nil"/>
          <w:bottom w:val="nil"/>
          <w:right w:val="nil"/>
          <w:between w:val="nil"/>
        </w:pBdr>
      </w:pPr>
    </w:p>
    <w:p w:rsidR="00BD2A55" w:rsidP="00974664" w14:paraId="11AC000E" w14:textId="133F2920">
      <w:pPr>
        <w:widowControl/>
        <w:numPr>
          <w:ilvl w:val="0"/>
          <w:numId w:val="3"/>
        </w:numPr>
        <w:pBdr>
          <w:top w:val="nil"/>
          <w:left w:val="nil"/>
          <w:bottom w:val="nil"/>
          <w:right w:val="nil"/>
          <w:between w:val="nil"/>
        </w:pBdr>
        <w:tabs>
          <w:tab w:val="left" w:pos="360"/>
        </w:tabs>
        <w:ind w:left="0" w:firstLine="0"/>
        <w:rPr>
          <w:b/>
          <w:color w:val="000000"/>
        </w:rPr>
      </w:pPr>
      <w:r>
        <w:rPr>
          <w:b/>
          <w:color w:val="000000"/>
        </w:rPr>
        <w:t xml:space="preserve"> </w:t>
      </w:r>
      <w:r w:rsidR="00333FBA">
        <w:rPr>
          <w:b/>
          <w:color w:val="000000"/>
        </w:rPr>
        <w:t xml:space="preserve">Provide additional justification for any questions of a sensitive nature, such as sexual behavior or attitudes, religious beliefs, and other matters that </w:t>
      </w:r>
      <w:r w:rsidR="00333FBA">
        <w:rPr>
          <w:b/>
          <w:color w:val="000000"/>
        </w:rPr>
        <w:t>are commonly considered</w:t>
      </w:r>
      <w:r w:rsidR="00333FBA">
        <w:rPr>
          <w:b/>
          <w:color w:val="000000"/>
        </w:rPr>
        <w:t xml:space="preserve"> private. This justification should include the reasons why the agency considers the questions necessary, the specific uses to be made of the information, the explanation to </w:t>
      </w:r>
      <w:r w:rsidR="00333FBA">
        <w:rPr>
          <w:b/>
          <w:color w:val="000000"/>
        </w:rPr>
        <w:t>be given</w:t>
      </w:r>
      <w:r w:rsidR="00333FBA">
        <w:rPr>
          <w:b/>
          <w:color w:val="000000"/>
        </w:rPr>
        <w:t xml:space="preserve"> to persons from whom the information is requested, and any steps to be taken to obtain their consent.</w:t>
      </w:r>
    </w:p>
    <w:p w:rsidR="003C0E80" w:rsidRPr="003C0E80" w:rsidP="00974664" w14:paraId="440C2D38" w14:textId="4BC7D3D4">
      <w:pPr>
        <w:widowControl/>
      </w:pPr>
    </w:p>
    <w:p w:rsidR="003C0E80" w:rsidP="00974664" w14:paraId="178CAAA5" w14:textId="7BF6D5AE">
      <w:pPr>
        <w:widowControl/>
      </w:pPr>
      <w:r w:rsidRPr="0043091D">
        <w:t>This information collection does not involve information of a sensitive nature.</w:t>
      </w:r>
    </w:p>
    <w:p w:rsidR="00B91524" w:rsidP="00974664" w14:paraId="4770638E" w14:textId="77777777">
      <w:pPr>
        <w:widowControl/>
        <w:rPr>
          <w:color w:val="2F5496"/>
        </w:rPr>
      </w:pPr>
    </w:p>
    <w:p w:rsidR="003C0E80" w:rsidP="00974664" w14:paraId="2C3EB104" w14:textId="77777777">
      <w:pPr>
        <w:widowControl/>
        <w:rPr>
          <w:color w:val="2F5496"/>
        </w:rPr>
        <w:sectPr w:rsidSect="00D86152">
          <w:pgSz w:w="12240" w:h="15840"/>
          <w:pgMar w:top="1440" w:right="1440" w:bottom="1440" w:left="1440" w:header="0" w:footer="1014" w:gutter="0"/>
          <w:cols w:space="720"/>
          <w:docGrid w:linePitch="326"/>
        </w:sectPr>
      </w:pPr>
    </w:p>
    <w:p w:rsidR="00BD2A55" w:rsidP="00974664" w14:paraId="011A23D2" w14:textId="4476094E">
      <w:pPr>
        <w:widowControl/>
        <w:numPr>
          <w:ilvl w:val="0"/>
          <w:numId w:val="3"/>
        </w:numPr>
        <w:pBdr>
          <w:top w:val="nil"/>
          <w:left w:val="nil"/>
          <w:bottom w:val="nil"/>
          <w:right w:val="nil"/>
          <w:between w:val="nil"/>
        </w:pBdr>
        <w:tabs>
          <w:tab w:val="left" w:pos="360"/>
        </w:tabs>
        <w:ind w:left="0" w:firstLine="0"/>
        <w:rPr>
          <w:b/>
          <w:color w:val="000000"/>
        </w:rPr>
      </w:pPr>
      <w:r>
        <w:rPr>
          <w:b/>
          <w:color w:val="000000"/>
        </w:rPr>
        <w:t xml:space="preserve"> </w:t>
      </w:r>
      <w:r w:rsidR="00333FBA">
        <w:rPr>
          <w:b/>
          <w:color w:val="000000"/>
        </w:rPr>
        <w:t>Provide estimates of the hour burden of the collection of information.</w:t>
      </w:r>
    </w:p>
    <w:p w:rsidR="00314422" w:rsidP="00314422" w14:paraId="2EE7B278" w14:textId="77777777">
      <w:pPr>
        <w:widowControl/>
      </w:pPr>
    </w:p>
    <w:p w:rsidR="009D0D42" w:rsidRPr="00314422" w:rsidP="00314422" w14:paraId="1B094C73" w14:textId="799AF72F">
      <w:pPr>
        <w:widowControl/>
      </w:pPr>
      <w:r w:rsidRPr="00314422">
        <w:t xml:space="preserve">The </w:t>
      </w:r>
      <w:r>
        <w:t xml:space="preserve">hourly </w:t>
      </w:r>
      <w:r w:rsidRPr="00314422">
        <w:t>wage rate has been updated to use the most current BLS hourly wage rate available (May 2021).</w:t>
      </w:r>
      <w:r>
        <w:t xml:space="preserve"> </w:t>
      </w:r>
      <w:r w:rsidRPr="00314422">
        <w:t xml:space="preserve">The </w:t>
      </w:r>
      <w:r>
        <w:t xml:space="preserve">hourly </w:t>
      </w:r>
      <w:r w:rsidRPr="00314422">
        <w:t xml:space="preserve">wage rate estimate of $21.15 </w:t>
      </w:r>
      <w:r>
        <w:t xml:space="preserve">is </w:t>
      </w:r>
      <w:r w:rsidRPr="00314422">
        <w:t xml:space="preserve">the U. S. Bureau of Labor Statistics (BLS) mean hourly wage for Alaska for Occupation Code 45-0000 (Farming, Fishing, and Forestry Occupations; </w:t>
      </w:r>
      <w:hyperlink r:id="rId36" w:history="1">
        <w:r w:rsidRPr="00CE5CD6">
          <w:rPr>
            <w:rStyle w:val="Hyperlink"/>
            <w:sz w:val="22"/>
            <w:szCs w:val="22"/>
          </w:rPr>
          <w:t>https://www.bls.gov/oes/current/oes_ak.htm#:~:text=1.5%25-,45%2D0000,5.7%25,-45%2D1011</w:t>
        </w:r>
      </w:hyperlink>
      <w:r w:rsidRPr="00314422">
        <w:t xml:space="preserve">). </w:t>
      </w:r>
    </w:p>
    <w:p w:rsidR="00314422" w:rsidRPr="00314422" w:rsidP="00314422" w14:paraId="3C7826A6" w14:textId="77777777">
      <w:pPr>
        <w:widowControl/>
      </w:pPr>
    </w:p>
    <w:tbl>
      <w:tblPr>
        <w:tblStyle w:val="6"/>
        <w:tblW w:w="13007" w:type="dxa"/>
        <w:tblInd w:w="-25" w:type="dxa"/>
        <w:tblLayout w:type="fixed"/>
        <w:tblLook w:val="0400"/>
      </w:tblPr>
      <w:tblGrid>
        <w:gridCol w:w="3213"/>
        <w:gridCol w:w="1572"/>
        <w:gridCol w:w="1530"/>
        <w:gridCol w:w="1080"/>
        <w:gridCol w:w="1146"/>
        <w:gridCol w:w="974"/>
        <w:gridCol w:w="1026"/>
        <w:gridCol w:w="1084"/>
        <w:gridCol w:w="1382"/>
      </w:tblGrid>
      <w:tr w14:paraId="64ED7F07" w14:textId="77777777" w:rsidTr="00775A1E">
        <w:tblPrEx>
          <w:tblW w:w="13007" w:type="dxa"/>
          <w:tblInd w:w="-25" w:type="dxa"/>
          <w:tblLayout w:type="fixed"/>
          <w:tblLook w:val="0400"/>
        </w:tblPrEx>
        <w:trPr>
          <w:trHeight w:val="1335"/>
        </w:trPr>
        <w:tc>
          <w:tcPr>
            <w:tcW w:w="3213"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BD2A55" w:rsidP="005A3188" w14:paraId="69BEB558"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Information Collection</w:t>
            </w:r>
          </w:p>
        </w:tc>
        <w:tc>
          <w:tcPr>
            <w:tcW w:w="1572" w:type="dxa"/>
            <w:tcBorders>
              <w:top w:val="single" w:sz="8" w:space="0" w:color="000000"/>
              <w:left w:val="nil"/>
              <w:bottom w:val="single" w:sz="8" w:space="0" w:color="000000"/>
              <w:right w:val="single" w:sz="8" w:space="0" w:color="000000"/>
            </w:tcBorders>
            <w:shd w:val="clear" w:color="auto" w:fill="BDD7EE"/>
            <w:vAlign w:val="center"/>
          </w:tcPr>
          <w:p w:rsidR="00BD2A55" w:rsidP="005A3188" w14:paraId="543FF36B"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Type of Respondent (e.g., Occupational Title)</w:t>
            </w:r>
          </w:p>
        </w:tc>
        <w:tc>
          <w:tcPr>
            <w:tcW w:w="1530" w:type="dxa"/>
            <w:tcBorders>
              <w:top w:val="single" w:sz="8" w:space="0" w:color="000000"/>
              <w:left w:val="nil"/>
              <w:bottom w:val="single" w:sz="8" w:space="0" w:color="000000"/>
              <w:right w:val="single" w:sz="8" w:space="0" w:color="000000"/>
            </w:tcBorders>
            <w:shd w:val="clear" w:color="auto" w:fill="BDD7EE"/>
            <w:vAlign w:val="center"/>
          </w:tcPr>
          <w:p w:rsidR="00BD2A55" w:rsidP="000D04B4" w14:paraId="346A32C7" w14:textId="47E62F9B">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of Respondents/year</w:t>
            </w:r>
          </w:p>
        </w:tc>
        <w:tc>
          <w:tcPr>
            <w:tcW w:w="1080" w:type="dxa"/>
            <w:tcBorders>
              <w:top w:val="single" w:sz="8" w:space="0" w:color="000000"/>
              <w:left w:val="nil"/>
              <w:bottom w:val="single" w:sz="8" w:space="0" w:color="000000"/>
              <w:right w:val="single" w:sz="8" w:space="0" w:color="000000"/>
            </w:tcBorders>
            <w:shd w:val="clear" w:color="auto" w:fill="BDD7EE"/>
            <w:vAlign w:val="center"/>
          </w:tcPr>
          <w:p w:rsidR="00BD2A55" w:rsidP="000D04B4" w14:paraId="692ACD23" w14:textId="54CD641E">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Ann</w:t>
            </w:r>
            <w:r w:rsidR="000D04B4">
              <w:rPr>
                <w:rFonts w:ascii="Calibri" w:eastAsia="Calibri" w:hAnsi="Calibri" w:cs="Calibri"/>
                <w:b/>
                <w:color w:val="000000"/>
                <w:sz w:val="16"/>
                <w:szCs w:val="16"/>
              </w:rPr>
              <w:t>ual # of Responses / Respondent</w:t>
            </w:r>
          </w:p>
        </w:tc>
        <w:tc>
          <w:tcPr>
            <w:tcW w:w="1146" w:type="dxa"/>
            <w:tcBorders>
              <w:top w:val="single" w:sz="8" w:space="0" w:color="000000"/>
              <w:left w:val="nil"/>
              <w:bottom w:val="single" w:sz="8" w:space="0" w:color="000000"/>
              <w:right w:val="single" w:sz="8" w:space="0" w:color="000000"/>
            </w:tcBorders>
            <w:shd w:val="clear" w:color="auto" w:fill="BDD7EE"/>
            <w:vAlign w:val="center"/>
          </w:tcPr>
          <w:p w:rsidR="00BD2A55" w:rsidP="000D04B4" w14:paraId="2A0CB78B" w14:textId="29B120DC">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 Total # of Annual Responses</w:t>
            </w:r>
          </w:p>
        </w:tc>
        <w:tc>
          <w:tcPr>
            <w:tcW w:w="974" w:type="dxa"/>
            <w:tcBorders>
              <w:top w:val="single" w:sz="8" w:space="0" w:color="000000"/>
              <w:left w:val="nil"/>
              <w:bottom w:val="single" w:sz="8" w:space="0" w:color="000000"/>
              <w:right w:val="single" w:sz="8" w:space="0" w:color="000000"/>
            </w:tcBorders>
            <w:shd w:val="clear" w:color="auto" w:fill="BDD7EE"/>
            <w:vAlign w:val="center"/>
          </w:tcPr>
          <w:p w:rsidR="00BD2A55" w:rsidP="005A3188" w14:paraId="44EA24B1" w14:textId="334BFE2B">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B</w:t>
            </w:r>
            <w:r w:rsidR="000D04B4">
              <w:rPr>
                <w:rFonts w:ascii="Calibri" w:eastAsia="Calibri" w:hAnsi="Calibri" w:cs="Calibri"/>
                <w:b/>
                <w:color w:val="000000"/>
                <w:sz w:val="16"/>
                <w:szCs w:val="16"/>
              </w:rPr>
              <w:t xml:space="preserve">urden </w:t>
            </w:r>
            <w:r w:rsidR="000D04B4">
              <w:rPr>
                <w:rFonts w:ascii="Calibri" w:eastAsia="Calibri" w:hAnsi="Calibri" w:cs="Calibri"/>
                <w:b/>
                <w:color w:val="000000"/>
                <w:sz w:val="16"/>
                <w:szCs w:val="16"/>
              </w:rPr>
              <w:t>Hrs</w:t>
            </w:r>
            <w:r w:rsidR="000D04B4">
              <w:rPr>
                <w:rFonts w:ascii="Calibri" w:eastAsia="Calibri" w:hAnsi="Calibri" w:cs="Calibri"/>
                <w:b/>
                <w:color w:val="000000"/>
                <w:sz w:val="16"/>
                <w:szCs w:val="16"/>
              </w:rPr>
              <w:t xml:space="preserve"> / Response</w:t>
            </w:r>
          </w:p>
        </w:tc>
        <w:tc>
          <w:tcPr>
            <w:tcW w:w="1026" w:type="dxa"/>
            <w:tcBorders>
              <w:top w:val="single" w:sz="8" w:space="0" w:color="000000"/>
              <w:left w:val="nil"/>
              <w:bottom w:val="single" w:sz="8" w:space="0" w:color="000000"/>
              <w:right w:val="single" w:sz="8" w:space="0" w:color="000000"/>
            </w:tcBorders>
            <w:shd w:val="clear" w:color="auto" w:fill="BDD7EE"/>
            <w:vAlign w:val="center"/>
          </w:tcPr>
          <w:p w:rsidR="00BD2A55" w:rsidP="000D04B4" w14:paraId="658E61EE" w14:textId="4DA7F32F">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Total Annual Burden </w:t>
            </w:r>
            <w:r>
              <w:rPr>
                <w:rFonts w:ascii="Calibri" w:eastAsia="Calibri" w:hAnsi="Calibri" w:cs="Calibri"/>
                <w:b/>
                <w:color w:val="000000"/>
                <w:sz w:val="16"/>
                <w:szCs w:val="16"/>
              </w:rPr>
              <w:t>Hrs</w:t>
            </w:r>
          </w:p>
        </w:tc>
        <w:tc>
          <w:tcPr>
            <w:tcW w:w="1084" w:type="dxa"/>
            <w:tcBorders>
              <w:top w:val="single" w:sz="8" w:space="0" w:color="000000"/>
              <w:left w:val="nil"/>
              <w:bottom w:val="single" w:sz="8" w:space="0" w:color="000000"/>
              <w:right w:val="single" w:sz="8" w:space="0" w:color="000000"/>
            </w:tcBorders>
            <w:shd w:val="clear" w:color="auto" w:fill="BDD7EE"/>
            <w:vAlign w:val="center"/>
          </w:tcPr>
          <w:p w:rsidR="00BD2A55" w:rsidP="00314422" w14:paraId="224FDA2E" w14:textId="40BBA4A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Hourly Wage Rate</w:t>
            </w:r>
            <w:r w:rsidR="000D04B4">
              <w:rPr>
                <w:rFonts w:ascii="Calibri" w:eastAsia="Calibri" w:hAnsi="Calibri" w:cs="Calibri"/>
                <w:b/>
                <w:color w:val="000000"/>
                <w:sz w:val="16"/>
                <w:szCs w:val="16"/>
              </w:rPr>
              <w:t xml:space="preserve">  (for Type of Respondent)</w:t>
            </w:r>
          </w:p>
        </w:tc>
        <w:tc>
          <w:tcPr>
            <w:tcW w:w="1382" w:type="dxa"/>
            <w:tcBorders>
              <w:top w:val="single" w:sz="8" w:space="0" w:color="000000"/>
              <w:left w:val="nil"/>
              <w:bottom w:val="single" w:sz="8" w:space="0" w:color="000000"/>
              <w:right w:val="single" w:sz="8" w:space="0" w:color="000000"/>
            </w:tcBorders>
            <w:shd w:val="clear" w:color="auto" w:fill="BDD7EE"/>
            <w:vAlign w:val="center"/>
          </w:tcPr>
          <w:p w:rsidR="00BD2A55" w:rsidP="000D04B4" w14:paraId="6C71CDB5" w14:textId="36887961">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Annual Wage Burden Costs</w:t>
            </w:r>
          </w:p>
        </w:tc>
      </w:tr>
      <w:tr w14:paraId="78019C7C" w14:textId="77777777" w:rsidTr="00B23B8D">
        <w:tblPrEx>
          <w:tblW w:w="13007" w:type="dxa"/>
          <w:tblInd w:w="-25" w:type="dxa"/>
          <w:tblLayout w:type="fixed"/>
          <w:tblLook w:val="0400"/>
        </w:tblPrEx>
        <w:trPr>
          <w:trHeight w:val="293"/>
        </w:trPr>
        <w:tc>
          <w:tcPr>
            <w:tcW w:w="3213" w:type="dxa"/>
            <w:tcBorders>
              <w:top w:val="nil"/>
              <w:left w:val="single" w:sz="8" w:space="0" w:color="000000"/>
              <w:bottom w:val="single" w:sz="4" w:space="0" w:color="000000"/>
              <w:right w:val="single" w:sz="4" w:space="0" w:color="000000"/>
            </w:tcBorders>
            <w:shd w:val="clear" w:color="auto" w:fill="auto"/>
            <w:vAlign w:val="center"/>
          </w:tcPr>
          <w:p w:rsidR="007F44AE" w:rsidRPr="00775A1E" w:rsidP="005A3188" w14:paraId="062F2D80" w14:textId="38678FA5">
            <w:pPr>
              <w:widowControl/>
              <w:rPr>
                <w:rFonts w:eastAsia="Calibri" w:asciiTheme="minorHAnsi" w:hAnsiTheme="minorHAnsi" w:cstheme="minorHAnsi"/>
                <w:color w:val="000000"/>
                <w:sz w:val="18"/>
                <w:szCs w:val="18"/>
              </w:rPr>
            </w:pPr>
            <w:r w:rsidRPr="00775A1E">
              <w:rPr>
                <w:rFonts w:asciiTheme="minorHAnsi" w:hAnsiTheme="minorHAnsi" w:cstheme="minorHAnsi"/>
                <w:sz w:val="18"/>
                <w:szCs w:val="18"/>
              </w:rPr>
              <w:t xml:space="preserve">Application for Nonprofit Corporation to be Designated as a CQE </w:t>
            </w:r>
          </w:p>
        </w:tc>
        <w:tc>
          <w:tcPr>
            <w:tcW w:w="1572" w:type="dxa"/>
            <w:tcBorders>
              <w:top w:val="nil"/>
              <w:left w:val="nil"/>
              <w:bottom w:val="single" w:sz="4" w:space="0" w:color="000000"/>
              <w:right w:val="single" w:sz="4" w:space="0" w:color="000000"/>
            </w:tcBorders>
            <w:shd w:val="clear" w:color="auto" w:fill="auto"/>
            <w:vAlign w:val="center"/>
          </w:tcPr>
          <w:p w:rsidR="007F44AE" w:rsidRPr="00775A1E" w:rsidP="00E16773" w14:paraId="5AF147F0" w14:textId="07E829F4">
            <w:pPr>
              <w:widowControl/>
              <w:jc w:val="center"/>
              <w:rPr>
                <w:rFonts w:ascii="Calibri" w:eastAsia="Calibri" w:hAnsi="Calibri" w:cs="Calibri"/>
                <w:color w:val="000000"/>
                <w:sz w:val="18"/>
                <w:szCs w:val="18"/>
              </w:rPr>
            </w:pPr>
            <w:r>
              <w:rPr>
                <w:rFonts w:ascii="Calibri" w:eastAsia="Calibri" w:hAnsi="Calibri" w:cs="Calibri"/>
                <w:color w:val="000000"/>
                <w:sz w:val="18"/>
                <w:szCs w:val="18"/>
              </w:rPr>
              <w:t>Non-profit representative</w:t>
            </w:r>
            <w:r w:rsidR="0038356E">
              <w:rPr>
                <w:rFonts w:ascii="Calibri" w:eastAsia="Calibri" w:hAnsi="Calibri" w:cs="Calibri"/>
                <w:color w:val="000000"/>
                <w:sz w:val="18"/>
                <w:szCs w:val="18"/>
              </w:rPr>
              <w:t>s</w:t>
            </w:r>
          </w:p>
        </w:tc>
        <w:tc>
          <w:tcPr>
            <w:tcW w:w="1530" w:type="dxa"/>
            <w:tcBorders>
              <w:top w:val="nil"/>
              <w:left w:val="nil"/>
              <w:bottom w:val="single" w:sz="4" w:space="0" w:color="000000"/>
              <w:right w:val="single" w:sz="4" w:space="0" w:color="000000"/>
            </w:tcBorders>
            <w:shd w:val="clear" w:color="auto" w:fill="auto"/>
            <w:vAlign w:val="center"/>
          </w:tcPr>
          <w:p w:rsidR="007F44AE" w:rsidRPr="00775A1E" w:rsidP="00D47555" w14:paraId="7561A41E" w14:textId="63E687B5">
            <w:pPr>
              <w:widowControl/>
              <w:jc w:val="center"/>
              <w:rPr>
                <w:rFonts w:ascii="Calibri" w:eastAsia="Calibri" w:hAnsi="Calibri" w:cs="Calibri"/>
                <w:color w:val="000000"/>
                <w:sz w:val="18"/>
                <w:szCs w:val="18"/>
              </w:rPr>
            </w:pPr>
            <w:r>
              <w:rPr>
                <w:rFonts w:ascii="Calibri" w:eastAsia="Calibri" w:hAnsi="Calibri" w:cs="Calibri"/>
                <w:color w:val="000000"/>
                <w:sz w:val="18"/>
                <w:szCs w:val="18"/>
              </w:rPr>
              <w:t>1</w:t>
            </w:r>
          </w:p>
        </w:tc>
        <w:tc>
          <w:tcPr>
            <w:tcW w:w="1080" w:type="dxa"/>
            <w:tcBorders>
              <w:top w:val="nil"/>
              <w:left w:val="nil"/>
              <w:bottom w:val="single" w:sz="4" w:space="0" w:color="000000"/>
              <w:right w:val="single" w:sz="4" w:space="0" w:color="000000"/>
            </w:tcBorders>
            <w:shd w:val="clear" w:color="auto" w:fill="auto"/>
            <w:vAlign w:val="center"/>
          </w:tcPr>
          <w:p w:rsidR="007F44AE" w:rsidRPr="00775A1E" w:rsidP="00D47555" w14:paraId="3DE1FC40" w14:textId="2FFBC601">
            <w:pPr>
              <w:widowControl/>
              <w:jc w:val="center"/>
              <w:rPr>
                <w:rFonts w:ascii="Calibri" w:eastAsia="Calibri" w:hAnsi="Calibri" w:cs="Calibri"/>
                <w:color w:val="000000"/>
                <w:sz w:val="18"/>
                <w:szCs w:val="18"/>
              </w:rPr>
            </w:pPr>
            <w:r w:rsidRPr="00775A1E">
              <w:rPr>
                <w:rFonts w:ascii="Calibri" w:eastAsia="Calibri" w:hAnsi="Calibri" w:cs="Calibri"/>
                <w:color w:val="000000"/>
                <w:sz w:val="18"/>
                <w:szCs w:val="18"/>
              </w:rPr>
              <w:t>1</w:t>
            </w:r>
          </w:p>
        </w:tc>
        <w:tc>
          <w:tcPr>
            <w:tcW w:w="1146" w:type="dxa"/>
            <w:tcBorders>
              <w:top w:val="nil"/>
              <w:left w:val="nil"/>
              <w:bottom w:val="single" w:sz="4" w:space="0" w:color="000000"/>
              <w:right w:val="single" w:sz="4" w:space="0" w:color="000000"/>
            </w:tcBorders>
            <w:shd w:val="clear" w:color="auto" w:fill="auto"/>
            <w:vAlign w:val="center"/>
          </w:tcPr>
          <w:p w:rsidR="007F44AE" w:rsidRPr="00775A1E" w:rsidP="00D47555" w14:paraId="2196E5B7" w14:textId="68E7D3FA">
            <w:pPr>
              <w:widowControl/>
              <w:jc w:val="center"/>
              <w:rPr>
                <w:rFonts w:ascii="Calibri" w:eastAsia="Calibri" w:hAnsi="Calibri" w:cs="Calibri"/>
                <w:color w:val="000000"/>
                <w:sz w:val="18"/>
                <w:szCs w:val="18"/>
              </w:rPr>
            </w:pPr>
            <w:r w:rsidRPr="00775A1E">
              <w:rPr>
                <w:rFonts w:ascii="Calibri" w:eastAsia="Calibri" w:hAnsi="Calibri" w:cs="Calibri"/>
                <w:color w:val="000000"/>
                <w:sz w:val="18"/>
                <w:szCs w:val="18"/>
              </w:rPr>
              <w:t>1</w:t>
            </w:r>
          </w:p>
        </w:tc>
        <w:tc>
          <w:tcPr>
            <w:tcW w:w="974" w:type="dxa"/>
            <w:tcBorders>
              <w:top w:val="nil"/>
              <w:left w:val="nil"/>
              <w:bottom w:val="single" w:sz="4" w:space="0" w:color="000000"/>
              <w:right w:val="single" w:sz="4" w:space="0" w:color="000000"/>
            </w:tcBorders>
            <w:shd w:val="clear" w:color="auto" w:fill="auto"/>
            <w:vAlign w:val="center"/>
          </w:tcPr>
          <w:p w:rsidR="007F44AE" w:rsidRPr="00775A1E" w:rsidP="00D47555" w14:paraId="34F75561" w14:textId="20BBFFD4">
            <w:pPr>
              <w:widowControl/>
              <w:jc w:val="center"/>
              <w:rPr>
                <w:rFonts w:ascii="Calibri" w:eastAsia="Calibri" w:hAnsi="Calibri" w:cs="Calibri"/>
                <w:color w:val="000000"/>
                <w:sz w:val="18"/>
                <w:szCs w:val="18"/>
              </w:rPr>
            </w:pPr>
            <w:r w:rsidRPr="00775A1E">
              <w:rPr>
                <w:rFonts w:ascii="Calibri" w:eastAsia="Calibri" w:hAnsi="Calibri" w:cs="Calibri"/>
                <w:color w:val="000000"/>
                <w:sz w:val="18"/>
                <w:szCs w:val="18"/>
              </w:rPr>
              <w:t xml:space="preserve">200 </w:t>
            </w:r>
            <w:r w:rsidRPr="00775A1E">
              <w:rPr>
                <w:rFonts w:ascii="Calibri" w:eastAsia="Calibri" w:hAnsi="Calibri" w:cs="Calibri"/>
                <w:color w:val="000000"/>
                <w:sz w:val="18"/>
                <w:szCs w:val="18"/>
              </w:rPr>
              <w:t>hrs</w:t>
            </w:r>
          </w:p>
        </w:tc>
        <w:tc>
          <w:tcPr>
            <w:tcW w:w="1026" w:type="dxa"/>
            <w:tcBorders>
              <w:top w:val="nil"/>
              <w:left w:val="nil"/>
              <w:bottom w:val="single" w:sz="4" w:space="0" w:color="000000"/>
              <w:right w:val="single" w:sz="4" w:space="0" w:color="000000"/>
            </w:tcBorders>
            <w:shd w:val="clear" w:color="auto" w:fill="auto"/>
            <w:vAlign w:val="center"/>
          </w:tcPr>
          <w:p w:rsidR="007F44AE" w:rsidRPr="00775A1E" w:rsidP="00D47555" w14:paraId="0F93310C" w14:textId="2069488E">
            <w:pPr>
              <w:widowControl/>
              <w:jc w:val="center"/>
              <w:rPr>
                <w:rFonts w:ascii="Calibri" w:eastAsia="Calibri" w:hAnsi="Calibri" w:cs="Calibri"/>
                <w:color w:val="000000"/>
                <w:sz w:val="18"/>
                <w:szCs w:val="18"/>
              </w:rPr>
            </w:pPr>
            <w:r>
              <w:rPr>
                <w:rFonts w:ascii="Calibri" w:eastAsia="Calibri" w:hAnsi="Calibri" w:cs="Calibri"/>
                <w:color w:val="000000"/>
                <w:sz w:val="18"/>
                <w:szCs w:val="18"/>
              </w:rPr>
              <w:t>200</w:t>
            </w:r>
          </w:p>
        </w:tc>
        <w:tc>
          <w:tcPr>
            <w:tcW w:w="1084" w:type="dxa"/>
            <w:tcBorders>
              <w:top w:val="nil"/>
              <w:left w:val="nil"/>
              <w:bottom w:val="single" w:sz="4" w:space="0" w:color="000000"/>
              <w:right w:val="single" w:sz="4" w:space="0" w:color="000000"/>
            </w:tcBorders>
            <w:shd w:val="clear" w:color="auto" w:fill="auto"/>
            <w:vAlign w:val="center"/>
          </w:tcPr>
          <w:p w:rsidR="007F44AE" w:rsidRPr="00775A1E" w:rsidP="00D47555" w14:paraId="1CCD65CA" w14:textId="3C71B574">
            <w:pPr>
              <w:widowControl/>
              <w:jc w:val="center"/>
              <w:rPr>
                <w:rFonts w:ascii="Calibri" w:eastAsia="Calibri" w:hAnsi="Calibri" w:cs="Calibri"/>
                <w:color w:val="000000"/>
                <w:sz w:val="18"/>
                <w:szCs w:val="18"/>
              </w:rPr>
            </w:pPr>
            <w:r w:rsidRPr="00775A1E">
              <w:rPr>
                <w:rFonts w:ascii="Calibri" w:eastAsia="Calibri" w:hAnsi="Calibri" w:cs="Calibri"/>
                <w:color w:val="000000"/>
                <w:sz w:val="18"/>
                <w:szCs w:val="18"/>
              </w:rPr>
              <w:t>150</w:t>
            </w:r>
            <w:r w:rsidRPr="00314422" w:rsidR="00314422">
              <w:rPr>
                <w:rFonts w:ascii="Calibri" w:eastAsia="Calibri" w:hAnsi="Calibri" w:cs="Calibri"/>
                <w:color w:val="000000"/>
                <w:sz w:val="18"/>
                <w:szCs w:val="18"/>
                <w:vertAlign w:val="superscript"/>
              </w:rPr>
              <w:t>1</w:t>
            </w:r>
          </w:p>
        </w:tc>
        <w:tc>
          <w:tcPr>
            <w:tcW w:w="1382" w:type="dxa"/>
            <w:tcBorders>
              <w:top w:val="nil"/>
              <w:left w:val="nil"/>
              <w:bottom w:val="single" w:sz="4" w:space="0" w:color="000000"/>
              <w:right w:val="single" w:sz="8" w:space="0" w:color="000000"/>
            </w:tcBorders>
            <w:shd w:val="clear" w:color="auto" w:fill="auto"/>
            <w:vAlign w:val="center"/>
          </w:tcPr>
          <w:p w:rsidR="007F44AE" w:rsidRPr="00775A1E" w:rsidP="00D47555" w14:paraId="0EC6B45A" w14:textId="06E26AE1">
            <w:pPr>
              <w:widowControl/>
              <w:jc w:val="center"/>
              <w:rPr>
                <w:rFonts w:ascii="Calibri" w:eastAsia="Calibri" w:hAnsi="Calibri" w:cs="Calibri"/>
                <w:color w:val="000000"/>
                <w:sz w:val="18"/>
                <w:szCs w:val="18"/>
              </w:rPr>
            </w:pPr>
            <w:r>
              <w:rPr>
                <w:rFonts w:ascii="Calibri" w:eastAsia="Calibri" w:hAnsi="Calibri" w:cs="Calibri"/>
                <w:color w:val="000000"/>
                <w:sz w:val="18"/>
                <w:szCs w:val="18"/>
              </w:rPr>
              <w:t>150</w:t>
            </w:r>
          </w:p>
        </w:tc>
      </w:tr>
      <w:tr w14:paraId="60D3BF70" w14:textId="77777777" w:rsidTr="00B23B8D">
        <w:tblPrEx>
          <w:tblW w:w="13007" w:type="dxa"/>
          <w:tblInd w:w="-25" w:type="dxa"/>
          <w:tblLayout w:type="fixed"/>
          <w:tblLook w:val="0400"/>
        </w:tblPrEx>
        <w:trPr>
          <w:trHeight w:val="293"/>
        </w:trPr>
        <w:tc>
          <w:tcPr>
            <w:tcW w:w="3213" w:type="dxa"/>
            <w:tcBorders>
              <w:top w:val="nil"/>
              <w:left w:val="single" w:sz="8" w:space="0" w:color="000000"/>
              <w:bottom w:val="single" w:sz="4" w:space="0" w:color="000000"/>
              <w:right w:val="single" w:sz="4" w:space="0" w:color="000000"/>
            </w:tcBorders>
            <w:shd w:val="clear" w:color="auto" w:fill="auto"/>
            <w:vAlign w:val="center"/>
          </w:tcPr>
          <w:p w:rsidR="007F44AE" w:rsidRPr="00775A1E" w:rsidP="005A3188" w14:paraId="70DD3F4C" w14:textId="7B5A2EC1">
            <w:pPr>
              <w:widowControl/>
              <w:rPr>
                <w:rFonts w:eastAsia="Calibri" w:asciiTheme="minorHAnsi" w:hAnsiTheme="minorHAnsi" w:cstheme="minorHAnsi"/>
                <w:color w:val="000000"/>
                <w:sz w:val="18"/>
                <w:szCs w:val="18"/>
              </w:rPr>
            </w:pPr>
            <w:r w:rsidRPr="00775A1E">
              <w:rPr>
                <w:rFonts w:asciiTheme="minorHAnsi" w:hAnsiTheme="minorHAnsi" w:cstheme="minorHAnsi"/>
                <w:sz w:val="18"/>
                <w:szCs w:val="18"/>
              </w:rPr>
              <w:t>CQE Annual Report</w:t>
            </w:r>
          </w:p>
        </w:tc>
        <w:tc>
          <w:tcPr>
            <w:tcW w:w="1572" w:type="dxa"/>
            <w:tcBorders>
              <w:top w:val="nil"/>
              <w:left w:val="nil"/>
              <w:bottom w:val="single" w:sz="4" w:space="0" w:color="000000"/>
              <w:right w:val="single" w:sz="4" w:space="0" w:color="000000"/>
            </w:tcBorders>
            <w:shd w:val="clear" w:color="auto" w:fill="auto"/>
            <w:vAlign w:val="center"/>
          </w:tcPr>
          <w:p w:rsidR="007F44AE" w:rsidRPr="00775A1E" w:rsidP="00775A1E" w14:paraId="72D2495B" w14:textId="04261D10">
            <w:pPr>
              <w:widowControl/>
              <w:jc w:val="center"/>
              <w:rPr>
                <w:rFonts w:ascii="Calibri" w:eastAsia="Calibri" w:hAnsi="Calibri" w:cs="Calibri"/>
                <w:color w:val="000000"/>
                <w:sz w:val="18"/>
                <w:szCs w:val="18"/>
              </w:rPr>
            </w:pPr>
            <w:r>
              <w:rPr>
                <w:rFonts w:ascii="Calibri" w:eastAsia="Calibri" w:hAnsi="Calibri" w:cs="Calibri"/>
                <w:color w:val="000000"/>
                <w:sz w:val="18"/>
                <w:szCs w:val="18"/>
              </w:rPr>
              <w:t>CQE representative</w:t>
            </w:r>
          </w:p>
        </w:tc>
        <w:tc>
          <w:tcPr>
            <w:tcW w:w="1530" w:type="dxa"/>
            <w:tcBorders>
              <w:top w:val="nil"/>
              <w:left w:val="nil"/>
              <w:bottom w:val="single" w:sz="4" w:space="0" w:color="000000"/>
              <w:right w:val="single" w:sz="4" w:space="0" w:color="000000"/>
            </w:tcBorders>
            <w:shd w:val="clear" w:color="auto" w:fill="auto"/>
            <w:vAlign w:val="center"/>
          </w:tcPr>
          <w:p w:rsidR="007F44AE" w:rsidRPr="00775A1E" w:rsidP="00D47555" w14:paraId="085526EA" w14:textId="61A439F5">
            <w:pPr>
              <w:widowControl/>
              <w:jc w:val="center"/>
              <w:rPr>
                <w:rFonts w:ascii="Calibri" w:eastAsia="Calibri" w:hAnsi="Calibri" w:cs="Calibri"/>
                <w:color w:val="000000"/>
                <w:sz w:val="18"/>
                <w:szCs w:val="18"/>
              </w:rPr>
            </w:pPr>
            <w:r>
              <w:rPr>
                <w:rFonts w:ascii="Calibri" w:eastAsia="Calibri" w:hAnsi="Calibri" w:cs="Calibri"/>
                <w:color w:val="000000"/>
                <w:sz w:val="18"/>
                <w:szCs w:val="18"/>
              </w:rPr>
              <w:t>27</w:t>
            </w:r>
          </w:p>
        </w:tc>
        <w:tc>
          <w:tcPr>
            <w:tcW w:w="1080" w:type="dxa"/>
            <w:tcBorders>
              <w:top w:val="nil"/>
              <w:left w:val="nil"/>
              <w:bottom w:val="single" w:sz="4" w:space="0" w:color="000000"/>
              <w:right w:val="single" w:sz="4" w:space="0" w:color="000000"/>
            </w:tcBorders>
            <w:shd w:val="clear" w:color="auto" w:fill="auto"/>
            <w:vAlign w:val="center"/>
          </w:tcPr>
          <w:p w:rsidR="007F44AE" w:rsidRPr="00775A1E" w:rsidP="00D47555" w14:paraId="45C2A66A" w14:textId="560A58A9">
            <w:pPr>
              <w:widowControl/>
              <w:jc w:val="center"/>
              <w:rPr>
                <w:rFonts w:ascii="Calibri" w:eastAsia="Calibri" w:hAnsi="Calibri" w:cs="Calibri"/>
                <w:color w:val="000000"/>
                <w:sz w:val="18"/>
                <w:szCs w:val="18"/>
              </w:rPr>
            </w:pPr>
            <w:r w:rsidRPr="00775A1E">
              <w:rPr>
                <w:rFonts w:ascii="Calibri" w:eastAsia="Calibri" w:hAnsi="Calibri" w:cs="Calibri"/>
                <w:color w:val="000000"/>
                <w:sz w:val="18"/>
                <w:szCs w:val="18"/>
              </w:rPr>
              <w:t>1</w:t>
            </w:r>
          </w:p>
        </w:tc>
        <w:tc>
          <w:tcPr>
            <w:tcW w:w="1146" w:type="dxa"/>
            <w:tcBorders>
              <w:top w:val="nil"/>
              <w:left w:val="nil"/>
              <w:bottom w:val="single" w:sz="4" w:space="0" w:color="000000"/>
              <w:right w:val="single" w:sz="4" w:space="0" w:color="000000"/>
            </w:tcBorders>
            <w:shd w:val="clear" w:color="auto" w:fill="auto"/>
            <w:vAlign w:val="center"/>
          </w:tcPr>
          <w:p w:rsidR="007F44AE" w:rsidRPr="00775A1E" w:rsidP="00D47555" w14:paraId="57770E51" w14:textId="4B3DDE51">
            <w:pPr>
              <w:widowControl/>
              <w:jc w:val="center"/>
              <w:rPr>
                <w:rFonts w:ascii="Calibri" w:eastAsia="Calibri" w:hAnsi="Calibri" w:cs="Calibri"/>
                <w:color w:val="000000"/>
                <w:sz w:val="18"/>
                <w:szCs w:val="18"/>
              </w:rPr>
            </w:pPr>
            <w:r>
              <w:rPr>
                <w:rFonts w:ascii="Calibri" w:eastAsia="Calibri" w:hAnsi="Calibri" w:cs="Calibri"/>
                <w:color w:val="000000"/>
                <w:sz w:val="18"/>
                <w:szCs w:val="18"/>
              </w:rPr>
              <w:t>27</w:t>
            </w:r>
          </w:p>
        </w:tc>
        <w:tc>
          <w:tcPr>
            <w:tcW w:w="974" w:type="dxa"/>
            <w:tcBorders>
              <w:top w:val="nil"/>
              <w:left w:val="nil"/>
              <w:bottom w:val="single" w:sz="4" w:space="0" w:color="000000"/>
              <w:right w:val="single" w:sz="4" w:space="0" w:color="000000"/>
            </w:tcBorders>
            <w:shd w:val="clear" w:color="auto" w:fill="auto"/>
            <w:vAlign w:val="center"/>
          </w:tcPr>
          <w:p w:rsidR="007F44AE" w:rsidRPr="00775A1E" w:rsidP="00D47555" w14:paraId="0D6D2327" w14:textId="7BCD5F8F">
            <w:pPr>
              <w:widowControl/>
              <w:jc w:val="center"/>
              <w:rPr>
                <w:rFonts w:ascii="Calibri" w:eastAsia="Calibri" w:hAnsi="Calibri" w:cs="Calibri"/>
                <w:color w:val="000000"/>
                <w:sz w:val="18"/>
                <w:szCs w:val="18"/>
              </w:rPr>
            </w:pPr>
            <w:r w:rsidRPr="00775A1E">
              <w:rPr>
                <w:rFonts w:ascii="Calibri" w:eastAsia="Calibri" w:hAnsi="Calibri" w:cs="Calibri"/>
                <w:color w:val="000000"/>
                <w:sz w:val="18"/>
                <w:szCs w:val="18"/>
              </w:rPr>
              <w:t xml:space="preserve">40 </w:t>
            </w:r>
            <w:r w:rsidRPr="00775A1E">
              <w:rPr>
                <w:rFonts w:ascii="Calibri" w:eastAsia="Calibri" w:hAnsi="Calibri" w:cs="Calibri"/>
                <w:color w:val="000000"/>
                <w:sz w:val="18"/>
                <w:szCs w:val="18"/>
              </w:rPr>
              <w:t>hrs</w:t>
            </w:r>
          </w:p>
        </w:tc>
        <w:tc>
          <w:tcPr>
            <w:tcW w:w="1026" w:type="dxa"/>
            <w:tcBorders>
              <w:top w:val="nil"/>
              <w:left w:val="nil"/>
              <w:bottom w:val="single" w:sz="4" w:space="0" w:color="000000"/>
              <w:right w:val="single" w:sz="4" w:space="0" w:color="000000"/>
            </w:tcBorders>
            <w:shd w:val="clear" w:color="auto" w:fill="auto"/>
            <w:vAlign w:val="center"/>
          </w:tcPr>
          <w:p w:rsidR="007F44AE" w:rsidRPr="00775A1E" w:rsidP="00D47555" w14:paraId="2EEA4DF6" w14:textId="757B8565">
            <w:pPr>
              <w:widowControl/>
              <w:jc w:val="center"/>
              <w:rPr>
                <w:rFonts w:ascii="Calibri" w:eastAsia="Calibri" w:hAnsi="Calibri" w:cs="Calibri"/>
                <w:color w:val="000000"/>
                <w:sz w:val="18"/>
                <w:szCs w:val="18"/>
              </w:rPr>
            </w:pPr>
            <w:r>
              <w:rPr>
                <w:rFonts w:ascii="Calibri" w:eastAsia="Calibri" w:hAnsi="Calibri" w:cs="Calibri"/>
                <w:color w:val="000000"/>
                <w:sz w:val="18"/>
                <w:szCs w:val="18"/>
              </w:rPr>
              <w:t>1,080</w:t>
            </w:r>
          </w:p>
        </w:tc>
        <w:tc>
          <w:tcPr>
            <w:tcW w:w="1084" w:type="dxa"/>
            <w:tcBorders>
              <w:top w:val="nil"/>
              <w:left w:val="nil"/>
              <w:bottom w:val="single" w:sz="4" w:space="0" w:color="000000"/>
              <w:right w:val="single" w:sz="4" w:space="0" w:color="000000"/>
            </w:tcBorders>
            <w:shd w:val="clear" w:color="auto" w:fill="auto"/>
            <w:vAlign w:val="center"/>
          </w:tcPr>
          <w:p w:rsidR="007F44AE" w:rsidRPr="00775A1E" w:rsidP="00D47555" w14:paraId="6DBD9215" w14:textId="4CA3626B">
            <w:pPr>
              <w:widowControl/>
              <w:jc w:val="center"/>
              <w:rPr>
                <w:rFonts w:ascii="Calibri" w:eastAsia="Calibri" w:hAnsi="Calibri" w:cs="Calibri"/>
                <w:color w:val="000000"/>
                <w:sz w:val="18"/>
                <w:szCs w:val="18"/>
              </w:rPr>
            </w:pPr>
            <w:r>
              <w:rPr>
                <w:rFonts w:ascii="Calibri" w:eastAsia="Calibri" w:hAnsi="Calibri" w:cs="Calibri"/>
                <w:color w:val="000000"/>
                <w:sz w:val="18"/>
                <w:szCs w:val="18"/>
              </w:rPr>
              <w:t>21.15</w:t>
            </w:r>
          </w:p>
        </w:tc>
        <w:tc>
          <w:tcPr>
            <w:tcW w:w="1382" w:type="dxa"/>
            <w:tcBorders>
              <w:top w:val="nil"/>
              <w:left w:val="nil"/>
              <w:bottom w:val="single" w:sz="4" w:space="0" w:color="000000"/>
              <w:right w:val="single" w:sz="8" w:space="0" w:color="000000"/>
            </w:tcBorders>
            <w:shd w:val="clear" w:color="auto" w:fill="auto"/>
            <w:vAlign w:val="center"/>
          </w:tcPr>
          <w:p w:rsidR="007F44AE" w:rsidRPr="00775A1E" w:rsidP="00D47555" w14:paraId="1C9A26EB" w14:textId="65A3ECB7">
            <w:pPr>
              <w:widowControl/>
              <w:jc w:val="center"/>
              <w:rPr>
                <w:rFonts w:ascii="Calibri" w:eastAsia="Calibri" w:hAnsi="Calibri" w:cs="Calibri"/>
                <w:color w:val="000000"/>
                <w:sz w:val="18"/>
                <w:szCs w:val="18"/>
              </w:rPr>
            </w:pPr>
            <w:r>
              <w:rPr>
                <w:rFonts w:ascii="Calibri" w:eastAsia="Calibri" w:hAnsi="Calibri" w:cs="Calibri"/>
                <w:color w:val="000000"/>
                <w:sz w:val="18"/>
                <w:szCs w:val="18"/>
              </w:rPr>
              <w:t>22,842</w:t>
            </w:r>
          </w:p>
        </w:tc>
      </w:tr>
      <w:tr w14:paraId="41CF2D98" w14:textId="77777777" w:rsidTr="00B23B8D">
        <w:tblPrEx>
          <w:tblW w:w="13007" w:type="dxa"/>
          <w:tblInd w:w="-25" w:type="dxa"/>
          <w:tblLayout w:type="fixed"/>
          <w:tblLook w:val="0400"/>
        </w:tblPrEx>
        <w:trPr>
          <w:trHeight w:val="293"/>
        </w:trPr>
        <w:tc>
          <w:tcPr>
            <w:tcW w:w="3213" w:type="dxa"/>
            <w:tcBorders>
              <w:top w:val="nil"/>
              <w:left w:val="single" w:sz="8" w:space="0" w:color="000000"/>
              <w:bottom w:val="single" w:sz="4" w:space="0" w:color="000000"/>
              <w:right w:val="single" w:sz="4" w:space="0" w:color="000000"/>
            </w:tcBorders>
            <w:shd w:val="clear" w:color="auto" w:fill="auto"/>
            <w:vAlign w:val="center"/>
          </w:tcPr>
          <w:p w:rsidR="00BD7B9D" w:rsidRPr="00775A1E" w:rsidP="00BD7B9D" w14:paraId="6BB29B50" w14:textId="509CD7B7">
            <w:pPr>
              <w:widowControl/>
              <w:rPr>
                <w:rFonts w:eastAsia="Calibri" w:asciiTheme="minorHAnsi" w:hAnsiTheme="minorHAnsi" w:cstheme="minorHAnsi"/>
                <w:color w:val="000000"/>
                <w:sz w:val="18"/>
                <w:szCs w:val="18"/>
              </w:rPr>
            </w:pPr>
            <w:r w:rsidRPr="00775A1E">
              <w:rPr>
                <w:rFonts w:asciiTheme="minorHAnsi" w:hAnsiTheme="minorHAnsi" w:cstheme="minorHAnsi"/>
                <w:sz w:val="18"/>
                <w:szCs w:val="18"/>
              </w:rPr>
              <w:t>Application for Transfer of Quota Share to or from a Community Quota Entity</w:t>
            </w:r>
          </w:p>
        </w:tc>
        <w:tc>
          <w:tcPr>
            <w:tcW w:w="1572" w:type="dxa"/>
            <w:tcBorders>
              <w:top w:val="nil"/>
              <w:left w:val="nil"/>
              <w:bottom w:val="single" w:sz="4" w:space="0" w:color="000000"/>
              <w:right w:val="single" w:sz="4" w:space="0" w:color="000000"/>
            </w:tcBorders>
            <w:shd w:val="clear" w:color="auto" w:fill="auto"/>
            <w:vAlign w:val="center"/>
          </w:tcPr>
          <w:p w:rsidR="00BD7B9D" w:rsidRPr="00BD7B9D" w:rsidP="00B23B8D" w14:paraId="3DFD321E" w14:textId="7C52783B">
            <w:pPr>
              <w:widowControl/>
              <w:jc w:val="center"/>
              <w:rPr>
                <w:rFonts w:eastAsia="Calibri" w:asciiTheme="minorHAnsi" w:hAnsiTheme="minorHAnsi" w:cstheme="minorHAnsi"/>
                <w:color w:val="000000"/>
                <w:sz w:val="18"/>
                <w:szCs w:val="18"/>
              </w:rPr>
            </w:pPr>
            <w:r w:rsidRPr="00BD7B9D">
              <w:rPr>
                <w:rFonts w:asciiTheme="minorHAnsi" w:hAnsiTheme="minorHAnsi" w:cstheme="minorHAnsi"/>
                <w:sz w:val="18"/>
                <w:szCs w:val="18"/>
              </w:rPr>
              <w:t xml:space="preserve">CQE representative and </w:t>
            </w:r>
            <w:r w:rsidR="00B23B8D">
              <w:rPr>
                <w:rFonts w:asciiTheme="minorHAnsi" w:hAnsiTheme="minorHAnsi" w:cstheme="minorHAnsi"/>
                <w:sz w:val="18"/>
                <w:szCs w:val="18"/>
              </w:rPr>
              <w:t>QS holder</w:t>
            </w:r>
          </w:p>
        </w:tc>
        <w:tc>
          <w:tcPr>
            <w:tcW w:w="1530" w:type="dxa"/>
            <w:tcBorders>
              <w:top w:val="nil"/>
              <w:left w:val="nil"/>
              <w:bottom w:val="single" w:sz="4" w:space="0" w:color="000000"/>
              <w:right w:val="single" w:sz="4" w:space="0" w:color="000000"/>
            </w:tcBorders>
            <w:shd w:val="clear" w:color="auto" w:fill="auto"/>
            <w:vAlign w:val="center"/>
          </w:tcPr>
          <w:p w:rsidR="00BD7B9D" w:rsidRPr="00775A1E" w:rsidP="00ED1ED1" w14:paraId="35786BA9" w14:textId="576F8969">
            <w:pPr>
              <w:widowControl/>
              <w:jc w:val="center"/>
              <w:rPr>
                <w:rFonts w:ascii="Calibri" w:eastAsia="Calibri" w:hAnsi="Calibri" w:cs="Calibri"/>
                <w:color w:val="000000"/>
                <w:sz w:val="18"/>
                <w:szCs w:val="18"/>
              </w:rPr>
            </w:pPr>
            <w:r>
              <w:rPr>
                <w:rFonts w:ascii="Calibri" w:eastAsia="Calibri" w:hAnsi="Calibri" w:cs="Calibri"/>
                <w:color w:val="000000"/>
                <w:sz w:val="18"/>
                <w:szCs w:val="18"/>
              </w:rPr>
              <w:t>34</w:t>
            </w:r>
            <w:r w:rsidR="00ED1ED1">
              <w:rPr>
                <w:rFonts w:ascii="Calibri" w:eastAsia="Calibri" w:hAnsi="Calibri" w:cs="Calibri"/>
                <w:color w:val="000000"/>
                <w:sz w:val="18"/>
                <w:szCs w:val="18"/>
                <w:vertAlign w:val="superscript"/>
              </w:rPr>
              <w:t>2</w:t>
            </w:r>
          </w:p>
        </w:tc>
        <w:tc>
          <w:tcPr>
            <w:tcW w:w="1080" w:type="dxa"/>
            <w:tcBorders>
              <w:top w:val="nil"/>
              <w:left w:val="nil"/>
              <w:bottom w:val="single" w:sz="4" w:space="0" w:color="000000"/>
              <w:right w:val="single" w:sz="4" w:space="0" w:color="000000"/>
            </w:tcBorders>
            <w:shd w:val="clear" w:color="auto" w:fill="auto"/>
            <w:vAlign w:val="center"/>
          </w:tcPr>
          <w:p w:rsidR="00BD7B9D" w:rsidRPr="00775A1E" w:rsidP="00D47555" w14:paraId="67C7062A" w14:textId="0143045F">
            <w:pPr>
              <w:widowControl/>
              <w:jc w:val="center"/>
              <w:rPr>
                <w:rFonts w:ascii="Calibri" w:eastAsia="Calibri" w:hAnsi="Calibri" w:cs="Calibri"/>
                <w:color w:val="000000"/>
                <w:sz w:val="18"/>
                <w:szCs w:val="18"/>
              </w:rPr>
            </w:pPr>
            <w:r w:rsidRPr="00775A1E">
              <w:rPr>
                <w:rFonts w:ascii="Calibri" w:eastAsia="Calibri" w:hAnsi="Calibri" w:cs="Calibri"/>
                <w:color w:val="000000"/>
                <w:sz w:val="18"/>
                <w:szCs w:val="18"/>
              </w:rPr>
              <w:t>1</w:t>
            </w:r>
          </w:p>
        </w:tc>
        <w:tc>
          <w:tcPr>
            <w:tcW w:w="1146" w:type="dxa"/>
            <w:tcBorders>
              <w:top w:val="nil"/>
              <w:left w:val="nil"/>
              <w:bottom w:val="single" w:sz="4" w:space="0" w:color="000000"/>
              <w:right w:val="single" w:sz="4" w:space="0" w:color="000000"/>
            </w:tcBorders>
            <w:shd w:val="clear" w:color="auto" w:fill="auto"/>
            <w:vAlign w:val="center"/>
          </w:tcPr>
          <w:p w:rsidR="00BD7B9D" w:rsidRPr="00B82880" w:rsidP="00D47555" w14:paraId="594455F1" w14:textId="5613F81D">
            <w:pPr>
              <w:widowControl/>
              <w:jc w:val="center"/>
              <w:rPr>
                <w:rFonts w:ascii="Calibri" w:eastAsia="Calibri" w:hAnsi="Calibri" w:cs="Calibri"/>
                <w:color w:val="000000"/>
                <w:sz w:val="18"/>
                <w:szCs w:val="18"/>
              </w:rPr>
            </w:pPr>
            <w:r w:rsidRPr="00B82880">
              <w:rPr>
                <w:rFonts w:ascii="Calibri" w:eastAsia="Calibri" w:hAnsi="Calibri" w:cs="Calibri"/>
                <w:color w:val="000000"/>
                <w:sz w:val="18"/>
                <w:szCs w:val="18"/>
              </w:rPr>
              <w:t>17</w:t>
            </w:r>
          </w:p>
        </w:tc>
        <w:tc>
          <w:tcPr>
            <w:tcW w:w="974" w:type="dxa"/>
            <w:tcBorders>
              <w:top w:val="nil"/>
              <w:left w:val="nil"/>
              <w:bottom w:val="single" w:sz="4" w:space="0" w:color="000000"/>
              <w:right w:val="single" w:sz="4" w:space="0" w:color="000000"/>
            </w:tcBorders>
            <w:shd w:val="clear" w:color="auto" w:fill="auto"/>
            <w:vAlign w:val="center"/>
          </w:tcPr>
          <w:p w:rsidR="00BD7B9D" w:rsidRPr="00775A1E" w:rsidP="00D47555" w14:paraId="2DA1F2D7" w14:textId="03AE090C">
            <w:pPr>
              <w:widowControl/>
              <w:jc w:val="center"/>
              <w:rPr>
                <w:rFonts w:ascii="Calibri" w:eastAsia="Calibri" w:hAnsi="Calibri" w:cs="Calibri"/>
                <w:color w:val="000000"/>
                <w:sz w:val="18"/>
                <w:szCs w:val="18"/>
              </w:rPr>
            </w:pPr>
            <w:r w:rsidRPr="00775A1E">
              <w:rPr>
                <w:rFonts w:ascii="Calibri" w:eastAsia="Calibri" w:hAnsi="Calibri" w:cs="Calibri"/>
                <w:color w:val="000000"/>
                <w:sz w:val="18"/>
                <w:szCs w:val="18"/>
              </w:rPr>
              <w:t xml:space="preserve">2 </w:t>
            </w:r>
            <w:r w:rsidRPr="00775A1E">
              <w:rPr>
                <w:rFonts w:ascii="Calibri" w:eastAsia="Calibri" w:hAnsi="Calibri" w:cs="Calibri"/>
                <w:color w:val="000000"/>
                <w:sz w:val="18"/>
                <w:szCs w:val="18"/>
              </w:rPr>
              <w:t>hrs</w:t>
            </w:r>
          </w:p>
        </w:tc>
        <w:tc>
          <w:tcPr>
            <w:tcW w:w="1026" w:type="dxa"/>
            <w:tcBorders>
              <w:top w:val="nil"/>
              <w:left w:val="nil"/>
              <w:bottom w:val="single" w:sz="4" w:space="0" w:color="000000"/>
              <w:right w:val="single" w:sz="4" w:space="0" w:color="000000"/>
            </w:tcBorders>
            <w:shd w:val="clear" w:color="auto" w:fill="auto"/>
            <w:vAlign w:val="center"/>
          </w:tcPr>
          <w:p w:rsidR="00BD7B9D" w:rsidRPr="00775A1E" w:rsidP="00D47555" w14:paraId="38EDF859" w14:textId="67AF341B">
            <w:pPr>
              <w:widowControl/>
              <w:jc w:val="center"/>
              <w:rPr>
                <w:rFonts w:ascii="Calibri" w:eastAsia="Calibri" w:hAnsi="Calibri" w:cs="Calibri"/>
                <w:color w:val="000000"/>
                <w:sz w:val="18"/>
                <w:szCs w:val="18"/>
              </w:rPr>
            </w:pPr>
            <w:r>
              <w:rPr>
                <w:rFonts w:ascii="Calibri" w:eastAsia="Calibri" w:hAnsi="Calibri" w:cs="Calibri"/>
                <w:color w:val="000000"/>
                <w:sz w:val="18"/>
                <w:szCs w:val="18"/>
              </w:rPr>
              <w:t>68</w:t>
            </w:r>
          </w:p>
        </w:tc>
        <w:tc>
          <w:tcPr>
            <w:tcW w:w="1084" w:type="dxa"/>
            <w:tcBorders>
              <w:top w:val="nil"/>
              <w:left w:val="nil"/>
              <w:bottom w:val="single" w:sz="4" w:space="0" w:color="000000"/>
              <w:right w:val="single" w:sz="4" w:space="0" w:color="000000"/>
            </w:tcBorders>
            <w:shd w:val="clear" w:color="auto" w:fill="auto"/>
            <w:vAlign w:val="center"/>
          </w:tcPr>
          <w:p w:rsidR="00BD7B9D" w:rsidRPr="00775A1E" w:rsidP="00D47555" w14:paraId="1C5D4ACC" w14:textId="58FDD478">
            <w:pPr>
              <w:widowControl/>
              <w:jc w:val="center"/>
              <w:rPr>
                <w:rFonts w:ascii="Calibri" w:eastAsia="Calibri" w:hAnsi="Calibri" w:cs="Calibri"/>
                <w:color w:val="000000"/>
                <w:sz w:val="18"/>
                <w:szCs w:val="18"/>
              </w:rPr>
            </w:pPr>
            <w:r>
              <w:rPr>
                <w:rFonts w:asciiTheme="minorHAnsi" w:hAnsiTheme="minorHAnsi" w:cstheme="minorHAnsi"/>
                <w:color w:val="000000"/>
                <w:sz w:val="18"/>
                <w:szCs w:val="18"/>
              </w:rPr>
              <w:t>21.15</w:t>
            </w:r>
          </w:p>
        </w:tc>
        <w:tc>
          <w:tcPr>
            <w:tcW w:w="1382" w:type="dxa"/>
            <w:tcBorders>
              <w:top w:val="nil"/>
              <w:left w:val="nil"/>
              <w:bottom w:val="single" w:sz="4" w:space="0" w:color="000000"/>
              <w:right w:val="single" w:sz="8" w:space="0" w:color="000000"/>
            </w:tcBorders>
            <w:shd w:val="clear" w:color="auto" w:fill="auto"/>
            <w:vAlign w:val="center"/>
          </w:tcPr>
          <w:p w:rsidR="00BD7B9D" w:rsidRPr="00775A1E" w:rsidP="00D47555" w14:paraId="420B2D21" w14:textId="74C40CFD">
            <w:pPr>
              <w:widowControl/>
              <w:jc w:val="center"/>
              <w:rPr>
                <w:rFonts w:ascii="Calibri" w:eastAsia="Calibri" w:hAnsi="Calibri" w:cs="Calibri"/>
                <w:color w:val="000000"/>
                <w:sz w:val="18"/>
                <w:szCs w:val="18"/>
              </w:rPr>
            </w:pPr>
            <w:r>
              <w:rPr>
                <w:rFonts w:ascii="Calibri" w:eastAsia="Calibri" w:hAnsi="Calibri" w:cs="Calibri"/>
                <w:color w:val="000000"/>
                <w:sz w:val="18"/>
                <w:szCs w:val="18"/>
              </w:rPr>
              <w:t>1,438</w:t>
            </w:r>
          </w:p>
        </w:tc>
      </w:tr>
      <w:tr w14:paraId="49FB0FAA" w14:textId="77777777" w:rsidTr="00B23B8D">
        <w:tblPrEx>
          <w:tblW w:w="13007" w:type="dxa"/>
          <w:tblInd w:w="-25" w:type="dxa"/>
          <w:tblLayout w:type="fixed"/>
          <w:tblLook w:val="0400"/>
        </w:tblPrEx>
        <w:trPr>
          <w:trHeight w:val="293"/>
        </w:trPr>
        <w:tc>
          <w:tcPr>
            <w:tcW w:w="3213" w:type="dxa"/>
            <w:tcBorders>
              <w:top w:val="nil"/>
              <w:left w:val="single" w:sz="8" w:space="0" w:color="000000"/>
              <w:bottom w:val="single" w:sz="4" w:space="0" w:color="000000"/>
              <w:right w:val="single" w:sz="4" w:space="0" w:color="000000"/>
            </w:tcBorders>
            <w:shd w:val="clear" w:color="auto" w:fill="auto"/>
            <w:vAlign w:val="center"/>
          </w:tcPr>
          <w:p w:rsidR="00BD7B9D" w:rsidRPr="00775A1E" w:rsidP="00BD7B9D" w14:paraId="4414FB8E" w14:textId="2C0C5675">
            <w:pPr>
              <w:widowControl/>
              <w:rPr>
                <w:rFonts w:eastAsia="Calibri" w:asciiTheme="minorHAnsi" w:hAnsiTheme="minorHAnsi" w:cstheme="minorHAnsi"/>
                <w:color w:val="000000"/>
                <w:sz w:val="18"/>
                <w:szCs w:val="18"/>
              </w:rPr>
            </w:pPr>
            <w:r w:rsidRPr="00775A1E">
              <w:rPr>
                <w:rFonts w:asciiTheme="minorHAnsi" w:hAnsiTheme="minorHAnsi" w:cstheme="minorHAnsi"/>
                <w:sz w:val="18"/>
                <w:szCs w:val="18"/>
              </w:rPr>
              <w:t>Application for a CQE to Transfer IFQ to an Eligible Community Resident or Non-resident</w:t>
            </w:r>
          </w:p>
        </w:tc>
        <w:tc>
          <w:tcPr>
            <w:tcW w:w="1572" w:type="dxa"/>
            <w:tcBorders>
              <w:top w:val="nil"/>
              <w:left w:val="nil"/>
              <w:bottom w:val="single" w:sz="4" w:space="0" w:color="000000"/>
              <w:right w:val="single" w:sz="4" w:space="0" w:color="000000"/>
            </w:tcBorders>
            <w:shd w:val="clear" w:color="auto" w:fill="auto"/>
            <w:vAlign w:val="center"/>
          </w:tcPr>
          <w:p w:rsidR="00BD7B9D" w:rsidRPr="00BD7B9D" w:rsidP="00B23B8D" w14:paraId="74036088" w14:textId="5C587B5B">
            <w:pPr>
              <w:widowControl/>
              <w:jc w:val="center"/>
              <w:rPr>
                <w:rFonts w:eastAsia="Calibri" w:asciiTheme="minorHAnsi" w:hAnsiTheme="minorHAnsi" w:cstheme="minorHAnsi"/>
                <w:color w:val="000000"/>
                <w:sz w:val="18"/>
                <w:szCs w:val="18"/>
              </w:rPr>
            </w:pPr>
            <w:r w:rsidRPr="00BD7B9D">
              <w:rPr>
                <w:rFonts w:asciiTheme="minorHAnsi" w:hAnsiTheme="minorHAnsi" w:cstheme="minorHAnsi"/>
                <w:sz w:val="18"/>
                <w:szCs w:val="18"/>
              </w:rPr>
              <w:t xml:space="preserve">CQE representative and </w:t>
            </w:r>
            <w:r w:rsidR="00B23B8D">
              <w:rPr>
                <w:rFonts w:asciiTheme="minorHAnsi" w:hAnsiTheme="minorHAnsi" w:cstheme="minorHAnsi"/>
                <w:sz w:val="18"/>
                <w:szCs w:val="18"/>
              </w:rPr>
              <w:t>transferee</w:t>
            </w:r>
          </w:p>
        </w:tc>
        <w:tc>
          <w:tcPr>
            <w:tcW w:w="1530" w:type="dxa"/>
            <w:tcBorders>
              <w:top w:val="nil"/>
              <w:left w:val="nil"/>
              <w:bottom w:val="single" w:sz="4" w:space="0" w:color="000000"/>
              <w:right w:val="single" w:sz="4" w:space="0" w:color="000000"/>
            </w:tcBorders>
            <w:shd w:val="clear" w:color="auto" w:fill="auto"/>
            <w:vAlign w:val="center"/>
          </w:tcPr>
          <w:p w:rsidR="00BD7B9D" w:rsidRPr="00775A1E" w:rsidP="00ED1ED1" w14:paraId="409B3B77" w14:textId="000BF0E5">
            <w:pPr>
              <w:widowControl/>
              <w:jc w:val="center"/>
              <w:rPr>
                <w:rFonts w:ascii="Calibri" w:eastAsia="Calibri" w:hAnsi="Calibri" w:cs="Calibri"/>
                <w:color w:val="000000"/>
                <w:sz w:val="18"/>
                <w:szCs w:val="18"/>
              </w:rPr>
            </w:pPr>
            <w:r>
              <w:rPr>
                <w:rFonts w:ascii="Calibri" w:eastAsia="Calibri" w:hAnsi="Calibri" w:cs="Calibri"/>
                <w:color w:val="000000"/>
                <w:sz w:val="18"/>
                <w:szCs w:val="18"/>
              </w:rPr>
              <w:t>8</w:t>
            </w:r>
            <w:r w:rsidR="00ED1ED1">
              <w:rPr>
                <w:rFonts w:ascii="Calibri" w:eastAsia="Calibri" w:hAnsi="Calibri" w:cs="Calibri"/>
                <w:color w:val="000000"/>
                <w:sz w:val="18"/>
                <w:szCs w:val="18"/>
                <w:vertAlign w:val="superscript"/>
              </w:rPr>
              <w:t>2</w:t>
            </w:r>
          </w:p>
        </w:tc>
        <w:tc>
          <w:tcPr>
            <w:tcW w:w="1080" w:type="dxa"/>
            <w:tcBorders>
              <w:top w:val="nil"/>
              <w:left w:val="nil"/>
              <w:bottom w:val="single" w:sz="4" w:space="0" w:color="000000"/>
              <w:right w:val="single" w:sz="4" w:space="0" w:color="000000"/>
            </w:tcBorders>
            <w:shd w:val="clear" w:color="auto" w:fill="auto"/>
            <w:vAlign w:val="center"/>
          </w:tcPr>
          <w:p w:rsidR="00BD7B9D" w:rsidRPr="00775A1E" w:rsidP="00D47555" w14:paraId="1E451A07" w14:textId="7E83004F">
            <w:pPr>
              <w:widowControl/>
              <w:jc w:val="center"/>
              <w:rPr>
                <w:rFonts w:ascii="Calibri" w:eastAsia="Calibri" w:hAnsi="Calibri" w:cs="Calibri"/>
                <w:color w:val="000000"/>
                <w:sz w:val="18"/>
                <w:szCs w:val="18"/>
              </w:rPr>
            </w:pPr>
            <w:r w:rsidRPr="00775A1E">
              <w:rPr>
                <w:rFonts w:ascii="Calibri" w:eastAsia="Calibri" w:hAnsi="Calibri" w:cs="Calibri"/>
                <w:color w:val="000000"/>
                <w:sz w:val="18"/>
                <w:szCs w:val="18"/>
              </w:rPr>
              <w:t>1</w:t>
            </w:r>
          </w:p>
        </w:tc>
        <w:tc>
          <w:tcPr>
            <w:tcW w:w="1146" w:type="dxa"/>
            <w:tcBorders>
              <w:top w:val="nil"/>
              <w:left w:val="nil"/>
              <w:bottom w:val="single" w:sz="4" w:space="0" w:color="000000"/>
              <w:right w:val="single" w:sz="4" w:space="0" w:color="000000"/>
            </w:tcBorders>
            <w:shd w:val="clear" w:color="auto" w:fill="auto"/>
            <w:vAlign w:val="center"/>
          </w:tcPr>
          <w:p w:rsidR="00BD7B9D" w:rsidRPr="00B82880" w:rsidP="00D47555" w14:paraId="5C043131" w14:textId="50F4E25C">
            <w:pPr>
              <w:widowControl/>
              <w:jc w:val="center"/>
              <w:rPr>
                <w:rFonts w:ascii="Calibri" w:eastAsia="Calibri" w:hAnsi="Calibri" w:cs="Calibri"/>
                <w:color w:val="000000"/>
                <w:sz w:val="18"/>
                <w:szCs w:val="18"/>
              </w:rPr>
            </w:pPr>
            <w:r w:rsidRPr="00B82880">
              <w:rPr>
                <w:rFonts w:ascii="Calibri" w:eastAsia="Calibri" w:hAnsi="Calibri" w:cs="Calibri"/>
                <w:color w:val="000000"/>
                <w:sz w:val="18"/>
                <w:szCs w:val="18"/>
              </w:rPr>
              <w:t>4</w:t>
            </w:r>
          </w:p>
        </w:tc>
        <w:tc>
          <w:tcPr>
            <w:tcW w:w="974" w:type="dxa"/>
            <w:tcBorders>
              <w:top w:val="nil"/>
              <w:left w:val="nil"/>
              <w:bottom w:val="single" w:sz="4" w:space="0" w:color="000000"/>
              <w:right w:val="single" w:sz="4" w:space="0" w:color="000000"/>
            </w:tcBorders>
            <w:shd w:val="clear" w:color="auto" w:fill="auto"/>
            <w:vAlign w:val="center"/>
          </w:tcPr>
          <w:p w:rsidR="00BD7B9D" w:rsidRPr="00775A1E" w:rsidP="00D47555" w14:paraId="27E01CEA" w14:textId="75293638">
            <w:pPr>
              <w:widowControl/>
              <w:jc w:val="center"/>
              <w:rPr>
                <w:rFonts w:ascii="Calibri" w:eastAsia="Calibri" w:hAnsi="Calibri" w:cs="Calibri"/>
                <w:color w:val="000000"/>
                <w:sz w:val="18"/>
                <w:szCs w:val="18"/>
              </w:rPr>
            </w:pPr>
            <w:r w:rsidRPr="00775A1E">
              <w:rPr>
                <w:rFonts w:ascii="Calibri" w:eastAsia="Calibri" w:hAnsi="Calibri" w:cs="Calibri"/>
                <w:color w:val="000000"/>
                <w:sz w:val="18"/>
                <w:szCs w:val="18"/>
              </w:rPr>
              <w:t xml:space="preserve">2 </w:t>
            </w:r>
            <w:r w:rsidRPr="00775A1E">
              <w:rPr>
                <w:rFonts w:ascii="Calibri" w:eastAsia="Calibri" w:hAnsi="Calibri" w:cs="Calibri"/>
                <w:color w:val="000000"/>
                <w:sz w:val="18"/>
                <w:szCs w:val="18"/>
              </w:rPr>
              <w:t>hrs</w:t>
            </w:r>
          </w:p>
        </w:tc>
        <w:tc>
          <w:tcPr>
            <w:tcW w:w="1026" w:type="dxa"/>
            <w:tcBorders>
              <w:top w:val="nil"/>
              <w:left w:val="nil"/>
              <w:bottom w:val="single" w:sz="4" w:space="0" w:color="000000"/>
              <w:right w:val="single" w:sz="4" w:space="0" w:color="000000"/>
            </w:tcBorders>
            <w:shd w:val="clear" w:color="auto" w:fill="auto"/>
            <w:vAlign w:val="center"/>
          </w:tcPr>
          <w:p w:rsidR="00BD7B9D" w:rsidRPr="00775A1E" w:rsidP="00D47555" w14:paraId="5BC1F700" w14:textId="6A9EF424">
            <w:pPr>
              <w:widowControl/>
              <w:jc w:val="center"/>
              <w:rPr>
                <w:rFonts w:ascii="Calibri" w:eastAsia="Calibri" w:hAnsi="Calibri" w:cs="Calibri"/>
                <w:color w:val="000000"/>
                <w:sz w:val="18"/>
                <w:szCs w:val="18"/>
              </w:rPr>
            </w:pPr>
            <w:r>
              <w:rPr>
                <w:rFonts w:ascii="Calibri" w:eastAsia="Calibri" w:hAnsi="Calibri" w:cs="Calibri"/>
                <w:color w:val="000000"/>
                <w:sz w:val="18"/>
                <w:szCs w:val="18"/>
              </w:rPr>
              <w:t>16</w:t>
            </w:r>
          </w:p>
        </w:tc>
        <w:tc>
          <w:tcPr>
            <w:tcW w:w="1084" w:type="dxa"/>
            <w:tcBorders>
              <w:top w:val="nil"/>
              <w:left w:val="nil"/>
              <w:bottom w:val="single" w:sz="4" w:space="0" w:color="000000"/>
              <w:right w:val="single" w:sz="4" w:space="0" w:color="000000"/>
            </w:tcBorders>
            <w:shd w:val="clear" w:color="auto" w:fill="auto"/>
            <w:vAlign w:val="center"/>
          </w:tcPr>
          <w:p w:rsidR="00BD7B9D" w:rsidRPr="00775A1E" w:rsidP="00D47555" w14:paraId="3B2DAB78" w14:textId="271C467D">
            <w:pPr>
              <w:widowControl/>
              <w:jc w:val="center"/>
              <w:rPr>
                <w:rFonts w:ascii="Calibri" w:eastAsia="Calibri" w:hAnsi="Calibri" w:cs="Calibri"/>
                <w:color w:val="000000"/>
                <w:sz w:val="18"/>
                <w:szCs w:val="18"/>
              </w:rPr>
            </w:pPr>
            <w:r>
              <w:rPr>
                <w:rFonts w:asciiTheme="minorHAnsi" w:hAnsiTheme="minorHAnsi" w:cstheme="minorHAnsi"/>
                <w:color w:val="000000"/>
                <w:sz w:val="18"/>
                <w:szCs w:val="18"/>
              </w:rPr>
              <w:t>21.15</w:t>
            </w:r>
          </w:p>
        </w:tc>
        <w:tc>
          <w:tcPr>
            <w:tcW w:w="1382" w:type="dxa"/>
            <w:tcBorders>
              <w:top w:val="nil"/>
              <w:left w:val="nil"/>
              <w:bottom w:val="single" w:sz="4" w:space="0" w:color="000000"/>
              <w:right w:val="single" w:sz="8" w:space="0" w:color="000000"/>
            </w:tcBorders>
            <w:shd w:val="clear" w:color="auto" w:fill="auto"/>
            <w:vAlign w:val="center"/>
          </w:tcPr>
          <w:p w:rsidR="00BD7B9D" w:rsidRPr="00775A1E" w:rsidP="00D47555" w14:paraId="6217E6B8" w14:textId="09E18BC8">
            <w:pPr>
              <w:widowControl/>
              <w:jc w:val="center"/>
              <w:rPr>
                <w:rFonts w:ascii="Calibri" w:eastAsia="Calibri" w:hAnsi="Calibri" w:cs="Calibri"/>
                <w:color w:val="000000"/>
                <w:sz w:val="18"/>
                <w:szCs w:val="18"/>
              </w:rPr>
            </w:pPr>
            <w:r>
              <w:rPr>
                <w:rFonts w:ascii="Calibri" w:eastAsia="Calibri" w:hAnsi="Calibri" w:cs="Calibri"/>
                <w:color w:val="000000"/>
                <w:sz w:val="18"/>
                <w:szCs w:val="18"/>
              </w:rPr>
              <w:t>338</w:t>
            </w:r>
          </w:p>
        </w:tc>
      </w:tr>
      <w:tr w14:paraId="41999355" w14:textId="77777777" w:rsidTr="00B23B8D">
        <w:tblPrEx>
          <w:tblW w:w="13007" w:type="dxa"/>
          <w:tblInd w:w="-25" w:type="dxa"/>
          <w:tblLayout w:type="fixed"/>
          <w:tblLook w:val="0400"/>
        </w:tblPrEx>
        <w:trPr>
          <w:trHeight w:val="293"/>
        </w:trPr>
        <w:tc>
          <w:tcPr>
            <w:tcW w:w="3213" w:type="dxa"/>
            <w:tcBorders>
              <w:top w:val="nil"/>
              <w:left w:val="single" w:sz="8" w:space="0" w:color="000000"/>
              <w:bottom w:val="single" w:sz="4" w:space="0" w:color="000000"/>
              <w:right w:val="single" w:sz="4" w:space="0" w:color="000000"/>
            </w:tcBorders>
            <w:shd w:val="clear" w:color="auto" w:fill="auto"/>
            <w:vAlign w:val="center"/>
          </w:tcPr>
          <w:p w:rsidR="00BD7B9D" w:rsidRPr="00775A1E" w:rsidP="00BD7B9D" w14:paraId="3F94B909" w14:textId="705D8B36">
            <w:pPr>
              <w:widowControl/>
              <w:rPr>
                <w:rFonts w:eastAsia="Calibri" w:asciiTheme="minorHAnsi" w:hAnsiTheme="minorHAnsi" w:cstheme="minorHAnsi"/>
                <w:color w:val="000000"/>
                <w:sz w:val="18"/>
                <w:szCs w:val="18"/>
              </w:rPr>
            </w:pPr>
            <w:r w:rsidRPr="00775A1E">
              <w:rPr>
                <w:rFonts w:asciiTheme="minorHAnsi" w:hAnsiTheme="minorHAnsi" w:cstheme="minorHAnsi"/>
                <w:sz w:val="18"/>
                <w:szCs w:val="18"/>
              </w:rPr>
              <w:t>Application for Transfer (Lease) Between IFQ and Guided Angler Fish by a Community Quota Entity (CQE)</w:t>
            </w:r>
          </w:p>
        </w:tc>
        <w:tc>
          <w:tcPr>
            <w:tcW w:w="1572" w:type="dxa"/>
            <w:tcBorders>
              <w:top w:val="nil"/>
              <w:left w:val="nil"/>
              <w:bottom w:val="single" w:sz="4" w:space="0" w:color="000000"/>
              <w:right w:val="single" w:sz="4" w:space="0" w:color="000000"/>
            </w:tcBorders>
            <w:shd w:val="clear" w:color="auto" w:fill="auto"/>
            <w:vAlign w:val="center"/>
          </w:tcPr>
          <w:p w:rsidR="00BD7B9D" w:rsidRPr="00BD7B9D" w:rsidP="00B23B8D" w14:paraId="478B64A9" w14:textId="6527BCAE">
            <w:pPr>
              <w:widowControl/>
              <w:jc w:val="center"/>
              <w:rPr>
                <w:rFonts w:eastAsia="Calibri" w:asciiTheme="minorHAnsi" w:hAnsiTheme="minorHAnsi" w:cstheme="minorHAnsi"/>
                <w:color w:val="000000"/>
                <w:sz w:val="18"/>
                <w:szCs w:val="18"/>
              </w:rPr>
            </w:pPr>
            <w:r w:rsidRPr="00BD7B9D">
              <w:rPr>
                <w:rFonts w:asciiTheme="minorHAnsi" w:hAnsiTheme="minorHAnsi" w:cstheme="minorHAnsi"/>
                <w:sz w:val="18"/>
                <w:szCs w:val="18"/>
              </w:rPr>
              <w:t xml:space="preserve">CQE representative and </w:t>
            </w:r>
            <w:r w:rsidR="00B23B8D">
              <w:rPr>
                <w:rFonts w:asciiTheme="minorHAnsi" w:hAnsiTheme="minorHAnsi" w:cstheme="minorHAnsi"/>
                <w:sz w:val="18"/>
                <w:szCs w:val="18"/>
              </w:rPr>
              <w:t>CHP holder</w:t>
            </w:r>
          </w:p>
        </w:tc>
        <w:tc>
          <w:tcPr>
            <w:tcW w:w="1530" w:type="dxa"/>
            <w:tcBorders>
              <w:top w:val="nil"/>
              <w:left w:val="nil"/>
              <w:bottom w:val="single" w:sz="4" w:space="0" w:color="000000"/>
              <w:right w:val="single" w:sz="4" w:space="0" w:color="000000"/>
            </w:tcBorders>
            <w:shd w:val="clear" w:color="auto" w:fill="auto"/>
            <w:vAlign w:val="center"/>
          </w:tcPr>
          <w:p w:rsidR="00BD7B9D" w:rsidRPr="00775A1E" w:rsidP="00ED1ED1" w14:paraId="49A191CB" w14:textId="09435001">
            <w:pPr>
              <w:widowControl/>
              <w:jc w:val="center"/>
              <w:rPr>
                <w:rFonts w:ascii="Calibri" w:eastAsia="Calibri" w:hAnsi="Calibri" w:cs="Calibri"/>
                <w:color w:val="000000"/>
                <w:sz w:val="18"/>
                <w:szCs w:val="18"/>
              </w:rPr>
            </w:pPr>
            <w:r>
              <w:rPr>
                <w:rFonts w:ascii="Calibri" w:eastAsia="Calibri" w:hAnsi="Calibri" w:cs="Calibri"/>
                <w:color w:val="000000"/>
                <w:sz w:val="18"/>
                <w:szCs w:val="18"/>
              </w:rPr>
              <w:t>90</w:t>
            </w:r>
            <w:r w:rsidRPr="00ED1ED1" w:rsidR="00ED1ED1">
              <w:rPr>
                <w:rFonts w:ascii="Calibri" w:eastAsia="Calibri" w:hAnsi="Calibri" w:cs="Calibri"/>
                <w:color w:val="000000"/>
                <w:sz w:val="18"/>
                <w:szCs w:val="18"/>
                <w:vertAlign w:val="superscript"/>
              </w:rPr>
              <w:t>2</w:t>
            </w:r>
          </w:p>
        </w:tc>
        <w:tc>
          <w:tcPr>
            <w:tcW w:w="1080" w:type="dxa"/>
            <w:tcBorders>
              <w:top w:val="nil"/>
              <w:left w:val="nil"/>
              <w:bottom w:val="single" w:sz="4" w:space="0" w:color="000000"/>
              <w:right w:val="single" w:sz="4" w:space="0" w:color="000000"/>
            </w:tcBorders>
            <w:shd w:val="clear" w:color="auto" w:fill="auto"/>
            <w:vAlign w:val="center"/>
          </w:tcPr>
          <w:p w:rsidR="00BD7B9D" w:rsidRPr="00775A1E" w:rsidP="00D47555" w14:paraId="5662EFE3" w14:textId="2A1A6A27">
            <w:pPr>
              <w:widowControl/>
              <w:jc w:val="center"/>
              <w:rPr>
                <w:rFonts w:ascii="Calibri" w:eastAsia="Calibri" w:hAnsi="Calibri" w:cs="Calibri"/>
                <w:color w:val="000000"/>
                <w:sz w:val="18"/>
                <w:szCs w:val="18"/>
              </w:rPr>
            </w:pPr>
            <w:r w:rsidRPr="00775A1E">
              <w:rPr>
                <w:rFonts w:ascii="Calibri" w:eastAsia="Calibri" w:hAnsi="Calibri" w:cs="Calibri"/>
                <w:color w:val="000000"/>
                <w:sz w:val="18"/>
                <w:szCs w:val="18"/>
              </w:rPr>
              <w:t>1</w:t>
            </w:r>
          </w:p>
        </w:tc>
        <w:tc>
          <w:tcPr>
            <w:tcW w:w="1146" w:type="dxa"/>
            <w:tcBorders>
              <w:top w:val="nil"/>
              <w:left w:val="nil"/>
              <w:bottom w:val="single" w:sz="4" w:space="0" w:color="000000"/>
              <w:right w:val="single" w:sz="4" w:space="0" w:color="000000"/>
            </w:tcBorders>
            <w:shd w:val="clear" w:color="auto" w:fill="auto"/>
            <w:vAlign w:val="center"/>
          </w:tcPr>
          <w:p w:rsidR="00BD7B9D" w:rsidRPr="00B82880" w:rsidP="00D47555" w14:paraId="2C99BAD2" w14:textId="47DCD854">
            <w:pPr>
              <w:widowControl/>
              <w:jc w:val="center"/>
              <w:rPr>
                <w:rFonts w:ascii="Calibri" w:eastAsia="Calibri" w:hAnsi="Calibri" w:cs="Calibri"/>
                <w:color w:val="000000"/>
                <w:sz w:val="18"/>
                <w:szCs w:val="18"/>
              </w:rPr>
            </w:pPr>
            <w:r>
              <w:rPr>
                <w:rFonts w:ascii="Calibri" w:eastAsia="Calibri" w:hAnsi="Calibri" w:cs="Calibri"/>
                <w:color w:val="000000"/>
                <w:sz w:val="18"/>
                <w:szCs w:val="18"/>
              </w:rPr>
              <w:t>45</w:t>
            </w:r>
          </w:p>
        </w:tc>
        <w:tc>
          <w:tcPr>
            <w:tcW w:w="974" w:type="dxa"/>
            <w:tcBorders>
              <w:top w:val="nil"/>
              <w:left w:val="nil"/>
              <w:bottom w:val="single" w:sz="4" w:space="0" w:color="000000"/>
              <w:right w:val="single" w:sz="4" w:space="0" w:color="000000"/>
            </w:tcBorders>
            <w:shd w:val="clear" w:color="auto" w:fill="auto"/>
            <w:vAlign w:val="center"/>
          </w:tcPr>
          <w:p w:rsidR="00BD7B9D" w:rsidRPr="00775A1E" w:rsidP="00D47555" w14:paraId="20A0DE96" w14:textId="736984E2">
            <w:pPr>
              <w:widowControl/>
              <w:jc w:val="center"/>
              <w:rPr>
                <w:rFonts w:ascii="Calibri" w:eastAsia="Calibri" w:hAnsi="Calibri" w:cs="Calibri"/>
                <w:color w:val="000000"/>
                <w:sz w:val="18"/>
                <w:szCs w:val="18"/>
              </w:rPr>
            </w:pPr>
            <w:r w:rsidRPr="00775A1E">
              <w:rPr>
                <w:rFonts w:ascii="Calibri" w:eastAsia="Calibri" w:hAnsi="Calibri" w:cs="Calibri"/>
                <w:color w:val="000000"/>
                <w:sz w:val="18"/>
                <w:szCs w:val="18"/>
              </w:rPr>
              <w:t xml:space="preserve">2 </w:t>
            </w:r>
            <w:r w:rsidRPr="00775A1E">
              <w:rPr>
                <w:rFonts w:ascii="Calibri" w:eastAsia="Calibri" w:hAnsi="Calibri" w:cs="Calibri"/>
                <w:color w:val="000000"/>
                <w:sz w:val="18"/>
                <w:szCs w:val="18"/>
              </w:rPr>
              <w:t>hrs</w:t>
            </w:r>
          </w:p>
        </w:tc>
        <w:tc>
          <w:tcPr>
            <w:tcW w:w="1026" w:type="dxa"/>
            <w:tcBorders>
              <w:top w:val="nil"/>
              <w:left w:val="nil"/>
              <w:bottom w:val="single" w:sz="4" w:space="0" w:color="000000"/>
              <w:right w:val="single" w:sz="4" w:space="0" w:color="000000"/>
            </w:tcBorders>
            <w:shd w:val="clear" w:color="auto" w:fill="auto"/>
            <w:vAlign w:val="center"/>
          </w:tcPr>
          <w:p w:rsidR="00BD7B9D" w:rsidRPr="00775A1E" w:rsidP="00D47555" w14:paraId="5687E13B" w14:textId="3A6BC4E7">
            <w:pPr>
              <w:widowControl/>
              <w:jc w:val="center"/>
              <w:rPr>
                <w:rFonts w:ascii="Calibri" w:eastAsia="Calibri" w:hAnsi="Calibri" w:cs="Calibri"/>
                <w:color w:val="000000"/>
                <w:sz w:val="18"/>
                <w:szCs w:val="18"/>
              </w:rPr>
            </w:pPr>
            <w:r>
              <w:rPr>
                <w:rFonts w:ascii="Calibri" w:eastAsia="Calibri" w:hAnsi="Calibri" w:cs="Calibri"/>
                <w:color w:val="000000"/>
                <w:sz w:val="18"/>
                <w:szCs w:val="18"/>
              </w:rPr>
              <w:t>180</w:t>
            </w:r>
          </w:p>
        </w:tc>
        <w:tc>
          <w:tcPr>
            <w:tcW w:w="1084" w:type="dxa"/>
            <w:tcBorders>
              <w:top w:val="nil"/>
              <w:left w:val="nil"/>
              <w:bottom w:val="single" w:sz="4" w:space="0" w:color="000000"/>
              <w:right w:val="single" w:sz="4" w:space="0" w:color="000000"/>
            </w:tcBorders>
            <w:shd w:val="clear" w:color="auto" w:fill="auto"/>
            <w:vAlign w:val="center"/>
          </w:tcPr>
          <w:p w:rsidR="00BD7B9D" w:rsidRPr="00775A1E" w:rsidP="00D47555" w14:paraId="35D86BE0" w14:textId="01F6971E">
            <w:pPr>
              <w:widowControl/>
              <w:jc w:val="center"/>
              <w:rPr>
                <w:rFonts w:ascii="Calibri" w:eastAsia="Calibri" w:hAnsi="Calibri" w:cs="Calibri"/>
                <w:color w:val="000000"/>
                <w:sz w:val="18"/>
                <w:szCs w:val="18"/>
              </w:rPr>
            </w:pPr>
            <w:r>
              <w:rPr>
                <w:rFonts w:asciiTheme="minorHAnsi" w:hAnsiTheme="minorHAnsi" w:cstheme="minorHAnsi"/>
                <w:color w:val="000000"/>
                <w:sz w:val="18"/>
                <w:szCs w:val="18"/>
              </w:rPr>
              <w:t>21.15</w:t>
            </w:r>
          </w:p>
        </w:tc>
        <w:tc>
          <w:tcPr>
            <w:tcW w:w="1382" w:type="dxa"/>
            <w:tcBorders>
              <w:top w:val="nil"/>
              <w:left w:val="nil"/>
              <w:bottom w:val="single" w:sz="4" w:space="0" w:color="000000"/>
              <w:right w:val="single" w:sz="8" w:space="0" w:color="000000"/>
            </w:tcBorders>
            <w:shd w:val="clear" w:color="auto" w:fill="auto"/>
            <w:vAlign w:val="center"/>
          </w:tcPr>
          <w:p w:rsidR="00BD7B9D" w:rsidRPr="00775A1E" w:rsidP="00D47555" w14:paraId="4AAF493D" w14:textId="47537A6B">
            <w:pPr>
              <w:widowControl/>
              <w:jc w:val="center"/>
              <w:rPr>
                <w:rFonts w:ascii="Calibri" w:eastAsia="Calibri" w:hAnsi="Calibri" w:cs="Calibri"/>
                <w:color w:val="000000"/>
                <w:sz w:val="18"/>
                <w:szCs w:val="18"/>
              </w:rPr>
            </w:pPr>
            <w:r>
              <w:rPr>
                <w:rFonts w:ascii="Calibri" w:eastAsia="Calibri" w:hAnsi="Calibri" w:cs="Calibri"/>
                <w:color w:val="000000"/>
                <w:sz w:val="18"/>
                <w:szCs w:val="18"/>
              </w:rPr>
              <w:t>3,807</w:t>
            </w:r>
          </w:p>
        </w:tc>
      </w:tr>
      <w:tr w14:paraId="656EAF61" w14:textId="77777777" w:rsidTr="00B23B8D">
        <w:tblPrEx>
          <w:tblW w:w="13007" w:type="dxa"/>
          <w:tblInd w:w="-25" w:type="dxa"/>
          <w:tblLayout w:type="fixed"/>
          <w:tblLook w:val="0400"/>
        </w:tblPrEx>
        <w:trPr>
          <w:trHeight w:val="293"/>
        </w:trPr>
        <w:tc>
          <w:tcPr>
            <w:tcW w:w="3213" w:type="dxa"/>
            <w:tcBorders>
              <w:top w:val="nil"/>
              <w:left w:val="single" w:sz="8" w:space="0" w:color="000000"/>
              <w:bottom w:val="single" w:sz="4" w:space="0" w:color="000000"/>
              <w:right w:val="single" w:sz="4" w:space="0" w:color="000000"/>
            </w:tcBorders>
            <w:shd w:val="clear" w:color="auto" w:fill="auto"/>
            <w:vAlign w:val="center"/>
          </w:tcPr>
          <w:p w:rsidR="00775A1E" w:rsidRPr="00775A1E" w:rsidP="00775A1E" w14:paraId="36642320" w14:textId="371FB06D">
            <w:pPr>
              <w:widowControl/>
              <w:rPr>
                <w:rFonts w:eastAsia="Calibri" w:asciiTheme="minorHAnsi" w:hAnsiTheme="minorHAnsi" w:cstheme="minorHAnsi"/>
                <w:color w:val="000000"/>
                <w:sz w:val="18"/>
                <w:szCs w:val="18"/>
              </w:rPr>
            </w:pPr>
            <w:r w:rsidRPr="00775A1E">
              <w:rPr>
                <w:rFonts w:asciiTheme="minorHAnsi" w:hAnsiTheme="minorHAnsi" w:cstheme="minorHAnsi"/>
                <w:sz w:val="18"/>
                <w:szCs w:val="18"/>
              </w:rPr>
              <w:t>Application for a CQE to Receive a Non-trawl Groundfish LLP License</w:t>
            </w:r>
          </w:p>
        </w:tc>
        <w:tc>
          <w:tcPr>
            <w:tcW w:w="1572" w:type="dxa"/>
            <w:tcBorders>
              <w:top w:val="nil"/>
              <w:left w:val="nil"/>
              <w:bottom w:val="single" w:sz="4" w:space="0" w:color="000000"/>
              <w:right w:val="single" w:sz="4" w:space="0" w:color="000000"/>
            </w:tcBorders>
            <w:shd w:val="clear" w:color="auto" w:fill="auto"/>
            <w:vAlign w:val="center"/>
          </w:tcPr>
          <w:p w:rsidR="00775A1E" w:rsidRPr="00775A1E" w:rsidP="00775A1E" w14:paraId="3AA44AA2" w14:textId="232875CD">
            <w:pPr>
              <w:widowControl/>
              <w:jc w:val="center"/>
              <w:rPr>
                <w:rFonts w:ascii="Calibri" w:eastAsia="Calibri" w:hAnsi="Calibri" w:cs="Calibri"/>
                <w:color w:val="000000"/>
                <w:sz w:val="18"/>
                <w:szCs w:val="18"/>
              </w:rPr>
            </w:pPr>
            <w:r>
              <w:rPr>
                <w:rFonts w:ascii="Calibri" w:eastAsia="Calibri" w:hAnsi="Calibri" w:cs="Calibri"/>
                <w:color w:val="000000"/>
                <w:sz w:val="18"/>
                <w:szCs w:val="18"/>
              </w:rPr>
              <w:t>CQE representative</w:t>
            </w:r>
          </w:p>
        </w:tc>
        <w:tc>
          <w:tcPr>
            <w:tcW w:w="1530" w:type="dxa"/>
            <w:tcBorders>
              <w:top w:val="nil"/>
              <w:left w:val="nil"/>
              <w:bottom w:val="single" w:sz="4" w:space="0" w:color="000000"/>
              <w:right w:val="single" w:sz="4" w:space="0" w:color="000000"/>
            </w:tcBorders>
            <w:shd w:val="clear" w:color="auto" w:fill="auto"/>
            <w:vAlign w:val="center"/>
          </w:tcPr>
          <w:p w:rsidR="00775A1E" w:rsidRPr="00775A1E" w:rsidP="00D47555" w14:paraId="4BCFF1AE" w14:textId="3BF62F04">
            <w:pPr>
              <w:widowControl/>
              <w:jc w:val="center"/>
              <w:rPr>
                <w:rFonts w:ascii="Calibri" w:eastAsia="Calibri" w:hAnsi="Calibri" w:cs="Calibri"/>
                <w:color w:val="000000"/>
                <w:sz w:val="18"/>
                <w:szCs w:val="18"/>
              </w:rPr>
            </w:pPr>
            <w:r>
              <w:rPr>
                <w:rFonts w:ascii="Calibri" w:eastAsia="Calibri" w:hAnsi="Calibri" w:cs="Calibri"/>
                <w:color w:val="000000"/>
                <w:sz w:val="18"/>
                <w:szCs w:val="18"/>
              </w:rPr>
              <w:t>3</w:t>
            </w:r>
          </w:p>
        </w:tc>
        <w:tc>
          <w:tcPr>
            <w:tcW w:w="1080" w:type="dxa"/>
            <w:tcBorders>
              <w:top w:val="nil"/>
              <w:left w:val="nil"/>
              <w:bottom w:val="single" w:sz="4" w:space="0" w:color="000000"/>
              <w:right w:val="single" w:sz="4" w:space="0" w:color="000000"/>
            </w:tcBorders>
            <w:shd w:val="clear" w:color="auto" w:fill="auto"/>
            <w:vAlign w:val="center"/>
          </w:tcPr>
          <w:p w:rsidR="00775A1E" w:rsidRPr="00775A1E" w:rsidP="00D47555" w14:paraId="03778F55" w14:textId="123679CB">
            <w:pPr>
              <w:widowControl/>
              <w:jc w:val="center"/>
              <w:rPr>
                <w:rFonts w:ascii="Calibri" w:eastAsia="Calibri" w:hAnsi="Calibri" w:cs="Calibri"/>
                <w:color w:val="000000"/>
                <w:sz w:val="18"/>
                <w:szCs w:val="18"/>
              </w:rPr>
            </w:pPr>
            <w:r w:rsidRPr="00775A1E">
              <w:rPr>
                <w:rFonts w:ascii="Calibri" w:eastAsia="Calibri" w:hAnsi="Calibri" w:cs="Calibri"/>
                <w:color w:val="000000"/>
                <w:sz w:val="18"/>
                <w:szCs w:val="18"/>
              </w:rPr>
              <w:t>1</w:t>
            </w:r>
          </w:p>
        </w:tc>
        <w:tc>
          <w:tcPr>
            <w:tcW w:w="1146" w:type="dxa"/>
            <w:tcBorders>
              <w:top w:val="nil"/>
              <w:left w:val="nil"/>
              <w:bottom w:val="single" w:sz="4" w:space="0" w:color="000000"/>
              <w:right w:val="single" w:sz="4" w:space="0" w:color="000000"/>
            </w:tcBorders>
            <w:shd w:val="clear" w:color="auto" w:fill="auto"/>
            <w:vAlign w:val="center"/>
          </w:tcPr>
          <w:p w:rsidR="00775A1E" w:rsidRPr="00B82880" w:rsidP="00D47555" w14:paraId="1CC271AB" w14:textId="73F81B45">
            <w:pPr>
              <w:widowControl/>
              <w:jc w:val="center"/>
              <w:rPr>
                <w:rFonts w:ascii="Calibri" w:eastAsia="Calibri" w:hAnsi="Calibri" w:cs="Calibri"/>
                <w:color w:val="000000"/>
                <w:sz w:val="18"/>
                <w:szCs w:val="18"/>
              </w:rPr>
            </w:pPr>
            <w:r>
              <w:rPr>
                <w:rFonts w:ascii="Calibri" w:eastAsia="Calibri" w:hAnsi="Calibri" w:cs="Calibri"/>
                <w:color w:val="000000"/>
                <w:sz w:val="18"/>
                <w:szCs w:val="18"/>
              </w:rPr>
              <w:t>3</w:t>
            </w:r>
          </w:p>
        </w:tc>
        <w:tc>
          <w:tcPr>
            <w:tcW w:w="974" w:type="dxa"/>
            <w:tcBorders>
              <w:top w:val="nil"/>
              <w:left w:val="nil"/>
              <w:bottom w:val="single" w:sz="4" w:space="0" w:color="000000"/>
              <w:right w:val="single" w:sz="4" w:space="0" w:color="000000"/>
            </w:tcBorders>
            <w:shd w:val="clear" w:color="auto" w:fill="auto"/>
            <w:vAlign w:val="center"/>
          </w:tcPr>
          <w:p w:rsidR="00775A1E" w:rsidRPr="00775A1E" w:rsidP="00D47555" w14:paraId="6A8F7307" w14:textId="2BFABA4D">
            <w:pPr>
              <w:widowControl/>
              <w:jc w:val="center"/>
              <w:rPr>
                <w:rFonts w:ascii="Calibri" w:eastAsia="Calibri" w:hAnsi="Calibri" w:cs="Calibri"/>
                <w:color w:val="000000"/>
                <w:sz w:val="18"/>
                <w:szCs w:val="18"/>
              </w:rPr>
            </w:pPr>
            <w:r w:rsidRPr="00775A1E">
              <w:rPr>
                <w:rFonts w:ascii="Calibri" w:eastAsia="Calibri" w:hAnsi="Calibri" w:cs="Calibri"/>
                <w:color w:val="000000"/>
                <w:sz w:val="18"/>
                <w:szCs w:val="18"/>
              </w:rPr>
              <w:t xml:space="preserve">20 </w:t>
            </w:r>
            <w:r w:rsidRPr="00775A1E">
              <w:rPr>
                <w:rFonts w:ascii="Calibri" w:eastAsia="Calibri" w:hAnsi="Calibri" w:cs="Calibri"/>
                <w:color w:val="000000"/>
                <w:sz w:val="18"/>
                <w:szCs w:val="18"/>
              </w:rPr>
              <w:t>hrs</w:t>
            </w:r>
          </w:p>
        </w:tc>
        <w:tc>
          <w:tcPr>
            <w:tcW w:w="1026" w:type="dxa"/>
            <w:tcBorders>
              <w:top w:val="nil"/>
              <w:left w:val="nil"/>
              <w:bottom w:val="single" w:sz="4" w:space="0" w:color="000000"/>
              <w:right w:val="single" w:sz="4" w:space="0" w:color="000000"/>
            </w:tcBorders>
            <w:shd w:val="clear" w:color="auto" w:fill="auto"/>
            <w:vAlign w:val="center"/>
          </w:tcPr>
          <w:p w:rsidR="00775A1E" w:rsidRPr="00775A1E" w:rsidP="00D47555" w14:paraId="1C3CBF71" w14:textId="4BE50880">
            <w:pPr>
              <w:widowControl/>
              <w:jc w:val="center"/>
              <w:rPr>
                <w:rFonts w:ascii="Calibri" w:eastAsia="Calibri" w:hAnsi="Calibri" w:cs="Calibri"/>
                <w:color w:val="000000"/>
                <w:sz w:val="18"/>
                <w:szCs w:val="18"/>
              </w:rPr>
            </w:pPr>
            <w:r>
              <w:rPr>
                <w:rFonts w:ascii="Calibri" w:eastAsia="Calibri" w:hAnsi="Calibri" w:cs="Calibri"/>
                <w:color w:val="000000"/>
                <w:sz w:val="18"/>
                <w:szCs w:val="18"/>
              </w:rPr>
              <w:t>60</w:t>
            </w:r>
          </w:p>
        </w:tc>
        <w:tc>
          <w:tcPr>
            <w:tcW w:w="1084" w:type="dxa"/>
            <w:tcBorders>
              <w:top w:val="nil"/>
              <w:left w:val="nil"/>
              <w:bottom w:val="single" w:sz="4" w:space="0" w:color="000000"/>
              <w:right w:val="single" w:sz="4" w:space="0" w:color="000000"/>
            </w:tcBorders>
            <w:shd w:val="clear" w:color="auto" w:fill="auto"/>
            <w:vAlign w:val="center"/>
          </w:tcPr>
          <w:p w:rsidR="00775A1E" w:rsidRPr="00775A1E" w:rsidP="00D47555" w14:paraId="61891B1B" w14:textId="3B0E0F1A">
            <w:pPr>
              <w:widowControl/>
              <w:jc w:val="center"/>
              <w:rPr>
                <w:rFonts w:ascii="Calibri" w:eastAsia="Calibri" w:hAnsi="Calibri" w:cs="Calibri"/>
                <w:color w:val="000000"/>
                <w:sz w:val="18"/>
                <w:szCs w:val="18"/>
              </w:rPr>
            </w:pPr>
            <w:r>
              <w:rPr>
                <w:rFonts w:asciiTheme="minorHAnsi" w:hAnsiTheme="minorHAnsi" w:cstheme="minorHAnsi"/>
                <w:color w:val="000000"/>
                <w:sz w:val="18"/>
                <w:szCs w:val="18"/>
              </w:rPr>
              <w:t>21.15</w:t>
            </w:r>
          </w:p>
        </w:tc>
        <w:tc>
          <w:tcPr>
            <w:tcW w:w="1382" w:type="dxa"/>
            <w:tcBorders>
              <w:top w:val="nil"/>
              <w:left w:val="nil"/>
              <w:bottom w:val="single" w:sz="4" w:space="0" w:color="000000"/>
              <w:right w:val="single" w:sz="8" w:space="0" w:color="000000"/>
            </w:tcBorders>
            <w:shd w:val="clear" w:color="auto" w:fill="auto"/>
            <w:vAlign w:val="center"/>
          </w:tcPr>
          <w:p w:rsidR="00775A1E" w:rsidRPr="00775A1E" w:rsidP="00D47555" w14:paraId="63E1B878" w14:textId="2F90EFEF">
            <w:pPr>
              <w:widowControl/>
              <w:jc w:val="center"/>
              <w:rPr>
                <w:rFonts w:ascii="Calibri" w:eastAsia="Calibri" w:hAnsi="Calibri" w:cs="Calibri"/>
                <w:color w:val="000000"/>
                <w:sz w:val="18"/>
                <w:szCs w:val="18"/>
              </w:rPr>
            </w:pPr>
            <w:r>
              <w:rPr>
                <w:rFonts w:ascii="Calibri" w:eastAsia="Calibri" w:hAnsi="Calibri" w:cs="Calibri"/>
                <w:color w:val="000000"/>
                <w:sz w:val="18"/>
                <w:szCs w:val="18"/>
              </w:rPr>
              <w:t>1,269</w:t>
            </w:r>
          </w:p>
        </w:tc>
      </w:tr>
      <w:tr w14:paraId="48C89D89" w14:textId="77777777" w:rsidTr="00B23B8D">
        <w:tblPrEx>
          <w:tblW w:w="13007" w:type="dxa"/>
          <w:tblInd w:w="-25" w:type="dxa"/>
          <w:tblLayout w:type="fixed"/>
          <w:tblLook w:val="0400"/>
        </w:tblPrEx>
        <w:trPr>
          <w:trHeight w:val="293"/>
        </w:trPr>
        <w:tc>
          <w:tcPr>
            <w:tcW w:w="3213" w:type="dxa"/>
            <w:tcBorders>
              <w:top w:val="nil"/>
              <w:left w:val="single" w:sz="8" w:space="0" w:color="000000"/>
              <w:bottom w:val="single" w:sz="4" w:space="0" w:color="000000"/>
              <w:right w:val="single" w:sz="4" w:space="0" w:color="000000"/>
            </w:tcBorders>
            <w:shd w:val="clear" w:color="auto" w:fill="auto"/>
            <w:vAlign w:val="center"/>
          </w:tcPr>
          <w:p w:rsidR="00775A1E" w:rsidRPr="00775A1E" w:rsidP="00775A1E" w14:paraId="624B09A2" w14:textId="43F93A96">
            <w:pPr>
              <w:widowControl/>
              <w:rPr>
                <w:rFonts w:eastAsia="Calibri" w:asciiTheme="minorHAnsi" w:hAnsiTheme="minorHAnsi" w:cstheme="minorHAnsi"/>
                <w:color w:val="000000"/>
                <w:sz w:val="18"/>
                <w:szCs w:val="18"/>
              </w:rPr>
            </w:pPr>
            <w:r w:rsidRPr="00775A1E">
              <w:rPr>
                <w:rFonts w:asciiTheme="minorHAnsi" w:hAnsiTheme="minorHAnsi" w:cstheme="minorHAnsi"/>
                <w:sz w:val="18"/>
                <w:szCs w:val="18"/>
              </w:rPr>
              <w:t xml:space="preserve">CQE License Limitation Program Authorization letter  </w:t>
            </w:r>
          </w:p>
        </w:tc>
        <w:tc>
          <w:tcPr>
            <w:tcW w:w="1572" w:type="dxa"/>
            <w:tcBorders>
              <w:top w:val="nil"/>
              <w:left w:val="nil"/>
              <w:bottom w:val="single" w:sz="4" w:space="0" w:color="000000"/>
              <w:right w:val="single" w:sz="4" w:space="0" w:color="000000"/>
            </w:tcBorders>
            <w:shd w:val="clear" w:color="auto" w:fill="auto"/>
            <w:vAlign w:val="center"/>
          </w:tcPr>
          <w:p w:rsidR="00775A1E" w:rsidRPr="00775A1E" w:rsidP="00775A1E" w14:paraId="73BD6D2E" w14:textId="49ED4EF6">
            <w:pPr>
              <w:widowControl/>
              <w:jc w:val="center"/>
              <w:rPr>
                <w:rFonts w:ascii="Calibri" w:eastAsia="Calibri" w:hAnsi="Calibri" w:cs="Calibri"/>
                <w:color w:val="000000"/>
                <w:sz w:val="18"/>
                <w:szCs w:val="18"/>
              </w:rPr>
            </w:pPr>
            <w:r>
              <w:rPr>
                <w:rFonts w:ascii="Calibri" w:eastAsia="Calibri" w:hAnsi="Calibri" w:cs="Calibri"/>
                <w:color w:val="000000"/>
                <w:sz w:val="18"/>
                <w:szCs w:val="18"/>
              </w:rPr>
              <w:t>CQE representative</w:t>
            </w:r>
          </w:p>
        </w:tc>
        <w:tc>
          <w:tcPr>
            <w:tcW w:w="1530" w:type="dxa"/>
            <w:tcBorders>
              <w:top w:val="nil"/>
              <w:left w:val="nil"/>
              <w:bottom w:val="single" w:sz="4" w:space="0" w:color="000000"/>
              <w:right w:val="single" w:sz="4" w:space="0" w:color="000000"/>
            </w:tcBorders>
            <w:shd w:val="clear" w:color="auto" w:fill="auto"/>
            <w:vAlign w:val="center"/>
          </w:tcPr>
          <w:p w:rsidR="00775A1E" w:rsidRPr="00775A1E" w:rsidP="00D47555" w14:paraId="45127C0A" w14:textId="55AB1322">
            <w:pPr>
              <w:widowControl/>
              <w:jc w:val="center"/>
              <w:rPr>
                <w:rFonts w:ascii="Calibri" w:eastAsia="Calibri" w:hAnsi="Calibri" w:cs="Calibri"/>
                <w:color w:val="000000"/>
                <w:sz w:val="18"/>
                <w:szCs w:val="18"/>
              </w:rPr>
            </w:pPr>
            <w:r>
              <w:rPr>
                <w:rFonts w:ascii="Calibri" w:eastAsia="Calibri" w:hAnsi="Calibri" w:cs="Calibri"/>
                <w:color w:val="000000"/>
                <w:sz w:val="18"/>
                <w:szCs w:val="18"/>
              </w:rPr>
              <w:t>5</w:t>
            </w:r>
          </w:p>
        </w:tc>
        <w:tc>
          <w:tcPr>
            <w:tcW w:w="1080" w:type="dxa"/>
            <w:tcBorders>
              <w:top w:val="nil"/>
              <w:left w:val="nil"/>
              <w:bottom w:val="single" w:sz="4" w:space="0" w:color="000000"/>
              <w:right w:val="single" w:sz="4" w:space="0" w:color="000000"/>
            </w:tcBorders>
            <w:shd w:val="clear" w:color="auto" w:fill="auto"/>
            <w:vAlign w:val="center"/>
          </w:tcPr>
          <w:p w:rsidR="00775A1E" w:rsidRPr="00775A1E" w:rsidP="00D47555" w14:paraId="712D6F0F" w14:textId="67A858D0">
            <w:pPr>
              <w:widowControl/>
              <w:jc w:val="center"/>
              <w:rPr>
                <w:rFonts w:ascii="Calibri" w:eastAsia="Calibri" w:hAnsi="Calibri" w:cs="Calibri"/>
                <w:color w:val="000000"/>
                <w:sz w:val="18"/>
                <w:szCs w:val="18"/>
              </w:rPr>
            </w:pPr>
            <w:r w:rsidRPr="00775A1E">
              <w:rPr>
                <w:rFonts w:ascii="Calibri" w:eastAsia="Calibri" w:hAnsi="Calibri" w:cs="Calibri"/>
                <w:color w:val="000000"/>
                <w:sz w:val="18"/>
                <w:szCs w:val="18"/>
              </w:rPr>
              <w:t>1</w:t>
            </w:r>
          </w:p>
        </w:tc>
        <w:tc>
          <w:tcPr>
            <w:tcW w:w="1146" w:type="dxa"/>
            <w:tcBorders>
              <w:top w:val="nil"/>
              <w:left w:val="nil"/>
              <w:bottom w:val="single" w:sz="4" w:space="0" w:color="000000"/>
              <w:right w:val="single" w:sz="4" w:space="0" w:color="000000"/>
            </w:tcBorders>
            <w:shd w:val="clear" w:color="auto" w:fill="auto"/>
            <w:vAlign w:val="center"/>
          </w:tcPr>
          <w:p w:rsidR="00775A1E" w:rsidRPr="00757A2C" w:rsidP="00D47555" w14:paraId="770A9412" w14:textId="1B388928">
            <w:pPr>
              <w:widowControl/>
              <w:jc w:val="center"/>
              <w:rPr>
                <w:rFonts w:ascii="Calibri" w:eastAsia="Calibri" w:hAnsi="Calibri" w:cs="Calibri"/>
                <w:color w:val="000000"/>
                <w:sz w:val="18"/>
                <w:szCs w:val="18"/>
                <w:highlight w:val="cyan"/>
              </w:rPr>
            </w:pPr>
            <w:r w:rsidRPr="00791595">
              <w:rPr>
                <w:rFonts w:ascii="Calibri" w:eastAsia="Calibri" w:hAnsi="Calibri" w:cs="Calibri"/>
                <w:color w:val="000000"/>
                <w:sz w:val="18"/>
                <w:szCs w:val="18"/>
              </w:rPr>
              <w:t>5</w:t>
            </w:r>
          </w:p>
        </w:tc>
        <w:tc>
          <w:tcPr>
            <w:tcW w:w="974" w:type="dxa"/>
            <w:tcBorders>
              <w:top w:val="nil"/>
              <w:left w:val="nil"/>
              <w:bottom w:val="single" w:sz="4" w:space="0" w:color="000000"/>
              <w:right w:val="single" w:sz="4" w:space="0" w:color="000000"/>
            </w:tcBorders>
            <w:shd w:val="clear" w:color="auto" w:fill="auto"/>
            <w:vAlign w:val="center"/>
          </w:tcPr>
          <w:p w:rsidR="00775A1E" w:rsidRPr="00775A1E" w:rsidP="00D47555" w14:paraId="6BDF8008" w14:textId="576A652D">
            <w:pPr>
              <w:widowControl/>
              <w:jc w:val="center"/>
              <w:rPr>
                <w:rFonts w:ascii="Calibri" w:eastAsia="Calibri" w:hAnsi="Calibri" w:cs="Calibri"/>
                <w:color w:val="000000"/>
                <w:sz w:val="18"/>
                <w:szCs w:val="18"/>
              </w:rPr>
            </w:pPr>
            <w:r w:rsidRPr="00775A1E">
              <w:rPr>
                <w:rFonts w:ascii="Calibri" w:eastAsia="Calibri" w:hAnsi="Calibri" w:cs="Calibri"/>
                <w:color w:val="000000"/>
                <w:sz w:val="18"/>
                <w:szCs w:val="18"/>
              </w:rPr>
              <w:t xml:space="preserve">1 </w:t>
            </w:r>
            <w:r w:rsidRPr="00775A1E">
              <w:rPr>
                <w:rFonts w:ascii="Calibri" w:eastAsia="Calibri" w:hAnsi="Calibri" w:cs="Calibri"/>
                <w:color w:val="000000"/>
                <w:sz w:val="18"/>
                <w:szCs w:val="18"/>
              </w:rPr>
              <w:t>hr</w:t>
            </w:r>
          </w:p>
        </w:tc>
        <w:tc>
          <w:tcPr>
            <w:tcW w:w="1026" w:type="dxa"/>
            <w:tcBorders>
              <w:top w:val="nil"/>
              <w:left w:val="nil"/>
              <w:bottom w:val="single" w:sz="4" w:space="0" w:color="000000"/>
              <w:right w:val="single" w:sz="4" w:space="0" w:color="000000"/>
            </w:tcBorders>
            <w:shd w:val="clear" w:color="auto" w:fill="auto"/>
            <w:vAlign w:val="center"/>
          </w:tcPr>
          <w:p w:rsidR="00775A1E" w:rsidRPr="00775A1E" w:rsidP="00D47555" w14:paraId="783F98BB" w14:textId="3D5E55E0">
            <w:pPr>
              <w:widowControl/>
              <w:jc w:val="center"/>
              <w:rPr>
                <w:rFonts w:ascii="Calibri" w:eastAsia="Calibri" w:hAnsi="Calibri" w:cs="Calibri"/>
                <w:color w:val="000000"/>
                <w:sz w:val="18"/>
                <w:szCs w:val="18"/>
              </w:rPr>
            </w:pPr>
            <w:r>
              <w:rPr>
                <w:rFonts w:ascii="Calibri" w:eastAsia="Calibri" w:hAnsi="Calibri" w:cs="Calibri"/>
                <w:color w:val="000000"/>
                <w:sz w:val="18"/>
                <w:szCs w:val="18"/>
              </w:rPr>
              <w:t>5</w:t>
            </w:r>
          </w:p>
        </w:tc>
        <w:tc>
          <w:tcPr>
            <w:tcW w:w="1084" w:type="dxa"/>
            <w:tcBorders>
              <w:top w:val="nil"/>
              <w:left w:val="nil"/>
              <w:bottom w:val="single" w:sz="4" w:space="0" w:color="000000"/>
              <w:right w:val="single" w:sz="4" w:space="0" w:color="000000"/>
            </w:tcBorders>
            <w:shd w:val="clear" w:color="auto" w:fill="auto"/>
            <w:vAlign w:val="center"/>
          </w:tcPr>
          <w:p w:rsidR="00775A1E" w:rsidRPr="00775A1E" w:rsidP="00D47555" w14:paraId="3AD33871" w14:textId="6002CF84">
            <w:pPr>
              <w:widowControl/>
              <w:jc w:val="center"/>
              <w:rPr>
                <w:rFonts w:ascii="Calibri" w:eastAsia="Calibri" w:hAnsi="Calibri" w:cs="Calibri"/>
                <w:color w:val="000000"/>
                <w:sz w:val="18"/>
                <w:szCs w:val="18"/>
              </w:rPr>
            </w:pPr>
            <w:r>
              <w:rPr>
                <w:rFonts w:asciiTheme="minorHAnsi" w:hAnsiTheme="minorHAnsi" w:cstheme="minorHAnsi"/>
                <w:color w:val="000000"/>
                <w:sz w:val="18"/>
                <w:szCs w:val="18"/>
              </w:rPr>
              <w:t>21.15</w:t>
            </w:r>
          </w:p>
        </w:tc>
        <w:tc>
          <w:tcPr>
            <w:tcW w:w="1382" w:type="dxa"/>
            <w:tcBorders>
              <w:top w:val="nil"/>
              <w:left w:val="nil"/>
              <w:bottom w:val="single" w:sz="4" w:space="0" w:color="000000"/>
              <w:right w:val="single" w:sz="8" w:space="0" w:color="000000"/>
            </w:tcBorders>
            <w:shd w:val="clear" w:color="auto" w:fill="auto"/>
            <w:vAlign w:val="center"/>
          </w:tcPr>
          <w:p w:rsidR="00775A1E" w:rsidRPr="00775A1E" w:rsidP="00D47555" w14:paraId="5429204A" w14:textId="32F20AC9">
            <w:pPr>
              <w:widowControl/>
              <w:jc w:val="center"/>
              <w:rPr>
                <w:rFonts w:ascii="Calibri" w:eastAsia="Calibri" w:hAnsi="Calibri" w:cs="Calibri"/>
                <w:color w:val="000000"/>
                <w:sz w:val="18"/>
                <w:szCs w:val="18"/>
              </w:rPr>
            </w:pPr>
            <w:r>
              <w:rPr>
                <w:rFonts w:ascii="Calibri" w:eastAsia="Calibri" w:hAnsi="Calibri" w:cs="Calibri"/>
                <w:color w:val="000000"/>
                <w:sz w:val="18"/>
                <w:szCs w:val="18"/>
              </w:rPr>
              <w:t>106</w:t>
            </w:r>
          </w:p>
        </w:tc>
      </w:tr>
      <w:tr w14:paraId="2A98C578" w14:textId="77777777" w:rsidTr="00775A1E">
        <w:tblPrEx>
          <w:tblW w:w="13007" w:type="dxa"/>
          <w:tblInd w:w="-25" w:type="dxa"/>
          <w:tblLayout w:type="fixed"/>
          <w:tblLook w:val="0400"/>
        </w:tblPrEx>
        <w:trPr>
          <w:trHeight w:val="308"/>
        </w:trPr>
        <w:tc>
          <w:tcPr>
            <w:tcW w:w="3213" w:type="dxa"/>
            <w:tcBorders>
              <w:top w:val="nil"/>
              <w:left w:val="single" w:sz="8" w:space="0" w:color="000000"/>
              <w:bottom w:val="single" w:sz="8" w:space="0" w:color="000000"/>
              <w:right w:val="single" w:sz="4" w:space="0" w:color="000000"/>
            </w:tcBorders>
            <w:shd w:val="clear" w:color="auto" w:fill="auto"/>
            <w:vAlign w:val="center"/>
          </w:tcPr>
          <w:p w:rsidR="00775A1E" w:rsidRPr="00775A1E" w:rsidP="00775A1E" w14:paraId="05323D41" w14:textId="4384574F">
            <w:pPr>
              <w:widowControl/>
              <w:rPr>
                <w:rFonts w:eastAsia="Calibri" w:asciiTheme="minorHAnsi" w:hAnsiTheme="minorHAnsi" w:cstheme="minorHAnsi"/>
                <w:color w:val="000000"/>
                <w:sz w:val="18"/>
                <w:szCs w:val="18"/>
              </w:rPr>
            </w:pPr>
            <w:r w:rsidRPr="00775A1E">
              <w:rPr>
                <w:rFonts w:eastAsia="Calibri" w:asciiTheme="minorHAnsi" w:hAnsiTheme="minorHAnsi" w:cstheme="minorHAnsi"/>
                <w:color w:val="000000"/>
                <w:sz w:val="18"/>
                <w:szCs w:val="18"/>
              </w:rPr>
              <w:t>Application for Community Charter Halibut Permit</w:t>
            </w:r>
          </w:p>
        </w:tc>
        <w:tc>
          <w:tcPr>
            <w:tcW w:w="1572" w:type="dxa"/>
            <w:tcBorders>
              <w:top w:val="nil"/>
              <w:left w:val="nil"/>
              <w:bottom w:val="single" w:sz="8" w:space="0" w:color="000000"/>
              <w:right w:val="single" w:sz="4" w:space="0" w:color="000000"/>
            </w:tcBorders>
            <w:shd w:val="clear" w:color="auto" w:fill="auto"/>
            <w:vAlign w:val="center"/>
          </w:tcPr>
          <w:p w:rsidR="00775A1E" w:rsidRPr="00775A1E" w:rsidP="00775A1E" w14:paraId="7364894D" w14:textId="3FA16016">
            <w:pPr>
              <w:widowControl/>
              <w:jc w:val="center"/>
              <w:rPr>
                <w:rFonts w:ascii="Calibri" w:eastAsia="Calibri" w:hAnsi="Calibri" w:cs="Calibri"/>
                <w:color w:val="000000"/>
                <w:sz w:val="18"/>
                <w:szCs w:val="18"/>
              </w:rPr>
            </w:pPr>
            <w:r>
              <w:rPr>
                <w:rFonts w:ascii="Calibri" w:eastAsia="Calibri" w:hAnsi="Calibri" w:cs="Calibri"/>
                <w:color w:val="000000"/>
                <w:sz w:val="18"/>
                <w:szCs w:val="18"/>
              </w:rPr>
              <w:t>CQE representative</w:t>
            </w:r>
          </w:p>
        </w:tc>
        <w:tc>
          <w:tcPr>
            <w:tcW w:w="1530" w:type="dxa"/>
            <w:tcBorders>
              <w:top w:val="nil"/>
              <w:left w:val="nil"/>
              <w:bottom w:val="single" w:sz="8" w:space="0" w:color="000000"/>
              <w:right w:val="single" w:sz="4" w:space="0" w:color="000000"/>
            </w:tcBorders>
            <w:shd w:val="clear" w:color="auto" w:fill="auto"/>
            <w:vAlign w:val="center"/>
          </w:tcPr>
          <w:p w:rsidR="00775A1E" w:rsidRPr="00775A1E" w:rsidP="00D47555" w14:paraId="72F452FE" w14:textId="721C119E">
            <w:pPr>
              <w:widowControl/>
              <w:jc w:val="center"/>
              <w:rPr>
                <w:rFonts w:ascii="Calibri" w:eastAsia="Calibri" w:hAnsi="Calibri" w:cs="Calibri"/>
                <w:color w:val="000000"/>
                <w:sz w:val="18"/>
                <w:szCs w:val="18"/>
              </w:rPr>
            </w:pPr>
            <w:r>
              <w:rPr>
                <w:rFonts w:ascii="Calibri" w:eastAsia="Calibri" w:hAnsi="Calibri" w:cs="Calibri"/>
                <w:color w:val="000000"/>
                <w:sz w:val="18"/>
                <w:szCs w:val="18"/>
              </w:rPr>
              <w:t>11</w:t>
            </w:r>
          </w:p>
        </w:tc>
        <w:tc>
          <w:tcPr>
            <w:tcW w:w="1080" w:type="dxa"/>
            <w:tcBorders>
              <w:top w:val="nil"/>
              <w:left w:val="nil"/>
              <w:bottom w:val="single" w:sz="8" w:space="0" w:color="000000"/>
              <w:right w:val="single" w:sz="4" w:space="0" w:color="000000"/>
            </w:tcBorders>
            <w:shd w:val="clear" w:color="auto" w:fill="auto"/>
            <w:vAlign w:val="center"/>
          </w:tcPr>
          <w:p w:rsidR="00775A1E" w:rsidRPr="00775A1E" w:rsidP="00D47555" w14:paraId="2220DC93" w14:textId="3311FD2D">
            <w:pPr>
              <w:widowControl/>
              <w:jc w:val="center"/>
              <w:rPr>
                <w:rFonts w:ascii="Calibri" w:eastAsia="Calibri" w:hAnsi="Calibri" w:cs="Calibri"/>
                <w:color w:val="000000"/>
                <w:sz w:val="18"/>
                <w:szCs w:val="18"/>
              </w:rPr>
            </w:pPr>
            <w:r w:rsidRPr="00775A1E">
              <w:rPr>
                <w:rFonts w:ascii="Calibri" w:eastAsia="Calibri" w:hAnsi="Calibri" w:cs="Calibri"/>
                <w:color w:val="000000"/>
                <w:sz w:val="18"/>
                <w:szCs w:val="18"/>
              </w:rPr>
              <w:t>1</w:t>
            </w:r>
          </w:p>
        </w:tc>
        <w:tc>
          <w:tcPr>
            <w:tcW w:w="1146" w:type="dxa"/>
            <w:tcBorders>
              <w:top w:val="nil"/>
              <w:left w:val="nil"/>
              <w:bottom w:val="single" w:sz="8" w:space="0" w:color="000000"/>
              <w:right w:val="single" w:sz="4" w:space="0" w:color="000000"/>
            </w:tcBorders>
            <w:shd w:val="clear" w:color="auto" w:fill="auto"/>
            <w:vAlign w:val="center"/>
          </w:tcPr>
          <w:p w:rsidR="00775A1E" w:rsidRPr="00775A1E" w:rsidP="00D47555" w14:paraId="61BAC872" w14:textId="466A1668">
            <w:pPr>
              <w:widowControl/>
              <w:jc w:val="center"/>
              <w:rPr>
                <w:rFonts w:ascii="Calibri" w:eastAsia="Calibri" w:hAnsi="Calibri" w:cs="Calibri"/>
                <w:color w:val="000000"/>
                <w:sz w:val="18"/>
                <w:szCs w:val="18"/>
              </w:rPr>
            </w:pPr>
            <w:r>
              <w:rPr>
                <w:rFonts w:ascii="Calibri" w:eastAsia="Calibri" w:hAnsi="Calibri" w:cs="Calibri"/>
                <w:color w:val="000000"/>
                <w:sz w:val="18"/>
                <w:szCs w:val="18"/>
              </w:rPr>
              <w:t>11</w:t>
            </w:r>
          </w:p>
        </w:tc>
        <w:tc>
          <w:tcPr>
            <w:tcW w:w="974" w:type="dxa"/>
            <w:tcBorders>
              <w:top w:val="nil"/>
              <w:left w:val="nil"/>
              <w:bottom w:val="single" w:sz="8" w:space="0" w:color="000000"/>
              <w:right w:val="single" w:sz="4" w:space="0" w:color="000000"/>
            </w:tcBorders>
            <w:shd w:val="clear" w:color="auto" w:fill="auto"/>
            <w:vAlign w:val="center"/>
          </w:tcPr>
          <w:p w:rsidR="00775A1E" w:rsidRPr="00775A1E" w:rsidP="00D47555" w14:paraId="55A89D79" w14:textId="542A6AEF">
            <w:pPr>
              <w:widowControl/>
              <w:jc w:val="center"/>
              <w:rPr>
                <w:rFonts w:ascii="Calibri" w:eastAsia="Calibri" w:hAnsi="Calibri" w:cs="Calibri"/>
                <w:color w:val="000000"/>
                <w:sz w:val="18"/>
                <w:szCs w:val="18"/>
              </w:rPr>
            </w:pPr>
            <w:r w:rsidRPr="00775A1E">
              <w:rPr>
                <w:rFonts w:ascii="Calibri" w:eastAsia="Calibri" w:hAnsi="Calibri" w:cs="Calibri"/>
                <w:color w:val="000000"/>
                <w:sz w:val="18"/>
                <w:szCs w:val="18"/>
              </w:rPr>
              <w:t xml:space="preserve">1 </w:t>
            </w:r>
            <w:r w:rsidRPr="00775A1E">
              <w:rPr>
                <w:rFonts w:ascii="Calibri" w:eastAsia="Calibri" w:hAnsi="Calibri" w:cs="Calibri"/>
                <w:color w:val="000000"/>
                <w:sz w:val="18"/>
                <w:szCs w:val="18"/>
              </w:rPr>
              <w:t>hr</w:t>
            </w:r>
          </w:p>
        </w:tc>
        <w:tc>
          <w:tcPr>
            <w:tcW w:w="1026" w:type="dxa"/>
            <w:tcBorders>
              <w:top w:val="nil"/>
              <w:left w:val="nil"/>
              <w:bottom w:val="single" w:sz="8" w:space="0" w:color="000000"/>
              <w:right w:val="single" w:sz="4" w:space="0" w:color="000000"/>
            </w:tcBorders>
            <w:shd w:val="clear" w:color="auto" w:fill="auto"/>
            <w:vAlign w:val="center"/>
          </w:tcPr>
          <w:p w:rsidR="00775A1E" w:rsidRPr="00775A1E" w:rsidP="00D47555" w14:paraId="40ADFF8D" w14:textId="3D9180D6">
            <w:pPr>
              <w:widowControl/>
              <w:jc w:val="center"/>
              <w:rPr>
                <w:rFonts w:ascii="Calibri" w:eastAsia="Calibri" w:hAnsi="Calibri" w:cs="Calibri"/>
                <w:color w:val="000000"/>
                <w:sz w:val="18"/>
                <w:szCs w:val="18"/>
              </w:rPr>
            </w:pPr>
            <w:r>
              <w:rPr>
                <w:rFonts w:ascii="Calibri" w:eastAsia="Calibri" w:hAnsi="Calibri" w:cs="Calibri"/>
                <w:color w:val="000000"/>
                <w:sz w:val="18"/>
                <w:szCs w:val="18"/>
              </w:rPr>
              <w:t>11</w:t>
            </w:r>
          </w:p>
        </w:tc>
        <w:tc>
          <w:tcPr>
            <w:tcW w:w="1084" w:type="dxa"/>
            <w:tcBorders>
              <w:top w:val="nil"/>
              <w:left w:val="nil"/>
              <w:bottom w:val="single" w:sz="8" w:space="0" w:color="000000"/>
              <w:right w:val="single" w:sz="4" w:space="0" w:color="000000"/>
            </w:tcBorders>
            <w:shd w:val="clear" w:color="auto" w:fill="auto"/>
            <w:vAlign w:val="center"/>
          </w:tcPr>
          <w:p w:rsidR="00775A1E" w:rsidRPr="00775A1E" w:rsidP="00D47555" w14:paraId="6E31A0D5" w14:textId="0CAFB4E4">
            <w:pPr>
              <w:widowControl/>
              <w:jc w:val="center"/>
              <w:rPr>
                <w:rFonts w:ascii="Calibri" w:eastAsia="Calibri" w:hAnsi="Calibri" w:cs="Calibri"/>
                <w:color w:val="000000"/>
                <w:sz w:val="18"/>
                <w:szCs w:val="18"/>
              </w:rPr>
            </w:pPr>
            <w:r>
              <w:rPr>
                <w:rFonts w:asciiTheme="minorHAnsi" w:hAnsiTheme="minorHAnsi" w:cstheme="minorHAnsi"/>
                <w:color w:val="000000"/>
                <w:sz w:val="18"/>
                <w:szCs w:val="18"/>
              </w:rPr>
              <w:t>21.15</w:t>
            </w:r>
          </w:p>
        </w:tc>
        <w:tc>
          <w:tcPr>
            <w:tcW w:w="1382" w:type="dxa"/>
            <w:tcBorders>
              <w:top w:val="nil"/>
              <w:left w:val="nil"/>
              <w:bottom w:val="single" w:sz="8" w:space="0" w:color="000000"/>
              <w:right w:val="single" w:sz="8" w:space="0" w:color="000000"/>
            </w:tcBorders>
            <w:shd w:val="clear" w:color="auto" w:fill="auto"/>
            <w:vAlign w:val="center"/>
          </w:tcPr>
          <w:p w:rsidR="00775A1E" w:rsidRPr="00775A1E" w:rsidP="00D47555" w14:paraId="00F3F8B4" w14:textId="4DE38D2A">
            <w:pPr>
              <w:widowControl/>
              <w:jc w:val="center"/>
              <w:rPr>
                <w:rFonts w:ascii="Calibri" w:eastAsia="Calibri" w:hAnsi="Calibri" w:cs="Calibri"/>
                <w:color w:val="000000"/>
                <w:sz w:val="18"/>
                <w:szCs w:val="18"/>
              </w:rPr>
            </w:pPr>
            <w:r>
              <w:rPr>
                <w:rFonts w:ascii="Calibri" w:eastAsia="Calibri" w:hAnsi="Calibri" w:cs="Calibri"/>
                <w:color w:val="000000"/>
                <w:sz w:val="18"/>
                <w:szCs w:val="18"/>
              </w:rPr>
              <w:t>233</w:t>
            </w:r>
          </w:p>
        </w:tc>
      </w:tr>
      <w:tr w14:paraId="28D12C5F" w14:textId="77777777" w:rsidTr="00775A1E">
        <w:tblPrEx>
          <w:tblW w:w="13007" w:type="dxa"/>
          <w:tblInd w:w="-25" w:type="dxa"/>
          <w:tblLayout w:type="fixed"/>
          <w:tblLook w:val="0400"/>
        </w:tblPrEx>
        <w:trPr>
          <w:trHeight w:val="601"/>
        </w:trPr>
        <w:tc>
          <w:tcPr>
            <w:tcW w:w="3213" w:type="dxa"/>
            <w:tcBorders>
              <w:top w:val="nil"/>
              <w:left w:val="single" w:sz="8" w:space="0" w:color="000000"/>
              <w:bottom w:val="single" w:sz="8" w:space="0" w:color="000000"/>
              <w:right w:val="single" w:sz="8" w:space="0" w:color="000000"/>
            </w:tcBorders>
            <w:shd w:val="clear" w:color="auto" w:fill="DDEBF7"/>
            <w:vAlign w:val="center"/>
          </w:tcPr>
          <w:p w:rsidR="00BD2A55" w:rsidRPr="00775A1E" w:rsidP="005A3188" w14:paraId="41DC4949" w14:textId="77777777">
            <w:pPr>
              <w:widowControl/>
              <w:rPr>
                <w:rFonts w:ascii="Calibri" w:eastAsia="Calibri" w:hAnsi="Calibri" w:cs="Calibri"/>
                <w:b/>
                <w:color w:val="000000"/>
                <w:sz w:val="18"/>
                <w:szCs w:val="18"/>
              </w:rPr>
            </w:pPr>
            <w:r w:rsidRPr="00775A1E">
              <w:rPr>
                <w:rFonts w:ascii="Calibri" w:eastAsia="Calibri" w:hAnsi="Calibri" w:cs="Calibri"/>
                <w:b/>
                <w:color w:val="000000"/>
                <w:sz w:val="18"/>
                <w:szCs w:val="18"/>
              </w:rPr>
              <w:t>Totals</w:t>
            </w:r>
          </w:p>
        </w:tc>
        <w:tc>
          <w:tcPr>
            <w:tcW w:w="1572" w:type="dxa"/>
            <w:tcBorders>
              <w:top w:val="nil"/>
              <w:left w:val="nil"/>
              <w:bottom w:val="single" w:sz="8" w:space="0" w:color="000000"/>
              <w:right w:val="single" w:sz="8" w:space="0" w:color="000000"/>
            </w:tcBorders>
            <w:shd w:val="clear" w:color="auto" w:fill="000000" w:themeFill="text1"/>
            <w:vAlign w:val="center"/>
          </w:tcPr>
          <w:p w:rsidR="00BD2A55" w:rsidRPr="00775A1E" w:rsidP="00775A1E" w14:paraId="3AF45FCE" w14:textId="16F63552">
            <w:pPr>
              <w:widowControl/>
              <w:jc w:val="center"/>
              <w:rPr>
                <w:rFonts w:ascii="Calibri" w:eastAsia="Calibri" w:hAnsi="Calibri" w:cs="Calibri"/>
                <w:b/>
                <w:color w:val="000000"/>
                <w:sz w:val="18"/>
                <w:szCs w:val="18"/>
              </w:rPr>
            </w:pPr>
          </w:p>
        </w:tc>
        <w:tc>
          <w:tcPr>
            <w:tcW w:w="1530" w:type="dxa"/>
            <w:tcBorders>
              <w:top w:val="nil"/>
              <w:left w:val="nil"/>
              <w:bottom w:val="single" w:sz="8" w:space="0" w:color="000000"/>
              <w:right w:val="single" w:sz="8" w:space="0" w:color="000000"/>
            </w:tcBorders>
            <w:shd w:val="clear" w:color="auto" w:fill="000000" w:themeFill="text1"/>
            <w:vAlign w:val="center"/>
          </w:tcPr>
          <w:p w:rsidR="00BD2A55" w:rsidRPr="00775A1E" w:rsidP="00D47555" w14:paraId="4C0C41BE" w14:textId="7E683A4A">
            <w:pPr>
              <w:widowControl/>
              <w:jc w:val="center"/>
              <w:rPr>
                <w:rFonts w:ascii="Calibri" w:eastAsia="Calibri" w:hAnsi="Calibri" w:cs="Calibri"/>
                <w:b/>
                <w:color w:val="000000"/>
                <w:sz w:val="18"/>
                <w:szCs w:val="18"/>
              </w:rPr>
            </w:pPr>
          </w:p>
        </w:tc>
        <w:tc>
          <w:tcPr>
            <w:tcW w:w="1080" w:type="dxa"/>
            <w:tcBorders>
              <w:top w:val="nil"/>
              <w:left w:val="nil"/>
              <w:bottom w:val="single" w:sz="8" w:space="0" w:color="000000"/>
              <w:right w:val="single" w:sz="8" w:space="0" w:color="000000"/>
            </w:tcBorders>
            <w:shd w:val="clear" w:color="auto" w:fill="000000"/>
            <w:vAlign w:val="center"/>
          </w:tcPr>
          <w:p w:rsidR="00BD2A55" w:rsidRPr="00775A1E" w:rsidP="00D47555" w14:paraId="0D43030C" w14:textId="7F912F3A">
            <w:pPr>
              <w:widowControl/>
              <w:jc w:val="center"/>
              <w:rPr>
                <w:rFonts w:ascii="Calibri" w:eastAsia="Calibri" w:hAnsi="Calibri" w:cs="Calibri"/>
                <w:b/>
                <w:color w:val="000000"/>
                <w:sz w:val="18"/>
                <w:szCs w:val="18"/>
              </w:rPr>
            </w:pPr>
          </w:p>
        </w:tc>
        <w:tc>
          <w:tcPr>
            <w:tcW w:w="1146" w:type="dxa"/>
            <w:tcBorders>
              <w:top w:val="nil"/>
              <w:left w:val="nil"/>
              <w:bottom w:val="single" w:sz="8" w:space="0" w:color="000000"/>
              <w:right w:val="single" w:sz="8" w:space="0" w:color="000000"/>
            </w:tcBorders>
            <w:shd w:val="clear" w:color="auto" w:fill="DBE5F1" w:themeFill="accent1" w:themeFillTint="33"/>
            <w:vAlign w:val="center"/>
          </w:tcPr>
          <w:p w:rsidR="00BD2A55" w:rsidRPr="00775A1E" w:rsidP="00D47555" w14:paraId="5ED8A1D9" w14:textId="5B83B588">
            <w:pPr>
              <w:widowControl/>
              <w:jc w:val="center"/>
              <w:rPr>
                <w:rFonts w:ascii="Calibri" w:eastAsia="Calibri" w:hAnsi="Calibri" w:cs="Calibri"/>
                <w:b/>
                <w:color w:val="000000"/>
                <w:sz w:val="18"/>
                <w:szCs w:val="18"/>
              </w:rPr>
            </w:pPr>
            <w:r>
              <w:rPr>
                <w:rFonts w:ascii="Calibri" w:eastAsia="Calibri" w:hAnsi="Calibri" w:cs="Calibri"/>
                <w:b/>
                <w:color w:val="000000"/>
                <w:sz w:val="18"/>
                <w:szCs w:val="18"/>
              </w:rPr>
              <w:t>113</w:t>
            </w:r>
          </w:p>
        </w:tc>
        <w:tc>
          <w:tcPr>
            <w:tcW w:w="974" w:type="dxa"/>
            <w:tcBorders>
              <w:top w:val="nil"/>
              <w:left w:val="nil"/>
              <w:bottom w:val="single" w:sz="8" w:space="0" w:color="000000"/>
              <w:right w:val="single" w:sz="8" w:space="0" w:color="000000"/>
            </w:tcBorders>
            <w:shd w:val="clear" w:color="auto" w:fill="000000"/>
            <w:vAlign w:val="center"/>
          </w:tcPr>
          <w:p w:rsidR="00BD2A55" w:rsidRPr="00775A1E" w:rsidP="00D47555" w14:paraId="37C5EE67" w14:textId="121DD821">
            <w:pPr>
              <w:widowControl/>
              <w:jc w:val="center"/>
              <w:rPr>
                <w:rFonts w:ascii="Calibri" w:eastAsia="Calibri" w:hAnsi="Calibri" w:cs="Calibri"/>
                <w:b/>
                <w:color w:val="000000"/>
                <w:sz w:val="18"/>
                <w:szCs w:val="18"/>
              </w:rPr>
            </w:pPr>
          </w:p>
        </w:tc>
        <w:tc>
          <w:tcPr>
            <w:tcW w:w="1026" w:type="dxa"/>
            <w:tcBorders>
              <w:top w:val="nil"/>
              <w:left w:val="nil"/>
              <w:bottom w:val="single" w:sz="8" w:space="0" w:color="000000"/>
              <w:right w:val="single" w:sz="8" w:space="0" w:color="000000"/>
            </w:tcBorders>
            <w:shd w:val="clear" w:color="auto" w:fill="DDEBF7"/>
            <w:vAlign w:val="center"/>
          </w:tcPr>
          <w:p w:rsidR="00BD2A55" w:rsidRPr="00775A1E" w:rsidP="00D47555" w14:paraId="3F57C6D3" w14:textId="3ECAA938">
            <w:pPr>
              <w:widowControl/>
              <w:jc w:val="center"/>
              <w:rPr>
                <w:rFonts w:ascii="Calibri" w:eastAsia="Calibri" w:hAnsi="Calibri" w:cs="Calibri"/>
                <w:b/>
                <w:color w:val="000000"/>
                <w:sz w:val="18"/>
                <w:szCs w:val="18"/>
              </w:rPr>
            </w:pPr>
            <w:r>
              <w:rPr>
                <w:rFonts w:ascii="Calibri" w:eastAsia="Calibri" w:hAnsi="Calibri" w:cs="Calibri"/>
                <w:b/>
                <w:color w:val="000000"/>
                <w:sz w:val="18"/>
                <w:szCs w:val="18"/>
              </w:rPr>
              <w:t>1,620</w:t>
            </w:r>
          </w:p>
        </w:tc>
        <w:tc>
          <w:tcPr>
            <w:tcW w:w="1084" w:type="dxa"/>
            <w:tcBorders>
              <w:top w:val="nil"/>
              <w:left w:val="nil"/>
              <w:bottom w:val="single" w:sz="8" w:space="0" w:color="000000"/>
              <w:right w:val="single" w:sz="8" w:space="0" w:color="000000"/>
            </w:tcBorders>
            <w:shd w:val="clear" w:color="auto" w:fill="000000"/>
            <w:vAlign w:val="center"/>
          </w:tcPr>
          <w:p w:rsidR="00BD2A55" w:rsidRPr="00775A1E" w:rsidP="00D47555" w14:paraId="25736B97" w14:textId="7C3949E1">
            <w:pPr>
              <w:widowControl/>
              <w:jc w:val="center"/>
              <w:rPr>
                <w:rFonts w:ascii="Calibri" w:eastAsia="Calibri" w:hAnsi="Calibri" w:cs="Calibri"/>
                <w:b/>
                <w:color w:val="000000"/>
                <w:sz w:val="18"/>
                <w:szCs w:val="18"/>
              </w:rPr>
            </w:pPr>
          </w:p>
        </w:tc>
        <w:tc>
          <w:tcPr>
            <w:tcW w:w="1382" w:type="dxa"/>
            <w:tcBorders>
              <w:top w:val="nil"/>
              <w:left w:val="nil"/>
              <w:bottom w:val="single" w:sz="8" w:space="0" w:color="000000"/>
              <w:right w:val="single" w:sz="8" w:space="0" w:color="000000"/>
            </w:tcBorders>
            <w:shd w:val="clear" w:color="auto" w:fill="DDEBF7"/>
            <w:vAlign w:val="center"/>
          </w:tcPr>
          <w:p w:rsidR="00BD2A55" w:rsidRPr="00775A1E" w:rsidP="00D47555" w14:paraId="57F338A6" w14:textId="3262B2BE">
            <w:pPr>
              <w:widowControl/>
              <w:jc w:val="center"/>
              <w:rPr>
                <w:rFonts w:ascii="Calibri" w:eastAsia="Calibri" w:hAnsi="Calibri" w:cs="Calibri"/>
                <w:b/>
                <w:color w:val="000000"/>
                <w:sz w:val="18"/>
                <w:szCs w:val="18"/>
              </w:rPr>
            </w:pPr>
            <w:r>
              <w:rPr>
                <w:rFonts w:ascii="Calibri" w:eastAsia="Calibri" w:hAnsi="Calibri" w:cs="Calibri"/>
                <w:b/>
                <w:color w:val="000000"/>
                <w:sz w:val="18"/>
                <w:szCs w:val="18"/>
              </w:rPr>
              <w:t xml:space="preserve">$ </w:t>
            </w:r>
            <w:r w:rsidR="005D0D90">
              <w:rPr>
                <w:rFonts w:ascii="Calibri" w:eastAsia="Calibri" w:hAnsi="Calibri" w:cs="Calibri"/>
                <w:b/>
                <w:color w:val="000000"/>
                <w:sz w:val="18"/>
                <w:szCs w:val="18"/>
              </w:rPr>
              <w:t>30,183</w:t>
            </w:r>
          </w:p>
        </w:tc>
      </w:tr>
    </w:tbl>
    <w:p w:rsidR="00DA4F4F" w:rsidP="00DA4F4F" w14:paraId="58FFC54E" w14:textId="0FFC21A9">
      <w:pPr>
        <w:widowControl/>
        <w:spacing w:before="60"/>
        <w:ind w:left="144" w:hanging="144"/>
        <w:rPr>
          <w:rFonts w:ascii="Calibri" w:eastAsia="Calibri" w:hAnsi="Calibri" w:cs="Calibri"/>
          <w:sz w:val="18"/>
          <w:szCs w:val="18"/>
        </w:rPr>
      </w:pPr>
      <w:r w:rsidRPr="00775A1E">
        <w:rPr>
          <w:rFonts w:eastAsia="Times New Roman" w:asciiTheme="minorHAnsi" w:hAnsiTheme="minorHAnsi" w:cstheme="minorHAnsi"/>
          <w:sz w:val="18"/>
          <w:szCs w:val="18"/>
          <w:vertAlign w:val="superscript"/>
        </w:rPr>
        <w:t>1</w:t>
      </w:r>
      <w:r w:rsidRPr="00775A1E">
        <w:rPr>
          <w:rFonts w:eastAsia="Times New Roman" w:asciiTheme="minorHAnsi" w:hAnsiTheme="minorHAnsi" w:cstheme="minorHAnsi"/>
          <w:sz w:val="18"/>
          <w:szCs w:val="18"/>
        </w:rPr>
        <w:t xml:space="preserve"> </w:t>
      </w:r>
      <w:r w:rsidR="00DC7B2E">
        <w:rPr>
          <w:rFonts w:eastAsia="Times New Roman" w:asciiTheme="minorHAnsi" w:hAnsiTheme="minorHAnsi" w:cstheme="minorHAnsi"/>
          <w:sz w:val="18"/>
          <w:szCs w:val="18"/>
        </w:rPr>
        <w:t xml:space="preserve">The hourly wage rate of $150 </w:t>
      </w:r>
      <w:r w:rsidR="00DC7B2E">
        <w:rPr>
          <w:rFonts w:eastAsia="Times New Roman" w:asciiTheme="minorHAnsi" w:hAnsiTheme="minorHAnsi" w:cstheme="minorHAnsi"/>
          <w:sz w:val="18"/>
          <w:szCs w:val="18"/>
        </w:rPr>
        <w:t>is based</w:t>
      </w:r>
      <w:r w:rsidR="00DC7B2E">
        <w:rPr>
          <w:rFonts w:eastAsia="Times New Roman" w:asciiTheme="minorHAnsi" w:hAnsiTheme="minorHAnsi" w:cstheme="minorHAnsi"/>
          <w:sz w:val="18"/>
          <w:szCs w:val="18"/>
        </w:rPr>
        <w:t xml:space="preserve"> on previous comment received from industry. </w:t>
      </w:r>
      <w:r w:rsidR="00B0756E">
        <w:rPr>
          <w:rFonts w:ascii="Calibri" w:eastAsia="Calibri" w:hAnsi="Calibri" w:cs="Calibri"/>
          <w:sz w:val="18"/>
          <w:szCs w:val="18"/>
        </w:rPr>
        <w:t xml:space="preserve">NMFS </w:t>
      </w:r>
      <w:r w:rsidRPr="00E50C03">
        <w:rPr>
          <w:rFonts w:ascii="Calibri" w:eastAsia="Calibri" w:hAnsi="Calibri" w:cs="Calibri"/>
          <w:sz w:val="18"/>
          <w:szCs w:val="18"/>
        </w:rPr>
        <w:t xml:space="preserve">updates and revises </w:t>
      </w:r>
      <w:r w:rsidR="00B0756E">
        <w:rPr>
          <w:rFonts w:ascii="Calibri" w:eastAsia="Calibri" w:hAnsi="Calibri" w:cs="Calibri"/>
          <w:sz w:val="18"/>
          <w:szCs w:val="18"/>
        </w:rPr>
        <w:t>wage rate estimates wh</w:t>
      </w:r>
      <w:r w:rsidRPr="00E50C03">
        <w:rPr>
          <w:rFonts w:ascii="Calibri" w:eastAsia="Calibri" w:hAnsi="Calibri" w:cs="Calibri"/>
          <w:sz w:val="18"/>
          <w:szCs w:val="18"/>
        </w:rPr>
        <w:t>en public comment supports doing so.</w:t>
      </w:r>
    </w:p>
    <w:p w:rsidR="00D36C17" w:rsidP="00C0564E" w14:paraId="7B7A8798" w14:textId="69C011AE">
      <w:pPr>
        <w:widowControl/>
        <w:spacing w:before="60"/>
        <w:ind w:left="144" w:hanging="144"/>
        <w:rPr>
          <w:rFonts w:asciiTheme="minorHAnsi" w:hAnsiTheme="minorHAnsi" w:cstheme="minorHAnsi"/>
          <w:sz w:val="18"/>
          <w:szCs w:val="18"/>
        </w:rPr>
      </w:pPr>
      <w:r w:rsidRPr="00E50C03">
        <w:rPr>
          <w:rFonts w:ascii="Calibri" w:eastAsia="Calibri" w:hAnsi="Calibri" w:cs="Calibri"/>
          <w:sz w:val="18"/>
          <w:szCs w:val="18"/>
          <w:vertAlign w:val="superscript"/>
        </w:rPr>
        <w:t>2</w:t>
      </w:r>
      <w:r w:rsidRPr="00E50C03">
        <w:rPr>
          <w:rFonts w:ascii="Calibri" w:eastAsia="Calibri" w:hAnsi="Calibri" w:cs="Calibri"/>
          <w:sz w:val="18"/>
          <w:szCs w:val="18"/>
        </w:rPr>
        <w:t xml:space="preserve"> </w:t>
      </w:r>
      <w:r w:rsidRPr="007E36C5">
        <w:rPr>
          <w:rFonts w:asciiTheme="minorHAnsi" w:hAnsiTheme="minorHAnsi" w:cstheme="minorHAnsi"/>
          <w:sz w:val="18"/>
          <w:szCs w:val="18"/>
        </w:rPr>
        <w:t>The application is completed by two respondents</w:t>
      </w:r>
      <w:r w:rsidRPr="007E36C5">
        <w:rPr>
          <w:rFonts w:asciiTheme="minorHAnsi" w:hAnsiTheme="minorHAnsi" w:cstheme="minorHAnsi"/>
          <w:sz w:val="18"/>
          <w:szCs w:val="18"/>
        </w:rPr>
        <w:t>: the transferor and the transferee.</w:t>
      </w:r>
      <w:r w:rsidRPr="00425EEB">
        <w:t xml:space="preserve"> </w:t>
      </w:r>
      <w:r w:rsidRPr="00425EEB">
        <w:rPr>
          <w:rFonts w:asciiTheme="minorHAnsi" w:hAnsiTheme="minorHAnsi" w:cstheme="minorHAnsi"/>
          <w:sz w:val="18"/>
          <w:szCs w:val="18"/>
        </w:rPr>
        <w:t xml:space="preserve">As each respondent is expected to have </w:t>
      </w:r>
      <w:r>
        <w:rPr>
          <w:rFonts w:asciiTheme="minorHAnsi" w:hAnsiTheme="minorHAnsi" w:cstheme="minorHAnsi"/>
          <w:sz w:val="18"/>
          <w:szCs w:val="18"/>
        </w:rPr>
        <w:t>burden hours</w:t>
      </w:r>
      <w:r w:rsidRPr="00425EEB">
        <w:rPr>
          <w:rFonts w:asciiTheme="minorHAnsi" w:hAnsiTheme="minorHAnsi" w:cstheme="minorHAnsi"/>
          <w:sz w:val="18"/>
          <w:szCs w:val="18"/>
        </w:rPr>
        <w:t xml:space="preserve"> in responding, the total annual </w:t>
      </w:r>
      <w:r>
        <w:rPr>
          <w:rFonts w:asciiTheme="minorHAnsi" w:hAnsiTheme="minorHAnsi" w:cstheme="minorHAnsi"/>
          <w:sz w:val="18"/>
          <w:szCs w:val="18"/>
        </w:rPr>
        <w:t xml:space="preserve">burden equals </w:t>
      </w:r>
      <w:r>
        <w:rPr>
          <w:rFonts w:asciiTheme="minorHAnsi" w:hAnsiTheme="minorHAnsi" w:cstheme="minorHAnsi"/>
          <w:sz w:val="18"/>
          <w:szCs w:val="18"/>
        </w:rPr>
        <w:t>2</w:t>
      </w:r>
      <w:r w:rsidRPr="00425EEB">
        <w:rPr>
          <w:rFonts w:asciiTheme="minorHAnsi" w:hAnsiTheme="minorHAnsi" w:cstheme="minorHAnsi"/>
          <w:sz w:val="18"/>
          <w:szCs w:val="18"/>
        </w:rPr>
        <w:t xml:space="preserve"> respondents x Total # of Annual Responses</w:t>
      </w:r>
      <w:r>
        <w:rPr>
          <w:rFonts w:asciiTheme="minorHAnsi" w:hAnsiTheme="minorHAnsi" w:cstheme="minorHAnsi"/>
          <w:sz w:val="18"/>
          <w:szCs w:val="18"/>
        </w:rPr>
        <w:t xml:space="preserve"> [applications] x Burden Hours per Response</w:t>
      </w:r>
      <w:r w:rsidRPr="00425EEB">
        <w:rPr>
          <w:rFonts w:asciiTheme="minorHAnsi" w:hAnsiTheme="minorHAnsi" w:cstheme="minorHAnsi"/>
          <w:sz w:val="18"/>
          <w:szCs w:val="18"/>
        </w:rPr>
        <w:t>.</w:t>
      </w:r>
    </w:p>
    <w:p w:rsidR="00BD2A55" w:rsidP="00DA4EF1" w14:paraId="4340E2A8" w14:textId="5BD35233">
      <w:pPr>
        <w:widowControl/>
        <w:spacing w:line="259" w:lineRule="auto"/>
        <w:rPr>
          <w:b/>
        </w:rPr>
      </w:pPr>
    </w:p>
    <w:p w:rsidR="00BD2A55" w:rsidP="005A3188" w14:paraId="2B44255E" w14:textId="77777777">
      <w:pPr>
        <w:widowControl/>
        <w:spacing w:line="259" w:lineRule="auto"/>
        <w:jc w:val="center"/>
        <w:sectPr w:rsidSect="00DC6F01">
          <w:pgSz w:w="15840" w:h="12240" w:orient="landscape"/>
          <w:pgMar w:top="1440" w:right="1440" w:bottom="1440" w:left="1440" w:header="0" w:footer="1014" w:gutter="0"/>
          <w:cols w:space="720"/>
          <w:docGrid w:linePitch="326"/>
        </w:sectPr>
      </w:pPr>
    </w:p>
    <w:p w:rsidR="00BD2A55" w:rsidP="00974664" w14:paraId="705A54EC" w14:textId="02A11C72">
      <w:pPr>
        <w:widowControl/>
        <w:numPr>
          <w:ilvl w:val="0"/>
          <w:numId w:val="3"/>
        </w:numPr>
        <w:pBdr>
          <w:top w:val="nil"/>
          <w:left w:val="nil"/>
          <w:bottom w:val="nil"/>
          <w:right w:val="nil"/>
          <w:between w:val="nil"/>
        </w:pBdr>
        <w:tabs>
          <w:tab w:val="left" w:pos="360"/>
        </w:tabs>
        <w:ind w:left="0" w:firstLine="0"/>
        <w:rPr>
          <w:b/>
          <w:color w:val="000000"/>
        </w:rPr>
      </w:pPr>
      <w:r>
        <w:rPr>
          <w:b/>
          <w:color w:val="000000"/>
        </w:rPr>
        <w:t xml:space="preserve"> </w:t>
      </w:r>
      <w:r w:rsidR="00333FBA">
        <w:rPr>
          <w:b/>
          <w:color w:val="000000"/>
        </w:rPr>
        <w:t>Provide an estimate for the total annual cost burden to respondents or record keepers resulting from the collection of information. (Do not include the cost of any hour burden already reflected on the burden worksheet).</w:t>
      </w:r>
    </w:p>
    <w:p w:rsidR="007F44AE" w:rsidP="00974664" w14:paraId="21255581" w14:textId="77777777">
      <w:pPr>
        <w:widowControl/>
        <w:pBdr>
          <w:top w:val="nil"/>
          <w:left w:val="nil"/>
          <w:bottom w:val="nil"/>
          <w:right w:val="nil"/>
          <w:between w:val="nil"/>
        </w:pBdr>
        <w:spacing w:before="1"/>
        <w:rPr>
          <w:b/>
          <w:color w:val="000000"/>
        </w:rPr>
      </w:pPr>
    </w:p>
    <w:tbl>
      <w:tblPr>
        <w:tblStyle w:val="5"/>
        <w:tblW w:w="9350" w:type="dxa"/>
        <w:jc w:val="center"/>
        <w:tblLayout w:type="fixed"/>
        <w:tblLook w:val="0400"/>
      </w:tblPr>
      <w:tblGrid>
        <w:gridCol w:w="2564"/>
        <w:gridCol w:w="1026"/>
        <w:gridCol w:w="1170"/>
        <w:gridCol w:w="1080"/>
        <w:gridCol w:w="1890"/>
        <w:gridCol w:w="1620"/>
      </w:tblGrid>
      <w:tr w14:paraId="14E02E67" w14:textId="77777777" w:rsidTr="0062210B">
        <w:tblPrEx>
          <w:tblW w:w="9350" w:type="dxa"/>
          <w:jc w:val="center"/>
          <w:tblLayout w:type="fixed"/>
          <w:tblLook w:val="0400"/>
        </w:tblPrEx>
        <w:trPr>
          <w:trHeight w:val="932"/>
          <w:jc w:val="center"/>
        </w:trPr>
        <w:tc>
          <w:tcPr>
            <w:tcW w:w="2564"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BD2A55" w:rsidP="005A3188" w14:paraId="4EA1E036" w14:textId="7777777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Information Collection</w:t>
            </w:r>
          </w:p>
        </w:tc>
        <w:tc>
          <w:tcPr>
            <w:tcW w:w="1026" w:type="dxa"/>
            <w:tcBorders>
              <w:top w:val="single" w:sz="8" w:space="0" w:color="000000"/>
              <w:left w:val="nil"/>
              <w:bottom w:val="single" w:sz="8" w:space="0" w:color="000000"/>
              <w:right w:val="single" w:sz="8" w:space="0" w:color="000000"/>
            </w:tcBorders>
            <w:shd w:val="clear" w:color="auto" w:fill="BDD7EE"/>
            <w:vAlign w:val="center"/>
          </w:tcPr>
          <w:p w:rsidR="00BD2A55" w:rsidP="000D04B4" w14:paraId="3323514F" w14:textId="4A23DD75">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of Respondents/year</w:t>
            </w:r>
          </w:p>
        </w:tc>
        <w:tc>
          <w:tcPr>
            <w:tcW w:w="1170" w:type="dxa"/>
            <w:tcBorders>
              <w:top w:val="single" w:sz="8" w:space="0" w:color="000000"/>
              <w:left w:val="nil"/>
              <w:bottom w:val="single" w:sz="8" w:space="0" w:color="000000"/>
              <w:right w:val="single" w:sz="8" w:space="0" w:color="000000"/>
            </w:tcBorders>
            <w:shd w:val="clear" w:color="auto" w:fill="BDD7EE"/>
            <w:vAlign w:val="center"/>
          </w:tcPr>
          <w:p w:rsidR="00BD2A55" w:rsidP="000D04B4" w14:paraId="6CF3076F" w14:textId="15967AE9">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Annual # of Responses / Respondent</w:t>
            </w:r>
          </w:p>
        </w:tc>
        <w:tc>
          <w:tcPr>
            <w:tcW w:w="1080" w:type="dxa"/>
            <w:tcBorders>
              <w:top w:val="single" w:sz="8" w:space="0" w:color="000000"/>
              <w:left w:val="nil"/>
              <w:bottom w:val="single" w:sz="8" w:space="0" w:color="000000"/>
              <w:right w:val="single" w:sz="8" w:space="0" w:color="000000"/>
            </w:tcBorders>
            <w:shd w:val="clear" w:color="auto" w:fill="BDD7EE"/>
            <w:vAlign w:val="center"/>
          </w:tcPr>
          <w:p w:rsidR="00BD2A55" w:rsidP="000D04B4" w14:paraId="42710EF5" w14:textId="4A4F3797">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 Total # of Annual Responses</w:t>
            </w:r>
          </w:p>
        </w:tc>
        <w:tc>
          <w:tcPr>
            <w:tcW w:w="1890" w:type="dxa"/>
            <w:tcBorders>
              <w:top w:val="single" w:sz="8" w:space="0" w:color="000000"/>
              <w:left w:val="nil"/>
              <w:bottom w:val="single" w:sz="8" w:space="0" w:color="000000"/>
              <w:right w:val="single" w:sz="8" w:space="0" w:color="000000"/>
            </w:tcBorders>
            <w:shd w:val="clear" w:color="auto" w:fill="BDD7EE"/>
            <w:vAlign w:val="center"/>
          </w:tcPr>
          <w:p w:rsidR="00BD2A55" w:rsidP="000D04B4" w14:paraId="06579A8F" w14:textId="7109E994">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Cost Burden / Respondent</w:t>
            </w:r>
            <w:r w:rsidR="00AB0FA2">
              <w:rPr>
                <w:rFonts w:ascii="Calibri" w:eastAsia="Calibri" w:hAnsi="Calibri" w:cs="Calibri"/>
                <w:b/>
                <w:color w:val="000000"/>
                <w:sz w:val="16"/>
                <w:szCs w:val="16"/>
                <w:vertAlign w:val="superscript"/>
              </w:rPr>
              <w:t>1</w:t>
            </w:r>
          </w:p>
        </w:tc>
        <w:tc>
          <w:tcPr>
            <w:tcW w:w="1620" w:type="dxa"/>
            <w:tcBorders>
              <w:top w:val="single" w:sz="8" w:space="0" w:color="000000"/>
              <w:left w:val="nil"/>
              <w:bottom w:val="single" w:sz="8" w:space="0" w:color="000000"/>
              <w:right w:val="single" w:sz="8" w:space="0" w:color="000000"/>
            </w:tcBorders>
            <w:shd w:val="clear" w:color="auto" w:fill="BDD7EE"/>
            <w:vAlign w:val="center"/>
          </w:tcPr>
          <w:p w:rsidR="00BD2A55" w:rsidP="000D04B4" w14:paraId="69D11359" w14:textId="45F38510">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Annual Cost Burden</w:t>
            </w:r>
          </w:p>
        </w:tc>
      </w:tr>
      <w:tr w14:paraId="21A49933" w14:textId="77777777" w:rsidTr="0062210B">
        <w:tblPrEx>
          <w:tblW w:w="9350" w:type="dxa"/>
          <w:jc w:val="center"/>
          <w:tblLayout w:type="fixed"/>
          <w:tblLook w:val="0400"/>
        </w:tblPrEx>
        <w:trPr>
          <w:trHeight w:val="304"/>
          <w:jc w:val="center"/>
        </w:trPr>
        <w:tc>
          <w:tcPr>
            <w:tcW w:w="2564" w:type="dxa"/>
            <w:tcBorders>
              <w:top w:val="nil"/>
              <w:left w:val="single" w:sz="4" w:space="0" w:color="000000"/>
              <w:bottom w:val="single" w:sz="4" w:space="0" w:color="000000"/>
              <w:right w:val="single" w:sz="4" w:space="0" w:color="000000"/>
            </w:tcBorders>
            <w:shd w:val="clear" w:color="auto" w:fill="auto"/>
            <w:vAlign w:val="center"/>
          </w:tcPr>
          <w:p w:rsidR="0069375E" w:rsidRPr="00711B3D" w:rsidP="0069375E" w14:paraId="7760DC90" w14:textId="7D6226D0">
            <w:pPr>
              <w:widowControl/>
              <w:rPr>
                <w:rFonts w:eastAsia="Calibri" w:asciiTheme="minorHAnsi" w:hAnsiTheme="minorHAnsi" w:cstheme="minorHAnsi"/>
                <w:color w:val="000000"/>
                <w:sz w:val="18"/>
                <w:szCs w:val="18"/>
              </w:rPr>
            </w:pPr>
            <w:r w:rsidRPr="00711B3D">
              <w:rPr>
                <w:rFonts w:asciiTheme="minorHAnsi" w:hAnsiTheme="minorHAnsi" w:cstheme="minorHAnsi"/>
                <w:sz w:val="18"/>
                <w:szCs w:val="18"/>
              </w:rPr>
              <w:t xml:space="preserve">Application for Nonprofit Corporation to be Designated as a CQE </w:t>
            </w:r>
          </w:p>
        </w:tc>
        <w:tc>
          <w:tcPr>
            <w:tcW w:w="1026" w:type="dxa"/>
            <w:tcBorders>
              <w:top w:val="nil"/>
              <w:left w:val="nil"/>
              <w:bottom w:val="single" w:sz="4" w:space="0" w:color="000000"/>
              <w:right w:val="single" w:sz="4" w:space="0" w:color="000000"/>
            </w:tcBorders>
            <w:shd w:val="clear" w:color="auto" w:fill="auto"/>
            <w:vAlign w:val="center"/>
          </w:tcPr>
          <w:p w:rsidR="0069375E" w:rsidRPr="00711B3D" w:rsidP="00711B3D" w14:paraId="59FA7486" w14:textId="0A02EBCE">
            <w:pPr>
              <w:widowControl/>
              <w:jc w:val="center"/>
              <w:rPr>
                <w:rFonts w:ascii="Calibri" w:eastAsia="Calibri" w:hAnsi="Calibri" w:cs="Calibri"/>
                <w:color w:val="000000"/>
                <w:sz w:val="18"/>
                <w:szCs w:val="18"/>
              </w:rPr>
            </w:pPr>
            <w:r w:rsidRPr="00711B3D">
              <w:rPr>
                <w:rFonts w:ascii="Calibri" w:eastAsia="Calibri" w:hAnsi="Calibri" w:cs="Calibri"/>
                <w:color w:val="000000"/>
                <w:sz w:val="18"/>
                <w:szCs w:val="18"/>
              </w:rPr>
              <w:t>1</w:t>
            </w:r>
          </w:p>
        </w:tc>
        <w:tc>
          <w:tcPr>
            <w:tcW w:w="1170" w:type="dxa"/>
            <w:tcBorders>
              <w:top w:val="nil"/>
              <w:left w:val="nil"/>
              <w:bottom w:val="single" w:sz="4" w:space="0" w:color="000000"/>
              <w:right w:val="single" w:sz="4" w:space="0" w:color="000000"/>
            </w:tcBorders>
            <w:shd w:val="clear" w:color="auto" w:fill="auto"/>
            <w:vAlign w:val="center"/>
          </w:tcPr>
          <w:p w:rsidR="0069375E" w:rsidRPr="00711B3D" w:rsidP="00711B3D" w14:paraId="78552E64" w14:textId="2D1CEE04">
            <w:pPr>
              <w:widowControl/>
              <w:jc w:val="center"/>
              <w:rPr>
                <w:rFonts w:ascii="Calibri" w:eastAsia="Calibri" w:hAnsi="Calibri" w:cs="Calibri"/>
                <w:color w:val="000000"/>
                <w:sz w:val="18"/>
                <w:szCs w:val="18"/>
              </w:rPr>
            </w:pPr>
            <w:r w:rsidRPr="00711B3D">
              <w:rPr>
                <w:rFonts w:ascii="Calibri" w:eastAsia="Calibri" w:hAnsi="Calibri" w:cs="Calibri"/>
                <w:color w:val="000000"/>
                <w:sz w:val="18"/>
                <w:szCs w:val="18"/>
              </w:rPr>
              <w:t>1</w:t>
            </w:r>
          </w:p>
        </w:tc>
        <w:tc>
          <w:tcPr>
            <w:tcW w:w="1080" w:type="dxa"/>
            <w:tcBorders>
              <w:top w:val="nil"/>
              <w:left w:val="nil"/>
              <w:bottom w:val="single" w:sz="4" w:space="0" w:color="000000"/>
              <w:right w:val="single" w:sz="4" w:space="0" w:color="000000"/>
            </w:tcBorders>
            <w:shd w:val="clear" w:color="auto" w:fill="auto"/>
            <w:vAlign w:val="center"/>
          </w:tcPr>
          <w:p w:rsidR="0069375E" w:rsidRPr="00711B3D" w:rsidP="00711B3D" w14:paraId="76E199E0" w14:textId="49E3E16D">
            <w:pPr>
              <w:widowControl/>
              <w:jc w:val="center"/>
              <w:rPr>
                <w:rFonts w:ascii="Calibri" w:eastAsia="Calibri" w:hAnsi="Calibri" w:cs="Calibri"/>
                <w:color w:val="000000"/>
                <w:sz w:val="18"/>
                <w:szCs w:val="18"/>
              </w:rPr>
            </w:pPr>
            <w:r w:rsidRPr="00711B3D">
              <w:rPr>
                <w:rFonts w:ascii="Calibri" w:eastAsia="Calibri" w:hAnsi="Calibri" w:cs="Calibri"/>
                <w:color w:val="000000"/>
                <w:sz w:val="18"/>
                <w:szCs w:val="18"/>
              </w:rPr>
              <w:t>1</w:t>
            </w:r>
          </w:p>
        </w:tc>
        <w:tc>
          <w:tcPr>
            <w:tcW w:w="1890" w:type="dxa"/>
            <w:tcBorders>
              <w:top w:val="nil"/>
              <w:left w:val="nil"/>
              <w:bottom w:val="single" w:sz="4" w:space="0" w:color="000000"/>
              <w:right w:val="single" w:sz="4" w:space="0" w:color="000000"/>
            </w:tcBorders>
            <w:shd w:val="clear" w:color="auto" w:fill="FFFFFF"/>
            <w:vAlign w:val="center"/>
          </w:tcPr>
          <w:p w:rsidR="0069375E" w:rsidRPr="00711B3D" w:rsidP="00B60594" w14:paraId="47D927C7" w14:textId="48ADF2C1">
            <w:pPr>
              <w:widowControl/>
              <w:jc w:val="center"/>
              <w:rPr>
                <w:rFonts w:asciiTheme="minorHAnsi" w:hAnsiTheme="minorHAnsi" w:cstheme="minorHAnsi"/>
                <w:sz w:val="18"/>
                <w:szCs w:val="18"/>
              </w:rPr>
            </w:pPr>
            <w:r w:rsidRPr="00711B3D">
              <w:rPr>
                <w:rFonts w:asciiTheme="minorHAnsi" w:hAnsiTheme="minorHAnsi" w:cstheme="minorHAnsi"/>
                <w:sz w:val="18"/>
                <w:szCs w:val="18"/>
              </w:rPr>
              <w:t>Operating costs = $5</w:t>
            </w:r>
          </w:p>
        </w:tc>
        <w:tc>
          <w:tcPr>
            <w:tcW w:w="1620" w:type="dxa"/>
            <w:tcBorders>
              <w:top w:val="nil"/>
              <w:left w:val="nil"/>
              <w:bottom w:val="single" w:sz="4" w:space="0" w:color="000000"/>
              <w:right w:val="single" w:sz="8" w:space="0" w:color="000000"/>
            </w:tcBorders>
            <w:shd w:val="clear" w:color="auto" w:fill="FFFFFF"/>
            <w:vAlign w:val="center"/>
          </w:tcPr>
          <w:p w:rsidR="0069375E" w:rsidRPr="00711B3D" w:rsidP="007967C6" w14:paraId="70D7CB71" w14:textId="059E77C6">
            <w:pPr>
              <w:widowControl/>
              <w:jc w:val="center"/>
              <w:rPr>
                <w:rFonts w:ascii="Calibri" w:eastAsia="Calibri" w:hAnsi="Calibri" w:cs="Calibri"/>
                <w:color w:val="000000"/>
                <w:sz w:val="18"/>
                <w:szCs w:val="18"/>
              </w:rPr>
            </w:pPr>
            <w:r w:rsidRPr="00711B3D">
              <w:rPr>
                <w:rFonts w:ascii="Calibri" w:eastAsia="Calibri" w:hAnsi="Calibri" w:cs="Calibri"/>
                <w:color w:val="000000"/>
                <w:sz w:val="18"/>
                <w:szCs w:val="18"/>
              </w:rPr>
              <w:t>5</w:t>
            </w:r>
          </w:p>
        </w:tc>
      </w:tr>
      <w:tr w14:paraId="73C54935" w14:textId="77777777" w:rsidTr="0062210B">
        <w:tblPrEx>
          <w:tblW w:w="9350" w:type="dxa"/>
          <w:jc w:val="center"/>
          <w:tblLayout w:type="fixed"/>
          <w:tblLook w:val="0400"/>
        </w:tblPrEx>
        <w:trPr>
          <w:trHeight w:val="304"/>
          <w:jc w:val="center"/>
        </w:trPr>
        <w:tc>
          <w:tcPr>
            <w:tcW w:w="2564" w:type="dxa"/>
            <w:tcBorders>
              <w:top w:val="nil"/>
              <w:left w:val="single" w:sz="4" w:space="0" w:color="000000"/>
              <w:bottom w:val="single" w:sz="4" w:space="0" w:color="000000"/>
              <w:right w:val="single" w:sz="4" w:space="0" w:color="000000"/>
            </w:tcBorders>
            <w:shd w:val="clear" w:color="auto" w:fill="auto"/>
            <w:vAlign w:val="center"/>
          </w:tcPr>
          <w:p w:rsidR="0069375E" w:rsidRPr="00711B3D" w:rsidP="0069375E" w14:paraId="3948871B" w14:textId="3977FC50">
            <w:pPr>
              <w:widowControl/>
              <w:rPr>
                <w:rFonts w:eastAsia="Calibri" w:asciiTheme="minorHAnsi" w:hAnsiTheme="minorHAnsi" w:cstheme="minorHAnsi"/>
                <w:color w:val="000000"/>
                <w:sz w:val="18"/>
                <w:szCs w:val="18"/>
              </w:rPr>
            </w:pPr>
            <w:r w:rsidRPr="00711B3D">
              <w:rPr>
                <w:rFonts w:asciiTheme="minorHAnsi" w:hAnsiTheme="minorHAnsi" w:cstheme="minorHAnsi"/>
                <w:sz w:val="18"/>
                <w:szCs w:val="18"/>
              </w:rPr>
              <w:t>CQE Annual Report</w:t>
            </w:r>
          </w:p>
        </w:tc>
        <w:tc>
          <w:tcPr>
            <w:tcW w:w="1026" w:type="dxa"/>
            <w:tcBorders>
              <w:top w:val="nil"/>
              <w:left w:val="nil"/>
              <w:bottom w:val="single" w:sz="4" w:space="0" w:color="000000"/>
              <w:right w:val="single" w:sz="4" w:space="0" w:color="000000"/>
            </w:tcBorders>
            <w:shd w:val="clear" w:color="auto" w:fill="auto"/>
            <w:vAlign w:val="center"/>
          </w:tcPr>
          <w:p w:rsidR="0069375E" w:rsidRPr="00711B3D" w:rsidP="00711B3D" w14:paraId="2E73FB70" w14:textId="314E30A1">
            <w:pPr>
              <w:widowControl/>
              <w:jc w:val="center"/>
              <w:rPr>
                <w:rFonts w:ascii="Calibri" w:eastAsia="Calibri" w:hAnsi="Calibri" w:cs="Calibri"/>
                <w:color w:val="000000"/>
                <w:sz w:val="18"/>
                <w:szCs w:val="18"/>
              </w:rPr>
            </w:pPr>
            <w:r w:rsidRPr="00711B3D">
              <w:rPr>
                <w:rFonts w:ascii="Calibri" w:eastAsia="Calibri" w:hAnsi="Calibri" w:cs="Calibri"/>
                <w:color w:val="000000"/>
                <w:sz w:val="18"/>
                <w:szCs w:val="18"/>
              </w:rPr>
              <w:t>27</w:t>
            </w:r>
          </w:p>
        </w:tc>
        <w:tc>
          <w:tcPr>
            <w:tcW w:w="1170" w:type="dxa"/>
            <w:tcBorders>
              <w:top w:val="nil"/>
              <w:left w:val="nil"/>
              <w:bottom w:val="single" w:sz="4" w:space="0" w:color="000000"/>
              <w:right w:val="single" w:sz="4" w:space="0" w:color="000000"/>
            </w:tcBorders>
            <w:shd w:val="clear" w:color="auto" w:fill="auto"/>
            <w:vAlign w:val="center"/>
          </w:tcPr>
          <w:p w:rsidR="0069375E" w:rsidRPr="00711B3D" w:rsidP="00711B3D" w14:paraId="3281CF5B" w14:textId="1FAC6649">
            <w:pPr>
              <w:widowControl/>
              <w:jc w:val="center"/>
              <w:rPr>
                <w:rFonts w:ascii="Calibri" w:eastAsia="Calibri" w:hAnsi="Calibri" w:cs="Calibri"/>
                <w:color w:val="000000"/>
                <w:sz w:val="18"/>
                <w:szCs w:val="18"/>
              </w:rPr>
            </w:pPr>
            <w:r w:rsidRPr="00711B3D">
              <w:rPr>
                <w:rFonts w:ascii="Calibri" w:eastAsia="Calibri" w:hAnsi="Calibri" w:cs="Calibri"/>
                <w:color w:val="000000"/>
                <w:sz w:val="18"/>
                <w:szCs w:val="18"/>
              </w:rPr>
              <w:t>1</w:t>
            </w:r>
          </w:p>
        </w:tc>
        <w:tc>
          <w:tcPr>
            <w:tcW w:w="1080" w:type="dxa"/>
            <w:tcBorders>
              <w:top w:val="nil"/>
              <w:left w:val="nil"/>
              <w:bottom w:val="single" w:sz="4" w:space="0" w:color="000000"/>
              <w:right w:val="single" w:sz="4" w:space="0" w:color="000000"/>
            </w:tcBorders>
            <w:shd w:val="clear" w:color="auto" w:fill="auto"/>
            <w:vAlign w:val="center"/>
          </w:tcPr>
          <w:p w:rsidR="0069375E" w:rsidRPr="00711B3D" w:rsidP="00711B3D" w14:paraId="38FC9D77" w14:textId="33DCB12C">
            <w:pPr>
              <w:widowControl/>
              <w:jc w:val="center"/>
              <w:rPr>
                <w:rFonts w:ascii="Calibri" w:eastAsia="Calibri" w:hAnsi="Calibri" w:cs="Calibri"/>
                <w:color w:val="000000"/>
                <w:sz w:val="18"/>
                <w:szCs w:val="18"/>
              </w:rPr>
            </w:pPr>
            <w:r w:rsidRPr="00711B3D">
              <w:rPr>
                <w:rFonts w:ascii="Calibri" w:eastAsia="Calibri" w:hAnsi="Calibri" w:cs="Calibri"/>
                <w:color w:val="000000"/>
                <w:sz w:val="18"/>
                <w:szCs w:val="18"/>
              </w:rPr>
              <w:t>27</w:t>
            </w:r>
          </w:p>
        </w:tc>
        <w:tc>
          <w:tcPr>
            <w:tcW w:w="1890" w:type="dxa"/>
            <w:tcBorders>
              <w:top w:val="nil"/>
              <w:left w:val="nil"/>
              <w:bottom w:val="single" w:sz="4" w:space="0" w:color="000000"/>
              <w:right w:val="single" w:sz="4" w:space="0" w:color="000000"/>
            </w:tcBorders>
            <w:shd w:val="clear" w:color="auto" w:fill="FFFFFF"/>
            <w:vAlign w:val="center"/>
          </w:tcPr>
          <w:p w:rsidR="0069375E" w:rsidRPr="00711B3D" w:rsidP="00B60594" w14:paraId="4E31BC0A" w14:textId="21317B3C">
            <w:pPr>
              <w:widowControl/>
              <w:jc w:val="center"/>
              <w:rPr>
                <w:rFonts w:eastAsia="Calibri" w:asciiTheme="minorHAnsi" w:hAnsiTheme="minorHAnsi" w:cstheme="minorHAnsi"/>
                <w:color w:val="000000"/>
                <w:sz w:val="18"/>
                <w:szCs w:val="18"/>
              </w:rPr>
            </w:pPr>
            <w:r w:rsidRPr="00711B3D">
              <w:rPr>
                <w:rFonts w:asciiTheme="minorHAnsi" w:hAnsiTheme="minorHAnsi" w:cstheme="minorHAnsi"/>
                <w:sz w:val="18"/>
                <w:szCs w:val="18"/>
              </w:rPr>
              <w:t>Operating costs = $5</w:t>
            </w:r>
          </w:p>
        </w:tc>
        <w:tc>
          <w:tcPr>
            <w:tcW w:w="1620" w:type="dxa"/>
            <w:tcBorders>
              <w:top w:val="nil"/>
              <w:left w:val="nil"/>
              <w:bottom w:val="single" w:sz="4" w:space="0" w:color="000000"/>
              <w:right w:val="single" w:sz="8" w:space="0" w:color="000000"/>
            </w:tcBorders>
            <w:shd w:val="clear" w:color="auto" w:fill="FFFFFF"/>
            <w:vAlign w:val="center"/>
          </w:tcPr>
          <w:p w:rsidR="0069375E" w:rsidRPr="00711B3D" w:rsidP="007967C6" w14:paraId="6507B55B" w14:textId="1B7C603C">
            <w:pPr>
              <w:widowControl/>
              <w:jc w:val="center"/>
              <w:rPr>
                <w:rFonts w:ascii="Calibri" w:eastAsia="Calibri" w:hAnsi="Calibri" w:cs="Calibri"/>
                <w:color w:val="000000"/>
                <w:sz w:val="18"/>
                <w:szCs w:val="18"/>
              </w:rPr>
            </w:pPr>
            <w:r w:rsidRPr="00711B3D">
              <w:rPr>
                <w:rFonts w:ascii="Calibri" w:eastAsia="Calibri" w:hAnsi="Calibri" w:cs="Calibri"/>
                <w:color w:val="000000"/>
                <w:sz w:val="18"/>
                <w:szCs w:val="18"/>
              </w:rPr>
              <w:t>135</w:t>
            </w:r>
          </w:p>
        </w:tc>
      </w:tr>
      <w:tr w14:paraId="157E54F1" w14:textId="77777777" w:rsidTr="0062210B">
        <w:tblPrEx>
          <w:tblW w:w="9350" w:type="dxa"/>
          <w:jc w:val="center"/>
          <w:tblLayout w:type="fixed"/>
          <w:tblLook w:val="0400"/>
        </w:tblPrEx>
        <w:trPr>
          <w:trHeight w:val="304"/>
          <w:jc w:val="center"/>
        </w:trPr>
        <w:tc>
          <w:tcPr>
            <w:tcW w:w="2564" w:type="dxa"/>
            <w:tcBorders>
              <w:top w:val="nil"/>
              <w:left w:val="single" w:sz="4" w:space="0" w:color="000000"/>
              <w:bottom w:val="single" w:sz="4" w:space="0" w:color="000000"/>
              <w:right w:val="single" w:sz="4" w:space="0" w:color="000000"/>
            </w:tcBorders>
            <w:shd w:val="clear" w:color="auto" w:fill="auto"/>
            <w:vAlign w:val="center"/>
          </w:tcPr>
          <w:p w:rsidR="0069375E" w:rsidRPr="00711B3D" w:rsidP="0069375E" w14:paraId="72967EB2" w14:textId="4B17618D">
            <w:pPr>
              <w:widowControl/>
              <w:rPr>
                <w:rFonts w:eastAsia="Calibri" w:asciiTheme="minorHAnsi" w:hAnsiTheme="minorHAnsi" w:cstheme="minorHAnsi"/>
                <w:color w:val="000000"/>
                <w:sz w:val="18"/>
                <w:szCs w:val="18"/>
              </w:rPr>
            </w:pPr>
            <w:r w:rsidRPr="00711B3D">
              <w:rPr>
                <w:rFonts w:asciiTheme="minorHAnsi" w:hAnsiTheme="minorHAnsi" w:cstheme="minorHAnsi"/>
                <w:sz w:val="18"/>
                <w:szCs w:val="18"/>
              </w:rPr>
              <w:t>Application for Transfer of Quota Share to or from a Community Quota Entity</w:t>
            </w:r>
          </w:p>
        </w:tc>
        <w:tc>
          <w:tcPr>
            <w:tcW w:w="1026" w:type="dxa"/>
            <w:tcBorders>
              <w:top w:val="nil"/>
              <w:left w:val="nil"/>
              <w:bottom w:val="single" w:sz="4" w:space="0" w:color="000000"/>
              <w:right w:val="single" w:sz="4" w:space="0" w:color="000000"/>
            </w:tcBorders>
            <w:shd w:val="clear" w:color="auto" w:fill="auto"/>
            <w:vAlign w:val="center"/>
          </w:tcPr>
          <w:p w:rsidR="0069375E" w:rsidRPr="00711B3D" w:rsidP="00711B3D" w14:paraId="12876A07" w14:textId="3485B6BB">
            <w:pPr>
              <w:widowControl/>
              <w:jc w:val="center"/>
              <w:rPr>
                <w:rFonts w:ascii="Calibri" w:eastAsia="Calibri" w:hAnsi="Calibri" w:cs="Calibri"/>
                <w:color w:val="000000"/>
                <w:sz w:val="18"/>
                <w:szCs w:val="18"/>
              </w:rPr>
            </w:pPr>
            <w:r w:rsidRPr="00711B3D">
              <w:rPr>
                <w:rFonts w:ascii="Calibri" w:eastAsia="Calibri" w:hAnsi="Calibri" w:cs="Calibri"/>
                <w:color w:val="000000"/>
                <w:sz w:val="18"/>
                <w:szCs w:val="18"/>
              </w:rPr>
              <w:t>34</w:t>
            </w:r>
            <w:r w:rsidRPr="00711B3D">
              <w:rPr>
                <w:rFonts w:ascii="Calibri" w:eastAsia="Calibri" w:hAnsi="Calibri" w:cs="Calibri"/>
                <w:color w:val="000000"/>
                <w:sz w:val="18"/>
                <w:szCs w:val="18"/>
                <w:vertAlign w:val="superscript"/>
              </w:rPr>
              <w:t>2</w:t>
            </w:r>
          </w:p>
        </w:tc>
        <w:tc>
          <w:tcPr>
            <w:tcW w:w="1170" w:type="dxa"/>
            <w:tcBorders>
              <w:top w:val="nil"/>
              <w:left w:val="nil"/>
              <w:bottom w:val="single" w:sz="4" w:space="0" w:color="000000"/>
              <w:right w:val="single" w:sz="4" w:space="0" w:color="000000"/>
            </w:tcBorders>
            <w:shd w:val="clear" w:color="auto" w:fill="auto"/>
            <w:vAlign w:val="center"/>
          </w:tcPr>
          <w:p w:rsidR="0069375E" w:rsidRPr="00711B3D" w:rsidP="00711B3D" w14:paraId="6FFB4FA7" w14:textId="08C0044C">
            <w:pPr>
              <w:widowControl/>
              <w:jc w:val="center"/>
              <w:rPr>
                <w:rFonts w:ascii="Calibri" w:eastAsia="Calibri" w:hAnsi="Calibri" w:cs="Calibri"/>
                <w:color w:val="000000"/>
                <w:sz w:val="18"/>
                <w:szCs w:val="18"/>
              </w:rPr>
            </w:pPr>
            <w:r w:rsidRPr="00711B3D">
              <w:rPr>
                <w:rFonts w:ascii="Calibri" w:eastAsia="Calibri" w:hAnsi="Calibri" w:cs="Calibri"/>
                <w:color w:val="000000"/>
                <w:sz w:val="18"/>
                <w:szCs w:val="18"/>
              </w:rPr>
              <w:t>1</w:t>
            </w:r>
          </w:p>
        </w:tc>
        <w:tc>
          <w:tcPr>
            <w:tcW w:w="1080" w:type="dxa"/>
            <w:tcBorders>
              <w:top w:val="nil"/>
              <w:left w:val="nil"/>
              <w:bottom w:val="single" w:sz="4" w:space="0" w:color="000000"/>
              <w:right w:val="single" w:sz="4" w:space="0" w:color="000000"/>
            </w:tcBorders>
            <w:shd w:val="clear" w:color="auto" w:fill="auto"/>
            <w:vAlign w:val="center"/>
          </w:tcPr>
          <w:p w:rsidR="0069375E" w:rsidRPr="00711B3D" w:rsidP="00711B3D" w14:paraId="172BB3F4" w14:textId="49717B5A">
            <w:pPr>
              <w:widowControl/>
              <w:jc w:val="center"/>
              <w:rPr>
                <w:rFonts w:ascii="Calibri" w:eastAsia="Calibri" w:hAnsi="Calibri" w:cs="Calibri"/>
                <w:color w:val="000000"/>
                <w:sz w:val="18"/>
                <w:szCs w:val="18"/>
              </w:rPr>
            </w:pPr>
            <w:r w:rsidRPr="00711B3D">
              <w:rPr>
                <w:rFonts w:ascii="Calibri" w:eastAsia="Calibri" w:hAnsi="Calibri" w:cs="Calibri"/>
                <w:color w:val="000000"/>
                <w:sz w:val="18"/>
                <w:szCs w:val="18"/>
              </w:rPr>
              <w:t>17</w:t>
            </w:r>
          </w:p>
        </w:tc>
        <w:tc>
          <w:tcPr>
            <w:tcW w:w="1890" w:type="dxa"/>
            <w:tcBorders>
              <w:top w:val="nil"/>
              <w:left w:val="nil"/>
              <w:bottom w:val="single" w:sz="4" w:space="0" w:color="000000"/>
              <w:right w:val="single" w:sz="4" w:space="0" w:color="000000"/>
            </w:tcBorders>
            <w:shd w:val="clear" w:color="auto" w:fill="FFFFFF"/>
            <w:vAlign w:val="center"/>
          </w:tcPr>
          <w:p w:rsidR="0069375E" w:rsidRPr="00711B3D" w:rsidP="00B60594" w14:paraId="02A35BE8" w14:textId="02516E23">
            <w:pPr>
              <w:widowControl/>
              <w:jc w:val="center"/>
              <w:rPr>
                <w:rFonts w:eastAsia="Calibri" w:asciiTheme="minorHAnsi" w:hAnsiTheme="minorHAnsi" w:cstheme="minorHAnsi"/>
                <w:color w:val="000000"/>
                <w:sz w:val="18"/>
                <w:szCs w:val="18"/>
              </w:rPr>
            </w:pPr>
            <w:r w:rsidRPr="00711B3D">
              <w:rPr>
                <w:rFonts w:asciiTheme="minorHAnsi" w:hAnsiTheme="minorHAnsi" w:cstheme="minorHAnsi"/>
                <w:sz w:val="18"/>
                <w:szCs w:val="18"/>
              </w:rPr>
              <w:t>Operating costs = $5</w:t>
            </w:r>
          </w:p>
        </w:tc>
        <w:tc>
          <w:tcPr>
            <w:tcW w:w="1620" w:type="dxa"/>
            <w:tcBorders>
              <w:top w:val="nil"/>
              <w:left w:val="nil"/>
              <w:bottom w:val="single" w:sz="4" w:space="0" w:color="000000"/>
              <w:right w:val="single" w:sz="8" w:space="0" w:color="000000"/>
            </w:tcBorders>
            <w:shd w:val="clear" w:color="auto" w:fill="FFFFFF"/>
            <w:vAlign w:val="center"/>
          </w:tcPr>
          <w:p w:rsidR="0069375E" w:rsidRPr="00711B3D" w:rsidP="007967C6" w14:paraId="5009729A" w14:textId="5C9264E5">
            <w:pPr>
              <w:widowControl/>
              <w:jc w:val="center"/>
              <w:rPr>
                <w:rFonts w:ascii="Calibri" w:eastAsia="Calibri" w:hAnsi="Calibri" w:cs="Calibri"/>
                <w:color w:val="000000"/>
                <w:sz w:val="18"/>
                <w:szCs w:val="18"/>
              </w:rPr>
            </w:pPr>
            <w:r w:rsidRPr="00711B3D">
              <w:rPr>
                <w:rFonts w:ascii="Calibri" w:eastAsia="Calibri" w:hAnsi="Calibri" w:cs="Calibri"/>
                <w:color w:val="000000"/>
                <w:sz w:val="18"/>
                <w:szCs w:val="18"/>
              </w:rPr>
              <w:t>170</w:t>
            </w:r>
            <w:r w:rsidRPr="00711B3D" w:rsidR="003D779C">
              <w:rPr>
                <w:rFonts w:ascii="Calibri" w:eastAsia="Calibri" w:hAnsi="Calibri" w:cs="Calibri"/>
                <w:color w:val="000000"/>
                <w:sz w:val="18"/>
                <w:szCs w:val="18"/>
                <w:vertAlign w:val="superscript"/>
              </w:rPr>
              <w:t>3</w:t>
            </w:r>
          </w:p>
        </w:tc>
      </w:tr>
      <w:tr w14:paraId="25732C63" w14:textId="77777777" w:rsidTr="0062210B">
        <w:tblPrEx>
          <w:tblW w:w="9350" w:type="dxa"/>
          <w:jc w:val="center"/>
          <w:tblLayout w:type="fixed"/>
          <w:tblLook w:val="0400"/>
        </w:tblPrEx>
        <w:trPr>
          <w:trHeight w:val="304"/>
          <w:jc w:val="center"/>
        </w:trPr>
        <w:tc>
          <w:tcPr>
            <w:tcW w:w="2564" w:type="dxa"/>
            <w:tcBorders>
              <w:top w:val="nil"/>
              <w:left w:val="single" w:sz="4" w:space="0" w:color="000000"/>
              <w:bottom w:val="single" w:sz="4" w:space="0" w:color="000000"/>
              <w:right w:val="single" w:sz="4" w:space="0" w:color="000000"/>
            </w:tcBorders>
            <w:shd w:val="clear" w:color="auto" w:fill="auto"/>
            <w:vAlign w:val="center"/>
          </w:tcPr>
          <w:p w:rsidR="0069375E" w:rsidRPr="00711B3D" w:rsidP="0069375E" w14:paraId="2A8D679C" w14:textId="5B064BEB">
            <w:pPr>
              <w:widowControl/>
              <w:rPr>
                <w:rFonts w:eastAsia="Calibri" w:asciiTheme="minorHAnsi" w:hAnsiTheme="minorHAnsi" w:cstheme="minorHAnsi"/>
                <w:color w:val="000000"/>
                <w:sz w:val="18"/>
                <w:szCs w:val="18"/>
              </w:rPr>
            </w:pPr>
            <w:r w:rsidRPr="00711B3D">
              <w:rPr>
                <w:rFonts w:asciiTheme="minorHAnsi" w:hAnsiTheme="minorHAnsi" w:cstheme="minorHAnsi"/>
                <w:sz w:val="18"/>
                <w:szCs w:val="18"/>
              </w:rPr>
              <w:t>Application for a CQE to Transfer IFQ to an Eligible Community Resident or Non-resident</w:t>
            </w:r>
          </w:p>
        </w:tc>
        <w:tc>
          <w:tcPr>
            <w:tcW w:w="1026" w:type="dxa"/>
            <w:tcBorders>
              <w:top w:val="nil"/>
              <w:left w:val="nil"/>
              <w:bottom w:val="single" w:sz="4" w:space="0" w:color="000000"/>
              <w:right w:val="single" w:sz="4" w:space="0" w:color="000000"/>
            </w:tcBorders>
            <w:shd w:val="clear" w:color="auto" w:fill="auto"/>
            <w:vAlign w:val="center"/>
          </w:tcPr>
          <w:p w:rsidR="0069375E" w:rsidRPr="00711B3D" w:rsidP="00711B3D" w14:paraId="0DCC9F25" w14:textId="2195F7D3">
            <w:pPr>
              <w:widowControl/>
              <w:jc w:val="center"/>
              <w:rPr>
                <w:rFonts w:ascii="Calibri" w:eastAsia="Calibri" w:hAnsi="Calibri" w:cs="Calibri"/>
                <w:color w:val="000000"/>
                <w:sz w:val="18"/>
                <w:szCs w:val="18"/>
              </w:rPr>
            </w:pPr>
            <w:r w:rsidRPr="00711B3D">
              <w:rPr>
                <w:rFonts w:ascii="Calibri" w:eastAsia="Calibri" w:hAnsi="Calibri" w:cs="Calibri"/>
                <w:color w:val="000000"/>
                <w:sz w:val="18"/>
                <w:szCs w:val="18"/>
              </w:rPr>
              <w:t>8</w:t>
            </w:r>
            <w:r w:rsidRPr="00711B3D">
              <w:rPr>
                <w:rFonts w:ascii="Calibri" w:eastAsia="Calibri" w:hAnsi="Calibri" w:cs="Calibri"/>
                <w:color w:val="000000"/>
                <w:sz w:val="18"/>
                <w:szCs w:val="18"/>
                <w:vertAlign w:val="superscript"/>
              </w:rPr>
              <w:t>2</w:t>
            </w:r>
          </w:p>
        </w:tc>
        <w:tc>
          <w:tcPr>
            <w:tcW w:w="1170" w:type="dxa"/>
            <w:tcBorders>
              <w:top w:val="nil"/>
              <w:left w:val="nil"/>
              <w:bottom w:val="single" w:sz="4" w:space="0" w:color="000000"/>
              <w:right w:val="single" w:sz="4" w:space="0" w:color="000000"/>
            </w:tcBorders>
            <w:shd w:val="clear" w:color="auto" w:fill="auto"/>
            <w:vAlign w:val="center"/>
          </w:tcPr>
          <w:p w:rsidR="0069375E" w:rsidRPr="00711B3D" w:rsidP="00711B3D" w14:paraId="7E020F40" w14:textId="1151221C">
            <w:pPr>
              <w:widowControl/>
              <w:jc w:val="center"/>
              <w:rPr>
                <w:rFonts w:ascii="Calibri" w:eastAsia="Calibri" w:hAnsi="Calibri" w:cs="Calibri"/>
                <w:color w:val="000000"/>
                <w:sz w:val="18"/>
                <w:szCs w:val="18"/>
              </w:rPr>
            </w:pPr>
            <w:r w:rsidRPr="00711B3D">
              <w:rPr>
                <w:rFonts w:ascii="Calibri" w:eastAsia="Calibri" w:hAnsi="Calibri" w:cs="Calibri"/>
                <w:color w:val="000000"/>
                <w:sz w:val="18"/>
                <w:szCs w:val="18"/>
              </w:rPr>
              <w:t>1</w:t>
            </w:r>
          </w:p>
        </w:tc>
        <w:tc>
          <w:tcPr>
            <w:tcW w:w="1080" w:type="dxa"/>
            <w:tcBorders>
              <w:top w:val="nil"/>
              <w:left w:val="nil"/>
              <w:bottom w:val="single" w:sz="4" w:space="0" w:color="000000"/>
              <w:right w:val="single" w:sz="4" w:space="0" w:color="000000"/>
            </w:tcBorders>
            <w:shd w:val="clear" w:color="auto" w:fill="auto"/>
            <w:vAlign w:val="center"/>
          </w:tcPr>
          <w:p w:rsidR="0069375E" w:rsidRPr="00711B3D" w:rsidP="00711B3D" w14:paraId="30100F06" w14:textId="70965872">
            <w:pPr>
              <w:widowControl/>
              <w:jc w:val="center"/>
              <w:rPr>
                <w:rFonts w:ascii="Calibri" w:eastAsia="Calibri" w:hAnsi="Calibri" w:cs="Calibri"/>
                <w:color w:val="000000"/>
                <w:sz w:val="18"/>
                <w:szCs w:val="18"/>
              </w:rPr>
            </w:pPr>
            <w:r w:rsidRPr="00711B3D">
              <w:rPr>
                <w:rFonts w:ascii="Calibri" w:eastAsia="Calibri" w:hAnsi="Calibri" w:cs="Calibri"/>
                <w:color w:val="000000"/>
                <w:sz w:val="18"/>
                <w:szCs w:val="18"/>
              </w:rPr>
              <w:t>4</w:t>
            </w:r>
          </w:p>
        </w:tc>
        <w:tc>
          <w:tcPr>
            <w:tcW w:w="1890" w:type="dxa"/>
            <w:tcBorders>
              <w:top w:val="nil"/>
              <w:left w:val="nil"/>
              <w:bottom w:val="single" w:sz="4" w:space="0" w:color="000000"/>
              <w:right w:val="single" w:sz="4" w:space="0" w:color="000000"/>
            </w:tcBorders>
            <w:shd w:val="clear" w:color="auto" w:fill="FFFFFF"/>
            <w:vAlign w:val="center"/>
          </w:tcPr>
          <w:p w:rsidR="0069375E" w:rsidRPr="00711B3D" w:rsidP="00B60594" w14:paraId="731D2DEC" w14:textId="08FAF72E">
            <w:pPr>
              <w:widowControl/>
              <w:jc w:val="center"/>
              <w:rPr>
                <w:rFonts w:eastAsia="Calibri" w:asciiTheme="minorHAnsi" w:hAnsiTheme="minorHAnsi" w:cstheme="minorHAnsi"/>
                <w:color w:val="000000"/>
                <w:sz w:val="18"/>
                <w:szCs w:val="18"/>
              </w:rPr>
            </w:pPr>
            <w:r w:rsidRPr="00711B3D">
              <w:rPr>
                <w:rFonts w:asciiTheme="minorHAnsi" w:hAnsiTheme="minorHAnsi" w:cstheme="minorHAnsi"/>
                <w:sz w:val="18"/>
                <w:szCs w:val="18"/>
              </w:rPr>
              <w:t>Operating costs = $5</w:t>
            </w:r>
          </w:p>
        </w:tc>
        <w:tc>
          <w:tcPr>
            <w:tcW w:w="1620" w:type="dxa"/>
            <w:tcBorders>
              <w:top w:val="nil"/>
              <w:left w:val="nil"/>
              <w:bottom w:val="single" w:sz="4" w:space="0" w:color="000000"/>
              <w:right w:val="single" w:sz="8" w:space="0" w:color="000000"/>
            </w:tcBorders>
            <w:shd w:val="clear" w:color="auto" w:fill="FFFFFF"/>
            <w:vAlign w:val="center"/>
          </w:tcPr>
          <w:p w:rsidR="0069375E" w:rsidRPr="00711B3D" w:rsidP="007967C6" w14:paraId="4177A148" w14:textId="515B712C">
            <w:pPr>
              <w:widowControl/>
              <w:jc w:val="center"/>
              <w:rPr>
                <w:rFonts w:ascii="Calibri" w:eastAsia="Calibri" w:hAnsi="Calibri" w:cs="Calibri"/>
                <w:color w:val="000000"/>
                <w:sz w:val="18"/>
                <w:szCs w:val="18"/>
              </w:rPr>
            </w:pPr>
            <w:r w:rsidRPr="00711B3D">
              <w:rPr>
                <w:rFonts w:ascii="Calibri" w:eastAsia="Calibri" w:hAnsi="Calibri" w:cs="Calibri"/>
                <w:color w:val="000000"/>
                <w:sz w:val="18"/>
                <w:szCs w:val="18"/>
              </w:rPr>
              <w:t>40</w:t>
            </w:r>
            <w:r w:rsidRPr="00711B3D" w:rsidR="003D779C">
              <w:rPr>
                <w:rFonts w:ascii="Calibri" w:eastAsia="Calibri" w:hAnsi="Calibri" w:cs="Calibri"/>
                <w:color w:val="000000"/>
                <w:sz w:val="18"/>
                <w:szCs w:val="18"/>
                <w:vertAlign w:val="superscript"/>
              </w:rPr>
              <w:t>3</w:t>
            </w:r>
          </w:p>
        </w:tc>
      </w:tr>
      <w:tr w14:paraId="09AD38CF" w14:textId="77777777" w:rsidTr="0062210B">
        <w:tblPrEx>
          <w:tblW w:w="9350" w:type="dxa"/>
          <w:jc w:val="center"/>
          <w:tblLayout w:type="fixed"/>
          <w:tblLook w:val="0400"/>
        </w:tblPrEx>
        <w:trPr>
          <w:trHeight w:val="304"/>
          <w:jc w:val="center"/>
        </w:trPr>
        <w:tc>
          <w:tcPr>
            <w:tcW w:w="2564" w:type="dxa"/>
            <w:tcBorders>
              <w:top w:val="nil"/>
              <w:left w:val="single" w:sz="4" w:space="0" w:color="000000"/>
              <w:bottom w:val="single" w:sz="4" w:space="0" w:color="000000"/>
              <w:right w:val="single" w:sz="4" w:space="0" w:color="000000"/>
            </w:tcBorders>
            <w:shd w:val="clear" w:color="auto" w:fill="auto"/>
            <w:vAlign w:val="center"/>
          </w:tcPr>
          <w:p w:rsidR="0069375E" w:rsidRPr="00711B3D" w:rsidP="0069375E" w14:paraId="429609C7" w14:textId="2FEDFE77">
            <w:pPr>
              <w:widowControl/>
              <w:rPr>
                <w:rFonts w:eastAsia="Calibri" w:asciiTheme="minorHAnsi" w:hAnsiTheme="minorHAnsi" w:cstheme="minorHAnsi"/>
                <w:color w:val="000000"/>
                <w:sz w:val="18"/>
                <w:szCs w:val="18"/>
              </w:rPr>
            </w:pPr>
            <w:r w:rsidRPr="00711B3D">
              <w:rPr>
                <w:rFonts w:asciiTheme="minorHAnsi" w:hAnsiTheme="minorHAnsi" w:cstheme="minorHAnsi"/>
                <w:sz w:val="18"/>
                <w:szCs w:val="18"/>
              </w:rPr>
              <w:t>Application for Transfer (Lease) Between IFQ and Guided Angler Fish by a Community Quota Entity (CQE)</w:t>
            </w:r>
          </w:p>
        </w:tc>
        <w:tc>
          <w:tcPr>
            <w:tcW w:w="1026" w:type="dxa"/>
            <w:tcBorders>
              <w:top w:val="nil"/>
              <w:left w:val="nil"/>
              <w:bottom w:val="single" w:sz="4" w:space="0" w:color="000000"/>
              <w:right w:val="single" w:sz="4" w:space="0" w:color="000000"/>
            </w:tcBorders>
            <w:shd w:val="clear" w:color="auto" w:fill="auto"/>
            <w:vAlign w:val="center"/>
          </w:tcPr>
          <w:p w:rsidR="0069375E" w:rsidRPr="00711B3D" w:rsidP="00711B3D" w14:paraId="1101DF61" w14:textId="464BE17F">
            <w:pPr>
              <w:widowControl/>
              <w:jc w:val="center"/>
              <w:rPr>
                <w:rFonts w:ascii="Calibri" w:eastAsia="Calibri" w:hAnsi="Calibri" w:cs="Calibri"/>
                <w:color w:val="000000"/>
                <w:sz w:val="18"/>
                <w:szCs w:val="18"/>
              </w:rPr>
            </w:pPr>
            <w:r w:rsidRPr="00711B3D">
              <w:rPr>
                <w:rFonts w:ascii="Calibri" w:eastAsia="Calibri" w:hAnsi="Calibri" w:cs="Calibri"/>
                <w:color w:val="000000"/>
                <w:sz w:val="18"/>
                <w:szCs w:val="18"/>
              </w:rPr>
              <w:t>90</w:t>
            </w:r>
            <w:r w:rsidRPr="00711B3D">
              <w:rPr>
                <w:rFonts w:ascii="Calibri" w:eastAsia="Calibri" w:hAnsi="Calibri" w:cs="Calibri"/>
                <w:color w:val="000000"/>
                <w:sz w:val="18"/>
                <w:szCs w:val="18"/>
                <w:vertAlign w:val="superscript"/>
              </w:rPr>
              <w:t>2</w:t>
            </w:r>
          </w:p>
        </w:tc>
        <w:tc>
          <w:tcPr>
            <w:tcW w:w="1170" w:type="dxa"/>
            <w:tcBorders>
              <w:top w:val="nil"/>
              <w:left w:val="nil"/>
              <w:bottom w:val="single" w:sz="4" w:space="0" w:color="000000"/>
              <w:right w:val="single" w:sz="4" w:space="0" w:color="000000"/>
            </w:tcBorders>
            <w:shd w:val="clear" w:color="auto" w:fill="auto"/>
            <w:vAlign w:val="center"/>
          </w:tcPr>
          <w:p w:rsidR="0069375E" w:rsidRPr="00711B3D" w:rsidP="00711B3D" w14:paraId="0FE335AD" w14:textId="6816A93D">
            <w:pPr>
              <w:widowControl/>
              <w:jc w:val="center"/>
              <w:rPr>
                <w:rFonts w:ascii="Calibri" w:eastAsia="Calibri" w:hAnsi="Calibri" w:cs="Calibri"/>
                <w:color w:val="000000"/>
                <w:sz w:val="18"/>
                <w:szCs w:val="18"/>
              </w:rPr>
            </w:pPr>
            <w:r w:rsidRPr="00711B3D">
              <w:rPr>
                <w:rFonts w:ascii="Calibri" w:eastAsia="Calibri" w:hAnsi="Calibri" w:cs="Calibri"/>
                <w:color w:val="000000"/>
                <w:sz w:val="18"/>
                <w:szCs w:val="18"/>
              </w:rPr>
              <w:t>1</w:t>
            </w:r>
          </w:p>
        </w:tc>
        <w:tc>
          <w:tcPr>
            <w:tcW w:w="1080" w:type="dxa"/>
            <w:tcBorders>
              <w:top w:val="nil"/>
              <w:left w:val="nil"/>
              <w:bottom w:val="single" w:sz="4" w:space="0" w:color="000000"/>
              <w:right w:val="single" w:sz="4" w:space="0" w:color="000000"/>
            </w:tcBorders>
            <w:shd w:val="clear" w:color="auto" w:fill="auto"/>
            <w:vAlign w:val="center"/>
          </w:tcPr>
          <w:p w:rsidR="0069375E" w:rsidRPr="00711B3D" w:rsidP="00711B3D" w14:paraId="1A8EF27C" w14:textId="48677CC6">
            <w:pPr>
              <w:widowControl/>
              <w:jc w:val="center"/>
              <w:rPr>
                <w:rFonts w:ascii="Calibri" w:eastAsia="Calibri" w:hAnsi="Calibri" w:cs="Calibri"/>
                <w:color w:val="000000"/>
                <w:sz w:val="18"/>
                <w:szCs w:val="18"/>
              </w:rPr>
            </w:pPr>
            <w:r w:rsidRPr="00711B3D">
              <w:rPr>
                <w:rFonts w:ascii="Calibri" w:eastAsia="Calibri" w:hAnsi="Calibri" w:cs="Calibri"/>
                <w:color w:val="000000"/>
                <w:sz w:val="18"/>
                <w:szCs w:val="18"/>
              </w:rPr>
              <w:t>45</w:t>
            </w:r>
          </w:p>
        </w:tc>
        <w:tc>
          <w:tcPr>
            <w:tcW w:w="1890" w:type="dxa"/>
            <w:tcBorders>
              <w:top w:val="nil"/>
              <w:left w:val="nil"/>
              <w:bottom w:val="single" w:sz="4" w:space="0" w:color="000000"/>
              <w:right w:val="single" w:sz="4" w:space="0" w:color="000000"/>
            </w:tcBorders>
            <w:shd w:val="clear" w:color="auto" w:fill="FFFFFF"/>
            <w:vAlign w:val="center"/>
          </w:tcPr>
          <w:p w:rsidR="0069375E" w:rsidRPr="00711B3D" w:rsidP="00B60594" w14:paraId="78F94135" w14:textId="78D2D978">
            <w:pPr>
              <w:widowControl/>
              <w:jc w:val="center"/>
              <w:rPr>
                <w:rFonts w:eastAsia="Calibri" w:asciiTheme="minorHAnsi" w:hAnsiTheme="minorHAnsi" w:cstheme="minorHAnsi"/>
                <w:color w:val="000000"/>
                <w:sz w:val="18"/>
                <w:szCs w:val="18"/>
              </w:rPr>
            </w:pPr>
            <w:r w:rsidRPr="00711B3D">
              <w:rPr>
                <w:rFonts w:asciiTheme="minorHAnsi" w:hAnsiTheme="minorHAnsi" w:cstheme="minorHAnsi"/>
                <w:sz w:val="18"/>
                <w:szCs w:val="18"/>
              </w:rPr>
              <w:t>Operating costs = $5</w:t>
            </w:r>
          </w:p>
        </w:tc>
        <w:tc>
          <w:tcPr>
            <w:tcW w:w="1620" w:type="dxa"/>
            <w:tcBorders>
              <w:top w:val="nil"/>
              <w:left w:val="nil"/>
              <w:bottom w:val="single" w:sz="4" w:space="0" w:color="000000"/>
              <w:right w:val="single" w:sz="8" w:space="0" w:color="000000"/>
            </w:tcBorders>
            <w:shd w:val="clear" w:color="auto" w:fill="FFFFFF"/>
            <w:vAlign w:val="center"/>
          </w:tcPr>
          <w:p w:rsidR="0069375E" w:rsidRPr="00711B3D" w:rsidP="007967C6" w14:paraId="0D477702" w14:textId="2B6587E6">
            <w:pPr>
              <w:widowControl/>
              <w:jc w:val="center"/>
              <w:rPr>
                <w:rFonts w:ascii="Calibri" w:eastAsia="Calibri" w:hAnsi="Calibri" w:cs="Calibri"/>
                <w:color w:val="000000"/>
                <w:sz w:val="18"/>
                <w:szCs w:val="18"/>
              </w:rPr>
            </w:pPr>
            <w:r w:rsidRPr="00711B3D">
              <w:rPr>
                <w:rFonts w:ascii="Calibri" w:eastAsia="Calibri" w:hAnsi="Calibri" w:cs="Calibri"/>
                <w:color w:val="000000"/>
                <w:sz w:val="18"/>
                <w:szCs w:val="18"/>
              </w:rPr>
              <w:t>450</w:t>
            </w:r>
            <w:r w:rsidRPr="00711B3D" w:rsidR="003D779C">
              <w:rPr>
                <w:rFonts w:ascii="Calibri" w:eastAsia="Calibri" w:hAnsi="Calibri" w:cs="Calibri"/>
                <w:color w:val="000000"/>
                <w:sz w:val="18"/>
                <w:szCs w:val="18"/>
                <w:vertAlign w:val="superscript"/>
              </w:rPr>
              <w:t>3</w:t>
            </w:r>
          </w:p>
        </w:tc>
      </w:tr>
      <w:tr w14:paraId="26757735" w14:textId="77777777" w:rsidTr="0062210B">
        <w:tblPrEx>
          <w:tblW w:w="9350" w:type="dxa"/>
          <w:jc w:val="center"/>
          <w:tblLayout w:type="fixed"/>
          <w:tblLook w:val="0400"/>
        </w:tblPrEx>
        <w:trPr>
          <w:trHeight w:val="304"/>
          <w:jc w:val="center"/>
        </w:trPr>
        <w:tc>
          <w:tcPr>
            <w:tcW w:w="2564" w:type="dxa"/>
            <w:tcBorders>
              <w:top w:val="nil"/>
              <w:left w:val="single" w:sz="4" w:space="0" w:color="000000"/>
              <w:bottom w:val="single" w:sz="4" w:space="0" w:color="000000"/>
              <w:right w:val="single" w:sz="4" w:space="0" w:color="000000"/>
            </w:tcBorders>
            <w:shd w:val="clear" w:color="auto" w:fill="auto"/>
            <w:vAlign w:val="center"/>
          </w:tcPr>
          <w:p w:rsidR="0069375E" w:rsidRPr="00711B3D" w:rsidP="0069375E" w14:paraId="55690FB3" w14:textId="5775748B">
            <w:pPr>
              <w:widowControl/>
              <w:rPr>
                <w:rFonts w:eastAsia="Calibri" w:asciiTheme="minorHAnsi" w:hAnsiTheme="minorHAnsi" w:cstheme="minorHAnsi"/>
                <w:color w:val="000000"/>
                <w:sz w:val="18"/>
                <w:szCs w:val="18"/>
              </w:rPr>
            </w:pPr>
            <w:r w:rsidRPr="00711B3D">
              <w:rPr>
                <w:rFonts w:asciiTheme="minorHAnsi" w:hAnsiTheme="minorHAnsi" w:cstheme="minorHAnsi"/>
                <w:sz w:val="18"/>
                <w:szCs w:val="18"/>
              </w:rPr>
              <w:t>Application for a CQE to Receive a Non-trawl Groundfish LLP License</w:t>
            </w:r>
          </w:p>
        </w:tc>
        <w:tc>
          <w:tcPr>
            <w:tcW w:w="1026" w:type="dxa"/>
            <w:tcBorders>
              <w:top w:val="nil"/>
              <w:left w:val="nil"/>
              <w:bottom w:val="single" w:sz="4" w:space="0" w:color="000000"/>
              <w:right w:val="single" w:sz="4" w:space="0" w:color="000000"/>
            </w:tcBorders>
            <w:shd w:val="clear" w:color="auto" w:fill="auto"/>
            <w:vAlign w:val="center"/>
          </w:tcPr>
          <w:p w:rsidR="0069375E" w:rsidRPr="00711B3D" w:rsidP="00711B3D" w14:paraId="3A8C3034" w14:textId="452A9C2F">
            <w:pPr>
              <w:widowControl/>
              <w:jc w:val="center"/>
              <w:rPr>
                <w:rFonts w:ascii="Calibri" w:eastAsia="Calibri" w:hAnsi="Calibri" w:cs="Calibri"/>
                <w:color w:val="000000"/>
                <w:sz w:val="18"/>
                <w:szCs w:val="18"/>
              </w:rPr>
            </w:pPr>
            <w:r w:rsidRPr="00711B3D">
              <w:rPr>
                <w:rFonts w:ascii="Calibri" w:eastAsia="Calibri" w:hAnsi="Calibri" w:cs="Calibri"/>
                <w:color w:val="000000"/>
                <w:sz w:val="18"/>
                <w:szCs w:val="18"/>
              </w:rPr>
              <w:t>3</w:t>
            </w:r>
          </w:p>
        </w:tc>
        <w:tc>
          <w:tcPr>
            <w:tcW w:w="1170" w:type="dxa"/>
            <w:tcBorders>
              <w:top w:val="nil"/>
              <w:left w:val="nil"/>
              <w:bottom w:val="single" w:sz="4" w:space="0" w:color="000000"/>
              <w:right w:val="single" w:sz="4" w:space="0" w:color="000000"/>
            </w:tcBorders>
            <w:shd w:val="clear" w:color="auto" w:fill="auto"/>
            <w:vAlign w:val="center"/>
          </w:tcPr>
          <w:p w:rsidR="0069375E" w:rsidRPr="00711B3D" w:rsidP="00711B3D" w14:paraId="2F21FD21" w14:textId="0EB69244">
            <w:pPr>
              <w:widowControl/>
              <w:jc w:val="center"/>
              <w:rPr>
                <w:rFonts w:ascii="Calibri" w:eastAsia="Calibri" w:hAnsi="Calibri" w:cs="Calibri"/>
                <w:color w:val="000000"/>
                <w:sz w:val="18"/>
                <w:szCs w:val="18"/>
              </w:rPr>
            </w:pPr>
            <w:r w:rsidRPr="00711B3D">
              <w:rPr>
                <w:rFonts w:ascii="Calibri" w:eastAsia="Calibri" w:hAnsi="Calibri" w:cs="Calibri"/>
                <w:color w:val="000000"/>
                <w:sz w:val="18"/>
                <w:szCs w:val="18"/>
              </w:rPr>
              <w:t>1</w:t>
            </w:r>
          </w:p>
        </w:tc>
        <w:tc>
          <w:tcPr>
            <w:tcW w:w="1080" w:type="dxa"/>
            <w:tcBorders>
              <w:top w:val="nil"/>
              <w:left w:val="nil"/>
              <w:bottom w:val="single" w:sz="4" w:space="0" w:color="000000"/>
              <w:right w:val="single" w:sz="4" w:space="0" w:color="000000"/>
            </w:tcBorders>
            <w:shd w:val="clear" w:color="auto" w:fill="auto"/>
            <w:vAlign w:val="center"/>
          </w:tcPr>
          <w:p w:rsidR="0069375E" w:rsidRPr="00711B3D" w:rsidP="00711B3D" w14:paraId="45F8A458" w14:textId="0D15F05B">
            <w:pPr>
              <w:widowControl/>
              <w:jc w:val="center"/>
              <w:rPr>
                <w:rFonts w:ascii="Calibri" w:eastAsia="Calibri" w:hAnsi="Calibri" w:cs="Calibri"/>
                <w:color w:val="000000"/>
                <w:sz w:val="18"/>
                <w:szCs w:val="18"/>
              </w:rPr>
            </w:pPr>
            <w:r w:rsidRPr="00711B3D">
              <w:rPr>
                <w:rFonts w:ascii="Calibri" w:eastAsia="Calibri" w:hAnsi="Calibri" w:cs="Calibri"/>
                <w:color w:val="000000"/>
                <w:sz w:val="18"/>
                <w:szCs w:val="18"/>
              </w:rPr>
              <w:t>3</w:t>
            </w:r>
          </w:p>
        </w:tc>
        <w:tc>
          <w:tcPr>
            <w:tcW w:w="1890" w:type="dxa"/>
            <w:tcBorders>
              <w:top w:val="nil"/>
              <w:left w:val="nil"/>
              <w:bottom w:val="single" w:sz="4" w:space="0" w:color="000000"/>
              <w:right w:val="single" w:sz="4" w:space="0" w:color="000000"/>
            </w:tcBorders>
            <w:shd w:val="clear" w:color="auto" w:fill="FFFFFF"/>
            <w:vAlign w:val="center"/>
          </w:tcPr>
          <w:p w:rsidR="0069375E" w:rsidRPr="00711B3D" w:rsidP="00B60594" w14:paraId="6EC59723" w14:textId="7D8862B7">
            <w:pPr>
              <w:widowControl/>
              <w:jc w:val="center"/>
              <w:rPr>
                <w:rFonts w:eastAsia="Calibri" w:asciiTheme="minorHAnsi" w:hAnsiTheme="minorHAnsi" w:cstheme="minorHAnsi"/>
                <w:color w:val="000000"/>
                <w:sz w:val="18"/>
                <w:szCs w:val="18"/>
              </w:rPr>
            </w:pPr>
            <w:r w:rsidRPr="00711B3D">
              <w:rPr>
                <w:rFonts w:asciiTheme="minorHAnsi" w:hAnsiTheme="minorHAnsi" w:cstheme="minorHAnsi"/>
                <w:sz w:val="18"/>
                <w:szCs w:val="18"/>
              </w:rPr>
              <w:t>Operating costs = $5</w:t>
            </w:r>
          </w:p>
        </w:tc>
        <w:tc>
          <w:tcPr>
            <w:tcW w:w="1620" w:type="dxa"/>
            <w:tcBorders>
              <w:top w:val="nil"/>
              <w:left w:val="nil"/>
              <w:bottom w:val="single" w:sz="4" w:space="0" w:color="000000"/>
              <w:right w:val="single" w:sz="8" w:space="0" w:color="000000"/>
            </w:tcBorders>
            <w:shd w:val="clear" w:color="auto" w:fill="FFFFFF"/>
            <w:vAlign w:val="center"/>
          </w:tcPr>
          <w:p w:rsidR="0069375E" w:rsidRPr="00711B3D" w:rsidP="007967C6" w14:paraId="2D440B62" w14:textId="711B5965">
            <w:pPr>
              <w:widowControl/>
              <w:jc w:val="center"/>
              <w:rPr>
                <w:rFonts w:ascii="Calibri" w:eastAsia="Calibri" w:hAnsi="Calibri" w:cs="Calibri"/>
                <w:color w:val="000000"/>
                <w:sz w:val="18"/>
                <w:szCs w:val="18"/>
              </w:rPr>
            </w:pPr>
            <w:r w:rsidRPr="00711B3D">
              <w:rPr>
                <w:rFonts w:ascii="Calibri" w:eastAsia="Calibri" w:hAnsi="Calibri" w:cs="Calibri"/>
                <w:color w:val="000000"/>
                <w:sz w:val="18"/>
                <w:szCs w:val="18"/>
              </w:rPr>
              <w:t>15</w:t>
            </w:r>
          </w:p>
        </w:tc>
      </w:tr>
      <w:tr w14:paraId="2819E15D" w14:textId="77777777" w:rsidTr="0062210B">
        <w:tblPrEx>
          <w:tblW w:w="9350" w:type="dxa"/>
          <w:jc w:val="center"/>
          <w:tblLayout w:type="fixed"/>
          <w:tblLook w:val="0400"/>
        </w:tblPrEx>
        <w:trPr>
          <w:trHeight w:val="304"/>
          <w:jc w:val="center"/>
        </w:trPr>
        <w:tc>
          <w:tcPr>
            <w:tcW w:w="2564" w:type="dxa"/>
            <w:tcBorders>
              <w:top w:val="nil"/>
              <w:left w:val="single" w:sz="4" w:space="0" w:color="000000"/>
              <w:bottom w:val="nil"/>
              <w:right w:val="single" w:sz="4" w:space="0" w:color="000000"/>
            </w:tcBorders>
            <w:shd w:val="clear" w:color="auto" w:fill="auto"/>
            <w:vAlign w:val="center"/>
          </w:tcPr>
          <w:p w:rsidR="0069375E" w:rsidRPr="00711B3D" w:rsidP="0069375E" w14:paraId="036B0679" w14:textId="65C66ABD">
            <w:pPr>
              <w:widowControl/>
              <w:rPr>
                <w:rFonts w:eastAsia="Calibri" w:asciiTheme="minorHAnsi" w:hAnsiTheme="minorHAnsi" w:cstheme="minorHAnsi"/>
                <w:color w:val="000000"/>
                <w:sz w:val="18"/>
                <w:szCs w:val="18"/>
              </w:rPr>
            </w:pPr>
            <w:r w:rsidRPr="00711B3D">
              <w:rPr>
                <w:rFonts w:asciiTheme="minorHAnsi" w:hAnsiTheme="minorHAnsi" w:cstheme="minorHAnsi"/>
                <w:sz w:val="18"/>
                <w:szCs w:val="18"/>
              </w:rPr>
              <w:t xml:space="preserve">CQE License Limitation Program Authorization letter  </w:t>
            </w:r>
          </w:p>
        </w:tc>
        <w:tc>
          <w:tcPr>
            <w:tcW w:w="1026" w:type="dxa"/>
            <w:tcBorders>
              <w:top w:val="nil"/>
              <w:left w:val="nil"/>
              <w:bottom w:val="single" w:sz="4" w:space="0" w:color="000000"/>
              <w:right w:val="single" w:sz="4" w:space="0" w:color="000000"/>
            </w:tcBorders>
            <w:shd w:val="clear" w:color="auto" w:fill="auto"/>
            <w:vAlign w:val="center"/>
          </w:tcPr>
          <w:p w:rsidR="0069375E" w:rsidRPr="00711B3D" w:rsidP="00711B3D" w14:paraId="3BE3F7BF" w14:textId="1DB288A2">
            <w:pPr>
              <w:widowControl/>
              <w:jc w:val="center"/>
              <w:rPr>
                <w:rFonts w:ascii="Calibri" w:eastAsia="Calibri" w:hAnsi="Calibri" w:cs="Calibri"/>
                <w:color w:val="000000"/>
                <w:sz w:val="18"/>
                <w:szCs w:val="18"/>
              </w:rPr>
            </w:pPr>
            <w:r w:rsidRPr="00711B3D">
              <w:rPr>
                <w:rFonts w:ascii="Calibri" w:eastAsia="Calibri" w:hAnsi="Calibri" w:cs="Calibri"/>
                <w:color w:val="000000"/>
                <w:sz w:val="18"/>
                <w:szCs w:val="18"/>
              </w:rPr>
              <w:t>5</w:t>
            </w:r>
          </w:p>
        </w:tc>
        <w:tc>
          <w:tcPr>
            <w:tcW w:w="1170" w:type="dxa"/>
            <w:tcBorders>
              <w:top w:val="nil"/>
              <w:left w:val="nil"/>
              <w:bottom w:val="single" w:sz="4" w:space="0" w:color="000000"/>
              <w:right w:val="single" w:sz="4" w:space="0" w:color="000000"/>
            </w:tcBorders>
            <w:shd w:val="clear" w:color="auto" w:fill="auto"/>
            <w:vAlign w:val="center"/>
          </w:tcPr>
          <w:p w:rsidR="0069375E" w:rsidRPr="00711B3D" w:rsidP="00711B3D" w14:paraId="33A41F2C" w14:textId="653083D1">
            <w:pPr>
              <w:widowControl/>
              <w:jc w:val="center"/>
              <w:rPr>
                <w:rFonts w:ascii="Calibri" w:eastAsia="Calibri" w:hAnsi="Calibri" w:cs="Calibri"/>
                <w:color w:val="000000"/>
                <w:sz w:val="18"/>
                <w:szCs w:val="18"/>
              </w:rPr>
            </w:pPr>
            <w:r w:rsidRPr="00711B3D">
              <w:rPr>
                <w:rFonts w:ascii="Calibri" w:eastAsia="Calibri" w:hAnsi="Calibri" w:cs="Calibri"/>
                <w:color w:val="000000"/>
                <w:sz w:val="18"/>
                <w:szCs w:val="18"/>
              </w:rPr>
              <w:t>1</w:t>
            </w:r>
          </w:p>
        </w:tc>
        <w:tc>
          <w:tcPr>
            <w:tcW w:w="1080" w:type="dxa"/>
            <w:tcBorders>
              <w:top w:val="nil"/>
              <w:left w:val="nil"/>
              <w:bottom w:val="single" w:sz="4" w:space="0" w:color="000000"/>
              <w:right w:val="single" w:sz="4" w:space="0" w:color="000000"/>
            </w:tcBorders>
            <w:shd w:val="clear" w:color="auto" w:fill="auto"/>
            <w:vAlign w:val="center"/>
          </w:tcPr>
          <w:p w:rsidR="0069375E" w:rsidRPr="00711B3D" w:rsidP="00711B3D" w14:paraId="3A4CAB15" w14:textId="113DE862">
            <w:pPr>
              <w:widowControl/>
              <w:jc w:val="center"/>
              <w:rPr>
                <w:rFonts w:ascii="Calibri" w:eastAsia="Calibri" w:hAnsi="Calibri" w:cs="Calibri"/>
                <w:color w:val="000000"/>
                <w:sz w:val="18"/>
                <w:szCs w:val="18"/>
              </w:rPr>
            </w:pPr>
            <w:r w:rsidRPr="00711B3D">
              <w:rPr>
                <w:rFonts w:ascii="Calibri" w:eastAsia="Calibri" w:hAnsi="Calibri" w:cs="Calibri"/>
                <w:color w:val="000000"/>
                <w:sz w:val="18"/>
                <w:szCs w:val="18"/>
              </w:rPr>
              <w:t>5</w:t>
            </w:r>
          </w:p>
        </w:tc>
        <w:tc>
          <w:tcPr>
            <w:tcW w:w="1890" w:type="dxa"/>
            <w:tcBorders>
              <w:top w:val="nil"/>
              <w:left w:val="nil"/>
              <w:bottom w:val="nil"/>
              <w:right w:val="single" w:sz="4" w:space="0" w:color="000000"/>
            </w:tcBorders>
            <w:shd w:val="clear" w:color="auto" w:fill="FFFFFF"/>
            <w:vAlign w:val="center"/>
          </w:tcPr>
          <w:p w:rsidR="0069375E" w:rsidRPr="00711B3D" w:rsidP="00B60594" w14:paraId="2A4C2523" w14:textId="58418E41">
            <w:pPr>
              <w:widowControl/>
              <w:jc w:val="center"/>
              <w:rPr>
                <w:rFonts w:eastAsia="Calibri" w:asciiTheme="minorHAnsi" w:hAnsiTheme="minorHAnsi" w:cstheme="minorHAnsi"/>
                <w:color w:val="000000"/>
                <w:sz w:val="18"/>
                <w:szCs w:val="18"/>
              </w:rPr>
            </w:pPr>
            <w:r w:rsidRPr="00711B3D">
              <w:rPr>
                <w:rFonts w:asciiTheme="minorHAnsi" w:hAnsiTheme="minorHAnsi" w:cstheme="minorHAnsi"/>
                <w:sz w:val="18"/>
                <w:szCs w:val="18"/>
              </w:rPr>
              <w:t>Operating costs = $5</w:t>
            </w:r>
          </w:p>
        </w:tc>
        <w:tc>
          <w:tcPr>
            <w:tcW w:w="1620" w:type="dxa"/>
            <w:tcBorders>
              <w:top w:val="nil"/>
              <w:left w:val="nil"/>
              <w:bottom w:val="nil"/>
              <w:right w:val="single" w:sz="8" w:space="0" w:color="000000"/>
            </w:tcBorders>
            <w:shd w:val="clear" w:color="auto" w:fill="FFFFFF"/>
            <w:vAlign w:val="center"/>
          </w:tcPr>
          <w:p w:rsidR="0069375E" w:rsidRPr="00711B3D" w:rsidP="007967C6" w14:paraId="463987C1" w14:textId="41416589">
            <w:pPr>
              <w:widowControl/>
              <w:jc w:val="center"/>
              <w:rPr>
                <w:rFonts w:ascii="Calibri" w:eastAsia="Calibri" w:hAnsi="Calibri" w:cs="Calibri"/>
                <w:color w:val="000000"/>
                <w:sz w:val="18"/>
                <w:szCs w:val="18"/>
              </w:rPr>
            </w:pPr>
            <w:r w:rsidRPr="00711B3D">
              <w:rPr>
                <w:rFonts w:ascii="Calibri" w:eastAsia="Calibri" w:hAnsi="Calibri" w:cs="Calibri"/>
                <w:color w:val="000000"/>
                <w:sz w:val="18"/>
                <w:szCs w:val="18"/>
              </w:rPr>
              <w:t>25</w:t>
            </w:r>
          </w:p>
        </w:tc>
      </w:tr>
      <w:tr w14:paraId="5FF28B94" w14:textId="77777777" w:rsidTr="0062210B">
        <w:tblPrEx>
          <w:tblW w:w="9350" w:type="dxa"/>
          <w:jc w:val="center"/>
          <w:tblLayout w:type="fixed"/>
          <w:tblLook w:val="0400"/>
        </w:tblPrEx>
        <w:trPr>
          <w:trHeight w:val="319"/>
          <w:jc w:val="center"/>
        </w:trPr>
        <w:tc>
          <w:tcPr>
            <w:tcW w:w="2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375E" w:rsidRPr="00711B3D" w:rsidP="0069375E" w14:paraId="03E775FE" w14:textId="11FB66EA">
            <w:pPr>
              <w:widowControl/>
              <w:rPr>
                <w:rFonts w:eastAsia="Calibri" w:asciiTheme="minorHAnsi" w:hAnsiTheme="minorHAnsi" w:cstheme="minorHAnsi"/>
                <w:color w:val="000000"/>
                <w:sz w:val="18"/>
                <w:szCs w:val="18"/>
              </w:rPr>
            </w:pPr>
            <w:r w:rsidRPr="00711B3D">
              <w:rPr>
                <w:rFonts w:asciiTheme="minorHAnsi" w:hAnsiTheme="minorHAnsi" w:cstheme="minorHAnsi"/>
                <w:sz w:val="18"/>
                <w:szCs w:val="18"/>
              </w:rPr>
              <w:t xml:space="preserve"> Application for Community Charter Halibut Permit</w:t>
            </w:r>
          </w:p>
        </w:tc>
        <w:tc>
          <w:tcPr>
            <w:tcW w:w="1026" w:type="dxa"/>
            <w:tcBorders>
              <w:top w:val="nil"/>
              <w:left w:val="nil"/>
              <w:bottom w:val="single" w:sz="8" w:space="0" w:color="000000"/>
              <w:right w:val="single" w:sz="4" w:space="0" w:color="000000"/>
            </w:tcBorders>
            <w:shd w:val="clear" w:color="auto" w:fill="auto"/>
            <w:vAlign w:val="center"/>
          </w:tcPr>
          <w:p w:rsidR="0069375E" w:rsidRPr="00711B3D" w:rsidP="00711B3D" w14:paraId="61A65681" w14:textId="0F08A9F5">
            <w:pPr>
              <w:widowControl/>
              <w:jc w:val="center"/>
              <w:rPr>
                <w:rFonts w:ascii="Calibri" w:eastAsia="Calibri" w:hAnsi="Calibri" w:cs="Calibri"/>
                <w:color w:val="000000"/>
                <w:sz w:val="18"/>
                <w:szCs w:val="18"/>
              </w:rPr>
            </w:pPr>
            <w:r w:rsidRPr="00711B3D">
              <w:rPr>
                <w:rFonts w:ascii="Calibri" w:eastAsia="Calibri" w:hAnsi="Calibri" w:cs="Calibri"/>
                <w:color w:val="000000"/>
                <w:sz w:val="18"/>
                <w:szCs w:val="18"/>
              </w:rPr>
              <w:t>11</w:t>
            </w:r>
          </w:p>
        </w:tc>
        <w:tc>
          <w:tcPr>
            <w:tcW w:w="1170" w:type="dxa"/>
            <w:tcBorders>
              <w:top w:val="nil"/>
              <w:left w:val="nil"/>
              <w:bottom w:val="single" w:sz="8" w:space="0" w:color="000000"/>
              <w:right w:val="single" w:sz="4" w:space="0" w:color="000000"/>
            </w:tcBorders>
            <w:shd w:val="clear" w:color="auto" w:fill="auto"/>
            <w:vAlign w:val="center"/>
          </w:tcPr>
          <w:p w:rsidR="0069375E" w:rsidRPr="00711B3D" w:rsidP="00711B3D" w14:paraId="45518CC6" w14:textId="5A6CD1E0">
            <w:pPr>
              <w:widowControl/>
              <w:jc w:val="center"/>
              <w:rPr>
                <w:rFonts w:ascii="Calibri" w:eastAsia="Calibri" w:hAnsi="Calibri" w:cs="Calibri"/>
                <w:color w:val="000000"/>
                <w:sz w:val="18"/>
                <w:szCs w:val="18"/>
              </w:rPr>
            </w:pPr>
            <w:r w:rsidRPr="00711B3D">
              <w:rPr>
                <w:rFonts w:ascii="Calibri" w:eastAsia="Calibri" w:hAnsi="Calibri" w:cs="Calibri"/>
                <w:color w:val="000000"/>
                <w:sz w:val="18"/>
                <w:szCs w:val="18"/>
              </w:rPr>
              <w:t>1</w:t>
            </w:r>
          </w:p>
        </w:tc>
        <w:tc>
          <w:tcPr>
            <w:tcW w:w="1080" w:type="dxa"/>
            <w:tcBorders>
              <w:top w:val="nil"/>
              <w:left w:val="nil"/>
              <w:bottom w:val="single" w:sz="8" w:space="0" w:color="000000"/>
              <w:right w:val="single" w:sz="4" w:space="0" w:color="000000"/>
            </w:tcBorders>
            <w:shd w:val="clear" w:color="auto" w:fill="auto"/>
            <w:vAlign w:val="center"/>
          </w:tcPr>
          <w:p w:rsidR="0069375E" w:rsidRPr="00711B3D" w:rsidP="00711B3D" w14:paraId="64924FB6" w14:textId="1BBC6F38">
            <w:pPr>
              <w:widowControl/>
              <w:jc w:val="center"/>
              <w:rPr>
                <w:rFonts w:ascii="Calibri" w:eastAsia="Calibri" w:hAnsi="Calibri" w:cs="Calibri"/>
                <w:color w:val="000000"/>
                <w:sz w:val="18"/>
                <w:szCs w:val="18"/>
              </w:rPr>
            </w:pPr>
            <w:r w:rsidRPr="00711B3D">
              <w:rPr>
                <w:rFonts w:ascii="Calibri" w:eastAsia="Calibri" w:hAnsi="Calibri" w:cs="Calibri"/>
                <w:color w:val="000000"/>
                <w:sz w:val="18"/>
                <w:szCs w:val="18"/>
              </w:rPr>
              <w:t>11</w:t>
            </w:r>
          </w:p>
        </w:tc>
        <w:tc>
          <w:tcPr>
            <w:tcW w:w="1890" w:type="dxa"/>
            <w:tcBorders>
              <w:top w:val="single" w:sz="4" w:space="0" w:color="000000"/>
              <w:left w:val="nil"/>
              <w:bottom w:val="single" w:sz="4" w:space="0" w:color="000000"/>
              <w:right w:val="single" w:sz="4" w:space="0" w:color="000000"/>
            </w:tcBorders>
            <w:shd w:val="clear" w:color="auto" w:fill="FFFFFF"/>
            <w:vAlign w:val="center"/>
          </w:tcPr>
          <w:p w:rsidR="0069375E" w:rsidRPr="00711B3D" w:rsidP="00B60594" w14:paraId="5C08D368" w14:textId="6F3C961F">
            <w:pPr>
              <w:widowControl/>
              <w:jc w:val="center"/>
              <w:rPr>
                <w:rFonts w:eastAsia="Calibri" w:asciiTheme="minorHAnsi" w:hAnsiTheme="minorHAnsi" w:cstheme="minorHAnsi"/>
                <w:color w:val="000000"/>
                <w:sz w:val="18"/>
                <w:szCs w:val="18"/>
              </w:rPr>
            </w:pPr>
            <w:r w:rsidRPr="00711B3D">
              <w:rPr>
                <w:rFonts w:asciiTheme="minorHAnsi" w:hAnsiTheme="minorHAnsi" w:cstheme="minorHAnsi"/>
                <w:sz w:val="18"/>
                <w:szCs w:val="18"/>
              </w:rPr>
              <w:t>Operating costs = $5</w:t>
            </w:r>
          </w:p>
        </w:tc>
        <w:tc>
          <w:tcPr>
            <w:tcW w:w="1620" w:type="dxa"/>
            <w:tcBorders>
              <w:top w:val="single" w:sz="4" w:space="0" w:color="000000"/>
              <w:left w:val="nil"/>
              <w:bottom w:val="single" w:sz="4" w:space="0" w:color="000000"/>
              <w:right w:val="single" w:sz="8" w:space="0" w:color="000000"/>
            </w:tcBorders>
            <w:shd w:val="clear" w:color="auto" w:fill="FFFFFF"/>
            <w:vAlign w:val="center"/>
          </w:tcPr>
          <w:p w:rsidR="0069375E" w:rsidRPr="00711B3D" w:rsidP="007967C6" w14:paraId="59A311E6" w14:textId="04E11DB4">
            <w:pPr>
              <w:widowControl/>
              <w:jc w:val="center"/>
              <w:rPr>
                <w:rFonts w:ascii="Calibri" w:eastAsia="Calibri" w:hAnsi="Calibri" w:cs="Calibri"/>
                <w:color w:val="000000"/>
                <w:sz w:val="18"/>
                <w:szCs w:val="18"/>
              </w:rPr>
            </w:pPr>
            <w:r w:rsidRPr="00711B3D">
              <w:rPr>
                <w:rFonts w:ascii="Calibri" w:eastAsia="Calibri" w:hAnsi="Calibri" w:cs="Calibri"/>
                <w:color w:val="000000"/>
                <w:sz w:val="18"/>
                <w:szCs w:val="18"/>
              </w:rPr>
              <w:t>55</w:t>
            </w:r>
          </w:p>
        </w:tc>
      </w:tr>
      <w:tr w14:paraId="0EBD7088" w14:textId="77777777" w:rsidTr="0062210B">
        <w:tblPrEx>
          <w:tblW w:w="9350" w:type="dxa"/>
          <w:jc w:val="center"/>
          <w:tblLayout w:type="fixed"/>
          <w:tblLook w:val="0400"/>
        </w:tblPrEx>
        <w:trPr>
          <w:trHeight w:val="319"/>
          <w:jc w:val="center"/>
        </w:trPr>
        <w:tc>
          <w:tcPr>
            <w:tcW w:w="2564" w:type="dxa"/>
            <w:tcBorders>
              <w:top w:val="single" w:sz="8" w:space="0" w:color="000000"/>
              <w:left w:val="single" w:sz="8" w:space="0" w:color="000000"/>
              <w:bottom w:val="single" w:sz="8" w:space="0" w:color="000000"/>
              <w:right w:val="single" w:sz="4" w:space="0" w:color="000000"/>
            </w:tcBorders>
            <w:shd w:val="clear" w:color="auto" w:fill="DDEBF7"/>
            <w:vAlign w:val="center"/>
          </w:tcPr>
          <w:p w:rsidR="00BD2A55" w:rsidRPr="00711B3D" w:rsidP="005A3188" w14:paraId="76E1A399" w14:textId="77777777">
            <w:pPr>
              <w:widowControl/>
              <w:jc w:val="right"/>
              <w:rPr>
                <w:rFonts w:ascii="Calibri" w:eastAsia="Calibri" w:hAnsi="Calibri" w:cs="Calibri"/>
                <w:b/>
                <w:color w:val="000000"/>
                <w:sz w:val="18"/>
                <w:szCs w:val="18"/>
              </w:rPr>
            </w:pPr>
            <w:r w:rsidRPr="00711B3D">
              <w:rPr>
                <w:rFonts w:ascii="Calibri" w:eastAsia="Calibri" w:hAnsi="Calibri" w:cs="Calibri"/>
                <w:b/>
                <w:color w:val="000000"/>
                <w:sz w:val="18"/>
                <w:szCs w:val="18"/>
              </w:rPr>
              <w:t>TOTALS</w:t>
            </w:r>
          </w:p>
        </w:tc>
        <w:tc>
          <w:tcPr>
            <w:tcW w:w="1026" w:type="dxa"/>
            <w:tcBorders>
              <w:top w:val="single" w:sz="8" w:space="0" w:color="000000"/>
              <w:left w:val="nil"/>
              <w:bottom w:val="single" w:sz="8" w:space="0" w:color="000000"/>
              <w:right w:val="single" w:sz="4" w:space="0" w:color="000000"/>
            </w:tcBorders>
            <w:shd w:val="clear" w:color="auto" w:fill="DBE5F1" w:themeFill="accent1" w:themeFillTint="33"/>
            <w:vAlign w:val="center"/>
          </w:tcPr>
          <w:p w:rsidR="00BD2A55" w:rsidRPr="00711B3D" w:rsidP="00A97887" w14:paraId="494E27EE" w14:textId="77B7EB9D">
            <w:pPr>
              <w:widowControl/>
              <w:jc w:val="center"/>
              <w:rPr>
                <w:rFonts w:ascii="Calibri" w:eastAsia="Calibri" w:hAnsi="Calibri" w:cs="Calibri"/>
                <w:b/>
                <w:color w:val="000000"/>
                <w:sz w:val="18"/>
                <w:szCs w:val="18"/>
              </w:rPr>
            </w:pPr>
            <w:r>
              <w:rPr>
                <w:rFonts w:ascii="Calibri" w:eastAsia="Calibri" w:hAnsi="Calibri" w:cs="Calibri"/>
                <w:b/>
                <w:color w:val="000000"/>
                <w:sz w:val="18"/>
                <w:szCs w:val="18"/>
              </w:rPr>
              <w:t>94</w:t>
            </w:r>
            <w:r w:rsidRPr="00EE67C6" w:rsidR="00EE67C6">
              <w:rPr>
                <w:rFonts w:ascii="Calibri" w:eastAsia="Calibri" w:hAnsi="Calibri" w:cs="Calibri"/>
                <w:b/>
                <w:color w:val="000000"/>
                <w:sz w:val="18"/>
                <w:szCs w:val="18"/>
                <w:vertAlign w:val="superscript"/>
              </w:rPr>
              <w:t>4</w:t>
            </w:r>
          </w:p>
        </w:tc>
        <w:tc>
          <w:tcPr>
            <w:tcW w:w="1170" w:type="dxa"/>
            <w:tcBorders>
              <w:top w:val="single" w:sz="8" w:space="0" w:color="000000"/>
              <w:left w:val="nil"/>
              <w:bottom w:val="single" w:sz="8" w:space="0" w:color="000000"/>
              <w:right w:val="single" w:sz="4" w:space="0" w:color="000000"/>
            </w:tcBorders>
            <w:shd w:val="clear" w:color="auto" w:fill="000000" w:themeFill="text1"/>
            <w:vAlign w:val="center"/>
          </w:tcPr>
          <w:p w:rsidR="00BD2A55" w:rsidRPr="00711B3D" w:rsidP="005A3188" w14:paraId="565EBF55" w14:textId="77777777">
            <w:pPr>
              <w:widowControl/>
              <w:jc w:val="right"/>
              <w:rPr>
                <w:rFonts w:ascii="Calibri" w:eastAsia="Calibri" w:hAnsi="Calibri" w:cs="Calibri"/>
                <w:b/>
                <w:color w:val="000000"/>
                <w:sz w:val="18"/>
                <w:szCs w:val="18"/>
              </w:rPr>
            </w:pPr>
            <w:r w:rsidRPr="00711B3D">
              <w:rPr>
                <w:rFonts w:ascii="Calibri" w:eastAsia="Calibri" w:hAnsi="Calibri" w:cs="Calibri"/>
                <w:b/>
                <w:color w:val="000000"/>
                <w:sz w:val="18"/>
                <w:szCs w:val="18"/>
              </w:rPr>
              <w:t> </w:t>
            </w:r>
          </w:p>
        </w:tc>
        <w:tc>
          <w:tcPr>
            <w:tcW w:w="1080" w:type="dxa"/>
            <w:tcBorders>
              <w:top w:val="single" w:sz="8" w:space="0" w:color="000000"/>
              <w:left w:val="nil"/>
              <w:bottom w:val="single" w:sz="8" w:space="0" w:color="000000"/>
              <w:right w:val="single" w:sz="4" w:space="0" w:color="000000"/>
            </w:tcBorders>
            <w:shd w:val="clear" w:color="auto" w:fill="DDEBF7"/>
            <w:vAlign w:val="center"/>
          </w:tcPr>
          <w:p w:rsidR="00BD2A55" w:rsidRPr="00711B3D" w:rsidP="007967C6" w14:paraId="0BDF12F9" w14:textId="21BF8559">
            <w:pPr>
              <w:widowControl/>
              <w:jc w:val="center"/>
              <w:rPr>
                <w:rFonts w:ascii="Calibri" w:eastAsia="Calibri" w:hAnsi="Calibri" w:cs="Calibri"/>
                <w:b/>
                <w:color w:val="000000"/>
                <w:sz w:val="18"/>
                <w:szCs w:val="18"/>
              </w:rPr>
            </w:pPr>
            <w:r>
              <w:rPr>
                <w:rFonts w:ascii="Calibri" w:eastAsia="Calibri" w:hAnsi="Calibri" w:cs="Calibri"/>
                <w:b/>
                <w:color w:val="000000"/>
                <w:sz w:val="18"/>
                <w:szCs w:val="18"/>
              </w:rPr>
              <w:t>113</w:t>
            </w:r>
          </w:p>
        </w:tc>
        <w:tc>
          <w:tcPr>
            <w:tcW w:w="1890" w:type="dxa"/>
            <w:tcBorders>
              <w:top w:val="single" w:sz="8" w:space="0" w:color="000000"/>
              <w:left w:val="nil"/>
              <w:bottom w:val="single" w:sz="8" w:space="0" w:color="000000"/>
              <w:right w:val="single" w:sz="4" w:space="0" w:color="000000"/>
            </w:tcBorders>
            <w:shd w:val="clear" w:color="auto" w:fill="000000" w:themeFill="text1"/>
            <w:vAlign w:val="center"/>
          </w:tcPr>
          <w:p w:rsidR="00BD2A55" w:rsidRPr="00711B3D" w:rsidP="005A3188" w14:paraId="07E78DF0" w14:textId="77777777">
            <w:pPr>
              <w:widowControl/>
              <w:jc w:val="right"/>
              <w:rPr>
                <w:rFonts w:ascii="Calibri" w:eastAsia="Calibri" w:hAnsi="Calibri" w:cs="Calibri"/>
                <w:b/>
                <w:color w:val="000000"/>
                <w:sz w:val="18"/>
                <w:szCs w:val="18"/>
              </w:rPr>
            </w:pPr>
            <w:r w:rsidRPr="00711B3D">
              <w:rPr>
                <w:rFonts w:ascii="Calibri" w:eastAsia="Calibri" w:hAnsi="Calibri" w:cs="Calibri"/>
                <w:b/>
                <w:color w:val="000000"/>
                <w:sz w:val="18"/>
                <w:szCs w:val="18"/>
              </w:rPr>
              <w:t> </w:t>
            </w:r>
          </w:p>
        </w:tc>
        <w:tc>
          <w:tcPr>
            <w:tcW w:w="1620" w:type="dxa"/>
            <w:tcBorders>
              <w:top w:val="single" w:sz="8" w:space="0" w:color="000000"/>
              <w:left w:val="nil"/>
              <w:bottom w:val="single" w:sz="8" w:space="0" w:color="000000"/>
              <w:right w:val="single" w:sz="8" w:space="0" w:color="000000"/>
            </w:tcBorders>
            <w:shd w:val="clear" w:color="auto" w:fill="DDEBF7"/>
            <w:vAlign w:val="center"/>
          </w:tcPr>
          <w:p w:rsidR="00BD2A55" w:rsidRPr="00711B3D" w:rsidP="007967C6" w14:paraId="593CDB7F" w14:textId="16C71641">
            <w:pPr>
              <w:widowControl/>
              <w:jc w:val="center"/>
              <w:rPr>
                <w:rFonts w:ascii="Calibri" w:eastAsia="Calibri" w:hAnsi="Calibri" w:cs="Calibri"/>
                <w:b/>
                <w:color w:val="000000"/>
                <w:sz w:val="18"/>
                <w:szCs w:val="18"/>
              </w:rPr>
            </w:pPr>
            <w:r>
              <w:rPr>
                <w:rFonts w:ascii="Calibri" w:eastAsia="Calibri" w:hAnsi="Calibri" w:cs="Calibri"/>
                <w:b/>
                <w:color w:val="000000"/>
                <w:sz w:val="18"/>
                <w:szCs w:val="18"/>
              </w:rPr>
              <w:t>$</w:t>
            </w:r>
            <w:r w:rsidRPr="00711B3D" w:rsidR="003A49B0">
              <w:rPr>
                <w:rFonts w:ascii="Calibri" w:eastAsia="Calibri" w:hAnsi="Calibri" w:cs="Calibri"/>
                <w:b/>
                <w:color w:val="000000"/>
                <w:sz w:val="18"/>
                <w:szCs w:val="18"/>
              </w:rPr>
              <w:t>895</w:t>
            </w:r>
          </w:p>
        </w:tc>
      </w:tr>
    </w:tbl>
    <w:p w:rsidR="00AB0FA2" w:rsidP="00965B64" w14:paraId="1FBA2E4F" w14:textId="235E20E1">
      <w:pPr>
        <w:widowControl/>
        <w:pBdr>
          <w:top w:val="nil"/>
          <w:left w:val="nil"/>
          <w:bottom w:val="nil"/>
          <w:right w:val="nil"/>
          <w:between w:val="nil"/>
        </w:pBdr>
        <w:spacing w:before="60"/>
        <w:ind w:left="144" w:hanging="144"/>
        <w:rPr>
          <w:rFonts w:asciiTheme="minorHAnsi" w:hAnsiTheme="minorHAnsi" w:cstheme="minorHAnsi"/>
          <w:sz w:val="18"/>
          <w:szCs w:val="18"/>
        </w:rPr>
      </w:pPr>
      <w:r w:rsidRPr="006D0991">
        <w:rPr>
          <w:rFonts w:asciiTheme="minorHAnsi" w:hAnsiTheme="minorHAnsi" w:cstheme="minorHAnsi"/>
          <w:sz w:val="18"/>
          <w:szCs w:val="18"/>
          <w:vertAlign w:val="superscript"/>
        </w:rPr>
        <w:t>1</w:t>
      </w:r>
      <w:r>
        <w:rPr>
          <w:rFonts w:asciiTheme="minorHAnsi" w:hAnsiTheme="minorHAnsi" w:cstheme="minorHAnsi"/>
          <w:sz w:val="18"/>
          <w:szCs w:val="18"/>
          <w:vertAlign w:val="superscript"/>
        </w:rPr>
        <w:t xml:space="preserve"> </w:t>
      </w:r>
      <w:r w:rsidRPr="00711B3D">
        <w:rPr>
          <w:rFonts w:asciiTheme="minorHAnsi" w:hAnsiTheme="minorHAnsi" w:cstheme="minorHAnsi"/>
          <w:sz w:val="18"/>
          <w:szCs w:val="18"/>
        </w:rPr>
        <w:t>Operating costs account for the typical inclusive general office services packages that include expenses for email, fax, copying, mailing, printing, and internet.</w:t>
      </w:r>
    </w:p>
    <w:p w:rsidR="0069748E" w:rsidRPr="0069748E" w:rsidP="00711B3D" w14:paraId="0FEF78A9" w14:textId="45FBAC00">
      <w:pPr>
        <w:widowControl/>
        <w:spacing w:before="60"/>
        <w:rPr>
          <w:rFonts w:eastAsia="Times New Roman" w:asciiTheme="minorHAnsi" w:hAnsiTheme="minorHAnsi" w:cstheme="minorHAnsi"/>
          <w:sz w:val="18"/>
          <w:szCs w:val="18"/>
        </w:rPr>
      </w:pPr>
      <w:r w:rsidRPr="0069748E">
        <w:rPr>
          <w:rFonts w:eastAsia="Times New Roman" w:asciiTheme="minorHAnsi" w:hAnsiTheme="minorHAnsi" w:cstheme="minorHAnsi"/>
          <w:sz w:val="18"/>
          <w:szCs w:val="18"/>
          <w:vertAlign w:val="superscript"/>
        </w:rPr>
        <w:t>2</w:t>
      </w:r>
      <w:r w:rsidRPr="0069748E">
        <w:rPr>
          <w:rFonts w:eastAsia="Times New Roman" w:asciiTheme="minorHAnsi" w:hAnsiTheme="minorHAnsi" w:cstheme="minorHAnsi"/>
          <w:sz w:val="18"/>
          <w:szCs w:val="18"/>
        </w:rPr>
        <w:t xml:space="preserve"> The application is completed by two respondents</w:t>
      </w:r>
      <w:r w:rsidRPr="0069748E">
        <w:rPr>
          <w:rFonts w:eastAsia="Times New Roman" w:asciiTheme="minorHAnsi" w:hAnsiTheme="minorHAnsi" w:cstheme="minorHAnsi"/>
          <w:sz w:val="18"/>
          <w:szCs w:val="18"/>
        </w:rPr>
        <w:t>: the transferor and the transferee.</w:t>
      </w:r>
    </w:p>
    <w:p w:rsidR="00AB0FA2" w:rsidP="00C0564E" w14:paraId="0ECAB180" w14:textId="07A578B1">
      <w:pPr>
        <w:widowControl/>
        <w:pBdr>
          <w:top w:val="nil"/>
          <w:left w:val="nil"/>
          <w:bottom w:val="nil"/>
          <w:right w:val="nil"/>
          <w:between w:val="nil"/>
        </w:pBdr>
        <w:spacing w:before="60"/>
        <w:ind w:left="144" w:hanging="144"/>
        <w:rPr>
          <w:rFonts w:asciiTheme="minorHAnsi" w:hAnsiTheme="minorHAnsi" w:cstheme="minorHAnsi"/>
          <w:sz w:val="18"/>
          <w:szCs w:val="18"/>
        </w:rPr>
      </w:pPr>
      <w:r>
        <w:rPr>
          <w:rFonts w:asciiTheme="minorHAnsi" w:hAnsiTheme="minorHAnsi" w:cstheme="minorHAnsi"/>
          <w:color w:val="000000"/>
          <w:sz w:val="18"/>
          <w:szCs w:val="18"/>
          <w:vertAlign w:val="superscript"/>
        </w:rPr>
        <w:t>3</w:t>
      </w:r>
      <w:r w:rsidRPr="00C0564E">
        <w:rPr>
          <w:rFonts w:asciiTheme="minorHAnsi" w:hAnsiTheme="minorHAnsi" w:cstheme="minorHAnsi"/>
          <w:color w:val="000000"/>
          <w:sz w:val="18"/>
          <w:szCs w:val="18"/>
        </w:rPr>
        <w:t xml:space="preserve"> </w:t>
      </w:r>
      <w:r w:rsidRPr="007E36C5">
        <w:rPr>
          <w:rFonts w:asciiTheme="minorHAnsi" w:hAnsiTheme="minorHAnsi" w:cstheme="minorHAnsi"/>
          <w:sz w:val="18"/>
          <w:szCs w:val="18"/>
        </w:rPr>
        <w:t>The application is completed by two respondents</w:t>
      </w:r>
      <w:r w:rsidRPr="007E36C5">
        <w:rPr>
          <w:rFonts w:asciiTheme="minorHAnsi" w:hAnsiTheme="minorHAnsi" w:cstheme="minorHAnsi"/>
          <w:sz w:val="18"/>
          <w:szCs w:val="18"/>
        </w:rPr>
        <w:t>: the transferor and the transferee.</w:t>
      </w:r>
      <w:r w:rsidRPr="00EF6BDD" w:rsidR="00EF6BDD">
        <w:t xml:space="preserve"> </w:t>
      </w:r>
      <w:r w:rsidRPr="00EF6BDD" w:rsidR="00EF6BDD">
        <w:rPr>
          <w:rFonts w:asciiTheme="minorHAnsi" w:hAnsiTheme="minorHAnsi" w:cstheme="minorHAnsi"/>
          <w:sz w:val="18"/>
          <w:szCs w:val="18"/>
        </w:rPr>
        <w:t xml:space="preserve">As each respondent is expected to have some operating costs in responding, the total annual cost equals </w:t>
      </w:r>
      <w:r w:rsidRPr="00EF6BDD" w:rsidR="00EF6BDD">
        <w:rPr>
          <w:rFonts w:asciiTheme="minorHAnsi" w:hAnsiTheme="minorHAnsi" w:cstheme="minorHAnsi"/>
          <w:sz w:val="18"/>
          <w:szCs w:val="18"/>
        </w:rPr>
        <w:t>2</w:t>
      </w:r>
      <w:r w:rsidRPr="00EF6BDD" w:rsidR="00EF6BDD">
        <w:rPr>
          <w:rFonts w:asciiTheme="minorHAnsi" w:hAnsiTheme="minorHAnsi" w:cstheme="minorHAnsi"/>
          <w:sz w:val="18"/>
          <w:szCs w:val="18"/>
        </w:rPr>
        <w:t xml:space="preserve"> respondents x Total # of Annual Responses x $5 operating costs.</w:t>
      </w:r>
    </w:p>
    <w:p w:rsidR="0031797F" w:rsidP="002C2179" w14:paraId="1AB80490" w14:textId="4E821127">
      <w:pPr>
        <w:widowControl/>
        <w:pBdr>
          <w:top w:val="nil"/>
          <w:left w:val="nil"/>
          <w:bottom w:val="nil"/>
          <w:right w:val="nil"/>
          <w:between w:val="nil"/>
        </w:pBdr>
        <w:spacing w:before="60"/>
        <w:ind w:left="144" w:hanging="144"/>
        <w:rPr>
          <w:rFonts w:asciiTheme="minorHAnsi" w:hAnsiTheme="minorHAnsi" w:cstheme="minorHAnsi"/>
          <w:sz w:val="18"/>
          <w:szCs w:val="18"/>
        </w:rPr>
      </w:pPr>
      <w:r w:rsidRPr="00711B3D">
        <w:rPr>
          <w:rFonts w:asciiTheme="minorHAnsi" w:hAnsiTheme="minorHAnsi" w:cstheme="minorHAnsi"/>
          <w:sz w:val="18"/>
          <w:szCs w:val="18"/>
          <w:vertAlign w:val="superscript"/>
        </w:rPr>
        <w:t>4</w:t>
      </w:r>
      <w:r w:rsidRPr="00C0564E" w:rsidR="00AB0FA2">
        <w:rPr>
          <w:rFonts w:asciiTheme="minorHAnsi" w:hAnsiTheme="minorHAnsi" w:cstheme="minorHAnsi"/>
          <w:sz w:val="18"/>
          <w:szCs w:val="18"/>
        </w:rPr>
        <w:t xml:space="preserve"> </w:t>
      </w:r>
      <w:r w:rsidRPr="00D24F60" w:rsidR="00D24F60">
        <w:rPr>
          <w:rFonts w:asciiTheme="minorHAnsi" w:hAnsiTheme="minorHAnsi" w:cstheme="minorHAnsi"/>
          <w:sz w:val="18"/>
          <w:szCs w:val="18"/>
        </w:rPr>
        <w:t xml:space="preserve">Unique respondents. Some participants in the </w:t>
      </w:r>
      <w:r w:rsidR="00D24F60">
        <w:rPr>
          <w:rFonts w:asciiTheme="minorHAnsi" w:hAnsiTheme="minorHAnsi" w:cstheme="minorHAnsi"/>
          <w:sz w:val="18"/>
          <w:szCs w:val="18"/>
        </w:rPr>
        <w:t>CQE</w:t>
      </w:r>
      <w:r w:rsidRPr="00D24F60" w:rsidR="00D24F60">
        <w:rPr>
          <w:rFonts w:asciiTheme="minorHAnsi" w:hAnsiTheme="minorHAnsi" w:cstheme="minorHAnsi"/>
          <w:sz w:val="18"/>
          <w:szCs w:val="18"/>
        </w:rPr>
        <w:t xml:space="preserve"> Program submit more than one instrument in this information collection. Therefore, the number of unique respondents </w:t>
      </w:r>
      <w:r w:rsidRPr="00D24F60" w:rsidR="00D24F60">
        <w:rPr>
          <w:rFonts w:asciiTheme="minorHAnsi" w:hAnsiTheme="minorHAnsi" w:cstheme="minorHAnsi"/>
          <w:sz w:val="18"/>
          <w:szCs w:val="18"/>
        </w:rPr>
        <w:t>is used</w:t>
      </w:r>
      <w:r w:rsidRPr="00D24F60" w:rsidR="00D24F60">
        <w:rPr>
          <w:rFonts w:asciiTheme="minorHAnsi" w:hAnsiTheme="minorHAnsi" w:cstheme="minorHAnsi"/>
          <w:sz w:val="18"/>
          <w:szCs w:val="18"/>
        </w:rPr>
        <w:t xml:space="preserve"> to show the estimated number of individual participants who are expected to annually submit information during the renewal period for this information collection. The estimated number of unique respondents consist of the following: </w:t>
      </w:r>
      <w:r w:rsidR="00D24F60">
        <w:rPr>
          <w:rFonts w:asciiTheme="minorHAnsi" w:hAnsiTheme="minorHAnsi" w:cstheme="minorHAnsi"/>
          <w:sz w:val="18"/>
          <w:szCs w:val="18"/>
        </w:rPr>
        <w:t xml:space="preserve">1 CQE applicant, 27 CQES, </w:t>
      </w:r>
      <w:r w:rsidRPr="00D24F60" w:rsidR="00D24F60">
        <w:rPr>
          <w:rFonts w:asciiTheme="minorHAnsi" w:hAnsiTheme="minorHAnsi" w:cstheme="minorHAnsi"/>
          <w:sz w:val="18"/>
          <w:szCs w:val="18"/>
        </w:rPr>
        <w:t>21 QS/IFQ holders,</w:t>
      </w:r>
      <w:r w:rsidR="00D24F60">
        <w:rPr>
          <w:rFonts w:asciiTheme="minorHAnsi" w:hAnsiTheme="minorHAnsi" w:cstheme="minorHAnsi"/>
          <w:sz w:val="18"/>
          <w:szCs w:val="18"/>
        </w:rPr>
        <w:t xml:space="preserve"> and 45 CHP holders.</w:t>
      </w:r>
      <w:bookmarkStart w:id="0" w:name="_GoBack"/>
      <w:bookmarkEnd w:id="0"/>
    </w:p>
    <w:p w:rsidR="007E1EFF" w14:paraId="5E16CC33" w14:textId="448BE79D">
      <w:pPr>
        <w:rPr>
          <w:rFonts w:asciiTheme="minorHAnsi" w:hAnsiTheme="minorHAnsi" w:cstheme="minorHAnsi"/>
          <w:sz w:val="18"/>
          <w:szCs w:val="18"/>
        </w:rPr>
      </w:pPr>
    </w:p>
    <w:p w:rsidR="00BD2A55" w:rsidP="00974664" w14:paraId="45ED1496"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 xml:space="preserve"> </w:t>
      </w:r>
      <w:r w:rsidR="00333FBA">
        <w:rPr>
          <w:b/>
          <w:color w:val="00000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FD5827" w:rsidRPr="00F63593" w:rsidP="005A3188" w14:paraId="65DD1F03" w14:textId="1D5A459A">
      <w:pPr>
        <w:widowControl/>
        <w:pBdr>
          <w:top w:val="nil"/>
          <w:left w:val="nil"/>
          <w:bottom w:val="nil"/>
          <w:right w:val="nil"/>
          <w:between w:val="nil"/>
        </w:pBdr>
        <w:rPr>
          <w:color w:val="000000"/>
        </w:rPr>
      </w:pPr>
    </w:p>
    <w:p w:rsidR="00F63593" w:rsidRPr="00F63593" w:rsidP="005A3188" w14:paraId="2B2CE4C9" w14:textId="5C8A45BB">
      <w:pPr>
        <w:widowControl/>
        <w:pBdr>
          <w:top w:val="nil"/>
          <w:left w:val="nil"/>
          <w:bottom w:val="nil"/>
          <w:right w:val="nil"/>
          <w:between w:val="nil"/>
        </w:pBdr>
        <w:rPr>
          <w:color w:val="000000"/>
        </w:rPr>
      </w:pPr>
      <w:r w:rsidRPr="00F63593">
        <w:rPr>
          <w:color w:val="000000"/>
        </w:rPr>
        <w:t xml:space="preserve">Federal government costs </w:t>
      </w:r>
      <w:r w:rsidRPr="00F63593">
        <w:rPr>
          <w:color w:val="000000"/>
        </w:rPr>
        <w:t xml:space="preserve">are </w:t>
      </w:r>
      <w:r>
        <w:rPr>
          <w:color w:val="000000"/>
        </w:rPr>
        <w:t>based</w:t>
      </w:r>
      <w:r>
        <w:rPr>
          <w:color w:val="000000"/>
        </w:rPr>
        <w:t xml:space="preserve"> on a single employee at ZP</w:t>
      </w:r>
      <w:r w:rsidRPr="00F63593">
        <w:rPr>
          <w:color w:val="000000"/>
        </w:rPr>
        <w:t xml:space="preserve">-3 Step 3 in </w:t>
      </w:r>
      <w:r>
        <w:rPr>
          <w:color w:val="000000"/>
        </w:rPr>
        <w:t xml:space="preserve">Juneau, </w:t>
      </w:r>
      <w:r w:rsidRPr="00F63593">
        <w:rPr>
          <w:color w:val="000000"/>
        </w:rPr>
        <w:t>Alaska, which is an annual salary of $</w:t>
      </w:r>
      <w:r>
        <w:rPr>
          <w:color w:val="000000"/>
        </w:rPr>
        <w:t>121,378</w:t>
      </w:r>
      <w:r w:rsidRPr="00F63593">
        <w:rPr>
          <w:color w:val="000000"/>
        </w:rPr>
        <w:t>. The fully loaded salary cost includes 52 percent of the salary to account for benefits and other overhead costs, totaling $</w:t>
      </w:r>
      <w:r>
        <w:rPr>
          <w:color w:val="000000"/>
        </w:rPr>
        <w:t>184,495</w:t>
      </w:r>
      <w:r w:rsidRPr="00F63593">
        <w:rPr>
          <w:color w:val="000000"/>
        </w:rPr>
        <w:t>.</w:t>
      </w:r>
    </w:p>
    <w:p w:rsidR="00F63593" w:rsidRPr="00F63593" w:rsidP="005A3188" w14:paraId="2CE30B26" w14:textId="77777777">
      <w:pPr>
        <w:widowControl/>
        <w:pBdr>
          <w:top w:val="nil"/>
          <w:left w:val="nil"/>
          <w:bottom w:val="nil"/>
          <w:right w:val="nil"/>
          <w:between w:val="nil"/>
        </w:pBdr>
        <w:rPr>
          <w:color w:val="000000"/>
        </w:rPr>
      </w:pPr>
    </w:p>
    <w:tbl>
      <w:tblPr>
        <w:tblStyle w:val="4"/>
        <w:tblW w:w="9391" w:type="dxa"/>
        <w:jc w:val="center"/>
        <w:tblLayout w:type="fixed"/>
        <w:tblLook w:val="0400"/>
      </w:tblPr>
      <w:tblGrid>
        <w:gridCol w:w="2451"/>
        <w:gridCol w:w="1425"/>
        <w:gridCol w:w="1299"/>
        <w:gridCol w:w="1276"/>
        <w:gridCol w:w="1460"/>
        <w:gridCol w:w="1480"/>
      </w:tblGrid>
      <w:tr w14:paraId="6A6B7DDC" w14:textId="77777777" w:rsidTr="009605C4">
        <w:tblPrEx>
          <w:tblW w:w="9391" w:type="dxa"/>
          <w:jc w:val="center"/>
          <w:tblLayout w:type="fixed"/>
          <w:tblLook w:val="0400"/>
        </w:tblPrEx>
        <w:trPr>
          <w:trHeight w:val="493"/>
          <w:jc w:val="center"/>
        </w:trPr>
        <w:tc>
          <w:tcPr>
            <w:tcW w:w="2451" w:type="dxa"/>
            <w:tcBorders>
              <w:top w:val="single" w:sz="8" w:space="0" w:color="000000"/>
              <w:left w:val="single" w:sz="8" w:space="0" w:color="000000"/>
              <w:bottom w:val="nil"/>
              <w:right w:val="single" w:sz="8" w:space="0" w:color="000000"/>
            </w:tcBorders>
            <w:shd w:val="clear" w:color="auto" w:fill="BDD7EE"/>
            <w:vAlign w:val="center"/>
          </w:tcPr>
          <w:p w:rsidR="00BD2A55" w:rsidRPr="00532A12" w:rsidP="005A3188" w14:paraId="47E7C557" w14:textId="77777777">
            <w:pPr>
              <w:widowControl/>
              <w:jc w:val="center"/>
              <w:rPr>
                <w:rFonts w:ascii="Calibri" w:eastAsia="Calibri" w:hAnsi="Calibri" w:cs="Calibri"/>
                <w:b/>
                <w:color w:val="000000"/>
                <w:sz w:val="18"/>
                <w:szCs w:val="18"/>
              </w:rPr>
            </w:pPr>
            <w:r w:rsidRPr="00532A12">
              <w:rPr>
                <w:rFonts w:ascii="Calibri" w:eastAsia="Calibri" w:hAnsi="Calibri" w:cs="Calibri"/>
                <w:b/>
                <w:color w:val="000000"/>
                <w:sz w:val="18"/>
                <w:szCs w:val="18"/>
              </w:rPr>
              <w:t>Cost Descriptions</w:t>
            </w:r>
          </w:p>
        </w:tc>
        <w:tc>
          <w:tcPr>
            <w:tcW w:w="1425" w:type="dxa"/>
            <w:tcBorders>
              <w:top w:val="single" w:sz="8" w:space="0" w:color="000000"/>
              <w:left w:val="nil"/>
              <w:bottom w:val="nil"/>
              <w:right w:val="single" w:sz="8" w:space="0" w:color="000000"/>
            </w:tcBorders>
            <w:shd w:val="clear" w:color="auto" w:fill="BDD7EE"/>
            <w:vAlign w:val="center"/>
          </w:tcPr>
          <w:p w:rsidR="00BD2A55" w:rsidRPr="00532A12" w:rsidP="005A3188" w14:paraId="218A68FC" w14:textId="77777777">
            <w:pPr>
              <w:widowControl/>
              <w:jc w:val="center"/>
              <w:rPr>
                <w:rFonts w:ascii="Calibri" w:eastAsia="Calibri" w:hAnsi="Calibri" w:cs="Calibri"/>
                <w:b/>
                <w:color w:val="000000"/>
                <w:sz w:val="18"/>
                <w:szCs w:val="18"/>
              </w:rPr>
            </w:pPr>
            <w:r w:rsidRPr="00532A12">
              <w:rPr>
                <w:rFonts w:ascii="Calibri" w:eastAsia="Calibri" w:hAnsi="Calibri" w:cs="Calibri"/>
                <w:b/>
                <w:color w:val="000000"/>
                <w:sz w:val="18"/>
                <w:szCs w:val="18"/>
              </w:rPr>
              <w:t>Grade/Step</w:t>
            </w:r>
          </w:p>
        </w:tc>
        <w:tc>
          <w:tcPr>
            <w:tcW w:w="1299" w:type="dxa"/>
            <w:tcBorders>
              <w:top w:val="single" w:sz="8" w:space="0" w:color="000000"/>
              <w:left w:val="nil"/>
              <w:bottom w:val="nil"/>
              <w:right w:val="single" w:sz="8" w:space="0" w:color="000000"/>
            </w:tcBorders>
            <w:shd w:val="clear" w:color="auto" w:fill="BDD7EE"/>
            <w:vAlign w:val="center"/>
          </w:tcPr>
          <w:p w:rsidR="00BD2A55" w:rsidRPr="00532A12" w:rsidP="005A3188" w14:paraId="55EA3EDF" w14:textId="77777777">
            <w:pPr>
              <w:widowControl/>
              <w:jc w:val="center"/>
              <w:rPr>
                <w:rFonts w:ascii="Calibri" w:eastAsia="Calibri" w:hAnsi="Calibri" w:cs="Calibri"/>
                <w:b/>
                <w:color w:val="000000"/>
                <w:sz w:val="18"/>
                <w:szCs w:val="18"/>
              </w:rPr>
            </w:pPr>
            <w:r w:rsidRPr="00532A12">
              <w:rPr>
                <w:rFonts w:ascii="Calibri" w:eastAsia="Calibri" w:hAnsi="Calibri" w:cs="Calibri"/>
                <w:b/>
                <w:color w:val="000000"/>
                <w:sz w:val="18"/>
                <w:szCs w:val="18"/>
              </w:rPr>
              <w:t>Loaded Salary /Cost</w:t>
            </w:r>
          </w:p>
        </w:tc>
        <w:tc>
          <w:tcPr>
            <w:tcW w:w="1276" w:type="dxa"/>
            <w:tcBorders>
              <w:top w:val="single" w:sz="8" w:space="0" w:color="000000"/>
              <w:left w:val="nil"/>
              <w:bottom w:val="nil"/>
              <w:right w:val="single" w:sz="8" w:space="0" w:color="000000"/>
            </w:tcBorders>
            <w:shd w:val="clear" w:color="auto" w:fill="BDD7EE"/>
            <w:vAlign w:val="center"/>
          </w:tcPr>
          <w:p w:rsidR="00BD2A55" w:rsidRPr="00532A12" w:rsidP="005A3188" w14:paraId="167ADB1D" w14:textId="77777777">
            <w:pPr>
              <w:widowControl/>
              <w:jc w:val="center"/>
              <w:rPr>
                <w:rFonts w:ascii="Calibri" w:eastAsia="Calibri" w:hAnsi="Calibri" w:cs="Calibri"/>
                <w:b/>
                <w:color w:val="000000"/>
                <w:sz w:val="18"/>
                <w:szCs w:val="18"/>
              </w:rPr>
            </w:pPr>
            <w:r w:rsidRPr="00532A12">
              <w:rPr>
                <w:rFonts w:ascii="Calibri" w:eastAsia="Calibri" w:hAnsi="Calibri" w:cs="Calibri"/>
                <w:b/>
                <w:color w:val="000000"/>
                <w:sz w:val="18"/>
                <w:szCs w:val="18"/>
              </w:rPr>
              <w:t>% of Effort</w:t>
            </w:r>
          </w:p>
        </w:tc>
        <w:tc>
          <w:tcPr>
            <w:tcW w:w="1460" w:type="dxa"/>
            <w:tcBorders>
              <w:top w:val="single" w:sz="8" w:space="0" w:color="000000"/>
              <w:left w:val="nil"/>
              <w:bottom w:val="nil"/>
              <w:right w:val="single" w:sz="8" w:space="0" w:color="000000"/>
            </w:tcBorders>
            <w:shd w:val="clear" w:color="auto" w:fill="BDD7EE"/>
            <w:vAlign w:val="center"/>
          </w:tcPr>
          <w:p w:rsidR="00BD2A55" w:rsidRPr="00532A12" w:rsidP="005A3188" w14:paraId="0234A2CF" w14:textId="77777777">
            <w:pPr>
              <w:widowControl/>
              <w:jc w:val="center"/>
              <w:rPr>
                <w:rFonts w:ascii="Calibri" w:eastAsia="Calibri" w:hAnsi="Calibri" w:cs="Calibri"/>
                <w:b/>
                <w:color w:val="000000"/>
                <w:sz w:val="18"/>
                <w:szCs w:val="18"/>
              </w:rPr>
            </w:pPr>
            <w:r w:rsidRPr="00532A12">
              <w:rPr>
                <w:rFonts w:ascii="Calibri" w:eastAsia="Calibri" w:hAnsi="Calibri" w:cs="Calibri"/>
                <w:b/>
                <w:color w:val="000000"/>
                <w:sz w:val="18"/>
                <w:szCs w:val="18"/>
              </w:rPr>
              <w:t>Fringe (if Applicable)</w:t>
            </w:r>
          </w:p>
        </w:tc>
        <w:tc>
          <w:tcPr>
            <w:tcW w:w="1480" w:type="dxa"/>
            <w:tcBorders>
              <w:top w:val="single" w:sz="8" w:space="0" w:color="000000"/>
              <w:left w:val="nil"/>
              <w:bottom w:val="nil"/>
              <w:right w:val="single" w:sz="8" w:space="0" w:color="000000"/>
            </w:tcBorders>
            <w:shd w:val="clear" w:color="auto" w:fill="BDD7EE"/>
            <w:vAlign w:val="center"/>
          </w:tcPr>
          <w:p w:rsidR="00BD2A55" w:rsidRPr="00532A12" w:rsidP="005A3188" w14:paraId="38568650" w14:textId="77777777">
            <w:pPr>
              <w:widowControl/>
              <w:jc w:val="center"/>
              <w:rPr>
                <w:rFonts w:ascii="Calibri" w:eastAsia="Calibri" w:hAnsi="Calibri" w:cs="Calibri"/>
                <w:b/>
                <w:color w:val="000000"/>
                <w:sz w:val="18"/>
                <w:szCs w:val="18"/>
              </w:rPr>
            </w:pPr>
            <w:r w:rsidRPr="00532A12">
              <w:rPr>
                <w:rFonts w:ascii="Calibri" w:eastAsia="Calibri" w:hAnsi="Calibri" w:cs="Calibri"/>
                <w:b/>
                <w:color w:val="000000"/>
                <w:sz w:val="18"/>
                <w:szCs w:val="18"/>
              </w:rPr>
              <w:t>Total Cost to Government</w:t>
            </w:r>
          </w:p>
        </w:tc>
      </w:tr>
      <w:tr w14:paraId="42B2B535" w14:textId="77777777" w:rsidTr="009605C4">
        <w:tblPrEx>
          <w:tblW w:w="9391" w:type="dxa"/>
          <w:jc w:val="center"/>
          <w:tblLayout w:type="fixed"/>
          <w:tblLook w:val="0400"/>
        </w:tblPrEx>
        <w:trPr>
          <w:trHeight w:val="482"/>
          <w:jc w:val="center"/>
        </w:trPr>
        <w:tc>
          <w:tcPr>
            <w:tcW w:w="2451" w:type="dxa"/>
            <w:tcBorders>
              <w:top w:val="single" w:sz="4" w:space="0" w:color="000000"/>
              <w:left w:val="single" w:sz="8" w:space="0" w:color="000000"/>
              <w:bottom w:val="single" w:sz="4" w:space="0" w:color="000000"/>
              <w:right w:val="single" w:sz="8" w:space="0" w:color="000000"/>
            </w:tcBorders>
            <w:shd w:val="clear" w:color="auto" w:fill="auto"/>
            <w:vAlign w:val="center"/>
          </w:tcPr>
          <w:p w:rsidR="00BD2A55" w:rsidRPr="00532A12" w:rsidP="005A3188" w14:paraId="38C846C0" w14:textId="77777777">
            <w:pPr>
              <w:widowControl/>
              <w:rPr>
                <w:rFonts w:ascii="Calibri" w:eastAsia="Calibri" w:hAnsi="Calibri" w:cs="Calibri"/>
                <w:b/>
                <w:color w:val="000000"/>
                <w:sz w:val="18"/>
                <w:szCs w:val="18"/>
              </w:rPr>
            </w:pPr>
            <w:r w:rsidRPr="00532A12">
              <w:rPr>
                <w:rFonts w:ascii="Calibri" w:eastAsia="Calibri" w:hAnsi="Calibri" w:cs="Calibri"/>
                <w:b/>
                <w:color w:val="000000"/>
                <w:sz w:val="18"/>
                <w:szCs w:val="18"/>
              </w:rPr>
              <w:t>Federal Oversight</w:t>
            </w:r>
          </w:p>
        </w:tc>
        <w:tc>
          <w:tcPr>
            <w:tcW w:w="1425" w:type="dxa"/>
            <w:tcBorders>
              <w:top w:val="single" w:sz="4" w:space="0" w:color="000000"/>
              <w:left w:val="nil"/>
              <w:bottom w:val="single" w:sz="4" w:space="0" w:color="000000"/>
              <w:right w:val="single" w:sz="4" w:space="0" w:color="000000"/>
            </w:tcBorders>
            <w:shd w:val="clear" w:color="auto" w:fill="auto"/>
            <w:vAlign w:val="center"/>
          </w:tcPr>
          <w:p w:rsidR="00BD2A55" w:rsidRPr="00532A12" w:rsidP="00F63593" w14:paraId="764F07D1" w14:textId="4FFF851A">
            <w:pPr>
              <w:widowControl/>
              <w:jc w:val="center"/>
              <w:rPr>
                <w:rFonts w:ascii="Calibri" w:eastAsia="Calibri" w:hAnsi="Calibri" w:cs="Calibri"/>
                <w:color w:val="000000"/>
                <w:sz w:val="18"/>
                <w:szCs w:val="18"/>
              </w:rPr>
            </w:pPr>
            <w:r w:rsidRPr="00C329DB">
              <w:rPr>
                <w:rFonts w:ascii="Calibri" w:eastAsia="Calibri" w:hAnsi="Calibri" w:cs="Calibri"/>
                <w:color w:val="000000"/>
                <w:sz w:val="18"/>
                <w:szCs w:val="18"/>
              </w:rPr>
              <w:t xml:space="preserve">GS </w:t>
            </w:r>
            <w:r w:rsidR="00F63593">
              <w:rPr>
                <w:rFonts w:ascii="Calibri" w:eastAsia="Calibri" w:hAnsi="Calibri" w:cs="Calibri"/>
                <w:color w:val="000000"/>
                <w:sz w:val="18"/>
                <w:szCs w:val="18"/>
              </w:rPr>
              <w:t>11-12</w:t>
            </w:r>
          </w:p>
        </w:tc>
        <w:tc>
          <w:tcPr>
            <w:tcW w:w="1299" w:type="dxa"/>
            <w:tcBorders>
              <w:top w:val="single" w:sz="4" w:space="0" w:color="000000"/>
              <w:left w:val="nil"/>
              <w:bottom w:val="single" w:sz="4" w:space="0" w:color="000000"/>
              <w:right w:val="single" w:sz="4" w:space="0" w:color="000000"/>
            </w:tcBorders>
            <w:shd w:val="clear" w:color="auto" w:fill="auto"/>
            <w:vAlign w:val="center"/>
          </w:tcPr>
          <w:p w:rsidR="00BD2A55" w:rsidRPr="00532A12" w:rsidP="009605C4" w14:paraId="50EBD57C" w14:textId="43CE4F7F">
            <w:pPr>
              <w:widowControl/>
              <w:jc w:val="center"/>
              <w:rPr>
                <w:rFonts w:ascii="Calibri" w:eastAsia="Calibri" w:hAnsi="Calibri" w:cs="Calibri"/>
                <w:color w:val="000000"/>
                <w:sz w:val="18"/>
                <w:szCs w:val="18"/>
              </w:rPr>
            </w:pPr>
            <w:r>
              <w:rPr>
                <w:rFonts w:ascii="Calibri" w:eastAsia="Calibri" w:hAnsi="Calibri" w:cs="Calibri"/>
                <w:color w:val="000000"/>
                <w:sz w:val="18"/>
                <w:szCs w:val="18"/>
              </w:rPr>
              <w:t>$184,495</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D2A55" w:rsidRPr="00532A12" w:rsidP="009605C4" w14:paraId="0269D9EE" w14:textId="5DA87AED">
            <w:pPr>
              <w:widowControl/>
              <w:jc w:val="center"/>
              <w:rPr>
                <w:rFonts w:ascii="Calibri" w:eastAsia="Calibri" w:hAnsi="Calibri" w:cs="Calibri"/>
                <w:color w:val="000000"/>
                <w:sz w:val="18"/>
                <w:szCs w:val="18"/>
              </w:rPr>
            </w:pPr>
            <w:r>
              <w:rPr>
                <w:rFonts w:ascii="Calibri" w:eastAsia="Calibri" w:hAnsi="Calibri" w:cs="Calibri"/>
                <w:color w:val="000000"/>
                <w:sz w:val="18"/>
                <w:szCs w:val="18"/>
              </w:rPr>
              <w:t>12%</w:t>
            </w:r>
          </w:p>
        </w:tc>
        <w:tc>
          <w:tcPr>
            <w:tcW w:w="1460" w:type="dxa"/>
            <w:tcBorders>
              <w:top w:val="single" w:sz="4" w:space="0" w:color="000000"/>
              <w:left w:val="nil"/>
              <w:bottom w:val="single" w:sz="4" w:space="0" w:color="000000"/>
              <w:right w:val="single" w:sz="4" w:space="0" w:color="000000"/>
            </w:tcBorders>
            <w:shd w:val="clear" w:color="auto" w:fill="808080"/>
            <w:vAlign w:val="center"/>
          </w:tcPr>
          <w:p w:rsidR="00BD2A55" w:rsidRPr="00532A12" w:rsidP="009605C4" w14:paraId="31DA37CF" w14:textId="2380B3FC">
            <w:pPr>
              <w:widowControl/>
              <w:jc w:val="center"/>
              <w:rPr>
                <w:rFonts w:ascii="Calibri" w:eastAsia="Calibri" w:hAnsi="Calibri" w:cs="Calibri"/>
                <w:color w:val="000000"/>
                <w:sz w:val="18"/>
                <w:szCs w:val="18"/>
              </w:rPr>
            </w:pPr>
          </w:p>
        </w:tc>
        <w:tc>
          <w:tcPr>
            <w:tcW w:w="1480" w:type="dxa"/>
            <w:tcBorders>
              <w:top w:val="single" w:sz="4" w:space="0" w:color="000000"/>
              <w:left w:val="nil"/>
              <w:bottom w:val="single" w:sz="4" w:space="0" w:color="000000"/>
              <w:right w:val="single" w:sz="8" w:space="0" w:color="000000"/>
            </w:tcBorders>
            <w:shd w:val="clear" w:color="auto" w:fill="auto"/>
            <w:vAlign w:val="center"/>
          </w:tcPr>
          <w:p w:rsidR="00BD2A55" w:rsidRPr="00532A12" w:rsidP="009F7321" w14:paraId="1B9BCA75" w14:textId="30056B78">
            <w:pPr>
              <w:widowControl/>
              <w:jc w:val="center"/>
              <w:rPr>
                <w:rFonts w:ascii="Calibri" w:eastAsia="Calibri" w:hAnsi="Calibri" w:cs="Calibri"/>
                <w:color w:val="000000"/>
                <w:sz w:val="18"/>
                <w:szCs w:val="18"/>
              </w:rPr>
            </w:pPr>
            <w:r>
              <w:rPr>
                <w:rFonts w:ascii="Calibri" w:eastAsia="Calibri" w:hAnsi="Calibri" w:cs="Calibri"/>
                <w:color w:val="000000"/>
                <w:sz w:val="18"/>
                <w:szCs w:val="18"/>
              </w:rPr>
              <w:t>$</w:t>
            </w:r>
            <w:r w:rsidR="009F7321">
              <w:rPr>
                <w:rFonts w:ascii="Calibri" w:eastAsia="Calibri" w:hAnsi="Calibri" w:cs="Calibri"/>
                <w:color w:val="000000"/>
                <w:sz w:val="18"/>
                <w:szCs w:val="18"/>
              </w:rPr>
              <w:t>22,139</w:t>
            </w:r>
          </w:p>
        </w:tc>
      </w:tr>
      <w:tr w14:paraId="36989CC5" w14:textId="77777777" w:rsidTr="009605C4">
        <w:tblPrEx>
          <w:tblW w:w="9391" w:type="dxa"/>
          <w:jc w:val="center"/>
          <w:tblLayout w:type="fixed"/>
          <w:tblLook w:val="0400"/>
        </w:tblPrEx>
        <w:trPr>
          <w:trHeight w:val="353"/>
          <w:jc w:val="center"/>
        </w:trPr>
        <w:tc>
          <w:tcPr>
            <w:tcW w:w="2451" w:type="dxa"/>
            <w:tcBorders>
              <w:top w:val="nil"/>
              <w:left w:val="single" w:sz="8" w:space="0" w:color="000000"/>
              <w:bottom w:val="single" w:sz="4" w:space="0" w:color="000000"/>
              <w:right w:val="single" w:sz="8" w:space="0" w:color="000000"/>
            </w:tcBorders>
            <w:shd w:val="clear" w:color="auto" w:fill="auto"/>
            <w:vAlign w:val="center"/>
          </w:tcPr>
          <w:p w:rsidR="00BD2A55" w:rsidRPr="00532A12" w:rsidP="009605C4" w14:paraId="63B38E5A" w14:textId="77777777">
            <w:pPr>
              <w:widowControl/>
              <w:jc w:val="center"/>
              <w:rPr>
                <w:rFonts w:ascii="Calibri" w:eastAsia="Calibri" w:hAnsi="Calibri" w:cs="Calibri"/>
                <w:b/>
                <w:color w:val="000000"/>
                <w:sz w:val="18"/>
                <w:szCs w:val="18"/>
              </w:rPr>
            </w:pPr>
            <w:r w:rsidRPr="00532A12">
              <w:rPr>
                <w:rFonts w:ascii="Calibri" w:eastAsia="Calibri" w:hAnsi="Calibri" w:cs="Calibri"/>
                <w:b/>
                <w:color w:val="000000"/>
                <w:sz w:val="18"/>
                <w:szCs w:val="18"/>
              </w:rPr>
              <w:t>Contractor Cost</w:t>
            </w:r>
          </w:p>
        </w:tc>
        <w:tc>
          <w:tcPr>
            <w:tcW w:w="1425" w:type="dxa"/>
            <w:tcBorders>
              <w:top w:val="nil"/>
              <w:left w:val="nil"/>
              <w:bottom w:val="single" w:sz="4" w:space="0" w:color="000000"/>
              <w:right w:val="single" w:sz="4" w:space="0" w:color="000000"/>
            </w:tcBorders>
            <w:shd w:val="clear" w:color="auto" w:fill="808080"/>
            <w:vAlign w:val="center"/>
          </w:tcPr>
          <w:p w:rsidR="00BD2A55" w:rsidRPr="00532A12" w:rsidP="009605C4" w14:paraId="7A68FD77" w14:textId="076AF2E3">
            <w:pPr>
              <w:widowControl/>
              <w:jc w:val="center"/>
              <w:rPr>
                <w:rFonts w:ascii="Calibri" w:eastAsia="Calibri" w:hAnsi="Calibri" w:cs="Calibri"/>
                <w:color w:val="000000"/>
                <w:sz w:val="18"/>
                <w:szCs w:val="18"/>
              </w:rPr>
            </w:pPr>
          </w:p>
        </w:tc>
        <w:tc>
          <w:tcPr>
            <w:tcW w:w="1299" w:type="dxa"/>
            <w:tcBorders>
              <w:top w:val="nil"/>
              <w:left w:val="nil"/>
              <w:bottom w:val="single" w:sz="4" w:space="0" w:color="000000"/>
              <w:right w:val="single" w:sz="4" w:space="0" w:color="000000"/>
            </w:tcBorders>
            <w:shd w:val="clear" w:color="auto" w:fill="auto"/>
            <w:vAlign w:val="center"/>
          </w:tcPr>
          <w:p w:rsidR="00BD2A55" w:rsidRPr="00532A12" w:rsidP="009605C4" w14:paraId="28D0B837" w14:textId="2CF492CE">
            <w:pPr>
              <w:widowControl/>
              <w:jc w:val="center"/>
              <w:rPr>
                <w:rFonts w:ascii="Calibri" w:eastAsia="Calibri" w:hAnsi="Calibri" w:cs="Calibri"/>
                <w:color w:val="000000"/>
                <w:sz w:val="18"/>
                <w:szCs w:val="18"/>
              </w:rPr>
            </w:pPr>
          </w:p>
        </w:tc>
        <w:tc>
          <w:tcPr>
            <w:tcW w:w="1276" w:type="dxa"/>
            <w:tcBorders>
              <w:top w:val="nil"/>
              <w:left w:val="nil"/>
              <w:bottom w:val="single" w:sz="4" w:space="0" w:color="000000"/>
              <w:right w:val="single" w:sz="4" w:space="0" w:color="000000"/>
            </w:tcBorders>
            <w:shd w:val="clear" w:color="auto" w:fill="auto"/>
            <w:vAlign w:val="center"/>
          </w:tcPr>
          <w:p w:rsidR="00BD2A55" w:rsidRPr="00532A12" w:rsidP="009605C4" w14:paraId="6A37E4BA" w14:textId="3DB0C659">
            <w:pPr>
              <w:widowControl/>
              <w:jc w:val="center"/>
              <w:rPr>
                <w:rFonts w:ascii="Calibri" w:eastAsia="Calibri" w:hAnsi="Calibri" w:cs="Calibri"/>
                <w:color w:val="000000"/>
                <w:sz w:val="18"/>
                <w:szCs w:val="18"/>
              </w:rPr>
            </w:pPr>
          </w:p>
        </w:tc>
        <w:tc>
          <w:tcPr>
            <w:tcW w:w="1460" w:type="dxa"/>
            <w:tcBorders>
              <w:top w:val="nil"/>
              <w:left w:val="nil"/>
              <w:bottom w:val="single" w:sz="4" w:space="0" w:color="000000"/>
              <w:right w:val="single" w:sz="4" w:space="0" w:color="000000"/>
            </w:tcBorders>
            <w:shd w:val="clear" w:color="auto" w:fill="auto"/>
            <w:vAlign w:val="center"/>
          </w:tcPr>
          <w:p w:rsidR="00BD2A55" w:rsidRPr="00532A12" w:rsidP="009605C4" w14:paraId="7D4EB019" w14:textId="41B6122F">
            <w:pPr>
              <w:widowControl/>
              <w:jc w:val="center"/>
              <w:rPr>
                <w:rFonts w:ascii="Calibri" w:eastAsia="Calibri" w:hAnsi="Calibri" w:cs="Calibri"/>
                <w:color w:val="000000"/>
                <w:sz w:val="18"/>
                <w:szCs w:val="18"/>
              </w:rPr>
            </w:pPr>
          </w:p>
        </w:tc>
        <w:tc>
          <w:tcPr>
            <w:tcW w:w="1480" w:type="dxa"/>
            <w:tcBorders>
              <w:top w:val="nil"/>
              <w:left w:val="nil"/>
              <w:bottom w:val="single" w:sz="4" w:space="0" w:color="000000"/>
              <w:right w:val="single" w:sz="8" w:space="0" w:color="000000"/>
            </w:tcBorders>
            <w:shd w:val="clear" w:color="auto" w:fill="auto"/>
            <w:vAlign w:val="center"/>
          </w:tcPr>
          <w:p w:rsidR="00BD2A55" w:rsidRPr="00532A12" w:rsidP="009605C4" w14:paraId="4EC6AAF0" w14:textId="28FA02AA">
            <w:pPr>
              <w:widowControl/>
              <w:jc w:val="center"/>
              <w:rPr>
                <w:rFonts w:ascii="Calibri" w:eastAsia="Calibri" w:hAnsi="Calibri" w:cs="Calibri"/>
                <w:color w:val="000000"/>
                <w:sz w:val="18"/>
                <w:szCs w:val="18"/>
              </w:rPr>
            </w:pPr>
            <w:r>
              <w:rPr>
                <w:rFonts w:ascii="Calibri" w:eastAsia="Calibri" w:hAnsi="Calibri" w:cs="Calibri"/>
                <w:color w:val="000000"/>
                <w:sz w:val="18"/>
                <w:szCs w:val="18"/>
              </w:rPr>
              <w:t>—</w:t>
            </w:r>
          </w:p>
        </w:tc>
      </w:tr>
      <w:tr w14:paraId="2C324CB6" w14:textId="77777777" w:rsidTr="009605C4">
        <w:tblPrEx>
          <w:tblW w:w="9391" w:type="dxa"/>
          <w:jc w:val="center"/>
          <w:tblLayout w:type="fixed"/>
          <w:tblLook w:val="0400"/>
        </w:tblPrEx>
        <w:trPr>
          <w:trHeight w:val="329"/>
          <w:jc w:val="center"/>
        </w:trPr>
        <w:tc>
          <w:tcPr>
            <w:tcW w:w="2451" w:type="dxa"/>
            <w:tcBorders>
              <w:top w:val="nil"/>
              <w:left w:val="single" w:sz="8" w:space="0" w:color="000000"/>
              <w:bottom w:val="single" w:sz="4" w:space="0" w:color="000000"/>
              <w:right w:val="single" w:sz="8" w:space="0" w:color="000000"/>
            </w:tcBorders>
            <w:shd w:val="clear" w:color="auto" w:fill="auto"/>
            <w:vAlign w:val="center"/>
          </w:tcPr>
          <w:p w:rsidR="00BD2A55" w:rsidRPr="00532A12" w:rsidP="005A3188" w14:paraId="262943EA" w14:textId="77777777">
            <w:pPr>
              <w:widowControl/>
              <w:rPr>
                <w:rFonts w:ascii="Calibri" w:eastAsia="Calibri" w:hAnsi="Calibri" w:cs="Calibri"/>
                <w:b/>
                <w:color w:val="000000"/>
                <w:sz w:val="18"/>
                <w:szCs w:val="18"/>
              </w:rPr>
            </w:pPr>
            <w:r w:rsidRPr="00532A12">
              <w:rPr>
                <w:rFonts w:ascii="Calibri" w:eastAsia="Calibri" w:hAnsi="Calibri" w:cs="Calibri"/>
                <w:b/>
                <w:color w:val="000000"/>
                <w:sz w:val="18"/>
                <w:szCs w:val="18"/>
              </w:rPr>
              <w:t>Travel</w:t>
            </w:r>
          </w:p>
        </w:tc>
        <w:tc>
          <w:tcPr>
            <w:tcW w:w="1425" w:type="dxa"/>
            <w:tcBorders>
              <w:top w:val="nil"/>
              <w:left w:val="nil"/>
              <w:bottom w:val="single" w:sz="4" w:space="0" w:color="000000"/>
              <w:right w:val="single" w:sz="4" w:space="0" w:color="000000"/>
            </w:tcBorders>
            <w:shd w:val="clear" w:color="auto" w:fill="808080"/>
            <w:vAlign w:val="center"/>
          </w:tcPr>
          <w:p w:rsidR="00BD2A55" w:rsidRPr="00532A12" w:rsidP="009605C4" w14:paraId="181F3483" w14:textId="54EA8AEA">
            <w:pPr>
              <w:widowControl/>
              <w:jc w:val="center"/>
              <w:rPr>
                <w:rFonts w:ascii="Calibri" w:eastAsia="Calibri" w:hAnsi="Calibri" w:cs="Calibri"/>
                <w:color w:val="000000"/>
                <w:sz w:val="18"/>
                <w:szCs w:val="18"/>
              </w:rPr>
            </w:pPr>
          </w:p>
        </w:tc>
        <w:tc>
          <w:tcPr>
            <w:tcW w:w="1299" w:type="dxa"/>
            <w:tcBorders>
              <w:top w:val="nil"/>
              <w:left w:val="nil"/>
              <w:bottom w:val="single" w:sz="4" w:space="0" w:color="000000"/>
              <w:right w:val="single" w:sz="4" w:space="0" w:color="000000"/>
            </w:tcBorders>
            <w:shd w:val="clear" w:color="auto" w:fill="808080"/>
            <w:vAlign w:val="center"/>
          </w:tcPr>
          <w:p w:rsidR="00BD2A55" w:rsidRPr="00532A12" w:rsidP="009605C4" w14:paraId="002E4A87" w14:textId="44E01205">
            <w:pPr>
              <w:widowControl/>
              <w:jc w:val="center"/>
              <w:rPr>
                <w:rFonts w:ascii="Calibri" w:eastAsia="Calibri" w:hAnsi="Calibri" w:cs="Calibri"/>
                <w:color w:val="000000"/>
                <w:sz w:val="18"/>
                <w:szCs w:val="18"/>
              </w:rPr>
            </w:pPr>
          </w:p>
        </w:tc>
        <w:tc>
          <w:tcPr>
            <w:tcW w:w="1276" w:type="dxa"/>
            <w:tcBorders>
              <w:top w:val="nil"/>
              <w:left w:val="nil"/>
              <w:bottom w:val="single" w:sz="4" w:space="0" w:color="000000"/>
              <w:right w:val="single" w:sz="4" w:space="0" w:color="000000"/>
            </w:tcBorders>
            <w:shd w:val="clear" w:color="auto" w:fill="808080"/>
            <w:vAlign w:val="center"/>
          </w:tcPr>
          <w:p w:rsidR="00BD2A55" w:rsidRPr="00532A12" w:rsidP="009605C4" w14:paraId="0AEDD4B8" w14:textId="6320150B">
            <w:pPr>
              <w:widowControl/>
              <w:jc w:val="center"/>
              <w:rPr>
                <w:rFonts w:ascii="Calibri" w:eastAsia="Calibri" w:hAnsi="Calibri" w:cs="Calibri"/>
                <w:color w:val="000000"/>
                <w:sz w:val="18"/>
                <w:szCs w:val="18"/>
              </w:rPr>
            </w:pPr>
          </w:p>
        </w:tc>
        <w:tc>
          <w:tcPr>
            <w:tcW w:w="1460" w:type="dxa"/>
            <w:tcBorders>
              <w:top w:val="nil"/>
              <w:left w:val="nil"/>
              <w:bottom w:val="single" w:sz="4" w:space="0" w:color="000000"/>
              <w:right w:val="single" w:sz="4" w:space="0" w:color="000000"/>
            </w:tcBorders>
            <w:shd w:val="clear" w:color="auto" w:fill="808080"/>
            <w:vAlign w:val="center"/>
          </w:tcPr>
          <w:p w:rsidR="00BD2A55" w:rsidRPr="00532A12" w:rsidP="009605C4" w14:paraId="610648BF" w14:textId="60D42EEC">
            <w:pPr>
              <w:widowControl/>
              <w:jc w:val="center"/>
              <w:rPr>
                <w:rFonts w:ascii="Calibri" w:eastAsia="Calibri" w:hAnsi="Calibri" w:cs="Calibri"/>
                <w:color w:val="000000"/>
                <w:sz w:val="18"/>
                <w:szCs w:val="18"/>
              </w:rPr>
            </w:pPr>
          </w:p>
        </w:tc>
        <w:tc>
          <w:tcPr>
            <w:tcW w:w="1480" w:type="dxa"/>
            <w:tcBorders>
              <w:top w:val="nil"/>
              <w:left w:val="nil"/>
              <w:bottom w:val="single" w:sz="4" w:space="0" w:color="000000"/>
              <w:right w:val="single" w:sz="8" w:space="0" w:color="000000"/>
            </w:tcBorders>
            <w:shd w:val="clear" w:color="auto" w:fill="auto"/>
            <w:vAlign w:val="center"/>
          </w:tcPr>
          <w:p w:rsidR="00BD2A55" w:rsidRPr="00532A12" w:rsidP="009605C4" w14:paraId="4921AE8E" w14:textId="6106E625">
            <w:pPr>
              <w:widowControl/>
              <w:jc w:val="center"/>
              <w:rPr>
                <w:rFonts w:ascii="Calibri" w:eastAsia="Calibri" w:hAnsi="Calibri" w:cs="Calibri"/>
                <w:color w:val="000000"/>
                <w:sz w:val="18"/>
                <w:szCs w:val="18"/>
              </w:rPr>
            </w:pPr>
            <w:r>
              <w:rPr>
                <w:rFonts w:ascii="Calibri" w:eastAsia="Calibri" w:hAnsi="Calibri" w:cs="Calibri"/>
                <w:color w:val="000000"/>
                <w:sz w:val="18"/>
                <w:szCs w:val="18"/>
              </w:rPr>
              <w:t>—</w:t>
            </w:r>
          </w:p>
        </w:tc>
      </w:tr>
      <w:tr w14:paraId="4416B48C" w14:textId="77777777" w:rsidTr="009605C4">
        <w:tblPrEx>
          <w:tblW w:w="9391" w:type="dxa"/>
          <w:jc w:val="center"/>
          <w:tblLayout w:type="fixed"/>
          <w:tblLook w:val="0400"/>
        </w:tblPrEx>
        <w:trPr>
          <w:trHeight w:val="411"/>
          <w:jc w:val="center"/>
        </w:trPr>
        <w:tc>
          <w:tcPr>
            <w:tcW w:w="2451" w:type="dxa"/>
            <w:tcBorders>
              <w:top w:val="nil"/>
              <w:left w:val="single" w:sz="8" w:space="0" w:color="000000"/>
              <w:bottom w:val="nil"/>
              <w:right w:val="single" w:sz="8" w:space="0" w:color="000000"/>
            </w:tcBorders>
            <w:shd w:val="clear" w:color="auto" w:fill="auto"/>
            <w:vAlign w:val="center"/>
          </w:tcPr>
          <w:p w:rsidR="00BD2A55" w:rsidRPr="00532A12" w:rsidP="005A3188" w14:paraId="20B5B4C4" w14:textId="77777777">
            <w:pPr>
              <w:widowControl/>
              <w:rPr>
                <w:rFonts w:ascii="Calibri" w:eastAsia="Calibri" w:hAnsi="Calibri" w:cs="Calibri"/>
                <w:b/>
                <w:color w:val="000000"/>
                <w:sz w:val="18"/>
                <w:szCs w:val="18"/>
              </w:rPr>
            </w:pPr>
            <w:r w:rsidRPr="00532A12">
              <w:rPr>
                <w:rFonts w:ascii="Calibri" w:eastAsia="Calibri" w:hAnsi="Calibri" w:cs="Calibri"/>
                <w:b/>
                <w:color w:val="000000"/>
                <w:sz w:val="18"/>
                <w:szCs w:val="18"/>
              </w:rPr>
              <w:t xml:space="preserve">Other Costs: </w:t>
            </w:r>
          </w:p>
        </w:tc>
        <w:tc>
          <w:tcPr>
            <w:tcW w:w="1425" w:type="dxa"/>
            <w:tcBorders>
              <w:top w:val="nil"/>
              <w:left w:val="nil"/>
              <w:bottom w:val="single" w:sz="4" w:space="0" w:color="000000"/>
              <w:right w:val="single" w:sz="4" w:space="0" w:color="000000"/>
            </w:tcBorders>
            <w:shd w:val="clear" w:color="auto" w:fill="808080"/>
            <w:vAlign w:val="center"/>
          </w:tcPr>
          <w:p w:rsidR="00BD2A55" w:rsidRPr="00532A12" w:rsidP="009605C4" w14:paraId="75E48417" w14:textId="22001658">
            <w:pPr>
              <w:widowControl/>
              <w:jc w:val="center"/>
              <w:rPr>
                <w:rFonts w:ascii="Calibri" w:eastAsia="Calibri" w:hAnsi="Calibri" w:cs="Calibri"/>
                <w:color w:val="000000"/>
                <w:sz w:val="18"/>
                <w:szCs w:val="18"/>
              </w:rPr>
            </w:pPr>
          </w:p>
        </w:tc>
        <w:tc>
          <w:tcPr>
            <w:tcW w:w="1299" w:type="dxa"/>
            <w:tcBorders>
              <w:top w:val="nil"/>
              <w:left w:val="nil"/>
              <w:bottom w:val="single" w:sz="4" w:space="0" w:color="000000"/>
              <w:right w:val="single" w:sz="4" w:space="0" w:color="000000"/>
            </w:tcBorders>
            <w:shd w:val="clear" w:color="auto" w:fill="808080"/>
            <w:vAlign w:val="center"/>
          </w:tcPr>
          <w:p w:rsidR="00BD2A55" w:rsidRPr="00532A12" w:rsidP="009605C4" w14:paraId="5AAC4BBB" w14:textId="7865F5E6">
            <w:pPr>
              <w:widowControl/>
              <w:jc w:val="center"/>
              <w:rPr>
                <w:rFonts w:ascii="Calibri" w:eastAsia="Calibri" w:hAnsi="Calibri" w:cs="Calibri"/>
                <w:color w:val="000000"/>
                <w:sz w:val="18"/>
                <w:szCs w:val="18"/>
              </w:rPr>
            </w:pPr>
          </w:p>
        </w:tc>
        <w:tc>
          <w:tcPr>
            <w:tcW w:w="1276" w:type="dxa"/>
            <w:tcBorders>
              <w:top w:val="nil"/>
              <w:left w:val="nil"/>
              <w:bottom w:val="single" w:sz="4" w:space="0" w:color="000000"/>
              <w:right w:val="single" w:sz="4" w:space="0" w:color="000000"/>
            </w:tcBorders>
            <w:shd w:val="clear" w:color="auto" w:fill="808080"/>
            <w:vAlign w:val="center"/>
          </w:tcPr>
          <w:p w:rsidR="00BD2A55" w:rsidRPr="00532A12" w:rsidP="009605C4" w14:paraId="1EE23BFF" w14:textId="7A9760C7">
            <w:pPr>
              <w:widowControl/>
              <w:jc w:val="center"/>
              <w:rPr>
                <w:rFonts w:ascii="Calibri" w:eastAsia="Calibri" w:hAnsi="Calibri" w:cs="Calibri"/>
                <w:color w:val="000000"/>
                <w:sz w:val="18"/>
                <w:szCs w:val="18"/>
              </w:rPr>
            </w:pPr>
          </w:p>
        </w:tc>
        <w:tc>
          <w:tcPr>
            <w:tcW w:w="1460" w:type="dxa"/>
            <w:tcBorders>
              <w:top w:val="nil"/>
              <w:left w:val="nil"/>
              <w:bottom w:val="single" w:sz="4" w:space="0" w:color="000000"/>
              <w:right w:val="single" w:sz="4" w:space="0" w:color="000000"/>
            </w:tcBorders>
            <w:shd w:val="clear" w:color="auto" w:fill="808080"/>
            <w:vAlign w:val="center"/>
          </w:tcPr>
          <w:p w:rsidR="00BD2A55" w:rsidRPr="00532A12" w:rsidP="009605C4" w14:paraId="6824712A" w14:textId="1C68A59C">
            <w:pPr>
              <w:widowControl/>
              <w:jc w:val="center"/>
              <w:rPr>
                <w:rFonts w:ascii="Calibri" w:eastAsia="Calibri" w:hAnsi="Calibri" w:cs="Calibri"/>
                <w:color w:val="000000"/>
                <w:sz w:val="18"/>
                <w:szCs w:val="18"/>
              </w:rPr>
            </w:pPr>
          </w:p>
        </w:tc>
        <w:tc>
          <w:tcPr>
            <w:tcW w:w="1480" w:type="dxa"/>
            <w:tcBorders>
              <w:top w:val="nil"/>
              <w:left w:val="nil"/>
              <w:bottom w:val="single" w:sz="4" w:space="0" w:color="000000"/>
              <w:right w:val="single" w:sz="8" w:space="0" w:color="000000"/>
            </w:tcBorders>
            <w:shd w:val="clear" w:color="auto" w:fill="auto"/>
            <w:vAlign w:val="center"/>
          </w:tcPr>
          <w:p w:rsidR="00BD2A55" w:rsidRPr="00532A12" w:rsidP="009605C4" w14:paraId="591635B1" w14:textId="090F6E89">
            <w:pPr>
              <w:widowControl/>
              <w:jc w:val="center"/>
              <w:rPr>
                <w:rFonts w:ascii="Calibri" w:eastAsia="Calibri" w:hAnsi="Calibri" w:cs="Calibri"/>
                <w:color w:val="000000"/>
                <w:sz w:val="18"/>
                <w:szCs w:val="18"/>
              </w:rPr>
            </w:pPr>
            <w:r>
              <w:rPr>
                <w:rFonts w:ascii="Calibri" w:eastAsia="Calibri" w:hAnsi="Calibri" w:cs="Calibri"/>
                <w:color w:val="000000"/>
                <w:sz w:val="18"/>
                <w:szCs w:val="18"/>
              </w:rPr>
              <w:t>—</w:t>
            </w:r>
          </w:p>
        </w:tc>
      </w:tr>
      <w:tr w14:paraId="35ADC4B9" w14:textId="77777777" w:rsidTr="009605C4">
        <w:tblPrEx>
          <w:tblW w:w="9391" w:type="dxa"/>
          <w:jc w:val="center"/>
          <w:tblLayout w:type="fixed"/>
          <w:tblLook w:val="0400"/>
        </w:tblPrEx>
        <w:trPr>
          <w:trHeight w:val="344"/>
          <w:jc w:val="center"/>
        </w:trPr>
        <w:tc>
          <w:tcPr>
            <w:tcW w:w="2451" w:type="dxa"/>
            <w:tcBorders>
              <w:top w:val="single" w:sz="8" w:space="0" w:color="000000"/>
              <w:left w:val="single" w:sz="8" w:space="0" w:color="000000"/>
              <w:bottom w:val="single" w:sz="8" w:space="0" w:color="000000"/>
              <w:right w:val="single" w:sz="8" w:space="0" w:color="000000"/>
            </w:tcBorders>
            <w:shd w:val="clear" w:color="auto" w:fill="DDEBF7"/>
            <w:vAlign w:val="center"/>
          </w:tcPr>
          <w:p w:rsidR="00BD2A55" w:rsidRPr="00532A12" w:rsidP="005A3188" w14:paraId="36193241" w14:textId="77777777">
            <w:pPr>
              <w:widowControl/>
              <w:rPr>
                <w:rFonts w:ascii="Calibri" w:eastAsia="Calibri" w:hAnsi="Calibri" w:cs="Calibri"/>
                <w:b/>
                <w:color w:val="000000"/>
                <w:sz w:val="18"/>
                <w:szCs w:val="18"/>
              </w:rPr>
            </w:pPr>
            <w:r w:rsidRPr="00532A12">
              <w:rPr>
                <w:rFonts w:ascii="Calibri" w:eastAsia="Calibri" w:hAnsi="Calibri" w:cs="Calibri"/>
                <w:b/>
                <w:color w:val="000000"/>
                <w:sz w:val="18"/>
                <w:szCs w:val="18"/>
              </w:rPr>
              <w:t>TOTAL</w:t>
            </w:r>
          </w:p>
        </w:tc>
        <w:tc>
          <w:tcPr>
            <w:tcW w:w="1425" w:type="dxa"/>
            <w:tcBorders>
              <w:top w:val="single" w:sz="8" w:space="0" w:color="000000"/>
              <w:left w:val="nil"/>
              <w:bottom w:val="single" w:sz="8" w:space="0" w:color="000000"/>
              <w:right w:val="single" w:sz="8" w:space="0" w:color="000000"/>
            </w:tcBorders>
            <w:shd w:val="clear" w:color="auto" w:fill="808080"/>
            <w:vAlign w:val="center"/>
          </w:tcPr>
          <w:p w:rsidR="00BD2A55" w:rsidRPr="00532A12" w:rsidP="009605C4" w14:paraId="7FA9C7D1" w14:textId="00453045">
            <w:pPr>
              <w:widowControl/>
              <w:jc w:val="center"/>
              <w:rPr>
                <w:rFonts w:ascii="Calibri" w:eastAsia="Calibri" w:hAnsi="Calibri" w:cs="Calibri"/>
                <w:color w:val="000000"/>
                <w:sz w:val="18"/>
                <w:szCs w:val="18"/>
              </w:rPr>
            </w:pPr>
          </w:p>
        </w:tc>
        <w:tc>
          <w:tcPr>
            <w:tcW w:w="1299" w:type="dxa"/>
            <w:tcBorders>
              <w:top w:val="single" w:sz="8" w:space="0" w:color="000000"/>
              <w:left w:val="nil"/>
              <w:bottom w:val="single" w:sz="8" w:space="0" w:color="000000"/>
              <w:right w:val="single" w:sz="8" w:space="0" w:color="000000"/>
            </w:tcBorders>
            <w:shd w:val="clear" w:color="auto" w:fill="808080"/>
            <w:vAlign w:val="center"/>
          </w:tcPr>
          <w:p w:rsidR="00BD2A55" w:rsidRPr="00532A12" w:rsidP="009605C4" w14:paraId="2F63A5D2" w14:textId="7959773E">
            <w:pPr>
              <w:widowControl/>
              <w:jc w:val="center"/>
              <w:rPr>
                <w:rFonts w:ascii="Calibri" w:eastAsia="Calibri" w:hAnsi="Calibri" w:cs="Calibri"/>
                <w:color w:val="000000"/>
                <w:sz w:val="18"/>
                <w:szCs w:val="18"/>
              </w:rPr>
            </w:pPr>
          </w:p>
        </w:tc>
        <w:tc>
          <w:tcPr>
            <w:tcW w:w="1276" w:type="dxa"/>
            <w:tcBorders>
              <w:top w:val="single" w:sz="8" w:space="0" w:color="000000"/>
              <w:left w:val="nil"/>
              <w:bottom w:val="single" w:sz="8" w:space="0" w:color="000000"/>
              <w:right w:val="single" w:sz="8" w:space="0" w:color="000000"/>
            </w:tcBorders>
            <w:shd w:val="clear" w:color="auto" w:fill="757171"/>
            <w:vAlign w:val="center"/>
          </w:tcPr>
          <w:p w:rsidR="00BD2A55" w:rsidRPr="00532A12" w:rsidP="009605C4" w14:paraId="1CDD3DBC" w14:textId="78407DDB">
            <w:pPr>
              <w:widowControl/>
              <w:jc w:val="center"/>
              <w:rPr>
                <w:rFonts w:ascii="Calibri" w:eastAsia="Calibri" w:hAnsi="Calibri" w:cs="Calibri"/>
                <w:color w:val="000000"/>
                <w:sz w:val="18"/>
                <w:szCs w:val="18"/>
              </w:rPr>
            </w:pPr>
          </w:p>
        </w:tc>
        <w:tc>
          <w:tcPr>
            <w:tcW w:w="1460" w:type="dxa"/>
            <w:tcBorders>
              <w:top w:val="single" w:sz="8" w:space="0" w:color="000000"/>
              <w:left w:val="nil"/>
              <w:bottom w:val="single" w:sz="8" w:space="0" w:color="000000"/>
              <w:right w:val="single" w:sz="8" w:space="0" w:color="000000"/>
            </w:tcBorders>
            <w:shd w:val="clear" w:color="auto" w:fill="DDEBF7"/>
            <w:vAlign w:val="center"/>
          </w:tcPr>
          <w:p w:rsidR="00BD2A55" w:rsidRPr="00532A12" w:rsidP="009605C4" w14:paraId="6E9623F8" w14:textId="5D293E35">
            <w:pPr>
              <w:widowControl/>
              <w:jc w:val="center"/>
              <w:rPr>
                <w:rFonts w:ascii="Calibri" w:eastAsia="Calibri" w:hAnsi="Calibri" w:cs="Calibri"/>
                <w:color w:val="000000"/>
                <w:sz w:val="18"/>
                <w:szCs w:val="18"/>
              </w:rPr>
            </w:pPr>
          </w:p>
        </w:tc>
        <w:tc>
          <w:tcPr>
            <w:tcW w:w="1480" w:type="dxa"/>
            <w:tcBorders>
              <w:top w:val="single" w:sz="8" w:space="0" w:color="000000"/>
              <w:left w:val="nil"/>
              <w:bottom w:val="single" w:sz="8" w:space="0" w:color="000000"/>
              <w:right w:val="single" w:sz="8" w:space="0" w:color="000000"/>
            </w:tcBorders>
            <w:shd w:val="clear" w:color="auto" w:fill="DDEBF7"/>
            <w:vAlign w:val="center"/>
          </w:tcPr>
          <w:p w:rsidR="00BD2A55" w:rsidRPr="00532A12" w:rsidP="009F7321" w14:paraId="10EED6A9" w14:textId="4D6F02EF">
            <w:pPr>
              <w:widowControl/>
              <w:jc w:val="center"/>
              <w:rPr>
                <w:rFonts w:ascii="Calibri" w:eastAsia="Calibri" w:hAnsi="Calibri" w:cs="Calibri"/>
                <w:b/>
                <w:color w:val="000000"/>
                <w:sz w:val="18"/>
                <w:szCs w:val="18"/>
              </w:rPr>
            </w:pPr>
            <w:r w:rsidRPr="00532A12">
              <w:rPr>
                <w:rFonts w:ascii="Calibri" w:eastAsia="Calibri" w:hAnsi="Calibri" w:cs="Calibri"/>
                <w:b/>
                <w:color w:val="000000"/>
                <w:sz w:val="18"/>
                <w:szCs w:val="18"/>
              </w:rPr>
              <w:t>$</w:t>
            </w:r>
            <w:r w:rsidR="009F7321">
              <w:rPr>
                <w:rFonts w:ascii="Calibri" w:eastAsia="Calibri" w:hAnsi="Calibri" w:cs="Calibri"/>
                <w:b/>
                <w:color w:val="000000"/>
                <w:sz w:val="18"/>
                <w:szCs w:val="18"/>
              </w:rPr>
              <w:t>22,139</w:t>
            </w:r>
          </w:p>
        </w:tc>
      </w:tr>
    </w:tbl>
    <w:p w:rsidR="00FF5C01" w:rsidRPr="00746A9D" w:rsidP="009605C4" w14:paraId="3C134D9F" w14:textId="77777777">
      <w:pPr>
        <w:widowControl/>
        <w:pBdr>
          <w:top w:val="nil"/>
          <w:left w:val="nil"/>
          <w:bottom w:val="nil"/>
          <w:right w:val="nil"/>
          <w:between w:val="nil"/>
        </w:pBdr>
        <w:spacing w:before="120"/>
        <w:ind w:left="144"/>
        <w:rPr>
          <w:rFonts w:asciiTheme="minorHAnsi" w:hAnsiTheme="minorHAnsi" w:cstheme="minorHAnsi"/>
          <w:color w:val="000000"/>
          <w:sz w:val="20"/>
          <w:szCs w:val="20"/>
        </w:rPr>
      </w:pPr>
      <w:r w:rsidRPr="00746A9D">
        <w:rPr>
          <w:rFonts w:asciiTheme="minorHAnsi" w:hAnsiTheme="minorHAnsi" w:cstheme="minorHAnsi"/>
          <w:color w:val="000000"/>
          <w:sz w:val="20"/>
          <w:szCs w:val="20"/>
        </w:rPr>
        <w:t>The loaded salary cost was determined as follows:</w:t>
      </w:r>
    </w:p>
    <w:p w:rsidR="00FF5C01" w:rsidRPr="00746A9D" w:rsidP="009605C4" w14:paraId="67FF4591" w14:textId="43BBB008">
      <w:pPr>
        <w:widowControl/>
        <w:pBdr>
          <w:top w:val="nil"/>
          <w:left w:val="nil"/>
          <w:bottom w:val="nil"/>
          <w:right w:val="nil"/>
          <w:between w:val="nil"/>
        </w:pBdr>
        <w:ind w:left="432"/>
        <w:rPr>
          <w:rFonts w:asciiTheme="minorHAnsi" w:hAnsiTheme="minorHAnsi" w:cstheme="minorHAnsi"/>
          <w:color w:val="000000"/>
          <w:sz w:val="20"/>
          <w:szCs w:val="20"/>
        </w:rPr>
      </w:pPr>
      <w:r w:rsidRPr="00746A9D">
        <w:rPr>
          <w:rFonts w:asciiTheme="minorHAnsi" w:hAnsiTheme="minorHAnsi" w:cstheme="minorHAnsi"/>
          <w:color w:val="000000"/>
          <w:sz w:val="20"/>
          <w:szCs w:val="20"/>
        </w:rPr>
        <w:t xml:space="preserve">GS </w:t>
      </w:r>
      <w:r w:rsidRPr="00746A9D" w:rsidR="00F63593">
        <w:rPr>
          <w:rFonts w:asciiTheme="minorHAnsi" w:hAnsiTheme="minorHAnsi" w:cstheme="minorHAnsi"/>
          <w:color w:val="000000"/>
          <w:sz w:val="20"/>
          <w:szCs w:val="20"/>
        </w:rPr>
        <w:t>11-12</w:t>
      </w:r>
      <w:r w:rsidRPr="00746A9D">
        <w:rPr>
          <w:rFonts w:asciiTheme="minorHAnsi" w:hAnsiTheme="minorHAnsi" w:cstheme="minorHAnsi"/>
          <w:color w:val="000000"/>
          <w:sz w:val="20"/>
          <w:szCs w:val="20"/>
        </w:rPr>
        <w:t xml:space="preserve"> (capped out ZP-3</w:t>
      </w:r>
      <w:r w:rsidRPr="00746A9D" w:rsidR="00F63593">
        <w:rPr>
          <w:rFonts w:asciiTheme="minorHAnsi" w:hAnsiTheme="minorHAnsi" w:cstheme="minorHAnsi"/>
          <w:color w:val="000000"/>
          <w:sz w:val="20"/>
          <w:szCs w:val="20"/>
        </w:rPr>
        <w:t xml:space="preserve"> step 3, 2023 salary,</w:t>
      </w:r>
      <w:r w:rsidRPr="00746A9D">
        <w:rPr>
          <w:rFonts w:asciiTheme="minorHAnsi" w:hAnsiTheme="minorHAnsi" w:cstheme="minorHAnsi"/>
          <w:color w:val="000000"/>
          <w:sz w:val="20"/>
          <w:szCs w:val="20"/>
        </w:rPr>
        <w:t xml:space="preserve"> in Juneau, AK) = $</w:t>
      </w:r>
      <w:r w:rsidRPr="00746A9D" w:rsidR="009F7321">
        <w:rPr>
          <w:rFonts w:asciiTheme="minorHAnsi" w:hAnsiTheme="minorHAnsi" w:cstheme="minorHAnsi"/>
          <w:color w:val="000000"/>
          <w:sz w:val="20"/>
          <w:szCs w:val="20"/>
        </w:rPr>
        <w:t>121,378</w:t>
      </w:r>
      <w:r w:rsidRPr="00746A9D">
        <w:rPr>
          <w:rFonts w:asciiTheme="minorHAnsi" w:hAnsiTheme="minorHAnsi" w:cstheme="minorHAnsi"/>
          <w:color w:val="000000"/>
          <w:sz w:val="20"/>
          <w:szCs w:val="20"/>
        </w:rPr>
        <w:t>.</w:t>
      </w:r>
      <w:r w:rsidRPr="00746A9D">
        <w:rPr>
          <w:rFonts w:asciiTheme="minorHAnsi" w:hAnsiTheme="minorHAnsi" w:cstheme="minorHAnsi"/>
          <w:color w:val="000000"/>
          <w:sz w:val="20"/>
          <w:szCs w:val="20"/>
        </w:rPr>
        <w:t xml:space="preserve"> </w:t>
      </w:r>
    </w:p>
    <w:p w:rsidR="00FF5C01" w:rsidRPr="00746A9D" w:rsidP="009605C4" w14:paraId="2D3A1869" w14:textId="0430A302">
      <w:pPr>
        <w:widowControl/>
        <w:pBdr>
          <w:top w:val="nil"/>
          <w:left w:val="nil"/>
          <w:bottom w:val="nil"/>
          <w:right w:val="nil"/>
          <w:between w:val="nil"/>
        </w:pBdr>
        <w:ind w:left="432"/>
        <w:rPr>
          <w:rFonts w:asciiTheme="minorHAnsi" w:hAnsiTheme="minorHAnsi" w:cstheme="minorHAnsi"/>
          <w:color w:val="000000"/>
          <w:sz w:val="20"/>
          <w:szCs w:val="20"/>
        </w:rPr>
      </w:pPr>
      <w:r w:rsidRPr="00746A9D">
        <w:rPr>
          <w:rFonts w:asciiTheme="minorHAnsi" w:hAnsiTheme="minorHAnsi" w:cstheme="minorHAnsi"/>
          <w:color w:val="000000"/>
          <w:sz w:val="20"/>
          <w:szCs w:val="20"/>
        </w:rPr>
        <w:t>For loaded salary, add 52% of salary ($</w:t>
      </w:r>
      <w:r w:rsidRPr="00746A9D" w:rsidR="009F7321">
        <w:rPr>
          <w:rFonts w:asciiTheme="minorHAnsi" w:hAnsiTheme="minorHAnsi" w:cstheme="minorHAnsi"/>
          <w:color w:val="000000"/>
          <w:sz w:val="20"/>
          <w:szCs w:val="20"/>
        </w:rPr>
        <w:t>121,378</w:t>
      </w:r>
      <w:r w:rsidRPr="00746A9D">
        <w:rPr>
          <w:rFonts w:asciiTheme="minorHAnsi" w:hAnsiTheme="minorHAnsi" w:cstheme="minorHAnsi"/>
          <w:color w:val="000000"/>
          <w:sz w:val="20"/>
          <w:szCs w:val="20"/>
        </w:rPr>
        <w:t xml:space="preserve"> * 1.52 = $</w:t>
      </w:r>
      <w:r w:rsidRPr="00746A9D" w:rsidR="009F7321">
        <w:rPr>
          <w:rFonts w:asciiTheme="minorHAnsi" w:hAnsiTheme="minorHAnsi" w:cstheme="minorHAnsi"/>
          <w:color w:val="000000"/>
          <w:sz w:val="20"/>
          <w:szCs w:val="20"/>
        </w:rPr>
        <w:t>184,495</w:t>
      </w:r>
      <w:r w:rsidRPr="00746A9D">
        <w:rPr>
          <w:rFonts w:asciiTheme="minorHAnsi" w:hAnsiTheme="minorHAnsi" w:cstheme="minorHAnsi"/>
          <w:color w:val="000000"/>
          <w:sz w:val="20"/>
          <w:szCs w:val="20"/>
        </w:rPr>
        <w:t xml:space="preserve">). </w:t>
      </w:r>
    </w:p>
    <w:p w:rsidR="00A12801" w:rsidRPr="00746A9D" w:rsidP="009605C4" w14:paraId="0E945DC2" w14:textId="0C4B7521">
      <w:pPr>
        <w:widowControl/>
        <w:pBdr>
          <w:top w:val="nil"/>
          <w:left w:val="nil"/>
          <w:bottom w:val="nil"/>
          <w:right w:val="nil"/>
          <w:between w:val="nil"/>
        </w:pBdr>
        <w:spacing w:before="120"/>
        <w:ind w:left="144"/>
        <w:rPr>
          <w:rFonts w:asciiTheme="minorHAnsi" w:hAnsiTheme="minorHAnsi" w:cstheme="minorHAnsi"/>
          <w:color w:val="000000"/>
          <w:sz w:val="20"/>
          <w:szCs w:val="20"/>
        </w:rPr>
      </w:pPr>
      <w:r w:rsidRPr="00746A9D">
        <w:rPr>
          <w:rFonts w:asciiTheme="minorHAnsi" w:hAnsiTheme="minorHAnsi" w:cstheme="minorHAnsi"/>
          <w:color w:val="000000"/>
          <w:sz w:val="20"/>
          <w:szCs w:val="20"/>
        </w:rPr>
        <w:t>To calculate percent of effort: 253 h</w:t>
      </w:r>
      <w:r w:rsidRPr="00746A9D" w:rsidR="00FF5C01">
        <w:rPr>
          <w:rFonts w:asciiTheme="minorHAnsi" w:hAnsiTheme="minorHAnsi" w:cstheme="minorHAnsi"/>
          <w:color w:val="000000"/>
          <w:sz w:val="20"/>
          <w:szCs w:val="20"/>
        </w:rPr>
        <w:t>ou</w:t>
      </w:r>
      <w:r w:rsidRPr="00746A9D">
        <w:rPr>
          <w:rFonts w:asciiTheme="minorHAnsi" w:hAnsiTheme="minorHAnsi" w:cstheme="minorHAnsi"/>
          <w:color w:val="000000"/>
          <w:sz w:val="20"/>
          <w:szCs w:val="20"/>
        </w:rPr>
        <w:t>rs / 2,087 h</w:t>
      </w:r>
      <w:r w:rsidRPr="00746A9D" w:rsidR="00FF5C01">
        <w:rPr>
          <w:rFonts w:asciiTheme="minorHAnsi" w:hAnsiTheme="minorHAnsi" w:cstheme="minorHAnsi"/>
          <w:color w:val="000000"/>
          <w:sz w:val="20"/>
          <w:szCs w:val="20"/>
        </w:rPr>
        <w:t>ou</w:t>
      </w:r>
      <w:r w:rsidRPr="00746A9D">
        <w:rPr>
          <w:rFonts w:asciiTheme="minorHAnsi" w:hAnsiTheme="minorHAnsi" w:cstheme="minorHAnsi"/>
          <w:color w:val="000000"/>
          <w:sz w:val="20"/>
          <w:szCs w:val="20"/>
        </w:rPr>
        <w:t>rs = 0.12</w:t>
      </w:r>
      <w:r w:rsidRPr="00746A9D" w:rsidR="00FF5C01">
        <w:rPr>
          <w:rFonts w:asciiTheme="minorHAnsi" w:hAnsiTheme="minorHAnsi" w:cstheme="minorHAnsi"/>
          <w:color w:val="000000"/>
          <w:sz w:val="20"/>
          <w:szCs w:val="20"/>
        </w:rPr>
        <w:t>1</w:t>
      </w:r>
      <w:r w:rsidRPr="00746A9D">
        <w:rPr>
          <w:rFonts w:asciiTheme="minorHAnsi" w:hAnsiTheme="minorHAnsi" w:cstheme="minorHAnsi"/>
          <w:color w:val="000000"/>
          <w:sz w:val="20"/>
          <w:szCs w:val="20"/>
        </w:rPr>
        <w:t xml:space="preserve"> or about 12% of effort. </w:t>
      </w:r>
    </w:p>
    <w:p w:rsidR="0062210B" w:rsidRPr="00746A9D" w:rsidP="009605C4" w14:paraId="24421DF1" w14:textId="7E6877CE">
      <w:pPr>
        <w:widowControl/>
        <w:pBdr>
          <w:top w:val="nil"/>
          <w:left w:val="nil"/>
          <w:bottom w:val="nil"/>
          <w:right w:val="nil"/>
          <w:between w:val="nil"/>
        </w:pBdr>
        <w:spacing w:before="120"/>
        <w:ind w:left="144"/>
        <w:rPr>
          <w:rFonts w:asciiTheme="minorHAnsi" w:hAnsiTheme="minorHAnsi" w:cstheme="minorHAnsi"/>
          <w:color w:val="000000"/>
          <w:sz w:val="20"/>
          <w:szCs w:val="20"/>
        </w:rPr>
      </w:pPr>
      <w:r w:rsidRPr="00746A9D">
        <w:rPr>
          <w:rFonts w:asciiTheme="minorHAnsi" w:hAnsiTheme="minorHAnsi" w:cstheme="minorHAnsi"/>
          <w:color w:val="000000"/>
          <w:sz w:val="20"/>
          <w:szCs w:val="20"/>
        </w:rPr>
        <w:t>Total cost to government = $</w:t>
      </w:r>
      <w:r w:rsidRPr="00746A9D" w:rsidR="009F7321">
        <w:rPr>
          <w:rFonts w:asciiTheme="minorHAnsi" w:hAnsiTheme="minorHAnsi" w:cstheme="minorHAnsi"/>
          <w:color w:val="000000"/>
          <w:sz w:val="20"/>
          <w:szCs w:val="20"/>
        </w:rPr>
        <w:t>184,495</w:t>
      </w:r>
      <w:r w:rsidRPr="00746A9D" w:rsidR="00DA76D5">
        <w:rPr>
          <w:rFonts w:asciiTheme="minorHAnsi" w:hAnsiTheme="minorHAnsi" w:cstheme="minorHAnsi"/>
          <w:color w:val="000000"/>
          <w:sz w:val="20"/>
          <w:szCs w:val="20"/>
        </w:rPr>
        <w:t xml:space="preserve"> </w:t>
      </w:r>
      <w:r w:rsidRPr="00746A9D">
        <w:rPr>
          <w:rFonts w:asciiTheme="minorHAnsi" w:hAnsiTheme="minorHAnsi" w:cstheme="minorHAnsi"/>
          <w:color w:val="000000"/>
          <w:sz w:val="20"/>
          <w:szCs w:val="20"/>
        </w:rPr>
        <w:t xml:space="preserve">x </w:t>
      </w:r>
      <w:r w:rsidRPr="00746A9D" w:rsidR="00DA76D5">
        <w:rPr>
          <w:rFonts w:asciiTheme="minorHAnsi" w:hAnsiTheme="minorHAnsi" w:cstheme="minorHAnsi"/>
          <w:color w:val="000000"/>
          <w:sz w:val="20"/>
          <w:szCs w:val="20"/>
        </w:rPr>
        <w:t xml:space="preserve">0.12 </w:t>
      </w:r>
      <w:r w:rsidRPr="00746A9D">
        <w:rPr>
          <w:rFonts w:asciiTheme="minorHAnsi" w:hAnsiTheme="minorHAnsi" w:cstheme="minorHAnsi"/>
          <w:color w:val="000000"/>
          <w:sz w:val="20"/>
          <w:szCs w:val="20"/>
        </w:rPr>
        <w:t>= $</w:t>
      </w:r>
      <w:r w:rsidRPr="00746A9D" w:rsidR="009F7321">
        <w:rPr>
          <w:rFonts w:asciiTheme="minorHAnsi" w:hAnsiTheme="minorHAnsi" w:cstheme="minorHAnsi"/>
          <w:color w:val="000000"/>
          <w:sz w:val="20"/>
          <w:szCs w:val="20"/>
        </w:rPr>
        <w:t>22,139</w:t>
      </w:r>
      <w:r w:rsidRPr="00746A9D">
        <w:rPr>
          <w:rFonts w:asciiTheme="minorHAnsi" w:hAnsiTheme="minorHAnsi" w:cstheme="minorHAnsi"/>
          <w:color w:val="000000"/>
          <w:sz w:val="20"/>
          <w:szCs w:val="20"/>
        </w:rPr>
        <w:t xml:space="preserve">.   </w:t>
      </w:r>
    </w:p>
    <w:p w:rsidR="002C2179" w:rsidP="00532A12" w14:paraId="65B440CB" w14:textId="131FD964">
      <w:pPr>
        <w:widowControl/>
        <w:pBdr>
          <w:top w:val="nil"/>
          <w:left w:val="nil"/>
          <w:bottom w:val="nil"/>
          <w:right w:val="nil"/>
          <w:between w:val="nil"/>
        </w:pBdr>
        <w:rPr>
          <w:color w:val="000000"/>
        </w:rPr>
      </w:pPr>
    </w:p>
    <w:p w:rsidR="00BD2A55" w:rsidRPr="007E1EFF" w:rsidP="005A3188" w14:paraId="2670EF2F" w14:textId="77777777">
      <w:pPr>
        <w:widowControl/>
        <w:numPr>
          <w:ilvl w:val="0"/>
          <w:numId w:val="3"/>
        </w:numPr>
        <w:pBdr>
          <w:top w:val="nil"/>
          <w:left w:val="nil"/>
          <w:bottom w:val="nil"/>
          <w:right w:val="nil"/>
          <w:between w:val="nil"/>
        </w:pBdr>
        <w:tabs>
          <w:tab w:val="left" w:pos="360"/>
        </w:tabs>
        <w:ind w:left="0" w:firstLine="0"/>
        <w:rPr>
          <w:b/>
          <w:color w:val="000000"/>
        </w:rPr>
      </w:pPr>
      <w:r w:rsidRPr="007E1EFF">
        <w:rPr>
          <w:b/>
          <w:color w:val="000000"/>
        </w:rPr>
        <w:t xml:space="preserve"> </w:t>
      </w:r>
      <w:r w:rsidRPr="007E1EFF" w:rsidR="00333FBA">
        <w:rPr>
          <w:b/>
          <w:color w:val="000000"/>
        </w:rPr>
        <w:t>Explain the reasons for any program changes or adjustments reported in ROCIS.</w:t>
      </w:r>
    </w:p>
    <w:p w:rsidR="003F2AAC" w:rsidP="00746A9D" w14:paraId="6FF7C314" w14:textId="2DBFAF78">
      <w:pPr>
        <w:widowControl/>
        <w:pBdr>
          <w:top w:val="nil"/>
          <w:left w:val="nil"/>
          <w:bottom w:val="nil"/>
          <w:right w:val="nil"/>
          <w:between w:val="nil"/>
        </w:pBdr>
        <w:spacing w:before="120" w:after="60"/>
      </w:pPr>
      <w:r>
        <w:t>T</w:t>
      </w:r>
      <w:r w:rsidRPr="003F2AAC">
        <w:t xml:space="preserve">he </w:t>
      </w:r>
      <w:r>
        <w:t>labor costs</w:t>
      </w:r>
      <w:r w:rsidRPr="003F2AAC">
        <w:t xml:space="preserve"> </w:t>
      </w:r>
      <w:r>
        <w:t xml:space="preserve">were adjusted </w:t>
      </w:r>
      <w:r>
        <w:t>t</w:t>
      </w:r>
      <w:r w:rsidR="00F229BE">
        <w:t xml:space="preserve">o use the most current </w:t>
      </w:r>
      <w:r w:rsidRPr="003F2AAC">
        <w:t>wage rate available (May 2021)</w:t>
      </w:r>
      <w:r w:rsidR="00F63593">
        <w:t xml:space="preserve"> from the U. S Bureau of Labor Statistics (BLS).</w:t>
      </w:r>
    </w:p>
    <w:tbl>
      <w:tblPr>
        <w:tblStyle w:val="2"/>
        <w:tblpPr w:leftFromText="180" w:rightFromText="180" w:vertAnchor="text" w:horzAnchor="margin" w:tblpXSpec="center" w:tblpY="121"/>
        <w:tblW w:w="9442" w:type="dxa"/>
        <w:jc w:val="center"/>
        <w:tblLayout w:type="fixed"/>
        <w:tblLook w:val="0400"/>
      </w:tblPr>
      <w:tblGrid>
        <w:gridCol w:w="3111"/>
        <w:gridCol w:w="891"/>
        <w:gridCol w:w="892"/>
        <w:gridCol w:w="4548"/>
      </w:tblGrid>
      <w:tr w14:paraId="2B2D59E8" w14:textId="77777777" w:rsidTr="00746A9D">
        <w:tblPrEx>
          <w:tblW w:w="9442" w:type="dxa"/>
          <w:jc w:val="center"/>
          <w:tblLayout w:type="fixed"/>
          <w:tblLook w:val="0400"/>
        </w:tblPrEx>
        <w:trPr>
          <w:trHeight w:val="355"/>
          <w:jc w:val="center"/>
        </w:trPr>
        <w:tc>
          <w:tcPr>
            <w:tcW w:w="3111" w:type="dxa"/>
            <w:vMerge w:val="restart"/>
            <w:tcBorders>
              <w:top w:val="single" w:sz="8" w:space="0" w:color="000000"/>
              <w:left w:val="single" w:sz="8" w:space="0" w:color="000000"/>
              <w:bottom w:val="single" w:sz="8" w:space="0" w:color="000000"/>
              <w:right w:val="single" w:sz="8" w:space="0" w:color="000000"/>
            </w:tcBorders>
            <w:shd w:val="clear" w:color="auto" w:fill="5B9BD5"/>
            <w:vAlign w:val="center"/>
          </w:tcPr>
          <w:p w:rsidR="00E03750" w:rsidRPr="00F35879" w:rsidP="00E03750" w14:paraId="5814AA0D" w14:textId="77777777">
            <w:pPr>
              <w:widowControl/>
              <w:jc w:val="center"/>
              <w:rPr>
                <w:rFonts w:ascii="Calibri" w:eastAsia="Calibri" w:hAnsi="Calibri" w:cs="Calibri"/>
                <w:b/>
                <w:color w:val="000000"/>
                <w:sz w:val="18"/>
                <w:szCs w:val="18"/>
              </w:rPr>
            </w:pPr>
            <w:r w:rsidRPr="00F35879">
              <w:rPr>
                <w:rFonts w:ascii="Calibri" w:eastAsia="Calibri" w:hAnsi="Calibri" w:cs="Calibri"/>
                <w:b/>
                <w:color w:val="000000"/>
                <w:sz w:val="18"/>
                <w:szCs w:val="18"/>
              </w:rPr>
              <w:t>Information Collection</w:t>
            </w:r>
          </w:p>
        </w:tc>
        <w:tc>
          <w:tcPr>
            <w:tcW w:w="1783" w:type="dxa"/>
            <w:gridSpan w:val="2"/>
            <w:tcBorders>
              <w:top w:val="single" w:sz="8" w:space="0" w:color="000000"/>
              <w:left w:val="nil"/>
              <w:bottom w:val="single" w:sz="8" w:space="0" w:color="000000"/>
              <w:right w:val="single" w:sz="8" w:space="0" w:color="000000"/>
            </w:tcBorders>
            <w:shd w:val="clear" w:color="auto" w:fill="5B9BD5"/>
            <w:vAlign w:val="center"/>
          </w:tcPr>
          <w:p w:rsidR="00E03750" w:rsidRPr="00F35879" w:rsidP="00E03750" w14:paraId="2BCC8D37" w14:textId="77777777">
            <w:pPr>
              <w:widowControl/>
              <w:jc w:val="center"/>
              <w:rPr>
                <w:rFonts w:ascii="Calibri" w:eastAsia="Calibri" w:hAnsi="Calibri" w:cs="Calibri"/>
                <w:b/>
                <w:color w:val="000000"/>
                <w:sz w:val="18"/>
                <w:szCs w:val="18"/>
              </w:rPr>
            </w:pPr>
            <w:r w:rsidRPr="00F35879">
              <w:rPr>
                <w:rFonts w:ascii="Calibri" w:eastAsia="Calibri" w:hAnsi="Calibri" w:cs="Calibri"/>
                <w:b/>
                <w:color w:val="000000"/>
                <w:sz w:val="18"/>
                <w:szCs w:val="18"/>
              </w:rPr>
              <w:t>Labor Costs</w:t>
            </w:r>
          </w:p>
        </w:tc>
        <w:tc>
          <w:tcPr>
            <w:tcW w:w="4548" w:type="dxa"/>
            <w:vMerge w:val="restart"/>
            <w:tcBorders>
              <w:top w:val="single" w:sz="8" w:space="0" w:color="000000"/>
              <w:left w:val="single" w:sz="8" w:space="0" w:color="000000"/>
              <w:bottom w:val="single" w:sz="8" w:space="0" w:color="000000"/>
              <w:right w:val="single" w:sz="8" w:space="0" w:color="000000"/>
            </w:tcBorders>
            <w:shd w:val="clear" w:color="auto" w:fill="5B9BD5"/>
            <w:vAlign w:val="center"/>
          </w:tcPr>
          <w:p w:rsidR="00E03750" w:rsidRPr="00F35879" w:rsidP="00E03750" w14:paraId="61523E4F" w14:textId="77777777">
            <w:pPr>
              <w:widowControl/>
              <w:jc w:val="center"/>
              <w:rPr>
                <w:rFonts w:ascii="Calibri" w:eastAsia="Calibri" w:hAnsi="Calibri" w:cs="Calibri"/>
                <w:b/>
                <w:color w:val="000000"/>
                <w:sz w:val="18"/>
                <w:szCs w:val="18"/>
              </w:rPr>
            </w:pPr>
            <w:r w:rsidRPr="00F35879">
              <w:rPr>
                <w:rFonts w:ascii="Calibri" w:eastAsia="Calibri" w:hAnsi="Calibri" w:cs="Calibri"/>
                <w:b/>
                <w:color w:val="000000"/>
                <w:sz w:val="18"/>
                <w:szCs w:val="18"/>
              </w:rPr>
              <w:t>Reason for change or adjustment</w:t>
            </w:r>
          </w:p>
        </w:tc>
      </w:tr>
      <w:tr w14:paraId="229C269B" w14:textId="77777777" w:rsidTr="00746A9D">
        <w:tblPrEx>
          <w:tblW w:w="9442" w:type="dxa"/>
          <w:jc w:val="center"/>
          <w:tblLayout w:type="fixed"/>
          <w:tblLook w:val="0400"/>
        </w:tblPrEx>
        <w:trPr>
          <w:trHeight w:val="289"/>
          <w:jc w:val="center"/>
        </w:trPr>
        <w:tc>
          <w:tcPr>
            <w:tcW w:w="3111" w:type="dxa"/>
            <w:vMerge/>
            <w:tcBorders>
              <w:top w:val="single" w:sz="8" w:space="0" w:color="000000"/>
              <w:left w:val="single" w:sz="8" w:space="0" w:color="000000"/>
              <w:bottom w:val="single" w:sz="8" w:space="0" w:color="000000"/>
              <w:right w:val="single" w:sz="8" w:space="0" w:color="000000"/>
            </w:tcBorders>
            <w:shd w:val="clear" w:color="auto" w:fill="5B9BD5"/>
            <w:vAlign w:val="center"/>
          </w:tcPr>
          <w:p w:rsidR="00E03750" w:rsidP="00E03750" w14:paraId="05DEE0C4" w14:textId="77777777">
            <w:pPr>
              <w:widowControl/>
              <w:pBdr>
                <w:top w:val="nil"/>
                <w:left w:val="nil"/>
                <w:bottom w:val="nil"/>
                <w:right w:val="nil"/>
                <w:between w:val="nil"/>
              </w:pBdr>
              <w:spacing w:line="276" w:lineRule="auto"/>
              <w:rPr>
                <w:rFonts w:ascii="Calibri" w:eastAsia="Calibri" w:hAnsi="Calibri" w:cs="Calibri"/>
                <w:b/>
                <w:color w:val="000000"/>
                <w:sz w:val="16"/>
                <w:szCs w:val="16"/>
              </w:rPr>
            </w:pPr>
          </w:p>
        </w:tc>
        <w:tc>
          <w:tcPr>
            <w:tcW w:w="891" w:type="dxa"/>
            <w:tcBorders>
              <w:top w:val="nil"/>
              <w:left w:val="nil"/>
              <w:bottom w:val="single" w:sz="8" w:space="0" w:color="000000"/>
              <w:right w:val="dashed" w:sz="8" w:space="0" w:color="000000"/>
            </w:tcBorders>
            <w:shd w:val="clear" w:color="auto" w:fill="FBE4D5"/>
            <w:vAlign w:val="center"/>
          </w:tcPr>
          <w:p w:rsidR="00E03750" w:rsidP="00E03750" w14:paraId="52617D9E"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Current</w:t>
            </w:r>
          </w:p>
        </w:tc>
        <w:tc>
          <w:tcPr>
            <w:tcW w:w="891" w:type="dxa"/>
            <w:tcBorders>
              <w:top w:val="nil"/>
              <w:left w:val="nil"/>
              <w:bottom w:val="single" w:sz="8" w:space="0" w:color="000000"/>
              <w:right w:val="single" w:sz="8" w:space="0" w:color="000000"/>
            </w:tcBorders>
            <w:shd w:val="clear" w:color="auto" w:fill="FBE4D5"/>
            <w:vAlign w:val="center"/>
          </w:tcPr>
          <w:p w:rsidR="00E03750" w:rsidP="00E03750" w14:paraId="011CFC01"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Previous</w:t>
            </w:r>
          </w:p>
        </w:tc>
        <w:tc>
          <w:tcPr>
            <w:tcW w:w="4548" w:type="dxa"/>
            <w:vMerge/>
            <w:tcBorders>
              <w:top w:val="single" w:sz="8" w:space="0" w:color="000000"/>
              <w:left w:val="single" w:sz="8" w:space="0" w:color="000000"/>
              <w:bottom w:val="single" w:sz="8" w:space="0" w:color="000000"/>
              <w:right w:val="single" w:sz="8" w:space="0" w:color="000000"/>
            </w:tcBorders>
            <w:shd w:val="clear" w:color="auto" w:fill="5B9BD5"/>
            <w:vAlign w:val="center"/>
          </w:tcPr>
          <w:p w:rsidR="00E03750" w:rsidP="00E03750" w14:paraId="4FFC7187" w14:textId="77777777">
            <w:pPr>
              <w:widowControl/>
              <w:pBdr>
                <w:top w:val="nil"/>
                <w:left w:val="nil"/>
                <w:bottom w:val="nil"/>
                <w:right w:val="nil"/>
                <w:between w:val="nil"/>
              </w:pBdr>
              <w:spacing w:line="276" w:lineRule="auto"/>
              <w:rPr>
                <w:rFonts w:ascii="Calibri" w:eastAsia="Calibri" w:hAnsi="Calibri" w:cs="Calibri"/>
                <w:color w:val="000000"/>
                <w:sz w:val="16"/>
                <w:szCs w:val="16"/>
              </w:rPr>
            </w:pPr>
          </w:p>
        </w:tc>
      </w:tr>
      <w:tr w14:paraId="41B079CB" w14:textId="77777777" w:rsidTr="00746A9D">
        <w:tblPrEx>
          <w:tblW w:w="9442" w:type="dxa"/>
          <w:jc w:val="center"/>
          <w:tblLayout w:type="fixed"/>
          <w:tblLook w:val="0400"/>
        </w:tblPrEx>
        <w:trPr>
          <w:trHeight w:val="315"/>
          <w:jc w:val="center"/>
        </w:trPr>
        <w:tc>
          <w:tcPr>
            <w:tcW w:w="3111" w:type="dxa"/>
            <w:tcBorders>
              <w:top w:val="nil"/>
              <w:left w:val="single" w:sz="8" w:space="0" w:color="000000"/>
              <w:bottom w:val="single" w:sz="8" w:space="0" w:color="000000"/>
              <w:right w:val="single" w:sz="8" w:space="0" w:color="000000"/>
            </w:tcBorders>
            <w:shd w:val="clear" w:color="auto" w:fill="auto"/>
            <w:vAlign w:val="center"/>
          </w:tcPr>
          <w:p w:rsidR="00E03750" w:rsidRPr="00CE6C6A" w:rsidP="00746A9D" w14:paraId="5B81D017" w14:textId="77777777">
            <w:pPr>
              <w:widowControl/>
              <w:spacing w:before="20" w:after="20"/>
              <w:rPr>
                <w:rFonts w:eastAsia="Calibri" w:asciiTheme="minorHAnsi" w:hAnsiTheme="minorHAnsi" w:cstheme="minorHAnsi"/>
                <w:color w:val="000000"/>
                <w:sz w:val="18"/>
                <w:szCs w:val="18"/>
              </w:rPr>
            </w:pPr>
            <w:r w:rsidRPr="00CE6C6A">
              <w:rPr>
                <w:rFonts w:asciiTheme="minorHAnsi" w:hAnsiTheme="minorHAnsi" w:cstheme="minorHAnsi"/>
                <w:sz w:val="18"/>
                <w:szCs w:val="18"/>
              </w:rPr>
              <w:t xml:space="preserve">Application for Nonprofit Corporation to be Designated as a CQE </w:t>
            </w:r>
          </w:p>
        </w:tc>
        <w:tc>
          <w:tcPr>
            <w:tcW w:w="891" w:type="dxa"/>
            <w:tcBorders>
              <w:top w:val="single" w:sz="8" w:space="0" w:color="000000"/>
              <w:left w:val="nil"/>
              <w:bottom w:val="dotted" w:sz="4" w:space="0" w:color="000000"/>
              <w:right w:val="dashed" w:sz="2" w:space="0" w:color="000000"/>
            </w:tcBorders>
            <w:shd w:val="clear" w:color="auto" w:fill="auto"/>
            <w:vAlign w:val="center"/>
          </w:tcPr>
          <w:p w:rsidR="00E03750" w:rsidRPr="00C329DB" w:rsidP="00746A9D" w14:paraId="1E18DCA5" w14:textId="77777777">
            <w:pPr>
              <w:widowControl/>
              <w:spacing w:before="20" w:after="20"/>
              <w:jc w:val="center"/>
              <w:rPr>
                <w:rFonts w:eastAsia="Calibri" w:asciiTheme="minorHAnsi" w:hAnsiTheme="minorHAnsi" w:cstheme="minorHAnsi"/>
                <w:color w:val="000000"/>
                <w:sz w:val="18"/>
                <w:szCs w:val="18"/>
              </w:rPr>
            </w:pPr>
            <w:r w:rsidRPr="00F35879">
              <w:rPr>
                <w:rFonts w:asciiTheme="minorHAnsi" w:hAnsiTheme="minorHAnsi" w:cstheme="minorHAnsi"/>
                <w:sz w:val="18"/>
                <w:szCs w:val="18"/>
              </w:rPr>
              <w:t>150</w:t>
            </w:r>
          </w:p>
        </w:tc>
        <w:tc>
          <w:tcPr>
            <w:tcW w:w="891" w:type="dxa"/>
            <w:tcBorders>
              <w:top w:val="single" w:sz="8" w:space="0" w:color="000000"/>
              <w:left w:val="dashed" w:sz="2" w:space="0" w:color="000000"/>
              <w:bottom w:val="dotted" w:sz="4" w:space="0" w:color="000000"/>
              <w:right w:val="single" w:sz="8" w:space="0" w:color="000000"/>
            </w:tcBorders>
            <w:shd w:val="clear" w:color="auto" w:fill="auto"/>
            <w:vAlign w:val="center"/>
          </w:tcPr>
          <w:p w:rsidR="00E03750" w:rsidRPr="00C329DB" w:rsidP="00746A9D" w14:paraId="3AD57B10" w14:textId="77777777">
            <w:pPr>
              <w:widowControl/>
              <w:spacing w:before="20" w:after="20"/>
              <w:jc w:val="center"/>
              <w:rPr>
                <w:rFonts w:eastAsia="Calibri" w:asciiTheme="minorHAnsi" w:hAnsiTheme="minorHAnsi" w:cstheme="minorHAnsi"/>
                <w:color w:val="000000"/>
                <w:sz w:val="18"/>
                <w:szCs w:val="18"/>
              </w:rPr>
            </w:pPr>
            <w:r w:rsidRPr="00F35879">
              <w:rPr>
                <w:rFonts w:asciiTheme="minorHAnsi" w:hAnsiTheme="minorHAnsi" w:cstheme="minorHAnsi"/>
                <w:sz w:val="18"/>
                <w:szCs w:val="18"/>
              </w:rPr>
              <w:t>150</w:t>
            </w:r>
          </w:p>
        </w:tc>
        <w:tc>
          <w:tcPr>
            <w:tcW w:w="4548" w:type="dxa"/>
            <w:tcBorders>
              <w:top w:val="nil"/>
              <w:left w:val="nil"/>
              <w:bottom w:val="dotted" w:sz="4" w:space="0" w:color="000000"/>
              <w:right w:val="single" w:sz="8" w:space="0" w:color="000000"/>
            </w:tcBorders>
            <w:shd w:val="clear" w:color="auto" w:fill="auto"/>
            <w:vAlign w:val="center"/>
          </w:tcPr>
          <w:p w:rsidR="00E03750" w:rsidRPr="00CE6C6A" w:rsidP="00746A9D" w14:paraId="2ADED57A" w14:textId="77777777">
            <w:pPr>
              <w:widowControl/>
              <w:spacing w:before="20" w:after="20"/>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No change</w:t>
            </w:r>
          </w:p>
        </w:tc>
      </w:tr>
      <w:tr w14:paraId="0306D2CF" w14:textId="77777777" w:rsidTr="00746A9D">
        <w:tblPrEx>
          <w:tblW w:w="9442" w:type="dxa"/>
          <w:jc w:val="center"/>
          <w:tblLayout w:type="fixed"/>
          <w:tblLook w:val="0400"/>
        </w:tblPrEx>
        <w:trPr>
          <w:trHeight w:val="315"/>
          <w:jc w:val="center"/>
        </w:trPr>
        <w:tc>
          <w:tcPr>
            <w:tcW w:w="3111" w:type="dxa"/>
            <w:tcBorders>
              <w:top w:val="nil"/>
              <w:left w:val="single" w:sz="8" w:space="0" w:color="000000"/>
              <w:bottom w:val="single" w:sz="8" w:space="0" w:color="000000"/>
              <w:right w:val="single" w:sz="8" w:space="0" w:color="000000"/>
            </w:tcBorders>
            <w:shd w:val="clear" w:color="auto" w:fill="auto"/>
            <w:vAlign w:val="center"/>
          </w:tcPr>
          <w:p w:rsidR="00E03750" w:rsidRPr="00CE6C6A" w:rsidP="00746A9D" w14:paraId="2A3D3DBC" w14:textId="77777777">
            <w:pPr>
              <w:widowControl/>
              <w:spacing w:before="20" w:after="20"/>
              <w:rPr>
                <w:rFonts w:eastAsia="Calibri" w:asciiTheme="minorHAnsi" w:hAnsiTheme="minorHAnsi" w:cstheme="minorHAnsi"/>
                <w:color w:val="000000"/>
                <w:sz w:val="18"/>
                <w:szCs w:val="18"/>
              </w:rPr>
            </w:pPr>
            <w:r w:rsidRPr="00CE6C6A">
              <w:rPr>
                <w:rFonts w:asciiTheme="minorHAnsi" w:hAnsiTheme="minorHAnsi" w:cstheme="minorHAnsi"/>
                <w:sz w:val="18"/>
                <w:szCs w:val="18"/>
              </w:rPr>
              <w:t>CQE Annual Report</w:t>
            </w:r>
          </w:p>
        </w:tc>
        <w:tc>
          <w:tcPr>
            <w:tcW w:w="891" w:type="dxa"/>
            <w:tcBorders>
              <w:top w:val="dotted" w:sz="4" w:space="0" w:color="000000"/>
              <w:left w:val="nil"/>
              <w:bottom w:val="dotted" w:sz="4" w:space="0" w:color="000000"/>
              <w:right w:val="dashed" w:sz="2" w:space="0" w:color="000000"/>
            </w:tcBorders>
            <w:shd w:val="clear" w:color="auto" w:fill="auto"/>
            <w:vAlign w:val="center"/>
          </w:tcPr>
          <w:p w:rsidR="00E03750" w:rsidRPr="00C329DB" w:rsidP="00746A9D" w14:paraId="0A7618BC" w14:textId="77777777">
            <w:pPr>
              <w:widowControl/>
              <w:spacing w:before="20" w:after="20"/>
              <w:jc w:val="center"/>
              <w:rPr>
                <w:rFonts w:eastAsia="Calibri" w:asciiTheme="minorHAnsi" w:hAnsiTheme="minorHAnsi" w:cstheme="minorHAnsi"/>
                <w:color w:val="000000"/>
                <w:sz w:val="18"/>
                <w:szCs w:val="18"/>
              </w:rPr>
            </w:pPr>
            <w:r w:rsidRPr="00F35879">
              <w:rPr>
                <w:rFonts w:asciiTheme="minorHAnsi" w:hAnsiTheme="minorHAnsi" w:cstheme="minorHAnsi"/>
                <w:sz w:val="18"/>
                <w:szCs w:val="18"/>
              </w:rPr>
              <w:t>22,842</w:t>
            </w:r>
          </w:p>
        </w:tc>
        <w:tc>
          <w:tcPr>
            <w:tcW w:w="891" w:type="dxa"/>
            <w:tcBorders>
              <w:top w:val="dotted" w:sz="4" w:space="0" w:color="000000"/>
              <w:left w:val="dashed" w:sz="2" w:space="0" w:color="000000"/>
              <w:bottom w:val="dotted" w:sz="4" w:space="0" w:color="000000"/>
              <w:right w:val="single" w:sz="8" w:space="0" w:color="000000"/>
            </w:tcBorders>
            <w:shd w:val="clear" w:color="auto" w:fill="auto"/>
            <w:vAlign w:val="center"/>
          </w:tcPr>
          <w:p w:rsidR="00E03750" w:rsidRPr="00C329DB" w:rsidP="00746A9D" w14:paraId="6F9FAA0D" w14:textId="77777777">
            <w:pPr>
              <w:widowControl/>
              <w:spacing w:before="20" w:after="20"/>
              <w:jc w:val="center"/>
              <w:rPr>
                <w:rFonts w:eastAsia="Calibri" w:asciiTheme="minorHAnsi" w:hAnsiTheme="minorHAnsi" w:cstheme="minorHAnsi"/>
                <w:color w:val="000000"/>
                <w:sz w:val="18"/>
                <w:szCs w:val="18"/>
              </w:rPr>
            </w:pPr>
            <w:r w:rsidRPr="00F35879">
              <w:rPr>
                <w:rFonts w:asciiTheme="minorHAnsi" w:hAnsiTheme="minorHAnsi" w:cstheme="minorHAnsi"/>
                <w:sz w:val="18"/>
                <w:szCs w:val="18"/>
              </w:rPr>
              <w:t>29,624</w:t>
            </w:r>
          </w:p>
        </w:tc>
        <w:tc>
          <w:tcPr>
            <w:tcW w:w="4548" w:type="dxa"/>
            <w:tcBorders>
              <w:top w:val="nil"/>
              <w:left w:val="nil"/>
              <w:bottom w:val="dotted" w:sz="4" w:space="0" w:color="000000"/>
              <w:right w:val="single" w:sz="8" w:space="0" w:color="000000"/>
            </w:tcBorders>
            <w:shd w:val="clear" w:color="auto" w:fill="auto"/>
            <w:vAlign w:val="center"/>
          </w:tcPr>
          <w:p w:rsidR="00E03750" w:rsidRPr="00CE6C6A" w:rsidP="00746A9D" w14:paraId="5B4BB90B" w14:textId="77777777">
            <w:pPr>
              <w:widowControl/>
              <w:spacing w:before="20" w:after="20"/>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 xml:space="preserve">The hourly wage rate </w:t>
            </w:r>
            <w:r>
              <w:rPr>
                <w:rFonts w:eastAsia="Calibri" w:asciiTheme="minorHAnsi" w:hAnsiTheme="minorHAnsi" w:cstheme="minorHAnsi"/>
                <w:color w:val="000000"/>
                <w:sz w:val="18"/>
                <w:szCs w:val="18"/>
              </w:rPr>
              <w:t>was updated</w:t>
            </w:r>
            <w:r>
              <w:rPr>
                <w:rFonts w:eastAsia="Calibri" w:asciiTheme="minorHAnsi" w:hAnsiTheme="minorHAnsi" w:cstheme="minorHAnsi"/>
                <w:color w:val="000000"/>
                <w:sz w:val="18"/>
                <w:szCs w:val="18"/>
              </w:rPr>
              <w:t xml:space="preserve"> to use the most current BLS rate available, which is lower than the previous rate.   </w:t>
            </w:r>
          </w:p>
        </w:tc>
      </w:tr>
      <w:tr w14:paraId="350C0E22" w14:textId="77777777" w:rsidTr="00746A9D">
        <w:tblPrEx>
          <w:tblW w:w="9442" w:type="dxa"/>
          <w:jc w:val="center"/>
          <w:tblLayout w:type="fixed"/>
          <w:tblLook w:val="0400"/>
        </w:tblPrEx>
        <w:trPr>
          <w:trHeight w:val="315"/>
          <w:jc w:val="center"/>
        </w:trPr>
        <w:tc>
          <w:tcPr>
            <w:tcW w:w="3111" w:type="dxa"/>
            <w:tcBorders>
              <w:top w:val="nil"/>
              <w:left w:val="single" w:sz="8" w:space="0" w:color="000000"/>
              <w:bottom w:val="single" w:sz="8" w:space="0" w:color="000000"/>
              <w:right w:val="single" w:sz="8" w:space="0" w:color="000000"/>
            </w:tcBorders>
            <w:shd w:val="clear" w:color="auto" w:fill="auto"/>
            <w:vAlign w:val="center"/>
          </w:tcPr>
          <w:p w:rsidR="00E03750" w:rsidRPr="00CE6C6A" w:rsidP="00746A9D" w14:paraId="37D213AF" w14:textId="77777777">
            <w:pPr>
              <w:widowControl/>
              <w:spacing w:before="20" w:after="20"/>
              <w:rPr>
                <w:rFonts w:eastAsia="Calibri" w:asciiTheme="minorHAnsi" w:hAnsiTheme="minorHAnsi" w:cstheme="minorHAnsi"/>
                <w:color w:val="000000"/>
                <w:sz w:val="18"/>
                <w:szCs w:val="18"/>
              </w:rPr>
            </w:pPr>
            <w:r w:rsidRPr="00CE6C6A">
              <w:rPr>
                <w:rFonts w:asciiTheme="minorHAnsi" w:hAnsiTheme="minorHAnsi" w:cstheme="minorHAnsi"/>
                <w:sz w:val="18"/>
                <w:szCs w:val="18"/>
              </w:rPr>
              <w:t>Application for Transfer of Quota Share to or from a Community Quota Entity</w:t>
            </w:r>
          </w:p>
        </w:tc>
        <w:tc>
          <w:tcPr>
            <w:tcW w:w="891" w:type="dxa"/>
            <w:tcBorders>
              <w:top w:val="dotted" w:sz="4" w:space="0" w:color="000000"/>
              <w:left w:val="nil"/>
              <w:bottom w:val="dotted" w:sz="4" w:space="0" w:color="000000"/>
              <w:right w:val="dashed" w:sz="2" w:space="0" w:color="000000"/>
            </w:tcBorders>
            <w:shd w:val="clear" w:color="auto" w:fill="auto"/>
            <w:vAlign w:val="center"/>
          </w:tcPr>
          <w:p w:rsidR="00E03750" w:rsidRPr="00C329DB" w:rsidP="00746A9D" w14:paraId="1149FB2B" w14:textId="77777777">
            <w:pPr>
              <w:widowControl/>
              <w:spacing w:before="20" w:after="20"/>
              <w:jc w:val="center"/>
              <w:rPr>
                <w:rFonts w:eastAsia="Calibri" w:asciiTheme="minorHAnsi" w:hAnsiTheme="minorHAnsi" w:cstheme="minorHAnsi"/>
                <w:color w:val="000000"/>
                <w:sz w:val="18"/>
                <w:szCs w:val="18"/>
              </w:rPr>
            </w:pPr>
            <w:r w:rsidRPr="00F35879">
              <w:rPr>
                <w:rFonts w:asciiTheme="minorHAnsi" w:hAnsiTheme="minorHAnsi" w:cstheme="minorHAnsi"/>
                <w:sz w:val="18"/>
                <w:szCs w:val="18"/>
              </w:rPr>
              <w:t>1,438</w:t>
            </w:r>
          </w:p>
        </w:tc>
        <w:tc>
          <w:tcPr>
            <w:tcW w:w="891" w:type="dxa"/>
            <w:tcBorders>
              <w:top w:val="dotted" w:sz="4" w:space="0" w:color="000000"/>
              <w:left w:val="dashed" w:sz="2" w:space="0" w:color="000000"/>
              <w:bottom w:val="dotted" w:sz="4" w:space="0" w:color="000000"/>
              <w:right w:val="single" w:sz="8" w:space="0" w:color="000000"/>
            </w:tcBorders>
            <w:shd w:val="clear" w:color="auto" w:fill="auto"/>
            <w:vAlign w:val="center"/>
          </w:tcPr>
          <w:p w:rsidR="00E03750" w:rsidRPr="00C329DB" w:rsidP="00746A9D" w14:paraId="5E355BE3" w14:textId="77777777">
            <w:pPr>
              <w:widowControl/>
              <w:spacing w:before="20" w:after="20"/>
              <w:jc w:val="center"/>
              <w:rPr>
                <w:rFonts w:eastAsia="Calibri" w:asciiTheme="minorHAnsi" w:hAnsiTheme="minorHAnsi" w:cstheme="minorHAnsi"/>
                <w:color w:val="000000"/>
                <w:sz w:val="18"/>
                <w:szCs w:val="18"/>
              </w:rPr>
            </w:pPr>
            <w:r w:rsidRPr="00F35879">
              <w:rPr>
                <w:rFonts w:asciiTheme="minorHAnsi" w:hAnsiTheme="minorHAnsi" w:cstheme="minorHAnsi"/>
                <w:sz w:val="18"/>
                <w:szCs w:val="18"/>
              </w:rPr>
              <w:t>1,865</w:t>
            </w:r>
          </w:p>
        </w:tc>
        <w:tc>
          <w:tcPr>
            <w:tcW w:w="4548" w:type="dxa"/>
            <w:tcBorders>
              <w:top w:val="nil"/>
              <w:left w:val="nil"/>
              <w:bottom w:val="dotted" w:sz="4" w:space="0" w:color="000000"/>
              <w:right w:val="single" w:sz="8" w:space="0" w:color="000000"/>
            </w:tcBorders>
            <w:shd w:val="clear" w:color="auto" w:fill="auto"/>
            <w:vAlign w:val="center"/>
          </w:tcPr>
          <w:p w:rsidR="00E03750" w:rsidRPr="00C329DB" w:rsidP="00746A9D" w14:paraId="4013074E" w14:textId="77777777">
            <w:pPr>
              <w:widowControl/>
              <w:spacing w:before="20" w:after="20"/>
              <w:rPr>
                <w:rFonts w:eastAsia="Calibri" w:asciiTheme="minorHAnsi" w:hAnsiTheme="minorHAnsi" w:cstheme="minorHAnsi"/>
                <w:color w:val="000000"/>
                <w:sz w:val="18"/>
                <w:szCs w:val="18"/>
              </w:rPr>
            </w:pPr>
            <w:r w:rsidRPr="00F35879">
              <w:rPr>
                <w:rFonts w:asciiTheme="minorHAnsi" w:hAnsiTheme="minorHAnsi" w:cstheme="minorHAnsi"/>
                <w:sz w:val="18"/>
                <w:szCs w:val="18"/>
              </w:rPr>
              <w:t xml:space="preserve">The hourly wage rate </w:t>
            </w:r>
            <w:r w:rsidRPr="00F35879">
              <w:rPr>
                <w:rFonts w:asciiTheme="minorHAnsi" w:hAnsiTheme="minorHAnsi" w:cstheme="minorHAnsi"/>
                <w:sz w:val="18"/>
                <w:szCs w:val="18"/>
              </w:rPr>
              <w:t>was updated</w:t>
            </w:r>
            <w:r w:rsidRPr="00F35879">
              <w:rPr>
                <w:rFonts w:asciiTheme="minorHAnsi" w:hAnsiTheme="minorHAnsi" w:cstheme="minorHAnsi"/>
                <w:sz w:val="18"/>
                <w:szCs w:val="18"/>
              </w:rPr>
              <w:t xml:space="preserve"> to use the most current BLS rate</w:t>
            </w:r>
            <w:r>
              <w:rPr>
                <w:rFonts w:asciiTheme="minorHAnsi" w:hAnsiTheme="minorHAnsi" w:cstheme="minorHAnsi"/>
                <w:sz w:val="18"/>
                <w:szCs w:val="18"/>
              </w:rPr>
              <w:t xml:space="preserve"> available</w:t>
            </w:r>
            <w:r w:rsidRPr="00F35879">
              <w:rPr>
                <w:rFonts w:asciiTheme="minorHAnsi" w:hAnsiTheme="minorHAnsi" w:cstheme="minorHAnsi"/>
                <w:sz w:val="18"/>
                <w:szCs w:val="18"/>
              </w:rPr>
              <w:t xml:space="preserve">, which is lower than the previous rate.   </w:t>
            </w:r>
          </w:p>
        </w:tc>
      </w:tr>
      <w:tr w14:paraId="15220A76" w14:textId="77777777" w:rsidTr="00746A9D">
        <w:tblPrEx>
          <w:tblW w:w="9442" w:type="dxa"/>
          <w:jc w:val="center"/>
          <w:tblLayout w:type="fixed"/>
          <w:tblLook w:val="0400"/>
        </w:tblPrEx>
        <w:trPr>
          <w:trHeight w:val="315"/>
          <w:jc w:val="center"/>
        </w:trPr>
        <w:tc>
          <w:tcPr>
            <w:tcW w:w="3111" w:type="dxa"/>
            <w:tcBorders>
              <w:top w:val="nil"/>
              <w:left w:val="single" w:sz="8" w:space="0" w:color="000000"/>
              <w:bottom w:val="single" w:sz="8" w:space="0" w:color="000000"/>
              <w:right w:val="single" w:sz="8" w:space="0" w:color="000000"/>
            </w:tcBorders>
            <w:shd w:val="clear" w:color="auto" w:fill="auto"/>
            <w:vAlign w:val="center"/>
          </w:tcPr>
          <w:p w:rsidR="00E03750" w:rsidRPr="00CE6C6A" w:rsidP="00746A9D" w14:paraId="2A86FD2E" w14:textId="77777777">
            <w:pPr>
              <w:widowControl/>
              <w:spacing w:before="20" w:after="20"/>
              <w:rPr>
                <w:rFonts w:eastAsia="Calibri" w:asciiTheme="minorHAnsi" w:hAnsiTheme="minorHAnsi" w:cstheme="minorHAnsi"/>
                <w:color w:val="000000"/>
                <w:sz w:val="18"/>
                <w:szCs w:val="18"/>
              </w:rPr>
            </w:pPr>
            <w:r w:rsidRPr="00CE6C6A">
              <w:rPr>
                <w:rFonts w:asciiTheme="minorHAnsi" w:hAnsiTheme="minorHAnsi" w:cstheme="minorHAnsi"/>
                <w:sz w:val="18"/>
                <w:szCs w:val="18"/>
              </w:rPr>
              <w:t>Application for a CQE to Transfer IFQ to an Eligible Community Resident or Non-resident</w:t>
            </w:r>
          </w:p>
        </w:tc>
        <w:tc>
          <w:tcPr>
            <w:tcW w:w="891" w:type="dxa"/>
            <w:tcBorders>
              <w:top w:val="dotted" w:sz="4" w:space="0" w:color="000000"/>
              <w:left w:val="nil"/>
              <w:bottom w:val="dotted" w:sz="4" w:space="0" w:color="000000"/>
              <w:right w:val="dashed" w:sz="2" w:space="0" w:color="000000"/>
            </w:tcBorders>
            <w:shd w:val="clear" w:color="auto" w:fill="auto"/>
            <w:vAlign w:val="center"/>
          </w:tcPr>
          <w:p w:rsidR="00E03750" w:rsidRPr="00C329DB" w:rsidP="00746A9D" w14:paraId="17AB847C" w14:textId="77777777">
            <w:pPr>
              <w:widowControl/>
              <w:spacing w:before="20" w:after="20"/>
              <w:jc w:val="center"/>
              <w:rPr>
                <w:rFonts w:eastAsia="Calibri" w:asciiTheme="minorHAnsi" w:hAnsiTheme="minorHAnsi" w:cstheme="minorHAnsi"/>
                <w:color w:val="000000"/>
                <w:sz w:val="18"/>
                <w:szCs w:val="18"/>
              </w:rPr>
            </w:pPr>
            <w:r w:rsidRPr="00F35879">
              <w:rPr>
                <w:rFonts w:asciiTheme="minorHAnsi" w:hAnsiTheme="minorHAnsi" w:cstheme="minorHAnsi"/>
                <w:sz w:val="18"/>
                <w:szCs w:val="18"/>
              </w:rPr>
              <w:t>338</w:t>
            </w:r>
          </w:p>
        </w:tc>
        <w:tc>
          <w:tcPr>
            <w:tcW w:w="891" w:type="dxa"/>
            <w:tcBorders>
              <w:top w:val="dotted" w:sz="4" w:space="0" w:color="000000"/>
              <w:left w:val="dashed" w:sz="2" w:space="0" w:color="000000"/>
              <w:bottom w:val="dotted" w:sz="4" w:space="0" w:color="000000"/>
              <w:right w:val="single" w:sz="8" w:space="0" w:color="000000"/>
            </w:tcBorders>
            <w:shd w:val="clear" w:color="auto" w:fill="auto"/>
            <w:vAlign w:val="center"/>
          </w:tcPr>
          <w:p w:rsidR="00E03750" w:rsidRPr="00C329DB" w:rsidP="00746A9D" w14:paraId="2A065A6C" w14:textId="77777777">
            <w:pPr>
              <w:widowControl/>
              <w:spacing w:before="20" w:after="20"/>
              <w:jc w:val="center"/>
              <w:rPr>
                <w:rFonts w:eastAsia="Calibri" w:asciiTheme="minorHAnsi" w:hAnsiTheme="minorHAnsi" w:cstheme="minorHAnsi"/>
                <w:color w:val="000000"/>
                <w:sz w:val="18"/>
                <w:szCs w:val="18"/>
              </w:rPr>
            </w:pPr>
            <w:r w:rsidRPr="00F35879">
              <w:rPr>
                <w:rFonts w:asciiTheme="minorHAnsi" w:hAnsiTheme="minorHAnsi" w:cstheme="minorHAnsi"/>
                <w:sz w:val="18"/>
                <w:szCs w:val="18"/>
              </w:rPr>
              <w:t>439</w:t>
            </w:r>
          </w:p>
        </w:tc>
        <w:tc>
          <w:tcPr>
            <w:tcW w:w="4548" w:type="dxa"/>
            <w:tcBorders>
              <w:top w:val="nil"/>
              <w:left w:val="nil"/>
              <w:bottom w:val="dotted" w:sz="4" w:space="0" w:color="000000"/>
              <w:right w:val="single" w:sz="8" w:space="0" w:color="000000"/>
            </w:tcBorders>
            <w:shd w:val="clear" w:color="auto" w:fill="auto"/>
            <w:vAlign w:val="center"/>
          </w:tcPr>
          <w:p w:rsidR="00E03750" w:rsidRPr="00C329DB" w:rsidP="00746A9D" w14:paraId="50C79EC0" w14:textId="77777777">
            <w:pPr>
              <w:widowControl/>
              <w:spacing w:before="20" w:after="20"/>
              <w:rPr>
                <w:rFonts w:eastAsia="Calibri" w:asciiTheme="minorHAnsi" w:hAnsiTheme="minorHAnsi" w:cstheme="minorHAnsi"/>
                <w:color w:val="000000"/>
                <w:sz w:val="18"/>
                <w:szCs w:val="18"/>
              </w:rPr>
            </w:pPr>
            <w:r w:rsidRPr="00D100E8">
              <w:rPr>
                <w:rFonts w:eastAsia="Calibri" w:asciiTheme="minorHAnsi" w:hAnsiTheme="minorHAnsi" w:cstheme="minorHAnsi"/>
                <w:color w:val="000000"/>
                <w:sz w:val="18"/>
                <w:szCs w:val="18"/>
              </w:rPr>
              <w:t xml:space="preserve">The hourly wage rate </w:t>
            </w:r>
            <w:r w:rsidRPr="00D100E8">
              <w:rPr>
                <w:rFonts w:eastAsia="Calibri" w:asciiTheme="minorHAnsi" w:hAnsiTheme="minorHAnsi" w:cstheme="minorHAnsi"/>
                <w:color w:val="000000"/>
                <w:sz w:val="18"/>
                <w:szCs w:val="18"/>
              </w:rPr>
              <w:t>was updated</w:t>
            </w:r>
            <w:r w:rsidRPr="00D100E8">
              <w:rPr>
                <w:rFonts w:eastAsia="Calibri" w:asciiTheme="minorHAnsi" w:hAnsiTheme="minorHAnsi" w:cstheme="minorHAnsi"/>
                <w:color w:val="000000"/>
                <w:sz w:val="18"/>
                <w:szCs w:val="18"/>
              </w:rPr>
              <w:t xml:space="preserve"> to use the most current BLS rate available, which is lower than the previous rate.   </w:t>
            </w:r>
          </w:p>
        </w:tc>
      </w:tr>
      <w:tr w14:paraId="6F8F02B7" w14:textId="77777777" w:rsidTr="00746A9D">
        <w:tblPrEx>
          <w:tblW w:w="9442" w:type="dxa"/>
          <w:jc w:val="center"/>
          <w:tblLayout w:type="fixed"/>
          <w:tblLook w:val="0400"/>
        </w:tblPrEx>
        <w:trPr>
          <w:trHeight w:val="315"/>
          <w:jc w:val="center"/>
        </w:trPr>
        <w:tc>
          <w:tcPr>
            <w:tcW w:w="3111" w:type="dxa"/>
            <w:tcBorders>
              <w:top w:val="nil"/>
              <w:left w:val="single" w:sz="8" w:space="0" w:color="000000"/>
              <w:bottom w:val="single" w:sz="8" w:space="0" w:color="000000"/>
              <w:right w:val="single" w:sz="8" w:space="0" w:color="000000"/>
            </w:tcBorders>
            <w:shd w:val="clear" w:color="auto" w:fill="auto"/>
            <w:vAlign w:val="center"/>
          </w:tcPr>
          <w:p w:rsidR="00E03750" w:rsidRPr="00CE6C6A" w:rsidP="00746A9D" w14:paraId="55F81B1F" w14:textId="77777777">
            <w:pPr>
              <w:widowControl/>
              <w:spacing w:before="20" w:after="20"/>
              <w:rPr>
                <w:rFonts w:eastAsia="Calibri" w:asciiTheme="minorHAnsi" w:hAnsiTheme="minorHAnsi" w:cstheme="minorHAnsi"/>
                <w:color w:val="000000"/>
                <w:sz w:val="18"/>
                <w:szCs w:val="18"/>
              </w:rPr>
            </w:pPr>
            <w:r w:rsidRPr="00CE6C6A">
              <w:rPr>
                <w:rFonts w:asciiTheme="minorHAnsi" w:hAnsiTheme="minorHAnsi" w:cstheme="minorHAnsi"/>
                <w:sz w:val="18"/>
                <w:szCs w:val="18"/>
              </w:rPr>
              <w:t>Application for Transfer (Lease) Between IFQ and Guided Angler Fish by a Community Quota Entity (CQE)</w:t>
            </w:r>
          </w:p>
        </w:tc>
        <w:tc>
          <w:tcPr>
            <w:tcW w:w="891" w:type="dxa"/>
            <w:tcBorders>
              <w:top w:val="dotted" w:sz="4" w:space="0" w:color="000000"/>
              <w:left w:val="nil"/>
              <w:bottom w:val="dotted" w:sz="4" w:space="0" w:color="000000"/>
              <w:right w:val="dashed" w:sz="2" w:space="0" w:color="000000"/>
            </w:tcBorders>
            <w:shd w:val="clear" w:color="auto" w:fill="auto"/>
            <w:vAlign w:val="center"/>
          </w:tcPr>
          <w:p w:rsidR="00E03750" w:rsidRPr="00C329DB" w:rsidP="00746A9D" w14:paraId="2A354E54" w14:textId="77777777">
            <w:pPr>
              <w:widowControl/>
              <w:spacing w:before="20" w:after="20"/>
              <w:jc w:val="center"/>
              <w:rPr>
                <w:rFonts w:eastAsia="Calibri" w:asciiTheme="minorHAnsi" w:hAnsiTheme="minorHAnsi" w:cstheme="minorHAnsi"/>
                <w:color w:val="000000"/>
                <w:sz w:val="18"/>
                <w:szCs w:val="18"/>
              </w:rPr>
            </w:pPr>
            <w:r w:rsidRPr="00F35879">
              <w:rPr>
                <w:rFonts w:asciiTheme="minorHAnsi" w:hAnsiTheme="minorHAnsi" w:cstheme="minorHAnsi"/>
                <w:sz w:val="18"/>
                <w:szCs w:val="18"/>
              </w:rPr>
              <w:t>3,807</w:t>
            </w:r>
          </w:p>
        </w:tc>
        <w:tc>
          <w:tcPr>
            <w:tcW w:w="891" w:type="dxa"/>
            <w:tcBorders>
              <w:top w:val="dotted" w:sz="4" w:space="0" w:color="000000"/>
              <w:left w:val="dashed" w:sz="2" w:space="0" w:color="000000"/>
              <w:bottom w:val="dotted" w:sz="4" w:space="0" w:color="000000"/>
              <w:right w:val="single" w:sz="8" w:space="0" w:color="000000"/>
            </w:tcBorders>
            <w:shd w:val="clear" w:color="auto" w:fill="auto"/>
            <w:vAlign w:val="center"/>
          </w:tcPr>
          <w:p w:rsidR="00E03750" w:rsidRPr="00C329DB" w:rsidP="00746A9D" w14:paraId="5A0AACBA" w14:textId="77777777">
            <w:pPr>
              <w:widowControl/>
              <w:spacing w:before="20" w:after="20"/>
              <w:jc w:val="center"/>
              <w:rPr>
                <w:rFonts w:eastAsia="Calibri" w:asciiTheme="minorHAnsi" w:hAnsiTheme="minorHAnsi" w:cstheme="minorHAnsi"/>
                <w:color w:val="000000"/>
                <w:sz w:val="18"/>
                <w:szCs w:val="18"/>
              </w:rPr>
            </w:pPr>
            <w:r w:rsidRPr="00F35879">
              <w:rPr>
                <w:rFonts w:asciiTheme="minorHAnsi" w:hAnsiTheme="minorHAnsi" w:cstheme="minorHAnsi"/>
                <w:sz w:val="18"/>
                <w:szCs w:val="18"/>
              </w:rPr>
              <w:t>4,937</w:t>
            </w:r>
          </w:p>
        </w:tc>
        <w:tc>
          <w:tcPr>
            <w:tcW w:w="4548" w:type="dxa"/>
            <w:tcBorders>
              <w:top w:val="nil"/>
              <w:left w:val="nil"/>
              <w:bottom w:val="dotted" w:sz="4" w:space="0" w:color="000000"/>
              <w:right w:val="single" w:sz="8" w:space="0" w:color="000000"/>
            </w:tcBorders>
            <w:shd w:val="clear" w:color="auto" w:fill="auto"/>
            <w:vAlign w:val="center"/>
          </w:tcPr>
          <w:p w:rsidR="00E03750" w:rsidRPr="00C329DB" w:rsidP="00746A9D" w14:paraId="66914EF5" w14:textId="77777777">
            <w:pPr>
              <w:widowControl/>
              <w:spacing w:before="20" w:after="20"/>
              <w:rPr>
                <w:rFonts w:eastAsia="Calibri" w:asciiTheme="minorHAnsi" w:hAnsiTheme="minorHAnsi" w:cstheme="minorHAnsi"/>
                <w:color w:val="000000"/>
                <w:sz w:val="18"/>
                <w:szCs w:val="18"/>
              </w:rPr>
            </w:pPr>
            <w:r w:rsidRPr="00D100E8">
              <w:rPr>
                <w:rFonts w:eastAsia="Calibri" w:asciiTheme="minorHAnsi" w:hAnsiTheme="minorHAnsi" w:cstheme="minorHAnsi"/>
                <w:color w:val="000000"/>
                <w:sz w:val="18"/>
                <w:szCs w:val="18"/>
              </w:rPr>
              <w:t xml:space="preserve">The hourly wage rate </w:t>
            </w:r>
            <w:r w:rsidRPr="00D100E8">
              <w:rPr>
                <w:rFonts w:eastAsia="Calibri" w:asciiTheme="minorHAnsi" w:hAnsiTheme="minorHAnsi" w:cstheme="minorHAnsi"/>
                <w:color w:val="000000"/>
                <w:sz w:val="18"/>
                <w:szCs w:val="18"/>
              </w:rPr>
              <w:t>was updated</w:t>
            </w:r>
            <w:r w:rsidRPr="00D100E8">
              <w:rPr>
                <w:rFonts w:eastAsia="Calibri" w:asciiTheme="minorHAnsi" w:hAnsiTheme="minorHAnsi" w:cstheme="minorHAnsi"/>
                <w:color w:val="000000"/>
                <w:sz w:val="18"/>
                <w:szCs w:val="18"/>
              </w:rPr>
              <w:t xml:space="preserve"> to use the most current BLS rate available, which is lower than the previous rate.   </w:t>
            </w:r>
          </w:p>
        </w:tc>
      </w:tr>
      <w:tr w14:paraId="10302494" w14:textId="77777777" w:rsidTr="00746A9D">
        <w:tblPrEx>
          <w:tblW w:w="9442" w:type="dxa"/>
          <w:jc w:val="center"/>
          <w:tblLayout w:type="fixed"/>
          <w:tblLook w:val="0400"/>
        </w:tblPrEx>
        <w:trPr>
          <w:trHeight w:val="315"/>
          <w:jc w:val="center"/>
        </w:trPr>
        <w:tc>
          <w:tcPr>
            <w:tcW w:w="3111" w:type="dxa"/>
            <w:tcBorders>
              <w:top w:val="nil"/>
              <w:left w:val="single" w:sz="8" w:space="0" w:color="000000"/>
              <w:bottom w:val="single" w:sz="8" w:space="0" w:color="000000"/>
              <w:right w:val="single" w:sz="8" w:space="0" w:color="000000"/>
            </w:tcBorders>
            <w:shd w:val="clear" w:color="auto" w:fill="auto"/>
            <w:vAlign w:val="center"/>
          </w:tcPr>
          <w:p w:rsidR="00E03750" w:rsidRPr="00CE6C6A" w:rsidP="00746A9D" w14:paraId="5C680E08" w14:textId="77777777">
            <w:pPr>
              <w:widowControl/>
              <w:spacing w:before="20" w:after="20"/>
              <w:rPr>
                <w:rFonts w:eastAsia="Calibri" w:asciiTheme="minorHAnsi" w:hAnsiTheme="minorHAnsi" w:cstheme="minorHAnsi"/>
                <w:color w:val="000000"/>
                <w:sz w:val="18"/>
                <w:szCs w:val="18"/>
              </w:rPr>
            </w:pPr>
            <w:r w:rsidRPr="00CE6C6A">
              <w:rPr>
                <w:rFonts w:asciiTheme="minorHAnsi" w:hAnsiTheme="minorHAnsi" w:cstheme="minorHAnsi"/>
                <w:sz w:val="18"/>
                <w:szCs w:val="18"/>
              </w:rPr>
              <w:t>Application for a CQE to Receive a Non-trawl Groundfish LLP License</w:t>
            </w:r>
          </w:p>
        </w:tc>
        <w:tc>
          <w:tcPr>
            <w:tcW w:w="891" w:type="dxa"/>
            <w:tcBorders>
              <w:top w:val="dotted" w:sz="4" w:space="0" w:color="000000"/>
              <w:left w:val="nil"/>
              <w:bottom w:val="dotted" w:sz="4" w:space="0" w:color="000000"/>
              <w:right w:val="dashed" w:sz="2" w:space="0" w:color="000000"/>
            </w:tcBorders>
            <w:shd w:val="clear" w:color="auto" w:fill="auto"/>
            <w:vAlign w:val="center"/>
          </w:tcPr>
          <w:p w:rsidR="00E03750" w:rsidRPr="00C329DB" w:rsidP="00746A9D" w14:paraId="1EEF23F2" w14:textId="77777777">
            <w:pPr>
              <w:widowControl/>
              <w:spacing w:before="20" w:after="20"/>
              <w:jc w:val="center"/>
              <w:rPr>
                <w:rFonts w:eastAsia="Calibri" w:asciiTheme="minorHAnsi" w:hAnsiTheme="minorHAnsi" w:cstheme="minorHAnsi"/>
                <w:color w:val="000000"/>
                <w:sz w:val="18"/>
                <w:szCs w:val="18"/>
              </w:rPr>
            </w:pPr>
            <w:r w:rsidRPr="00F35879">
              <w:rPr>
                <w:rFonts w:asciiTheme="minorHAnsi" w:hAnsiTheme="minorHAnsi" w:cstheme="minorHAnsi"/>
                <w:sz w:val="18"/>
                <w:szCs w:val="18"/>
              </w:rPr>
              <w:t>1,269</w:t>
            </w:r>
          </w:p>
        </w:tc>
        <w:tc>
          <w:tcPr>
            <w:tcW w:w="891" w:type="dxa"/>
            <w:tcBorders>
              <w:top w:val="dotted" w:sz="4" w:space="0" w:color="000000"/>
              <w:left w:val="dashed" w:sz="2" w:space="0" w:color="000000"/>
              <w:bottom w:val="dotted" w:sz="4" w:space="0" w:color="000000"/>
              <w:right w:val="single" w:sz="8" w:space="0" w:color="000000"/>
            </w:tcBorders>
            <w:shd w:val="clear" w:color="auto" w:fill="auto"/>
            <w:vAlign w:val="center"/>
          </w:tcPr>
          <w:p w:rsidR="00E03750" w:rsidRPr="00C329DB" w:rsidP="00746A9D" w14:paraId="5742C8FD" w14:textId="77777777">
            <w:pPr>
              <w:widowControl/>
              <w:spacing w:before="20" w:after="20"/>
              <w:jc w:val="center"/>
              <w:rPr>
                <w:rFonts w:eastAsia="Calibri" w:asciiTheme="minorHAnsi" w:hAnsiTheme="minorHAnsi" w:cstheme="minorHAnsi"/>
                <w:color w:val="000000"/>
                <w:sz w:val="18"/>
                <w:szCs w:val="18"/>
              </w:rPr>
            </w:pPr>
            <w:r w:rsidRPr="00F35879">
              <w:rPr>
                <w:rFonts w:asciiTheme="minorHAnsi" w:hAnsiTheme="minorHAnsi" w:cstheme="minorHAnsi"/>
                <w:sz w:val="18"/>
                <w:szCs w:val="18"/>
              </w:rPr>
              <w:t>1,646</w:t>
            </w:r>
          </w:p>
        </w:tc>
        <w:tc>
          <w:tcPr>
            <w:tcW w:w="4548" w:type="dxa"/>
            <w:tcBorders>
              <w:top w:val="nil"/>
              <w:left w:val="nil"/>
              <w:bottom w:val="dotted" w:sz="4" w:space="0" w:color="000000"/>
              <w:right w:val="single" w:sz="8" w:space="0" w:color="000000"/>
            </w:tcBorders>
            <w:shd w:val="clear" w:color="auto" w:fill="auto"/>
            <w:vAlign w:val="center"/>
          </w:tcPr>
          <w:p w:rsidR="00E03750" w:rsidRPr="00C329DB" w:rsidP="00746A9D" w14:paraId="38257617" w14:textId="77777777">
            <w:pPr>
              <w:widowControl/>
              <w:spacing w:before="20" w:after="20"/>
              <w:rPr>
                <w:rFonts w:eastAsia="Calibri" w:asciiTheme="minorHAnsi" w:hAnsiTheme="minorHAnsi" w:cstheme="minorHAnsi"/>
                <w:color w:val="000000"/>
                <w:sz w:val="18"/>
                <w:szCs w:val="18"/>
              </w:rPr>
            </w:pPr>
            <w:r w:rsidRPr="00D100E8">
              <w:rPr>
                <w:rFonts w:eastAsia="Calibri" w:asciiTheme="minorHAnsi" w:hAnsiTheme="minorHAnsi" w:cstheme="minorHAnsi"/>
                <w:color w:val="000000"/>
                <w:sz w:val="18"/>
                <w:szCs w:val="18"/>
              </w:rPr>
              <w:t xml:space="preserve">The hourly wage rate </w:t>
            </w:r>
            <w:r w:rsidRPr="00D100E8">
              <w:rPr>
                <w:rFonts w:eastAsia="Calibri" w:asciiTheme="minorHAnsi" w:hAnsiTheme="minorHAnsi" w:cstheme="minorHAnsi"/>
                <w:color w:val="000000"/>
                <w:sz w:val="18"/>
                <w:szCs w:val="18"/>
              </w:rPr>
              <w:t>was updated</w:t>
            </w:r>
            <w:r w:rsidRPr="00D100E8">
              <w:rPr>
                <w:rFonts w:eastAsia="Calibri" w:asciiTheme="minorHAnsi" w:hAnsiTheme="minorHAnsi" w:cstheme="minorHAnsi"/>
                <w:color w:val="000000"/>
                <w:sz w:val="18"/>
                <w:szCs w:val="18"/>
              </w:rPr>
              <w:t xml:space="preserve"> to use the most current BLS rate available, which is lower than the previous rate.   </w:t>
            </w:r>
          </w:p>
        </w:tc>
      </w:tr>
      <w:tr w14:paraId="62F6234F" w14:textId="77777777" w:rsidTr="00746A9D">
        <w:tblPrEx>
          <w:tblW w:w="9442" w:type="dxa"/>
          <w:jc w:val="center"/>
          <w:tblLayout w:type="fixed"/>
          <w:tblLook w:val="0400"/>
        </w:tblPrEx>
        <w:trPr>
          <w:trHeight w:val="315"/>
          <w:jc w:val="center"/>
        </w:trPr>
        <w:tc>
          <w:tcPr>
            <w:tcW w:w="3111" w:type="dxa"/>
            <w:tcBorders>
              <w:top w:val="nil"/>
              <w:left w:val="single" w:sz="8" w:space="0" w:color="000000"/>
              <w:bottom w:val="single" w:sz="8" w:space="0" w:color="000000"/>
              <w:right w:val="single" w:sz="8" w:space="0" w:color="000000"/>
            </w:tcBorders>
            <w:shd w:val="clear" w:color="auto" w:fill="auto"/>
            <w:vAlign w:val="center"/>
          </w:tcPr>
          <w:p w:rsidR="00E03750" w:rsidRPr="00CE6C6A" w:rsidP="00746A9D" w14:paraId="21F7FB8A" w14:textId="77777777">
            <w:pPr>
              <w:widowControl/>
              <w:spacing w:before="20" w:after="20"/>
              <w:rPr>
                <w:rFonts w:eastAsia="Calibri" w:asciiTheme="minorHAnsi" w:hAnsiTheme="minorHAnsi" w:cstheme="minorHAnsi"/>
                <w:color w:val="000000"/>
                <w:sz w:val="18"/>
                <w:szCs w:val="18"/>
              </w:rPr>
            </w:pPr>
            <w:r w:rsidRPr="00CE6C6A">
              <w:rPr>
                <w:rFonts w:asciiTheme="minorHAnsi" w:hAnsiTheme="minorHAnsi" w:cstheme="minorHAnsi"/>
                <w:sz w:val="18"/>
                <w:szCs w:val="18"/>
              </w:rPr>
              <w:t xml:space="preserve">CQE License Limitation Program Authorization letter  </w:t>
            </w:r>
          </w:p>
        </w:tc>
        <w:tc>
          <w:tcPr>
            <w:tcW w:w="891" w:type="dxa"/>
            <w:tcBorders>
              <w:top w:val="dotted" w:sz="4" w:space="0" w:color="000000"/>
              <w:left w:val="nil"/>
              <w:bottom w:val="dotted" w:sz="4" w:space="0" w:color="000000"/>
              <w:right w:val="dashed" w:sz="2" w:space="0" w:color="000000"/>
            </w:tcBorders>
            <w:shd w:val="clear" w:color="auto" w:fill="auto"/>
            <w:vAlign w:val="center"/>
          </w:tcPr>
          <w:p w:rsidR="00E03750" w:rsidRPr="00C329DB" w:rsidP="00746A9D" w14:paraId="41799255" w14:textId="77777777">
            <w:pPr>
              <w:widowControl/>
              <w:spacing w:before="20" w:after="20"/>
              <w:jc w:val="center"/>
              <w:rPr>
                <w:rFonts w:eastAsia="Calibri" w:asciiTheme="minorHAnsi" w:hAnsiTheme="minorHAnsi" w:cstheme="minorHAnsi"/>
                <w:color w:val="000000"/>
                <w:sz w:val="18"/>
                <w:szCs w:val="18"/>
              </w:rPr>
            </w:pPr>
            <w:r w:rsidRPr="00F35879">
              <w:rPr>
                <w:rFonts w:asciiTheme="minorHAnsi" w:hAnsiTheme="minorHAnsi" w:cstheme="minorHAnsi"/>
                <w:sz w:val="18"/>
                <w:szCs w:val="18"/>
              </w:rPr>
              <w:t>106</w:t>
            </w:r>
          </w:p>
        </w:tc>
        <w:tc>
          <w:tcPr>
            <w:tcW w:w="891" w:type="dxa"/>
            <w:tcBorders>
              <w:top w:val="dotted" w:sz="4" w:space="0" w:color="000000"/>
              <w:left w:val="dashed" w:sz="2" w:space="0" w:color="000000"/>
              <w:bottom w:val="dotted" w:sz="4" w:space="0" w:color="000000"/>
              <w:right w:val="single" w:sz="8" w:space="0" w:color="000000"/>
            </w:tcBorders>
            <w:shd w:val="clear" w:color="auto" w:fill="auto"/>
            <w:vAlign w:val="center"/>
          </w:tcPr>
          <w:p w:rsidR="00E03750" w:rsidRPr="00C329DB" w:rsidP="00746A9D" w14:paraId="6FEF9F5E" w14:textId="77777777">
            <w:pPr>
              <w:widowControl/>
              <w:spacing w:before="20" w:after="20"/>
              <w:jc w:val="center"/>
              <w:rPr>
                <w:rFonts w:eastAsia="Calibri" w:asciiTheme="minorHAnsi" w:hAnsiTheme="minorHAnsi" w:cstheme="minorHAnsi"/>
                <w:color w:val="000000"/>
                <w:sz w:val="18"/>
                <w:szCs w:val="18"/>
              </w:rPr>
            </w:pPr>
            <w:r w:rsidRPr="00F35879">
              <w:rPr>
                <w:rFonts w:asciiTheme="minorHAnsi" w:hAnsiTheme="minorHAnsi" w:cstheme="minorHAnsi"/>
                <w:sz w:val="18"/>
                <w:szCs w:val="18"/>
              </w:rPr>
              <w:t>137</w:t>
            </w:r>
          </w:p>
        </w:tc>
        <w:tc>
          <w:tcPr>
            <w:tcW w:w="4548" w:type="dxa"/>
            <w:tcBorders>
              <w:top w:val="nil"/>
              <w:left w:val="nil"/>
              <w:bottom w:val="dotted" w:sz="4" w:space="0" w:color="000000"/>
              <w:right w:val="single" w:sz="8" w:space="0" w:color="000000"/>
            </w:tcBorders>
            <w:shd w:val="clear" w:color="auto" w:fill="auto"/>
            <w:vAlign w:val="center"/>
          </w:tcPr>
          <w:p w:rsidR="00E03750" w:rsidRPr="00C329DB" w:rsidP="00746A9D" w14:paraId="56C1C6D8" w14:textId="77777777">
            <w:pPr>
              <w:widowControl/>
              <w:spacing w:before="20" w:after="20"/>
              <w:rPr>
                <w:rFonts w:eastAsia="Calibri" w:asciiTheme="minorHAnsi" w:hAnsiTheme="minorHAnsi" w:cstheme="minorHAnsi"/>
                <w:color w:val="000000"/>
                <w:sz w:val="18"/>
                <w:szCs w:val="18"/>
              </w:rPr>
            </w:pPr>
            <w:r w:rsidRPr="00D100E8">
              <w:rPr>
                <w:rFonts w:eastAsia="Calibri" w:asciiTheme="minorHAnsi" w:hAnsiTheme="minorHAnsi" w:cstheme="minorHAnsi"/>
                <w:color w:val="000000"/>
                <w:sz w:val="18"/>
                <w:szCs w:val="18"/>
              </w:rPr>
              <w:t xml:space="preserve">The hourly wage rate </w:t>
            </w:r>
            <w:r w:rsidRPr="00D100E8">
              <w:rPr>
                <w:rFonts w:eastAsia="Calibri" w:asciiTheme="minorHAnsi" w:hAnsiTheme="minorHAnsi" w:cstheme="minorHAnsi"/>
                <w:color w:val="000000"/>
                <w:sz w:val="18"/>
                <w:szCs w:val="18"/>
              </w:rPr>
              <w:t>was updated</w:t>
            </w:r>
            <w:r w:rsidRPr="00D100E8">
              <w:rPr>
                <w:rFonts w:eastAsia="Calibri" w:asciiTheme="minorHAnsi" w:hAnsiTheme="minorHAnsi" w:cstheme="minorHAnsi"/>
                <w:color w:val="000000"/>
                <w:sz w:val="18"/>
                <w:szCs w:val="18"/>
              </w:rPr>
              <w:t xml:space="preserve"> to use the most current BLS rate available, which is lower than the previous rate.   </w:t>
            </w:r>
          </w:p>
        </w:tc>
      </w:tr>
      <w:tr w14:paraId="0816FBE3" w14:textId="77777777" w:rsidTr="00746A9D">
        <w:tblPrEx>
          <w:tblW w:w="9442" w:type="dxa"/>
          <w:jc w:val="center"/>
          <w:tblLayout w:type="fixed"/>
          <w:tblLook w:val="0400"/>
        </w:tblPrEx>
        <w:trPr>
          <w:trHeight w:val="315"/>
          <w:jc w:val="center"/>
        </w:trPr>
        <w:tc>
          <w:tcPr>
            <w:tcW w:w="3111" w:type="dxa"/>
            <w:tcBorders>
              <w:top w:val="nil"/>
              <w:left w:val="single" w:sz="8" w:space="0" w:color="000000"/>
              <w:bottom w:val="single" w:sz="8" w:space="0" w:color="000000"/>
              <w:right w:val="single" w:sz="8" w:space="0" w:color="000000"/>
            </w:tcBorders>
            <w:shd w:val="clear" w:color="auto" w:fill="auto"/>
            <w:vAlign w:val="center"/>
          </w:tcPr>
          <w:p w:rsidR="00E03750" w:rsidRPr="00CE6C6A" w:rsidP="00746A9D" w14:paraId="17B57B8C" w14:textId="03D3B233">
            <w:pPr>
              <w:widowControl/>
              <w:spacing w:before="20" w:after="20"/>
              <w:rPr>
                <w:rFonts w:eastAsia="Calibri" w:asciiTheme="minorHAnsi" w:hAnsiTheme="minorHAnsi" w:cstheme="minorHAnsi"/>
                <w:color w:val="000000"/>
                <w:sz w:val="18"/>
                <w:szCs w:val="18"/>
              </w:rPr>
            </w:pPr>
            <w:r w:rsidRPr="00CE6C6A">
              <w:rPr>
                <w:rFonts w:asciiTheme="minorHAnsi" w:hAnsiTheme="minorHAnsi" w:cstheme="minorHAnsi"/>
                <w:sz w:val="18"/>
                <w:szCs w:val="18"/>
              </w:rPr>
              <w:t>Application for Community Charter Halibut Permit</w:t>
            </w:r>
          </w:p>
        </w:tc>
        <w:tc>
          <w:tcPr>
            <w:tcW w:w="891" w:type="dxa"/>
            <w:tcBorders>
              <w:top w:val="dotted" w:sz="4" w:space="0" w:color="000000"/>
              <w:left w:val="nil"/>
              <w:bottom w:val="single" w:sz="8" w:space="0" w:color="000000"/>
              <w:right w:val="dashed" w:sz="2" w:space="0" w:color="000000"/>
            </w:tcBorders>
            <w:shd w:val="clear" w:color="auto" w:fill="auto"/>
            <w:vAlign w:val="center"/>
          </w:tcPr>
          <w:p w:rsidR="00E03750" w:rsidRPr="00C329DB" w:rsidP="00746A9D" w14:paraId="28516847" w14:textId="77777777">
            <w:pPr>
              <w:widowControl/>
              <w:spacing w:before="20" w:after="20"/>
              <w:jc w:val="center"/>
              <w:rPr>
                <w:rFonts w:eastAsia="Calibri" w:asciiTheme="minorHAnsi" w:hAnsiTheme="minorHAnsi" w:cstheme="minorHAnsi"/>
                <w:color w:val="000000"/>
                <w:sz w:val="18"/>
                <w:szCs w:val="18"/>
              </w:rPr>
            </w:pPr>
            <w:r w:rsidRPr="00F35879">
              <w:rPr>
                <w:rFonts w:asciiTheme="minorHAnsi" w:hAnsiTheme="minorHAnsi" w:cstheme="minorHAnsi"/>
                <w:sz w:val="18"/>
                <w:szCs w:val="18"/>
              </w:rPr>
              <w:t>233</w:t>
            </w:r>
          </w:p>
        </w:tc>
        <w:tc>
          <w:tcPr>
            <w:tcW w:w="891" w:type="dxa"/>
            <w:tcBorders>
              <w:top w:val="dotted" w:sz="4" w:space="0" w:color="000000"/>
              <w:left w:val="dashed" w:sz="2" w:space="0" w:color="000000"/>
              <w:bottom w:val="single" w:sz="8" w:space="0" w:color="000000"/>
              <w:right w:val="single" w:sz="8" w:space="0" w:color="000000"/>
            </w:tcBorders>
            <w:shd w:val="clear" w:color="auto" w:fill="auto"/>
            <w:vAlign w:val="center"/>
          </w:tcPr>
          <w:p w:rsidR="00E03750" w:rsidRPr="00C329DB" w:rsidP="00746A9D" w14:paraId="561A2B08" w14:textId="77777777">
            <w:pPr>
              <w:widowControl/>
              <w:spacing w:before="20" w:after="20"/>
              <w:jc w:val="center"/>
              <w:rPr>
                <w:rFonts w:eastAsia="Calibri" w:asciiTheme="minorHAnsi" w:hAnsiTheme="minorHAnsi" w:cstheme="minorHAnsi"/>
                <w:color w:val="000000"/>
                <w:sz w:val="18"/>
                <w:szCs w:val="18"/>
              </w:rPr>
            </w:pPr>
            <w:r w:rsidRPr="00F35879">
              <w:rPr>
                <w:rFonts w:asciiTheme="minorHAnsi" w:hAnsiTheme="minorHAnsi" w:cstheme="minorHAnsi"/>
                <w:sz w:val="18"/>
                <w:szCs w:val="18"/>
              </w:rPr>
              <w:t>302</w:t>
            </w:r>
          </w:p>
        </w:tc>
        <w:tc>
          <w:tcPr>
            <w:tcW w:w="4548" w:type="dxa"/>
            <w:tcBorders>
              <w:top w:val="nil"/>
              <w:left w:val="nil"/>
              <w:bottom w:val="dotted" w:sz="4" w:space="0" w:color="000000"/>
              <w:right w:val="single" w:sz="8" w:space="0" w:color="000000"/>
            </w:tcBorders>
            <w:shd w:val="clear" w:color="auto" w:fill="auto"/>
            <w:vAlign w:val="center"/>
          </w:tcPr>
          <w:p w:rsidR="00E03750" w:rsidRPr="00C329DB" w:rsidP="00746A9D" w14:paraId="44F1B76F" w14:textId="77777777">
            <w:pPr>
              <w:widowControl/>
              <w:spacing w:before="20" w:after="20"/>
              <w:rPr>
                <w:rFonts w:eastAsia="Calibri" w:asciiTheme="minorHAnsi" w:hAnsiTheme="minorHAnsi" w:cstheme="minorHAnsi"/>
                <w:color w:val="000000"/>
                <w:sz w:val="18"/>
                <w:szCs w:val="18"/>
              </w:rPr>
            </w:pPr>
            <w:r w:rsidRPr="00D100E8">
              <w:rPr>
                <w:rFonts w:eastAsia="Calibri" w:asciiTheme="minorHAnsi" w:hAnsiTheme="minorHAnsi" w:cstheme="minorHAnsi"/>
                <w:color w:val="000000"/>
                <w:sz w:val="18"/>
                <w:szCs w:val="18"/>
              </w:rPr>
              <w:t xml:space="preserve">The hourly wage rate </w:t>
            </w:r>
            <w:r w:rsidRPr="00D100E8">
              <w:rPr>
                <w:rFonts w:eastAsia="Calibri" w:asciiTheme="minorHAnsi" w:hAnsiTheme="minorHAnsi" w:cstheme="minorHAnsi"/>
                <w:color w:val="000000"/>
                <w:sz w:val="18"/>
                <w:szCs w:val="18"/>
              </w:rPr>
              <w:t>was updated</w:t>
            </w:r>
            <w:r w:rsidRPr="00D100E8">
              <w:rPr>
                <w:rFonts w:eastAsia="Calibri" w:asciiTheme="minorHAnsi" w:hAnsiTheme="minorHAnsi" w:cstheme="minorHAnsi"/>
                <w:color w:val="000000"/>
                <w:sz w:val="18"/>
                <w:szCs w:val="18"/>
              </w:rPr>
              <w:t xml:space="preserve"> to use the most current BLS rate available, which is lower than the previous rate.   </w:t>
            </w:r>
          </w:p>
        </w:tc>
      </w:tr>
      <w:tr w14:paraId="31D82D13" w14:textId="77777777" w:rsidTr="00746A9D">
        <w:tblPrEx>
          <w:tblW w:w="9442" w:type="dxa"/>
          <w:jc w:val="center"/>
          <w:tblLayout w:type="fixed"/>
          <w:tblLook w:val="0400"/>
        </w:tblPrEx>
        <w:trPr>
          <w:trHeight w:val="355"/>
          <w:jc w:val="center"/>
        </w:trPr>
        <w:tc>
          <w:tcPr>
            <w:tcW w:w="3111" w:type="dxa"/>
            <w:tcBorders>
              <w:top w:val="nil"/>
              <w:left w:val="single" w:sz="8" w:space="0" w:color="000000"/>
              <w:bottom w:val="nil"/>
              <w:right w:val="single" w:sz="8" w:space="0" w:color="000000"/>
            </w:tcBorders>
            <w:shd w:val="clear" w:color="auto" w:fill="BDD6EE"/>
            <w:vAlign w:val="center"/>
          </w:tcPr>
          <w:p w:rsidR="00E03750" w:rsidRPr="00CE6C6A" w:rsidP="00E03750" w14:paraId="74C9EFC7" w14:textId="77777777">
            <w:pPr>
              <w:widowControl/>
              <w:jc w:val="center"/>
              <w:rPr>
                <w:rFonts w:eastAsia="Calibri" w:asciiTheme="minorHAnsi" w:hAnsiTheme="minorHAnsi" w:cstheme="minorHAnsi"/>
                <w:b/>
                <w:color w:val="000000"/>
                <w:sz w:val="18"/>
                <w:szCs w:val="18"/>
              </w:rPr>
            </w:pPr>
            <w:r w:rsidRPr="00CE6C6A">
              <w:rPr>
                <w:rFonts w:eastAsia="Calibri" w:asciiTheme="minorHAnsi" w:hAnsiTheme="minorHAnsi" w:cstheme="minorHAnsi"/>
                <w:b/>
                <w:color w:val="000000"/>
                <w:sz w:val="18"/>
                <w:szCs w:val="18"/>
              </w:rPr>
              <w:t>Total for Collection</w:t>
            </w:r>
          </w:p>
        </w:tc>
        <w:tc>
          <w:tcPr>
            <w:tcW w:w="891" w:type="dxa"/>
            <w:tcBorders>
              <w:top w:val="single" w:sz="8" w:space="0" w:color="000000"/>
              <w:left w:val="nil"/>
              <w:bottom w:val="nil"/>
              <w:right w:val="dashed" w:sz="8" w:space="0" w:color="000000"/>
            </w:tcBorders>
            <w:shd w:val="clear" w:color="auto" w:fill="BDD6EE"/>
            <w:vAlign w:val="center"/>
          </w:tcPr>
          <w:p w:rsidR="00E03750" w:rsidRPr="00CE6C6A" w:rsidP="00E03750" w14:paraId="0200ADF7" w14:textId="77777777">
            <w:pPr>
              <w:widowControl/>
              <w:jc w:val="center"/>
              <w:rPr>
                <w:rFonts w:eastAsia="Calibri" w:asciiTheme="minorHAnsi" w:hAnsiTheme="minorHAnsi" w:cstheme="minorHAnsi"/>
                <w:b/>
                <w:color w:val="000000"/>
                <w:sz w:val="18"/>
                <w:szCs w:val="18"/>
              </w:rPr>
            </w:pPr>
            <w:r>
              <w:rPr>
                <w:rFonts w:eastAsia="Calibri" w:asciiTheme="minorHAnsi" w:hAnsiTheme="minorHAnsi" w:cstheme="minorHAnsi"/>
                <w:b/>
                <w:color w:val="000000"/>
                <w:sz w:val="18"/>
                <w:szCs w:val="18"/>
              </w:rPr>
              <w:t>$30,183</w:t>
            </w:r>
          </w:p>
        </w:tc>
        <w:tc>
          <w:tcPr>
            <w:tcW w:w="891" w:type="dxa"/>
            <w:tcBorders>
              <w:top w:val="single" w:sz="8" w:space="0" w:color="000000"/>
              <w:left w:val="nil"/>
              <w:bottom w:val="nil"/>
              <w:right w:val="single" w:sz="8" w:space="0" w:color="000000"/>
            </w:tcBorders>
            <w:shd w:val="clear" w:color="auto" w:fill="BDD6EE"/>
            <w:vAlign w:val="center"/>
          </w:tcPr>
          <w:p w:rsidR="00E03750" w:rsidRPr="00C329DB" w:rsidP="00E03750" w14:paraId="6F1E9C31" w14:textId="77777777">
            <w:pPr>
              <w:widowControl/>
              <w:jc w:val="center"/>
              <w:rPr>
                <w:rFonts w:eastAsia="Calibri" w:asciiTheme="minorHAnsi" w:hAnsiTheme="minorHAnsi" w:cstheme="minorHAnsi"/>
                <w:b/>
                <w:color w:val="000000"/>
                <w:sz w:val="18"/>
                <w:szCs w:val="18"/>
              </w:rPr>
            </w:pPr>
            <w:r w:rsidRPr="00F35879">
              <w:rPr>
                <w:rFonts w:asciiTheme="minorHAnsi" w:hAnsiTheme="minorHAnsi" w:cstheme="minorHAnsi"/>
                <w:b/>
                <w:sz w:val="18"/>
                <w:szCs w:val="18"/>
              </w:rPr>
              <w:t>$39,100</w:t>
            </w:r>
          </w:p>
        </w:tc>
        <w:tc>
          <w:tcPr>
            <w:tcW w:w="4548" w:type="dxa"/>
            <w:tcBorders>
              <w:top w:val="nil"/>
              <w:left w:val="nil"/>
              <w:bottom w:val="nil"/>
              <w:right w:val="single" w:sz="8" w:space="0" w:color="000000"/>
            </w:tcBorders>
            <w:shd w:val="clear" w:color="auto" w:fill="000000"/>
            <w:vAlign w:val="center"/>
          </w:tcPr>
          <w:p w:rsidR="00E03750" w:rsidRPr="00CE6C6A" w:rsidP="00E03750" w14:paraId="045AFE3D" w14:textId="77777777">
            <w:pPr>
              <w:widowControl/>
              <w:jc w:val="center"/>
              <w:rPr>
                <w:rFonts w:eastAsia="Calibri" w:asciiTheme="minorHAnsi" w:hAnsiTheme="minorHAnsi" w:cstheme="minorHAnsi"/>
                <w:b/>
                <w:color w:val="000000"/>
                <w:sz w:val="18"/>
                <w:szCs w:val="18"/>
              </w:rPr>
            </w:pPr>
            <w:r w:rsidRPr="00CE6C6A">
              <w:rPr>
                <w:rFonts w:eastAsia="Calibri" w:asciiTheme="minorHAnsi" w:hAnsiTheme="minorHAnsi" w:cstheme="minorHAnsi"/>
                <w:b/>
                <w:color w:val="000000"/>
                <w:sz w:val="18"/>
                <w:szCs w:val="18"/>
              </w:rPr>
              <w:t> </w:t>
            </w:r>
          </w:p>
        </w:tc>
      </w:tr>
      <w:tr w14:paraId="68FE63C8" w14:textId="77777777" w:rsidTr="00746A9D">
        <w:tblPrEx>
          <w:tblW w:w="9442" w:type="dxa"/>
          <w:jc w:val="center"/>
          <w:tblLayout w:type="fixed"/>
          <w:tblLook w:val="0400"/>
        </w:tblPrEx>
        <w:trPr>
          <w:trHeight w:val="364"/>
          <w:jc w:val="center"/>
        </w:trPr>
        <w:tc>
          <w:tcPr>
            <w:tcW w:w="3111" w:type="dxa"/>
            <w:tcBorders>
              <w:top w:val="single" w:sz="8" w:space="0" w:color="000000"/>
              <w:left w:val="single" w:sz="8" w:space="0" w:color="000000"/>
              <w:bottom w:val="single" w:sz="8" w:space="0" w:color="000000"/>
              <w:right w:val="nil"/>
            </w:tcBorders>
            <w:shd w:val="clear" w:color="auto" w:fill="FCE4D6"/>
            <w:vAlign w:val="center"/>
          </w:tcPr>
          <w:p w:rsidR="00E03750" w:rsidRPr="00CE6C6A" w:rsidP="00E03750" w14:paraId="4D45ED3F" w14:textId="77777777">
            <w:pPr>
              <w:widowControl/>
              <w:jc w:val="center"/>
              <w:rPr>
                <w:rFonts w:ascii="Calibri" w:eastAsia="Calibri" w:hAnsi="Calibri" w:cs="Calibri"/>
                <w:b/>
                <w:color w:val="000000"/>
                <w:sz w:val="18"/>
                <w:szCs w:val="18"/>
              </w:rPr>
            </w:pPr>
            <w:r w:rsidRPr="00CE6C6A">
              <w:rPr>
                <w:rFonts w:ascii="Calibri" w:eastAsia="Calibri" w:hAnsi="Calibri" w:cs="Calibri"/>
                <w:b/>
                <w:color w:val="000000"/>
                <w:sz w:val="18"/>
                <w:szCs w:val="18"/>
              </w:rPr>
              <w:t>Difference</w:t>
            </w:r>
          </w:p>
        </w:tc>
        <w:tc>
          <w:tcPr>
            <w:tcW w:w="1783" w:type="dxa"/>
            <w:gridSpan w:val="2"/>
            <w:tcBorders>
              <w:top w:val="single" w:sz="8" w:space="0" w:color="000000"/>
              <w:left w:val="single" w:sz="8" w:space="0" w:color="000000"/>
              <w:bottom w:val="single" w:sz="8" w:space="0" w:color="000000"/>
              <w:right w:val="single" w:sz="8" w:space="0" w:color="000000"/>
            </w:tcBorders>
            <w:shd w:val="clear" w:color="auto" w:fill="FCE4D6"/>
            <w:vAlign w:val="center"/>
          </w:tcPr>
          <w:p w:rsidR="00E03750" w:rsidRPr="00251631" w:rsidP="00E03750" w14:paraId="0EAB5E56" w14:textId="665981E0">
            <w:pPr>
              <w:widowControl/>
              <w:jc w:val="center"/>
              <w:rPr>
                <w:rFonts w:ascii="Calibri" w:eastAsia="Calibri" w:hAnsi="Calibri" w:cs="Calibri"/>
                <w:b/>
                <w:color w:val="000000"/>
                <w:sz w:val="18"/>
                <w:szCs w:val="18"/>
              </w:rPr>
            </w:pPr>
            <w:r>
              <w:rPr>
                <w:rFonts w:ascii="Calibri" w:eastAsia="Calibri" w:hAnsi="Calibri" w:cs="Calibri"/>
                <w:b/>
                <w:color w:val="000000"/>
                <w:sz w:val="18"/>
                <w:szCs w:val="18"/>
              </w:rPr>
              <w:t>- $8,917</w:t>
            </w:r>
            <w:r w:rsidR="005359F5">
              <w:rPr>
                <w:rFonts w:ascii="Calibri" w:eastAsia="Calibri" w:hAnsi="Calibri" w:cs="Calibri"/>
                <w:b/>
                <w:color w:val="000000"/>
                <w:sz w:val="18"/>
                <w:szCs w:val="18"/>
              </w:rPr>
              <w:t xml:space="preserve"> (adjustment)</w:t>
            </w:r>
          </w:p>
        </w:tc>
        <w:tc>
          <w:tcPr>
            <w:tcW w:w="4548" w:type="dxa"/>
            <w:tcBorders>
              <w:top w:val="single" w:sz="8" w:space="0" w:color="000000"/>
              <w:left w:val="nil"/>
              <w:bottom w:val="single" w:sz="8" w:space="0" w:color="000000"/>
              <w:right w:val="single" w:sz="8" w:space="0" w:color="000000"/>
            </w:tcBorders>
            <w:shd w:val="clear" w:color="auto" w:fill="000000"/>
            <w:vAlign w:val="bottom"/>
          </w:tcPr>
          <w:p w:rsidR="00E03750" w:rsidRPr="00CE6C6A" w:rsidP="00E03750" w14:paraId="5F4EB18D" w14:textId="77777777">
            <w:pPr>
              <w:widowControl/>
              <w:rPr>
                <w:rFonts w:ascii="Calibri" w:eastAsia="Calibri" w:hAnsi="Calibri" w:cs="Calibri"/>
                <w:color w:val="000000"/>
                <w:sz w:val="18"/>
                <w:szCs w:val="18"/>
              </w:rPr>
            </w:pPr>
            <w:r w:rsidRPr="00CE6C6A">
              <w:rPr>
                <w:rFonts w:ascii="Calibri" w:eastAsia="Calibri" w:hAnsi="Calibri" w:cs="Calibri"/>
                <w:color w:val="000000"/>
                <w:sz w:val="18"/>
                <w:szCs w:val="18"/>
              </w:rPr>
              <w:t> </w:t>
            </w:r>
          </w:p>
        </w:tc>
      </w:tr>
    </w:tbl>
    <w:p w:rsidR="00E03750" w:rsidP="00152F09" w14:paraId="293DB045" w14:textId="77777777">
      <w:pPr>
        <w:widowControl/>
        <w:pBdr>
          <w:top w:val="nil"/>
          <w:left w:val="nil"/>
          <w:bottom w:val="nil"/>
          <w:right w:val="nil"/>
          <w:between w:val="nil"/>
        </w:pBdr>
        <w:spacing w:before="60" w:after="60"/>
      </w:pPr>
    </w:p>
    <w:p w:rsidR="00BD2A55" w:rsidP="00974664" w14:paraId="038F90B6" w14:textId="7AC8DD79">
      <w:pPr>
        <w:widowControl/>
        <w:numPr>
          <w:ilvl w:val="0"/>
          <w:numId w:val="3"/>
        </w:numPr>
        <w:pBdr>
          <w:top w:val="nil"/>
          <w:left w:val="nil"/>
          <w:bottom w:val="nil"/>
          <w:right w:val="nil"/>
          <w:between w:val="nil"/>
        </w:pBdr>
        <w:tabs>
          <w:tab w:val="left" w:pos="360"/>
        </w:tabs>
        <w:ind w:left="0" w:firstLine="0"/>
        <w:rPr>
          <w:b/>
          <w:color w:val="000000"/>
        </w:rPr>
      </w:pPr>
      <w:r w:rsidRPr="007E1EFF">
        <w:rPr>
          <w:b/>
          <w:color w:val="000000"/>
        </w:rPr>
        <w:t xml:space="preserve"> </w:t>
      </w:r>
      <w:r w:rsidRPr="007E1EFF" w:rsidR="00333FBA">
        <w:rPr>
          <w:b/>
          <w:color w:val="000000"/>
        </w:rPr>
        <w:t xml:space="preserve">For collections of information whose results </w:t>
      </w:r>
      <w:r w:rsidRPr="007E1EFF" w:rsidR="00333FBA">
        <w:rPr>
          <w:b/>
          <w:color w:val="000000"/>
        </w:rPr>
        <w:t>will be published</w:t>
      </w:r>
      <w:r w:rsidRPr="007E1EFF" w:rsidR="00333FBA">
        <w:rPr>
          <w:b/>
          <w:color w:val="000000"/>
        </w:rPr>
        <w:t xml:space="preserve">, outline plans for tabulation and publication. Address any complex analytical techniques that </w:t>
      </w:r>
      <w:r w:rsidRPr="007E1EFF" w:rsidR="00333FBA">
        <w:rPr>
          <w:b/>
          <w:color w:val="000000"/>
        </w:rPr>
        <w:t>will be used</w:t>
      </w:r>
      <w:r w:rsidRPr="007E1EFF" w:rsidR="00333FBA">
        <w:rPr>
          <w:b/>
          <w:color w:val="000000"/>
        </w:rPr>
        <w:t>.</w:t>
      </w:r>
      <w:r w:rsidR="00333FBA">
        <w:rPr>
          <w:b/>
          <w:color w:val="000000"/>
        </w:rPr>
        <w:t xml:space="preserve"> </w:t>
      </w:r>
      <w:r w:rsidR="00333FBA">
        <w:rPr>
          <w:b/>
          <w:color w:val="000000"/>
        </w:rPr>
        <w:t>Provide the time schedule for the entire project, including beginning and ending dates of the collection of information, completion of report, publication dates, and other actions.</w:t>
      </w:r>
    </w:p>
    <w:p w:rsidR="003C0E80" w:rsidRPr="003C0E80" w:rsidP="00974664" w14:paraId="47419F09" w14:textId="5ECCD35C">
      <w:pPr>
        <w:widowControl/>
        <w:pBdr>
          <w:top w:val="nil"/>
          <w:left w:val="nil"/>
          <w:bottom w:val="nil"/>
          <w:right w:val="nil"/>
          <w:between w:val="nil"/>
        </w:pBdr>
      </w:pPr>
    </w:p>
    <w:p w:rsidR="003C0E80" w:rsidRPr="003C0E80" w:rsidP="00974664" w14:paraId="72D56156" w14:textId="0D5429CF">
      <w:pPr>
        <w:widowControl/>
      </w:pPr>
      <w:r w:rsidRPr="006E1C43">
        <w:t xml:space="preserve">The </w:t>
      </w:r>
      <w:hyperlink r:id="rId27" w:anchor="community-quota-entities" w:history="1">
        <w:r w:rsidRPr="006E1C43">
          <w:rPr>
            <w:color w:val="0000FF"/>
            <w:u w:val="single"/>
          </w:rPr>
          <w:t>NMFS Alaska Region website</w:t>
        </w:r>
      </w:hyperlink>
      <w:r w:rsidRPr="006E1C43">
        <w:t xml:space="preserve"> posts the name and contact information of currently approved CQEs, and information on their charter halibut permits, LLP licenses, and QS held. </w:t>
      </w:r>
    </w:p>
    <w:p w:rsidR="003C0E80" w:rsidRPr="003C0E80" w:rsidP="00974664" w14:paraId="3DBA7CF9" w14:textId="77777777">
      <w:pPr>
        <w:widowControl/>
        <w:pBdr>
          <w:top w:val="nil"/>
          <w:left w:val="nil"/>
          <w:bottom w:val="nil"/>
          <w:right w:val="nil"/>
          <w:between w:val="nil"/>
        </w:pBdr>
      </w:pPr>
    </w:p>
    <w:p w:rsidR="00BD2A55" w:rsidP="00974664" w14:paraId="1DFAFCAC" w14:textId="47BF6AA3">
      <w:pPr>
        <w:widowControl/>
        <w:numPr>
          <w:ilvl w:val="0"/>
          <w:numId w:val="3"/>
        </w:numPr>
        <w:pBdr>
          <w:top w:val="nil"/>
          <w:left w:val="nil"/>
          <w:bottom w:val="nil"/>
          <w:right w:val="nil"/>
          <w:between w:val="nil"/>
        </w:pBdr>
        <w:tabs>
          <w:tab w:val="left" w:pos="360"/>
        </w:tabs>
        <w:ind w:left="0" w:firstLine="0"/>
        <w:rPr>
          <w:b/>
          <w:color w:val="000000"/>
        </w:rPr>
      </w:pPr>
      <w:r>
        <w:rPr>
          <w:b/>
          <w:color w:val="000000"/>
        </w:rPr>
        <w:t xml:space="preserve"> </w:t>
      </w:r>
      <w:r w:rsidR="00333FBA">
        <w:rPr>
          <w:b/>
          <w:color w:val="000000"/>
        </w:rPr>
        <w:t xml:space="preserve">If seeking approval </w:t>
      </w:r>
      <w:r w:rsidR="00333FBA">
        <w:rPr>
          <w:b/>
          <w:color w:val="000000"/>
        </w:rPr>
        <w:t>to not display</w:t>
      </w:r>
      <w:r w:rsidR="00333FBA">
        <w:rPr>
          <w:b/>
          <w:color w:val="000000"/>
        </w:rPr>
        <w:t xml:space="preserve"> the expiration date for OMB approval of the information collection, explain the reasons that display would be inappropriate.</w:t>
      </w:r>
    </w:p>
    <w:p w:rsidR="006E1C43" w:rsidP="00974664" w14:paraId="145984F5" w14:textId="77777777">
      <w:pPr>
        <w:widowControl/>
      </w:pPr>
    </w:p>
    <w:p w:rsidR="006E1C43" w:rsidRPr="006E1C43" w:rsidP="00974664" w14:paraId="030690E5" w14:textId="004FE6E5">
      <w:pPr>
        <w:widowControl/>
      </w:pPr>
      <w:r w:rsidRPr="006E1C43">
        <w:t>The agency plans to display the expiration date for OMB approval of the information</w:t>
      </w:r>
      <w:r>
        <w:t xml:space="preserve"> collection on all instruments.</w:t>
      </w:r>
    </w:p>
    <w:p w:rsidR="003C0E80" w:rsidRPr="003C0E80" w:rsidP="00974664" w14:paraId="49E2F673" w14:textId="0E29DE23">
      <w:pPr>
        <w:widowControl/>
      </w:pPr>
    </w:p>
    <w:p w:rsidR="00BD2A55" w:rsidP="002578D7" w14:paraId="6EDAA922" w14:textId="01FDDB42">
      <w:pPr>
        <w:keepNext/>
        <w:keepLines/>
        <w:widowControl/>
        <w:numPr>
          <w:ilvl w:val="0"/>
          <w:numId w:val="3"/>
        </w:numPr>
        <w:pBdr>
          <w:top w:val="nil"/>
          <w:left w:val="nil"/>
          <w:bottom w:val="nil"/>
          <w:right w:val="nil"/>
          <w:between w:val="nil"/>
        </w:pBdr>
        <w:tabs>
          <w:tab w:val="left" w:pos="360"/>
        </w:tabs>
        <w:ind w:left="0" w:firstLine="0"/>
        <w:rPr>
          <w:b/>
          <w:color w:val="000000"/>
        </w:rPr>
      </w:pPr>
      <w:r>
        <w:rPr>
          <w:b/>
          <w:color w:val="000000"/>
        </w:rPr>
        <w:t xml:space="preserve"> </w:t>
      </w:r>
      <w:r w:rsidR="00333FBA">
        <w:rPr>
          <w:b/>
          <w:color w:val="000000"/>
        </w:rPr>
        <w:t>Explain each exception to the certification statement identified in “Certification for Paperwork Reduction Act Submissions."</w:t>
      </w:r>
    </w:p>
    <w:p w:rsidR="00C77C74" w:rsidP="002578D7" w14:paraId="57CEC8D9" w14:textId="77777777">
      <w:pPr>
        <w:keepNext/>
        <w:keepLines/>
        <w:widowControl/>
        <w:jc w:val="both"/>
      </w:pPr>
    </w:p>
    <w:p w:rsidR="003C0E80" w:rsidRPr="003C0E80" w:rsidP="002578D7" w14:paraId="4D034B72" w14:textId="667F75A9">
      <w:pPr>
        <w:keepNext/>
        <w:keepLines/>
        <w:widowControl/>
      </w:pPr>
      <w:r>
        <w:t xml:space="preserve">The agency certifies compliance with </w:t>
      </w:r>
      <w:hyperlink r:id="rId37">
        <w:r>
          <w:rPr>
            <w:color w:val="0563C1"/>
            <w:u w:val="single"/>
          </w:rPr>
          <w:t>5 CFR 1320.9</w:t>
        </w:r>
      </w:hyperlink>
      <w:hyperlink r:id="rId37">
        <w:r>
          <w:rPr>
            <w:color w:val="0563C1"/>
          </w:rPr>
          <w:t xml:space="preserve"> </w:t>
        </w:r>
      </w:hyperlink>
      <w:r>
        <w:t xml:space="preserve">and the related provisions of </w:t>
      </w:r>
      <w:hyperlink r:id="rId38">
        <w:r>
          <w:rPr>
            <w:color w:val="0563C1"/>
            <w:u w:val="single"/>
          </w:rPr>
          <w:t>5 CFR</w:t>
        </w:r>
      </w:hyperlink>
      <w:r>
        <w:rPr>
          <w:color w:val="0563C1"/>
        </w:rPr>
        <w:t xml:space="preserve"> </w:t>
      </w:r>
      <w:hyperlink r:id="rId38">
        <w:r>
          <w:rPr>
            <w:color w:val="0563C1"/>
            <w:u w:val="single"/>
          </w:rPr>
          <w:t>1320.8(b)(3)</w:t>
        </w:r>
      </w:hyperlink>
      <w:r>
        <w:t>.</w:t>
      </w:r>
    </w:p>
    <w:sectPr w:rsidSect="00DC6F01">
      <w:pgSz w:w="12240" w:h="15840"/>
      <w:pgMar w:top="1440" w:right="1440" w:bottom="1440" w:left="1440" w:header="0" w:footer="101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429321"/>
      <w:docPartObj>
        <w:docPartGallery w:val="Page Numbers (Bottom of Page)"/>
        <w:docPartUnique/>
      </w:docPartObj>
    </w:sdtPr>
    <w:sdtEndPr>
      <w:rPr>
        <w:noProof/>
        <w:sz w:val="22"/>
        <w:szCs w:val="22"/>
      </w:rPr>
    </w:sdtEndPr>
    <w:sdtContent>
      <w:p w:rsidR="00734294" w:rsidRPr="00DC6F01" w14:paraId="0F02E0C3" w14:textId="72DE31FF">
        <w:pPr>
          <w:pStyle w:val="Footer"/>
          <w:jc w:val="center"/>
          <w:rPr>
            <w:sz w:val="22"/>
            <w:szCs w:val="22"/>
          </w:rPr>
        </w:pPr>
        <w:r w:rsidRPr="00DC6F01">
          <w:rPr>
            <w:sz w:val="22"/>
            <w:szCs w:val="22"/>
          </w:rPr>
          <w:fldChar w:fldCharType="begin"/>
        </w:r>
        <w:r w:rsidRPr="00DC6F01">
          <w:rPr>
            <w:sz w:val="22"/>
            <w:szCs w:val="22"/>
          </w:rPr>
          <w:instrText xml:space="preserve"> PAGE   \* MERGEFORMAT </w:instrText>
        </w:r>
        <w:r w:rsidRPr="00DC6F01">
          <w:rPr>
            <w:sz w:val="22"/>
            <w:szCs w:val="22"/>
          </w:rPr>
          <w:fldChar w:fldCharType="separate"/>
        </w:r>
        <w:r w:rsidR="002C2179">
          <w:rPr>
            <w:noProof/>
            <w:sz w:val="22"/>
            <w:szCs w:val="22"/>
          </w:rPr>
          <w:t>1</w:t>
        </w:r>
        <w:r w:rsidRPr="00DC6F01">
          <w:rPr>
            <w:noProof/>
            <w:sz w:val="22"/>
            <w:szCs w:val="22"/>
          </w:rPr>
          <w:fldChar w:fldCharType="end"/>
        </w:r>
      </w:p>
    </w:sdtContent>
  </w:sdt>
  <w:p w:rsidR="00734294" w14:paraId="7C754F89" w14:textId="77777777">
    <w:pPr>
      <w:pBdr>
        <w:top w:val="nil"/>
        <w:left w:val="nil"/>
        <w:bottom w:val="nil"/>
        <w:right w:val="nil"/>
        <w:between w:val="nil"/>
      </w:pBdr>
      <w:spacing w:line="14" w:lineRule="auto"/>
      <w:rPr>
        <w:color w:val="000000"/>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5D5528"/>
    <w:multiLevelType w:val="hybridMultilevel"/>
    <w:tmpl w:val="1F52E2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7B7092B"/>
    <w:multiLevelType w:val="hybridMultilevel"/>
    <w:tmpl w:val="3D4C0AB6"/>
    <w:lvl w:ilvl="0">
      <w:start w:val="5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E060E02"/>
    <w:multiLevelType w:val="multilevel"/>
    <w:tmpl w:val="2B689770"/>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3">
    <w:nsid w:val="1F542179"/>
    <w:multiLevelType w:val="multilevel"/>
    <w:tmpl w:val="CD34FF08"/>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4">
    <w:nsid w:val="24FF1423"/>
    <w:multiLevelType w:val="multilevel"/>
    <w:tmpl w:val="7A0A72DA"/>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5">
    <w:nsid w:val="26FA6F26"/>
    <w:multiLevelType w:val="multilevel"/>
    <w:tmpl w:val="B0F2C5E8"/>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6">
    <w:nsid w:val="2AD4339B"/>
    <w:multiLevelType w:val="hybridMultilevel"/>
    <w:tmpl w:val="0032F08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0544C3B"/>
    <w:multiLevelType w:val="hybridMultilevel"/>
    <w:tmpl w:val="A9A0DB7C"/>
    <w:lvl w:ilvl="0">
      <w:start w:val="1"/>
      <w:numFmt w:val="decimal"/>
      <w:lvlText w:val="%1."/>
      <w:lvlJc w:val="left"/>
      <w:pPr>
        <w:ind w:left="720" w:hanging="360"/>
      </w:pPr>
      <w:rPr>
        <w:rFonts w:hint="default"/>
        <w:sz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1CC201F"/>
    <w:multiLevelType w:val="hybridMultilevel"/>
    <w:tmpl w:val="9AC894BE"/>
    <w:lvl w:ilvl="0">
      <w:start w:val="50"/>
      <w:numFmt w:val="bullet"/>
      <w:lvlText w:val=""/>
      <w:lvlJc w:val="left"/>
      <w:pPr>
        <w:ind w:left="420" w:hanging="360"/>
      </w:pPr>
      <w:rPr>
        <w:rFonts w:ascii="Symbol" w:eastAsia="Calibri" w:hAnsi="Symbol" w:cs="Times New Roman" w:hint="default"/>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9">
    <w:nsid w:val="3470693F"/>
    <w:multiLevelType w:val="multilevel"/>
    <w:tmpl w:val="B232955A"/>
    <w:lvl w:ilvl="0">
      <w:start w:val="1"/>
      <w:numFmt w:val="bullet"/>
      <w:lvlText w:val="●"/>
      <w:lvlJc w:val="left"/>
      <w:pPr>
        <w:ind w:left="1120" w:hanging="360"/>
      </w:pPr>
      <w:rPr>
        <w:rFonts w:ascii="Noto Sans Symbols" w:eastAsia="Noto Sans Symbols" w:hAnsi="Noto Sans Symbols" w:cs="Noto Sans Symbols"/>
        <w:color w:val="2F5496"/>
        <w:sz w:val="20"/>
        <w:szCs w:val="20"/>
      </w:rPr>
    </w:lvl>
    <w:lvl w:ilvl="1">
      <w:start w:val="1"/>
      <w:numFmt w:val="bullet"/>
      <w:lvlText w:val="•"/>
      <w:lvlJc w:val="left"/>
      <w:pPr>
        <w:ind w:left="2158" w:hanging="360"/>
      </w:pPr>
    </w:lvl>
    <w:lvl w:ilvl="2">
      <w:start w:val="1"/>
      <w:numFmt w:val="bullet"/>
      <w:lvlText w:val="•"/>
      <w:lvlJc w:val="left"/>
      <w:pPr>
        <w:ind w:left="3196" w:hanging="360"/>
      </w:pPr>
    </w:lvl>
    <w:lvl w:ilvl="3">
      <w:start w:val="1"/>
      <w:numFmt w:val="bullet"/>
      <w:lvlText w:val="•"/>
      <w:lvlJc w:val="left"/>
      <w:pPr>
        <w:ind w:left="4234" w:hanging="360"/>
      </w:pPr>
    </w:lvl>
    <w:lvl w:ilvl="4">
      <w:start w:val="1"/>
      <w:numFmt w:val="bullet"/>
      <w:lvlText w:val="•"/>
      <w:lvlJc w:val="left"/>
      <w:pPr>
        <w:ind w:left="5272" w:hanging="360"/>
      </w:pPr>
    </w:lvl>
    <w:lvl w:ilvl="5">
      <w:start w:val="1"/>
      <w:numFmt w:val="bullet"/>
      <w:lvlText w:val="•"/>
      <w:lvlJc w:val="left"/>
      <w:pPr>
        <w:ind w:left="6310" w:hanging="360"/>
      </w:pPr>
    </w:lvl>
    <w:lvl w:ilvl="6">
      <w:start w:val="1"/>
      <w:numFmt w:val="bullet"/>
      <w:lvlText w:val="•"/>
      <w:lvlJc w:val="left"/>
      <w:pPr>
        <w:ind w:left="7348" w:hanging="360"/>
      </w:pPr>
    </w:lvl>
    <w:lvl w:ilvl="7">
      <w:start w:val="1"/>
      <w:numFmt w:val="bullet"/>
      <w:lvlText w:val="•"/>
      <w:lvlJc w:val="left"/>
      <w:pPr>
        <w:ind w:left="8386" w:hanging="360"/>
      </w:pPr>
    </w:lvl>
    <w:lvl w:ilvl="8">
      <w:start w:val="1"/>
      <w:numFmt w:val="bullet"/>
      <w:lvlText w:val="•"/>
      <w:lvlJc w:val="left"/>
      <w:pPr>
        <w:ind w:left="9424" w:hanging="360"/>
      </w:pPr>
    </w:lvl>
  </w:abstractNum>
  <w:abstractNum w:abstractNumId="10">
    <w:nsid w:val="347654F0"/>
    <w:multiLevelType w:val="multilevel"/>
    <w:tmpl w:val="8C9A7B10"/>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11">
    <w:nsid w:val="34CD4992"/>
    <w:multiLevelType w:val="multilevel"/>
    <w:tmpl w:val="3BDE20BC"/>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2">
    <w:nsid w:val="37B27426"/>
    <w:multiLevelType w:val="hybridMultilevel"/>
    <w:tmpl w:val="42A07FFC"/>
    <w:lvl w:ilvl="0">
      <w:start w:val="50"/>
      <w:numFmt w:val="bullet"/>
      <w:lvlText w:val=""/>
      <w:lvlJc w:val="left"/>
      <w:pPr>
        <w:ind w:left="420" w:hanging="360"/>
      </w:pPr>
      <w:rPr>
        <w:rFonts w:ascii="Symbol" w:eastAsia="Calibri" w:hAnsi="Symbol" w:cs="Times New Roman" w:hint="default"/>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13">
    <w:nsid w:val="3BE75560"/>
    <w:multiLevelType w:val="hybridMultilevel"/>
    <w:tmpl w:val="8788DD3C"/>
    <w:lvl w:ilvl="0">
      <w:start w:val="5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F8A6336"/>
    <w:multiLevelType w:val="hybridMultilevel"/>
    <w:tmpl w:val="9724AF10"/>
    <w:lvl w:ilvl="0">
      <w:start w:val="1"/>
      <w:numFmt w:val="bullet"/>
      <w:lvlText w:val=""/>
      <w:lvlJc w:val="left"/>
      <w:pPr>
        <w:ind w:left="1248" w:hanging="360"/>
      </w:pPr>
      <w:rPr>
        <w:rFonts w:ascii="Symbol" w:hAnsi="Symbol" w:hint="default"/>
      </w:rPr>
    </w:lvl>
    <w:lvl w:ilvl="1" w:tentative="1">
      <w:start w:val="1"/>
      <w:numFmt w:val="bullet"/>
      <w:lvlText w:val="o"/>
      <w:lvlJc w:val="left"/>
      <w:pPr>
        <w:ind w:left="1968" w:hanging="360"/>
      </w:pPr>
      <w:rPr>
        <w:rFonts w:ascii="Courier New" w:hAnsi="Courier New" w:cs="Courier New" w:hint="default"/>
      </w:rPr>
    </w:lvl>
    <w:lvl w:ilvl="2" w:tentative="1">
      <w:start w:val="1"/>
      <w:numFmt w:val="bullet"/>
      <w:lvlText w:val=""/>
      <w:lvlJc w:val="left"/>
      <w:pPr>
        <w:ind w:left="2688" w:hanging="360"/>
      </w:pPr>
      <w:rPr>
        <w:rFonts w:ascii="Wingdings" w:hAnsi="Wingdings" w:hint="default"/>
      </w:rPr>
    </w:lvl>
    <w:lvl w:ilvl="3" w:tentative="1">
      <w:start w:val="1"/>
      <w:numFmt w:val="bullet"/>
      <w:lvlText w:val=""/>
      <w:lvlJc w:val="left"/>
      <w:pPr>
        <w:ind w:left="3408" w:hanging="360"/>
      </w:pPr>
      <w:rPr>
        <w:rFonts w:ascii="Symbol" w:hAnsi="Symbol" w:hint="default"/>
      </w:rPr>
    </w:lvl>
    <w:lvl w:ilvl="4" w:tentative="1">
      <w:start w:val="1"/>
      <w:numFmt w:val="bullet"/>
      <w:lvlText w:val="o"/>
      <w:lvlJc w:val="left"/>
      <w:pPr>
        <w:ind w:left="4128" w:hanging="360"/>
      </w:pPr>
      <w:rPr>
        <w:rFonts w:ascii="Courier New" w:hAnsi="Courier New" w:cs="Courier New" w:hint="default"/>
      </w:rPr>
    </w:lvl>
    <w:lvl w:ilvl="5" w:tentative="1">
      <w:start w:val="1"/>
      <w:numFmt w:val="bullet"/>
      <w:lvlText w:val=""/>
      <w:lvlJc w:val="left"/>
      <w:pPr>
        <w:ind w:left="4848" w:hanging="360"/>
      </w:pPr>
      <w:rPr>
        <w:rFonts w:ascii="Wingdings" w:hAnsi="Wingdings" w:hint="default"/>
      </w:rPr>
    </w:lvl>
    <w:lvl w:ilvl="6" w:tentative="1">
      <w:start w:val="1"/>
      <w:numFmt w:val="bullet"/>
      <w:lvlText w:val=""/>
      <w:lvlJc w:val="left"/>
      <w:pPr>
        <w:ind w:left="5568" w:hanging="360"/>
      </w:pPr>
      <w:rPr>
        <w:rFonts w:ascii="Symbol" w:hAnsi="Symbol" w:hint="default"/>
      </w:rPr>
    </w:lvl>
    <w:lvl w:ilvl="7" w:tentative="1">
      <w:start w:val="1"/>
      <w:numFmt w:val="bullet"/>
      <w:lvlText w:val="o"/>
      <w:lvlJc w:val="left"/>
      <w:pPr>
        <w:ind w:left="6288" w:hanging="360"/>
      </w:pPr>
      <w:rPr>
        <w:rFonts w:ascii="Courier New" w:hAnsi="Courier New" w:cs="Courier New" w:hint="default"/>
      </w:rPr>
    </w:lvl>
    <w:lvl w:ilvl="8" w:tentative="1">
      <w:start w:val="1"/>
      <w:numFmt w:val="bullet"/>
      <w:lvlText w:val=""/>
      <w:lvlJc w:val="left"/>
      <w:pPr>
        <w:ind w:left="7008" w:hanging="360"/>
      </w:pPr>
      <w:rPr>
        <w:rFonts w:ascii="Wingdings" w:hAnsi="Wingdings" w:hint="default"/>
      </w:rPr>
    </w:lvl>
  </w:abstractNum>
  <w:abstractNum w:abstractNumId="15">
    <w:nsid w:val="444B3EE8"/>
    <w:multiLevelType w:val="multilevel"/>
    <w:tmpl w:val="0A40874A"/>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16">
    <w:nsid w:val="515C025B"/>
    <w:multiLevelType w:val="multilevel"/>
    <w:tmpl w:val="35567D10"/>
    <w:lvl w:ilvl="0">
      <w:start w:val="1"/>
      <w:numFmt w:val="lowerLetter"/>
      <w:lvlText w:val="(%1)"/>
      <w:lvlJc w:val="left"/>
      <w:pPr>
        <w:ind w:left="1839" w:hanging="720"/>
      </w:pPr>
      <w:rPr>
        <w:rFonts w:ascii="Arial" w:eastAsia="Arial" w:hAnsi="Arial" w:cs="Arial"/>
        <w:color w:val="2F5496"/>
        <w:sz w:val="22"/>
        <w:szCs w:val="22"/>
      </w:rPr>
    </w:lvl>
    <w:lvl w:ilvl="1">
      <w:start w:val="1"/>
      <w:numFmt w:val="bullet"/>
      <w:lvlText w:val="•"/>
      <w:lvlJc w:val="left"/>
      <w:pPr>
        <w:ind w:left="2806" w:hanging="720"/>
      </w:pPr>
    </w:lvl>
    <w:lvl w:ilvl="2">
      <w:start w:val="1"/>
      <w:numFmt w:val="bullet"/>
      <w:lvlText w:val="•"/>
      <w:lvlJc w:val="left"/>
      <w:pPr>
        <w:ind w:left="3772" w:hanging="720"/>
      </w:pPr>
    </w:lvl>
    <w:lvl w:ilvl="3">
      <w:start w:val="1"/>
      <w:numFmt w:val="bullet"/>
      <w:lvlText w:val="•"/>
      <w:lvlJc w:val="left"/>
      <w:pPr>
        <w:ind w:left="4738" w:hanging="720"/>
      </w:pPr>
    </w:lvl>
    <w:lvl w:ilvl="4">
      <w:start w:val="1"/>
      <w:numFmt w:val="bullet"/>
      <w:lvlText w:val="•"/>
      <w:lvlJc w:val="left"/>
      <w:pPr>
        <w:ind w:left="5704" w:hanging="720"/>
      </w:pPr>
    </w:lvl>
    <w:lvl w:ilvl="5">
      <w:start w:val="1"/>
      <w:numFmt w:val="bullet"/>
      <w:lvlText w:val="•"/>
      <w:lvlJc w:val="left"/>
      <w:pPr>
        <w:ind w:left="6670" w:hanging="720"/>
      </w:pPr>
    </w:lvl>
    <w:lvl w:ilvl="6">
      <w:start w:val="1"/>
      <w:numFmt w:val="bullet"/>
      <w:lvlText w:val="•"/>
      <w:lvlJc w:val="left"/>
      <w:pPr>
        <w:ind w:left="7636" w:hanging="720"/>
      </w:pPr>
    </w:lvl>
    <w:lvl w:ilvl="7">
      <w:start w:val="1"/>
      <w:numFmt w:val="bullet"/>
      <w:lvlText w:val="•"/>
      <w:lvlJc w:val="left"/>
      <w:pPr>
        <w:ind w:left="8602" w:hanging="720"/>
      </w:pPr>
    </w:lvl>
    <w:lvl w:ilvl="8">
      <w:start w:val="1"/>
      <w:numFmt w:val="bullet"/>
      <w:lvlText w:val="•"/>
      <w:lvlJc w:val="left"/>
      <w:pPr>
        <w:ind w:left="9568" w:hanging="720"/>
      </w:pPr>
    </w:lvl>
  </w:abstractNum>
  <w:abstractNum w:abstractNumId="17">
    <w:nsid w:val="59316D66"/>
    <w:multiLevelType w:val="hybridMultilevel"/>
    <w:tmpl w:val="55CA85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E4830C7"/>
    <w:multiLevelType w:val="hybridMultilevel"/>
    <w:tmpl w:val="212AB1BA"/>
    <w:lvl w:ilvl="0">
      <w:start w:val="5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38C47EE"/>
    <w:multiLevelType w:val="multilevel"/>
    <w:tmpl w:val="62640272"/>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20">
    <w:nsid w:val="6E504129"/>
    <w:multiLevelType w:val="hybridMultilevel"/>
    <w:tmpl w:val="159677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FB256C9"/>
    <w:multiLevelType w:val="multilevel"/>
    <w:tmpl w:val="35C4F820"/>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22">
    <w:nsid w:val="7031565D"/>
    <w:multiLevelType w:val="hybridMultilevel"/>
    <w:tmpl w:val="C32022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5146198"/>
    <w:multiLevelType w:val="hybridMultilevel"/>
    <w:tmpl w:val="B1B60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94F1D43"/>
    <w:multiLevelType w:val="hybridMultilevel"/>
    <w:tmpl w:val="977E54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9"/>
  </w:num>
  <w:num w:numId="4">
    <w:abstractNumId w:val="3"/>
  </w:num>
  <w:num w:numId="5">
    <w:abstractNumId w:val="11"/>
  </w:num>
  <w:num w:numId="6">
    <w:abstractNumId w:val="2"/>
  </w:num>
  <w:num w:numId="7">
    <w:abstractNumId w:val="5"/>
  </w:num>
  <w:num w:numId="8">
    <w:abstractNumId w:val="21"/>
  </w:num>
  <w:num w:numId="9">
    <w:abstractNumId w:val="9"/>
  </w:num>
  <w:num w:numId="10">
    <w:abstractNumId w:val="4"/>
  </w:num>
  <w:num w:numId="11">
    <w:abstractNumId w:val="16"/>
  </w:num>
  <w:num w:numId="12">
    <w:abstractNumId w:val="7"/>
  </w:num>
  <w:num w:numId="13">
    <w:abstractNumId w:val="22"/>
  </w:num>
  <w:num w:numId="14">
    <w:abstractNumId w:val="0"/>
  </w:num>
  <w:num w:numId="15">
    <w:abstractNumId w:val="17"/>
  </w:num>
  <w:num w:numId="16">
    <w:abstractNumId w:val="8"/>
  </w:num>
  <w:num w:numId="17">
    <w:abstractNumId w:val="18"/>
  </w:num>
  <w:num w:numId="18">
    <w:abstractNumId w:val="1"/>
  </w:num>
  <w:num w:numId="19">
    <w:abstractNumId w:val="12"/>
  </w:num>
  <w:num w:numId="20">
    <w:abstractNumId w:val="13"/>
  </w:num>
  <w:num w:numId="21">
    <w:abstractNumId w:val="24"/>
  </w:num>
  <w:num w:numId="22">
    <w:abstractNumId w:val="23"/>
  </w:num>
  <w:num w:numId="23">
    <w:abstractNumId w:val="6"/>
  </w:num>
  <w:num w:numId="24">
    <w:abstractNumId w:val="1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A55"/>
    <w:rsid w:val="000044BD"/>
    <w:rsid w:val="0000795C"/>
    <w:rsid w:val="000116B0"/>
    <w:rsid w:val="00011CF5"/>
    <w:rsid w:val="000121BA"/>
    <w:rsid w:val="00013622"/>
    <w:rsid w:val="00015717"/>
    <w:rsid w:val="000204EF"/>
    <w:rsid w:val="00021119"/>
    <w:rsid w:val="0002236A"/>
    <w:rsid w:val="000229BB"/>
    <w:rsid w:val="00032194"/>
    <w:rsid w:val="00035551"/>
    <w:rsid w:val="0004165F"/>
    <w:rsid w:val="0004169D"/>
    <w:rsid w:val="00045E3D"/>
    <w:rsid w:val="00046C44"/>
    <w:rsid w:val="00093A1E"/>
    <w:rsid w:val="00094E5A"/>
    <w:rsid w:val="000A51D3"/>
    <w:rsid w:val="000B598D"/>
    <w:rsid w:val="000B619D"/>
    <w:rsid w:val="000B7094"/>
    <w:rsid w:val="000C0195"/>
    <w:rsid w:val="000C1250"/>
    <w:rsid w:val="000C4775"/>
    <w:rsid w:val="000C570B"/>
    <w:rsid w:val="000C7A87"/>
    <w:rsid w:val="000C7B9A"/>
    <w:rsid w:val="000D04B4"/>
    <w:rsid w:val="000F38DC"/>
    <w:rsid w:val="00106BE9"/>
    <w:rsid w:val="00111CE7"/>
    <w:rsid w:val="001126C3"/>
    <w:rsid w:val="00114B54"/>
    <w:rsid w:val="00116620"/>
    <w:rsid w:val="00117AEF"/>
    <w:rsid w:val="00126F7A"/>
    <w:rsid w:val="001361BB"/>
    <w:rsid w:val="00137E3B"/>
    <w:rsid w:val="00141B27"/>
    <w:rsid w:val="00146DE9"/>
    <w:rsid w:val="00152F09"/>
    <w:rsid w:val="001555E3"/>
    <w:rsid w:val="00161BB9"/>
    <w:rsid w:val="00161C02"/>
    <w:rsid w:val="00181878"/>
    <w:rsid w:val="00183A1A"/>
    <w:rsid w:val="00193665"/>
    <w:rsid w:val="00195AC0"/>
    <w:rsid w:val="0019600F"/>
    <w:rsid w:val="001968F9"/>
    <w:rsid w:val="00196AC3"/>
    <w:rsid w:val="001A13F5"/>
    <w:rsid w:val="001A4797"/>
    <w:rsid w:val="001B05D4"/>
    <w:rsid w:val="001B3F95"/>
    <w:rsid w:val="001B4E96"/>
    <w:rsid w:val="001C1FF5"/>
    <w:rsid w:val="001C4AAB"/>
    <w:rsid w:val="001D6181"/>
    <w:rsid w:val="001D7D23"/>
    <w:rsid w:val="001E182C"/>
    <w:rsid w:val="001E51FF"/>
    <w:rsid w:val="001F36BA"/>
    <w:rsid w:val="001F433A"/>
    <w:rsid w:val="001F5603"/>
    <w:rsid w:val="00202A17"/>
    <w:rsid w:val="002068AC"/>
    <w:rsid w:val="002071B6"/>
    <w:rsid w:val="00212F4B"/>
    <w:rsid w:val="00213A4C"/>
    <w:rsid w:val="002178B6"/>
    <w:rsid w:val="00225E38"/>
    <w:rsid w:val="00227775"/>
    <w:rsid w:val="00232871"/>
    <w:rsid w:val="002367E7"/>
    <w:rsid w:val="00245535"/>
    <w:rsid w:val="00247AF2"/>
    <w:rsid w:val="00250D19"/>
    <w:rsid w:val="00251631"/>
    <w:rsid w:val="00251F10"/>
    <w:rsid w:val="00257791"/>
    <w:rsid w:val="002578D7"/>
    <w:rsid w:val="00264851"/>
    <w:rsid w:val="00267534"/>
    <w:rsid w:val="00273358"/>
    <w:rsid w:val="002738C6"/>
    <w:rsid w:val="00274C50"/>
    <w:rsid w:val="00275837"/>
    <w:rsid w:val="00275AB3"/>
    <w:rsid w:val="00283468"/>
    <w:rsid w:val="0028497C"/>
    <w:rsid w:val="002973C6"/>
    <w:rsid w:val="002A0485"/>
    <w:rsid w:val="002A6A19"/>
    <w:rsid w:val="002B351E"/>
    <w:rsid w:val="002B43C8"/>
    <w:rsid w:val="002B7003"/>
    <w:rsid w:val="002C2179"/>
    <w:rsid w:val="002C4C40"/>
    <w:rsid w:val="002C5B46"/>
    <w:rsid w:val="002D4E5C"/>
    <w:rsid w:val="002E2FE1"/>
    <w:rsid w:val="002F4780"/>
    <w:rsid w:val="002F5378"/>
    <w:rsid w:val="002F7B88"/>
    <w:rsid w:val="00301614"/>
    <w:rsid w:val="00303D8E"/>
    <w:rsid w:val="0030487E"/>
    <w:rsid w:val="003057A9"/>
    <w:rsid w:val="003137C7"/>
    <w:rsid w:val="00313AF1"/>
    <w:rsid w:val="00314422"/>
    <w:rsid w:val="003146B3"/>
    <w:rsid w:val="00315E0D"/>
    <w:rsid w:val="0031797F"/>
    <w:rsid w:val="00317ABF"/>
    <w:rsid w:val="00330927"/>
    <w:rsid w:val="003309A1"/>
    <w:rsid w:val="00330DB8"/>
    <w:rsid w:val="00331D74"/>
    <w:rsid w:val="00333362"/>
    <w:rsid w:val="00333FBA"/>
    <w:rsid w:val="00350960"/>
    <w:rsid w:val="003522B8"/>
    <w:rsid w:val="00352FF9"/>
    <w:rsid w:val="00354828"/>
    <w:rsid w:val="00363178"/>
    <w:rsid w:val="003637A8"/>
    <w:rsid w:val="00363B14"/>
    <w:rsid w:val="00363FBB"/>
    <w:rsid w:val="003707BC"/>
    <w:rsid w:val="003721E5"/>
    <w:rsid w:val="00373E13"/>
    <w:rsid w:val="00375FC7"/>
    <w:rsid w:val="00377809"/>
    <w:rsid w:val="0038356E"/>
    <w:rsid w:val="00385323"/>
    <w:rsid w:val="003861A2"/>
    <w:rsid w:val="00393EF1"/>
    <w:rsid w:val="003A3C41"/>
    <w:rsid w:val="003A49B0"/>
    <w:rsid w:val="003B1C5D"/>
    <w:rsid w:val="003C0E80"/>
    <w:rsid w:val="003C1248"/>
    <w:rsid w:val="003C1B64"/>
    <w:rsid w:val="003D7244"/>
    <w:rsid w:val="003D735F"/>
    <w:rsid w:val="003D779C"/>
    <w:rsid w:val="003E5103"/>
    <w:rsid w:val="003E5CC2"/>
    <w:rsid w:val="003F2AAC"/>
    <w:rsid w:val="003F3D87"/>
    <w:rsid w:val="00403345"/>
    <w:rsid w:val="00403722"/>
    <w:rsid w:val="004131AF"/>
    <w:rsid w:val="00414EB4"/>
    <w:rsid w:val="004168A4"/>
    <w:rsid w:val="004204E9"/>
    <w:rsid w:val="00424A67"/>
    <w:rsid w:val="00425EEB"/>
    <w:rsid w:val="0042626D"/>
    <w:rsid w:val="00427BC2"/>
    <w:rsid w:val="0043091D"/>
    <w:rsid w:val="00430CB7"/>
    <w:rsid w:val="004366D2"/>
    <w:rsid w:val="00443E82"/>
    <w:rsid w:val="00444B0D"/>
    <w:rsid w:val="00445541"/>
    <w:rsid w:val="00446600"/>
    <w:rsid w:val="00447E24"/>
    <w:rsid w:val="00447F43"/>
    <w:rsid w:val="004542C8"/>
    <w:rsid w:val="004572C7"/>
    <w:rsid w:val="00463188"/>
    <w:rsid w:val="004648CE"/>
    <w:rsid w:val="00470064"/>
    <w:rsid w:val="00471155"/>
    <w:rsid w:val="00476321"/>
    <w:rsid w:val="00480887"/>
    <w:rsid w:val="0048104A"/>
    <w:rsid w:val="004856C7"/>
    <w:rsid w:val="00490433"/>
    <w:rsid w:val="00491135"/>
    <w:rsid w:val="004929B6"/>
    <w:rsid w:val="00497C9C"/>
    <w:rsid w:val="004A32EF"/>
    <w:rsid w:val="004B375E"/>
    <w:rsid w:val="004C0107"/>
    <w:rsid w:val="004D78B5"/>
    <w:rsid w:val="004E16CF"/>
    <w:rsid w:val="004E1AF3"/>
    <w:rsid w:val="004E2920"/>
    <w:rsid w:val="004E7D7E"/>
    <w:rsid w:val="004F529C"/>
    <w:rsid w:val="004F682E"/>
    <w:rsid w:val="005003D1"/>
    <w:rsid w:val="0050147F"/>
    <w:rsid w:val="00501F6B"/>
    <w:rsid w:val="005071BF"/>
    <w:rsid w:val="00514C44"/>
    <w:rsid w:val="00514D92"/>
    <w:rsid w:val="00516445"/>
    <w:rsid w:val="00516C19"/>
    <w:rsid w:val="00520ACF"/>
    <w:rsid w:val="00525C2D"/>
    <w:rsid w:val="00532A12"/>
    <w:rsid w:val="00535966"/>
    <w:rsid w:val="005359F5"/>
    <w:rsid w:val="00540940"/>
    <w:rsid w:val="0054550F"/>
    <w:rsid w:val="0054560D"/>
    <w:rsid w:val="0055233A"/>
    <w:rsid w:val="00556DF0"/>
    <w:rsid w:val="00560B54"/>
    <w:rsid w:val="00571E67"/>
    <w:rsid w:val="005741AB"/>
    <w:rsid w:val="00575B78"/>
    <w:rsid w:val="00577B28"/>
    <w:rsid w:val="005805EE"/>
    <w:rsid w:val="00580A96"/>
    <w:rsid w:val="00581C7B"/>
    <w:rsid w:val="00583859"/>
    <w:rsid w:val="00584471"/>
    <w:rsid w:val="00597553"/>
    <w:rsid w:val="005A3188"/>
    <w:rsid w:val="005A57B3"/>
    <w:rsid w:val="005A7161"/>
    <w:rsid w:val="005A7A38"/>
    <w:rsid w:val="005A7A3F"/>
    <w:rsid w:val="005B1677"/>
    <w:rsid w:val="005B2839"/>
    <w:rsid w:val="005B2E06"/>
    <w:rsid w:val="005C137D"/>
    <w:rsid w:val="005C2579"/>
    <w:rsid w:val="005C6481"/>
    <w:rsid w:val="005D0D90"/>
    <w:rsid w:val="005E01B0"/>
    <w:rsid w:val="005E1824"/>
    <w:rsid w:val="005E2CCC"/>
    <w:rsid w:val="005E2CF7"/>
    <w:rsid w:val="005E4A2F"/>
    <w:rsid w:val="005F10FE"/>
    <w:rsid w:val="005F31D3"/>
    <w:rsid w:val="005F37F9"/>
    <w:rsid w:val="005F3E68"/>
    <w:rsid w:val="005F49F8"/>
    <w:rsid w:val="0060454C"/>
    <w:rsid w:val="00621E56"/>
    <w:rsid w:val="0062210B"/>
    <w:rsid w:val="00622D64"/>
    <w:rsid w:val="00634DEC"/>
    <w:rsid w:val="00637F06"/>
    <w:rsid w:val="006516EA"/>
    <w:rsid w:val="0065493C"/>
    <w:rsid w:val="00655F46"/>
    <w:rsid w:val="00664445"/>
    <w:rsid w:val="00673D58"/>
    <w:rsid w:val="006774D8"/>
    <w:rsid w:val="0068105C"/>
    <w:rsid w:val="0069239D"/>
    <w:rsid w:val="0069375E"/>
    <w:rsid w:val="00696126"/>
    <w:rsid w:val="0069748E"/>
    <w:rsid w:val="006A058A"/>
    <w:rsid w:val="006A0C34"/>
    <w:rsid w:val="006A7FFB"/>
    <w:rsid w:val="006B3D1F"/>
    <w:rsid w:val="006B7808"/>
    <w:rsid w:val="006C35E1"/>
    <w:rsid w:val="006D0991"/>
    <w:rsid w:val="006D0E4B"/>
    <w:rsid w:val="006D6EEF"/>
    <w:rsid w:val="006D735A"/>
    <w:rsid w:val="006D7DC6"/>
    <w:rsid w:val="006E1C43"/>
    <w:rsid w:val="006E213D"/>
    <w:rsid w:val="006E44B1"/>
    <w:rsid w:val="006E7140"/>
    <w:rsid w:val="006E76C0"/>
    <w:rsid w:val="006E7B3F"/>
    <w:rsid w:val="006F1E23"/>
    <w:rsid w:val="0070187C"/>
    <w:rsid w:val="00703EB9"/>
    <w:rsid w:val="00711B3D"/>
    <w:rsid w:val="007120AF"/>
    <w:rsid w:val="00713BC9"/>
    <w:rsid w:val="0073071D"/>
    <w:rsid w:val="00734294"/>
    <w:rsid w:val="00741C74"/>
    <w:rsid w:val="007426D5"/>
    <w:rsid w:val="0074677E"/>
    <w:rsid w:val="00746A9D"/>
    <w:rsid w:val="00755168"/>
    <w:rsid w:val="00757A2C"/>
    <w:rsid w:val="007605CF"/>
    <w:rsid w:val="00761C39"/>
    <w:rsid w:val="00761F48"/>
    <w:rsid w:val="007623F5"/>
    <w:rsid w:val="00763159"/>
    <w:rsid w:val="00764D37"/>
    <w:rsid w:val="00764FE4"/>
    <w:rsid w:val="007676B7"/>
    <w:rsid w:val="00775215"/>
    <w:rsid w:val="00775A1E"/>
    <w:rsid w:val="00776301"/>
    <w:rsid w:val="00776EB6"/>
    <w:rsid w:val="00781F3A"/>
    <w:rsid w:val="00782215"/>
    <w:rsid w:val="00786E40"/>
    <w:rsid w:val="007876EE"/>
    <w:rsid w:val="00791595"/>
    <w:rsid w:val="007967C6"/>
    <w:rsid w:val="00797FF7"/>
    <w:rsid w:val="007A0212"/>
    <w:rsid w:val="007A4481"/>
    <w:rsid w:val="007A4E4C"/>
    <w:rsid w:val="007A55D9"/>
    <w:rsid w:val="007A6923"/>
    <w:rsid w:val="007B0388"/>
    <w:rsid w:val="007B1888"/>
    <w:rsid w:val="007C1044"/>
    <w:rsid w:val="007C6C5D"/>
    <w:rsid w:val="007C729A"/>
    <w:rsid w:val="007C7825"/>
    <w:rsid w:val="007D3937"/>
    <w:rsid w:val="007D3D83"/>
    <w:rsid w:val="007D6312"/>
    <w:rsid w:val="007D7FC8"/>
    <w:rsid w:val="007E1934"/>
    <w:rsid w:val="007E1EFF"/>
    <w:rsid w:val="007E36C5"/>
    <w:rsid w:val="007E4655"/>
    <w:rsid w:val="007E4EAD"/>
    <w:rsid w:val="007F19E8"/>
    <w:rsid w:val="007F36C2"/>
    <w:rsid w:val="007F44AE"/>
    <w:rsid w:val="007F6898"/>
    <w:rsid w:val="007F6F5D"/>
    <w:rsid w:val="007F74D3"/>
    <w:rsid w:val="008005E4"/>
    <w:rsid w:val="00800F9B"/>
    <w:rsid w:val="0080232C"/>
    <w:rsid w:val="00803C61"/>
    <w:rsid w:val="0080631A"/>
    <w:rsid w:val="0081090B"/>
    <w:rsid w:val="00811F9D"/>
    <w:rsid w:val="00812643"/>
    <w:rsid w:val="008150A4"/>
    <w:rsid w:val="0082094F"/>
    <w:rsid w:val="00820C38"/>
    <w:rsid w:val="008217CE"/>
    <w:rsid w:val="00823A0F"/>
    <w:rsid w:val="008274E8"/>
    <w:rsid w:val="00835DA5"/>
    <w:rsid w:val="008364AF"/>
    <w:rsid w:val="00841CC4"/>
    <w:rsid w:val="008431EC"/>
    <w:rsid w:val="00845B41"/>
    <w:rsid w:val="00851271"/>
    <w:rsid w:val="00852F20"/>
    <w:rsid w:val="008532D2"/>
    <w:rsid w:val="00853E67"/>
    <w:rsid w:val="008634C2"/>
    <w:rsid w:val="00863A78"/>
    <w:rsid w:val="008643F9"/>
    <w:rsid w:val="00867AF0"/>
    <w:rsid w:val="00867B2C"/>
    <w:rsid w:val="008877B7"/>
    <w:rsid w:val="0089011F"/>
    <w:rsid w:val="0089194B"/>
    <w:rsid w:val="00892577"/>
    <w:rsid w:val="008A1603"/>
    <w:rsid w:val="008A37AF"/>
    <w:rsid w:val="008A40F9"/>
    <w:rsid w:val="008A42EF"/>
    <w:rsid w:val="008A4E88"/>
    <w:rsid w:val="008A4EC6"/>
    <w:rsid w:val="008A7A5D"/>
    <w:rsid w:val="008B4A75"/>
    <w:rsid w:val="008C2060"/>
    <w:rsid w:val="008D0149"/>
    <w:rsid w:val="008D70FA"/>
    <w:rsid w:val="008E1A46"/>
    <w:rsid w:val="00912650"/>
    <w:rsid w:val="00915989"/>
    <w:rsid w:val="00922B90"/>
    <w:rsid w:val="00936043"/>
    <w:rsid w:val="00936226"/>
    <w:rsid w:val="00937A03"/>
    <w:rsid w:val="00942B4E"/>
    <w:rsid w:val="00944834"/>
    <w:rsid w:val="00944D46"/>
    <w:rsid w:val="009605C4"/>
    <w:rsid w:val="00961F8A"/>
    <w:rsid w:val="00965325"/>
    <w:rsid w:val="00965B64"/>
    <w:rsid w:val="00967034"/>
    <w:rsid w:val="00967EB5"/>
    <w:rsid w:val="009724A5"/>
    <w:rsid w:val="00974664"/>
    <w:rsid w:val="00984A8A"/>
    <w:rsid w:val="00987B96"/>
    <w:rsid w:val="00991B43"/>
    <w:rsid w:val="00995756"/>
    <w:rsid w:val="009A0E26"/>
    <w:rsid w:val="009A49E8"/>
    <w:rsid w:val="009B0637"/>
    <w:rsid w:val="009D0D42"/>
    <w:rsid w:val="009E5007"/>
    <w:rsid w:val="009E75D2"/>
    <w:rsid w:val="009E764E"/>
    <w:rsid w:val="009F23B3"/>
    <w:rsid w:val="009F7321"/>
    <w:rsid w:val="009F7EC4"/>
    <w:rsid w:val="00A006C7"/>
    <w:rsid w:val="00A0565C"/>
    <w:rsid w:val="00A059F8"/>
    <w:rsid w:val="00A060B2"/>
    <w:rsid w:val="00A0795E"/>
    <w:rsid w:val="00A104B3"/>
    <w:rsid w:val="00A10836"/>
    <w:rsid w:val="00A12801"/>
    <w:rsid w:val="00A13F90"/>
    <w:rsid w:val="00A1499E"/>
    <w:rsid w:val="00A17099"/>
    <w:rsid w:val="00A22729"/>
    <w:rsid w:val="00A25C22"/>
    <w:rsid w:val="00A332FB"/>
    <w:rsid w:val="00A33CB6"/>
    <w:rsid w:val="00A3503E"/>
    <w:rsid w:val="00A53012"/>
    <w:rsid w:val="00A6037A"/>
    <w:rsid w:val="00A735E1"/>
    <w:rsid w:val="00A75D64"/>
    <w:rsid w:val="00A778C7"/>
    <w:rsid w:val="00A77CDF"/>
    <w:rsid w:val="00A805A2"/>
    <w:rsid w:val="00A83C91"/>
    <w:rsid w:val="00A91D4C"/>
    <w:rsid w:val="00A97887"/>
    <w:rsid w:val="00AA1F53"/>
    <w:rsid w:val="00AA380E"/>
    <w:rsid w:val="00AB0FA2"/>
    <w:rsid w:val="00AB6E0E"/>
    <w:rsid w:val="00AC1577"/>
    <w:rsid w:val="00AC4DAA"/>
    <w:rsid w:val="00AD15E8"/>
    <w:rsid w:val="00AD1D8D"/>
    <w:rsid w:val="00AD2940"/>
    <w:rsid w:val="00AD3AB5"/>
    <w:rsid w:val="00AD7048"/>
    <w:rsid w:val="00AD7FC3"/>
    <w:rsid w:val="00B05B93"/>
    <w:rsid w:val="00B0756E"/>
    <w:rsid w:val="00B1732E"/>
    <w:rsid w:val="00B21B9A"/>
    <w:rsid w:val="00B2272A"/>
    <w:rsid w:val="00B239A0"/>
    <w:rsid w:val="00B23B8D"/>
    <w:rsid w:val="00B24C4D"/>
    <w:rsid w:val="00B26FEC"/>
    <w:rsid w:val="00B31B3D"/>
    <w:rsid w:val="00B324F8"/>
    <w:rsid w:val="00B32FAA"/>
    <w:rsid w:val="00B406D8"/>
    <w:rsid w:val="00B41FE1"/>
    <w:rsid w:val="00B46E17"/>
    <w:rsid w:val="00B511DA"/>
    <w:rsid w:val="00B518DC"/>
    <w:rsid w:val="00B53292"/>
    <w:rsid w:val="00B6016E"/>
    <w:rsid w:val="00B60594"/>
    <w:rsid w:val="00B61535"/>
    <w:rsid w:val="00B624D2"/>
    <w:rsid w:val="00B65426"/>
    <w:rsid w:val="00B73D5A"/>
    <w:rsid w:val="00B80E3B"/>
    <w:rsid w:val="00B816EE"/>
    <w:rsid w:val="00B82880"/>
    <w:rsid w:val="00B86E4D"/>
    <w:rsid w:val="00B90193"/>
    <w:rsid w:val="00B90A7D"/>
    <w:rsid w:val="00B91524"/>
    <w:rsid w:val="00B9421E"/>
    <w:rsid w:val="00B94E44"/>
    <w:rsid w:val="00BA2143"/>
    <w:rsid w:val="00BA362A"/>
    <w:rsid w:val="00BA61C1"/>
    <w:rsid w:val="00BA6D06"/>
    <w:rsid w:val="00BA75F0"/>
    <w:rsid w:val="00BC2171"/>
    <w:rsid w:val="00BC262B"/>
    <w:rsid w:val="00BC519C"/>
    <w:rsid w:val="00BD2A55"/>
    <w:rsid w:val="00BD2D83"/>
    <w:rsid w:val="00BD30A7"/>
    <w:rsid w:val="00BD65D7"/>
    <w:rsid w:val="00BD7B9D"/>
    <w:rsid w:val="00BF089F"/>
    <w:rsid w:val="00BF3525"/>
    <w:rsid w:val="00BF3A19"/>
    <w:rsid w:val="00C0564E"/>
    <w:rsid w:val="00C155AE"/>
    <w:rsid w:val="00C16312"/>
    <w:rsid w:val="00C1783D"/>
    <w:rsid w:val="00C17E32"/>
    <w:rsid w:val="00C224F1"/>
    <w:rsid w:val="00C24E9D"/>
    <w:rsid w:val="00C25F65"/>
    <w:rsid w:val="00C26CF9"/>
    <w:rsid w:val="00C329DB"/>
    <w:rsid w:val="00C3330D"/>
    <w:rsid w:val="00C359BD"/>
    <w:rsid w:val="00C451B6"/>
    <w:rsid w:val="00C472E3"/>
    <w:rsid w:val="00C61FA5"/>
    <w:rsid w:val="00C6460B"/>
    <w:rsid w:val="00C65CA9"/>
    <w:rsid w:val="00C73EF1"/>
    <w:rsid w:val="00C74119"/>
    <w:rsid w:val="00C77C74"/>
    <w:rsid w:val="00C84B30"/>
    <w:rsid w:val="00C92D47"/>
    <w:rsid w:val="00C94968"/>
    <w:rsid w:val="00CA08C5"/>
    <w:rsid w:val="00CA62A0"/>
    <w:rsid w:val="00CB0684"/>
    <w:rsid w:val="00CB481A"/>
    <w:rsid w:val="00CC2AFE"/>
    <w:rsid w:val="00CD5315"/>
    <w:rsid w:val="00CE5CD6"/>
    <w:rsid w:val="00CE6C6A"/>
    <w:rsid w:val="00CE7F60"/>
    <w:rsid w:val="00CF23DD"/>
    <w:rsid w:val="00D03C9B"/>
    <w:rsid w:val="00D03CDF"/>
    <w:rsid w:val="00D0440B"/>
    <w:rsid w:val="00D0719B"/>
    <w:rsid w:val="00D100E8"/>
    <w:rsid w:val="00D104CC"/>
    <w:rsid w:val="00D11E05"/>
    <w:rsid w:val="00D14BCD"/>
    <w:rsid w:val="00D23461"/>
    <w:rsid w:val="00D24F60"/>
    <w:rsid w:val="00D25EE2"/>
    <w:rsid w:val="00D321AE"/>
    <w:rsid w:val="00D33021"/>
    <w:rsid w:val="00D33A5A"/>
    <w:rsid w:val="00D34D55"/>
    <w:rsid w:val="00D36C17"/>
    <w:rsid w:val="00D41CF9"/>
    <w:rsid w:val="00D42F4B"/>
    <w:rsid w:val="00D47555"/>
    <w:rsid w:val="00D51249"/>
    <w:rsid w:val="00D56137"/>
    <w:rsid w:val="00D57920"/>
    <w:rsid w:val="00D64852"/>
    <w:rsid w:val="00D736B4"/>
    <w:rsid w:val="00D76837"/>
    <w:rsid w:val="00D81604"/>
    <w:rsid w:val="00D84CA7"/>
    <w:rsid w:val="00D859BE"/>
    <w:rsid w:val="00D86152"/>
    <w:rsid w:val="00D91833"/>
    <w:rsid w:val="00D93B86"/>
    <w:rsid w:val="00D945A3"/>
    <w:rsid w:val="00D97816"/>
    <w:rsid w:val="00D97B0B"/>
    <w:rsid w:val="00DA4D3D"/>
    <w:rsid w:val="00DA4EF1"/>
    <w:rsid w:val="00DA4F4F"/>
    <w:rsid w:val="00DA6757"/>
    <w:rsid w:val="00DA76D5"/>
    <w:rsid w:val="00DB13FF"/>
    <w:rsid w:val="00DB453D"/>
    <w:rsid w:val="00DB466D"/>
    <w:rsid w:val="00DB4D21"/>
    <w:rsid w:val="00DB7BCF"/>
    <w:rsid w:val="00DC0791"/>
    <w:rsid w:val="00DC1683"/>
    <w:rsid w:val="00DC6F01"/>
    <w:rsid w:val="00DC7B2E"/>
    <w:rsid w:val="00DD322A"/>
    <w:rsid w:val="00DD3BB6"/>
    <w:rsid w:val="00DE1A4F"/>
    <w:rsid w:val="00DE25C8"/>
    <w:rsid w:val="00DE4D13"/>
    <w:rsid w:val="00DE58D3"/>
    <w:rsid w:val="00DE7EAA"/>
    <w:rsid w:val="00E02A44"/>
    <w:rsid w:val="00E03750"/>
    <w:rsid w:val="00E04895"/>
    <w:rsid w:val="00E12DE1"/>
    <w:rsid w:val="00E16773"/>
    <w:rsid w:val="00E17C3B"/>
    <w:rsid w:val="00E229EC"/>
    <w:rsid w:val="00E234E1"/>
    <w:rsid w:val="00E33387"/>
    <w:rsid w:val="00E364EE"/>
    <w:rsid w:val="00E42758"/>
    <w:rsid w:val="00E43D27"/>
    <w:rsid w:val="00E444E7"/>
    <w:rsid w:val="00E50C03"/>
    <w:rsid w:val="00E50FA1"/>
    <w:rsid w:val="00E52F34"/>
    <w:rsid w:val="00E54E38"/>
    <w:rsid w:val="00E65291"/>
    <w:rsid w:val="00E657D8"/>
    <w:rsid w:val="00E70998"/>
    <w:rsid w:val="00E7772A"/>
    <w:rsid w:val="00E81B27"/>
    <w:rsid w:val="00E86CA8"/>
    <w:rsid w:val="00E90900"/>
    <w:rsid w:val="00E974B3"/>
    <w:rsid w:val="00EB0BD5"/>
    <w:rsid w:val="00EB317A"/>
    <w:rsid w:val="00EC3516"/>
    <w:rsid w:val="00EC3878"/>
    <w:rsid w:val="00EC639E"/>
    <w:rsid w:val="00EC70C1"/>
    <w:rsid w:val="00EC7C4F"/>
    <w:rsid w:val="00ED1ED1"/>
    <w:rsid w:val="00ED27CD"/>
    <w:rsid w:val="00ED3B80"/>
    <w:rsid w:val="00ED6BD5"/>
    <w:rsid w:val="00EE3B41"/>
    <w:rsid w:val="00EE4302"/>
    <w:rsid w:val="00EE67C6"/>
    <w:rsid w:val="00EF1B63"/>
    <w:rsid w:val="00EF386D"/>
    <w:rsid w:val="00EF6BDD"/>
    <w:rsid w:val="00EF6EF2"/>
    <w:rsid w:val="00F01FDD"/>
    <w:rsid w:val="00F10000"/>
    <w:rsid w:val="00F14507"/>
    <w:rsid w:val="00F14825"/>
    <w:rsid w:val="00F2196F"/>
    <w:rsid w:val="00F229BE"/>
    <w:rsid w:val="00F22BA5"/>
    <w:rsid w:val="00F2555B"/>
    <w:rsid w:val="00F27DA3"/>
    <w:rsid w:val="00F3010F"/>
    <w:rsid w:val="00F30441"/>
    <w:rsid w:val="00F307FA"/>
    <w:rsid w:val="00F32886"/>
    <w:rsid w:val="00F35715"/>
    <w:rsid w:val="00F35879"/>
    <w:rsid w:val="00F414A7"/>
    <w:rsid w:val="00F42FFE"/>
    <w:rsid w:val="00F46798"/>
    <w:rsid w:val="00F5030E"/>
    <w:rsid w:val="00F507CF"/>
    <w:rsid w:val="00F51AF2"/>
    <w:rsid w:val="00F5303E"/>
    <w:rsid w:val="00F53CFB"/>
    <w:rsid w:val="00F54BA8"/>
    <w:rsid w:val="00F55906"/>
    <w:rsid w:val="00F63593"/>
    <w:rsid w:val="00F64E35"/>
    <w:rsid w:val="00F66B0C"/>
    <w:rsid w:val="00F7066B"/>
    <w:rsid w:val="00F721D4"/>
    <w:rsid w:val="00F72DB2"/>
    <w:rsid w:val="00F80909"/>
    <w:rsid w:val="00F91FE6"/>
    <w:rsid w:val="00F942CC"/>
    <w:rsid w:val="00FC06C4"/>
    <w:rsid w:val="00FD0E0B"/>
    <w:rsid w:val="00FD5827"/>
    <w:rsid w:val="00FE14AF"/>
    <w:rsid w:val="00FE35D2"/>
    <w:rsid w:val="00FF102F"/>
    <w:rsid w:val="00FF1506"/>
    <w:rsid w:val="00FF2C9A"/>
    <w:rsid w:val="00FF5C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E84B37"/>
  <w15:docId w15:val="{F49FF380-3C77-46FD-A7C6-709278A4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30CB7"/>
  </w:style>
  <w:style w:type="paragraph" w:styleId="Heading1">
    <w:name w:val="heading 1"/>
    <w:basedOn w:val="Normal"/>
    <w:uiPriority w:val="1"/>
    <w:qFormat/>
    <w:pPr>
      <w:spacing w:before="80"/>
      <w:ind w:left="400"/>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spacing w:before="161"/>
      <w:ind w:left="400"/>
    </w:pPr>
  </w:style>
  <w:style w:type="paragraph" w:styleId="ListParagraph">
    <w:name w:val="List Paragraph"/>
    <w:basedOn w:val="Normal"/>
    <w:uiPriority w:val="34"/>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unhideWhenUsed/>
    <w:rsid w:val="00AD1431"/>
    <w:pPr>
      <w:widowControl/>
      <w:spacing w:after="149"/>
      <w:ind w:left="426" w:hanging="10"/>
    </w:pPr>
    <w:rPr>
      <w:color w:val="2E5395"/>
      <w:sz w:val="20"/>
      <w:szCs w:val="20"/>
    </w:rPr>
  </w:style>
  <w:style w:type="character" w:customStyle="1" w:styleId="CommentTextChar">
    <w:name w:val="Comment Text Char"/>
    <w:basedOn w:val="DefaultParagraphFont"/>
    <w:link w:val="CommentText"/>
    <w:uiPriority w:val="99"/>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paragraph" w:styleId="Header">
    <w:name w:val="header"/>
    <w:basedOn w:val="Normal"/>
    <w:link w:val="HeaderChar"/>
    <w:uiPriority w:val="99"/>
    <w:unhideWhenUsed/>
    <w:rsid w:val="00F27520"/>
    <w:pPr>
      <w:tabs>
        <w:tab w:val="center" w:pos="4680"/>
        <w:tab w:val="right" w:pos="9360"/>
      </w:tabs>
    </w:pPr>
  </w:style>
  <w:style w:type="character" w:customStyle="1" w:styleId="HeaderChar">
    <w:name w:val="Header Char"/>
    <w:basedOn w:val="DefaultParagraphFont"/>
    <w:link w:val="Header"/>
    <w:uiPriority w:val="99"/>
    <w:rsid w:val="00F27520"/>
  </w:style>
  <w:style w:type="paragraph" w:styleId="Footer">
    <w:name w:val="footer"/>
    <w:basedOn w:val="Normal"/>
    <w:link w:val="FooterChar"/>
    <w:uiPriority w:val="99"/>
    <w:unhideWhenUsed/>
    <w:rsid w:val="00F27520"/>
    <w:pPr>
      <w:tabs>
        <w:tab w:val="center" w:pos="4680"/>
        <w:tab w:val="right" w:pos="9360"/>
      </w:tabs>
    </w:pPr>
  </w:style>
  <w:style w:type="character" w:customStyle="1" w:styleId="FooterChar">
    <w:name w:val="Footer Char"/>
    <w:basedOn w:val="DefaultParagraphFont"/>
    <w:link w:val="Footer"/>
    <w:uiPriority w:val="99"/>
    <w:rsid w:val="00F27520"/>
  </w:style>
  <w:style w:type="character" w:styleId="Hyperlink">
    <w:name w:val="Hyperlink"/>
    <w:basedOn w:val="DefaultParagraphFont"/>
    <w:uiPriority w:val="99"/>
    <w:unhideWhenUsed/>
    <w:rsid w:val="00F0299B"/>
    <w:rPr>
      <w:color w:val="0000FF" w:themeColor="hyperlink"/>
      <w:u w:val="single"/>
    </w:rPr>
  </w:style>
  <w:style w:type="character" w:styleId="FollowedHyperlink">
    <w:name w:val="FollowedHyperlink"/>
    <w:basedOn w:val="DefaultParagraphFont"/>
    <w:uiPriority w:val="99"/>
    <w:semiHidden/>
    <w:unhideWhenUsed/>
    <w:rsid w:val="00F0299B"/>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left w:w="0" w:type="dxa"/>
        <w:right w:w="0"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Subject">
    <w:name w:val="annotation subject"/>
    <w:basedOn w:val="CommentText"/>
    <w:next w:val="CommentText"/>
    <w:link w:val="CommentSubjectChar"/>
    <w:uiPriority w:val="99"/>
    <w:semiHidden/>
    <w:unhideWhenUsed/>
    <w:rsid w:val="00DC6F01"/>
    <w:pPr>
      <w:widowControl w:val="0"/>
      <w:spacing w:after="0"/>
      <w:ind w:left="0" w:firstLine="0"/>
    </w:pPr>
    <w:rPr>
      <w:b/>
      <w:bCs/>
      <w:color w:val="auto"/>
    </w:rPr>
  </w:style>
  <w:style w:type="character" w:customStyle="1" w:styleId="CommentSubjectChar">
    <w:name w:val="Comment Subject Char"/>
    <w:basedOn w:val="CommentTextChar"/>
    <w:link w:val="CommentSubject"/>
    <w:uiPriority w:val="99"/>
    <w:semiHidden/>
    <w:rsid w:val="00DC6F01"/>
    <w:rPr>
      <w:rFonts w:ascii="Arial" w:eastAsia="Arial" w:hAnsi="Arial" w:cs="Arial"/>
      <w:b/>
      <w:bCs/>
      <w:color w:val="2E5395"/>
      <w:sz w:val="20"/>
      <w:szCs w:val="20"/>
    </w:rPr>
  </w:style>
  <w:style w:type="paragraph" w:customStyle="1" w:styleId="Default">
    <w:name w:val="Default"/>
    <w:rsid w:val="00D33A5A"/>
    <w:pPr>
      <w:widowControl/>
      <w:autoSpaceDE w:val="0"/>
      <w:autoSpaceDN w:val="0"/>
      <w:adjustRightInd w:val="0"/>
    </w:pPr>
    <w:rPr>
      <w:color w:val="000000"/>
    </w:rPr>
  </w:style>
  <w:style w:type="character" w:customStyle="1" w:styleId="s1">
    <w:name w:val="s1"/>
    <w:basedOn w:val="DefaultParagraphFont"/>
    <w:rsid w:val="00D33A5A"/>
    <w:rPr>
      <w:rFonts w:ascii="Arial" w:hAnsi="Arial" w:cs="Arial" w:hint="default"/>
      <w:color w:val="000000"/>
      <w:sz w:val="19"/>
      <w:szCs w:val="19"/>
      <w:shd w:val="clear" w:color="auto" w:fill="FFFFFF"/>
    </w:rPr>
  </w:style>
  <w:style w:type="paragraph" w:customStyle="1" w:styleId="g">
    <w:name w:val="g"/>
    <w:basedOn w:val="Normal"/>
    <w:rsid w:val="00D33A5A"/>
    <w:pPr>
      <w:widowControl/>
      <w:spacing w:before="240" w:after="240"/>
    </w:pPr>
  </w:style>
  <w:style w:type="paragraph" w:styleId="Revision">
    <w:name w:val="Revision"/>
    <w:hidden/>
    <w:uiPriority w:val="99"/>
    <w:semiHidden/>
    <w:rsid w:val="00D33A5A"/>
    <w:pPr>
      <w:widowControl/>
    </w:pPr>
  </w:style>
  <w:style w:type="paragraph" w:styleId="FootnoteText">
    <w:name w:val="footnote text"/>
    <w:basedOn w:val="Normal"/>
    <w:link w:val="FootnoteTextChar"/>
    <w:uiPriority w:val="99"/>
    <w:semiHidden/>
    <w:unhideWhenUsed/>
    <w:rsid w:val="00D33A5A"/>
    <w:pPr>
      <w:widowControl/>
    </w:pPr>
    <w:rPr>
      <w:sz w:val="20"/>
      <w:szCs w:val="20"/>
    </w:rPr>
  </w:style>
  <w:style w:type="character" w:customStyle="1" w:styleId="FootnoteTextChar">
    <w:name w:val="Footnote Text Char"/>
    <w:basedOn w:val="DefaultParagraphFont"/>
    <w:link w:val="FootnoteText"/>
    <w:uiPriority w:val="99"/>
    <w:semiHidden/>
    <w:rsid w:val="00D33A5A"/>
    <w:rPr>
      <w:sz w:val="20"/>
      <w:szCs w:val="20"/>
    </w:rPr>
  </w:style>
  <w:style w:type="character" w:styleId="FootnoteReference">
    <w:name w:val="footnote reference"/>
    <w:basedOn w:val="DefaultParagraphFont"/>
    <w:uiPriority w:val="99"/>
    <w:semiHidden/>
    <w:unhideWhenUsed/>
    <w:rsid w:val="00D33A5A"/>
    <w:rPr>
      <w:vertAlign w:val="superscript"/>
    </w:rPr>
  </w:style>
  <w:style w:type="paragraph" w:styleId="NormalWeb">
    <w:name w:val="Normal (Web)"/>
    <w:basedOn w:val="Normal"/>
    <w:uiPriority w:val="99"/>
    <w:semiHidden/>
    <w:unhideWhenUsed/>
    <w:rsid w:val="00C1783D"/>
    <w:pPr>
      <w:widowControl/>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iphc.int/uploads/pdf/basic-texts/iphc-1979-pacific-halibut-convention.pdf" TargetMode="External" /><Relationship Id="rId11" Type="http://schemas.openxmlformats.org/officeDocument/2006/relationships/hyperlink" Target="http://www.ecfr.gov/cgi-bin/text-idx?SID=1b6410b43d5a730b28bdc5f30957551c&amp;amp;node=sp50.11.300.e&amp;amp;rgn=div6" TargetMode="External" /><Relationship Id="rId12" Type="http://schemas.openxmlformats.org/officeDocument/2006/relationships/hyperlink" Target="https://www.ecfr.gov/cgi-bin/text-idx?SID=5fd8a00e93f344560eb478ef3f0a4486&amp;mc=true&amp;node=sp50.11.300.e&amp;rgn=div6" TargetMode="External" /><Relationship Id="rId13" Type="http://schemas.openxmlformats.org/officeDocument/2006/relationships/hyperlink" Target="https://ecfr.federalregister.gov/current/title-50/chapter-III/part-300/subpart-E?toc=1" TargetMode="External" /><Relationship Id="rId14" Type="http://schemas.openxmlformats.org/officeDocument/2006/relationships/hyperlink" Target="https://www.commerce.alaska.gov/web/ded/FIN/LoanPrograms/CommunityQuotaEntity.aspx" TargetMode="External" /><Relationship Id="rId15" Type="http://schemas.openxmlformats.org/officeDocument/2006/relationships/hyperlink" Target="https://ecfr.federalregister.gov/current/title-50/chapter-VI/part-679/appendix-Table%2021%20to%20Part%20679" TargetMode="External" /><Relationship Id="rId16" Type="http://schemas.openxmlformats.org/officeDocument/2006/relationships/hyperlink" Target="https://www.fisheries.noaa.gov/alaska/sustainable-fisheries/community-quota-and-license-programs-community-quota-entities" TargetMode="External" /><Relationship Id="rId17" Type="http://schemas.openxmlformats.org/officeDocument/2006/relationships/footer" Target="footer1.xml" /><Relationship Id="rId18" Type="http://schemas.openxmlformats.org/officeDocument/2006/relationships/hyperlink" Target="https://ecfr.federalregister.gov/current/title-50/chapter-VI/part-679/subpart-D/section-679.41" TargetMode="External" /><Relationship Id="rId19" Type="http://schemas.openxmlformats.org/officeDocument/2006/relationships/hyperlink" Target="https://ecfr.federalregister.gov/current/title-50/chapter-VI/part-679/subpart-A/section-679.5" TargetMode="External" /><Relationship Id="rId2" Type="http://schemas.openxmlformats.org/officeDocument/2006/relationships/webSettings" Target="webSettings.xml" /><Relationship Id="rId20" Type="http://schemas.openxmlformats.org/officeDocument/2006/relationships/hyperlink" Target="https://ecfr.federalregister.gov/current/title-50/chapter-III/part-300/subpart-E/section-300.65" TargetMode="External" /><Relationship Id="rId21" Type="http://schemas.openxmlformats.org/officeDocument/2006/relationships/hyperlink" Target="https://ecfr.federalregister.gov/current/title-50/chapter-VI/part-679/subpart-A/section-679.4" TargetMode="External" /><Relationship Id="rId22" Type="http://schemas.openxmlformats.org/officeDocument/2006/relationships/hyperlink" Target="https://ecfr.federalregister.gov/current/title-50/chapter-III/part-300/subpart-E/section-300.67" TargetMode="External" /><Relationship Id="rId23" Type="http://schemas.openxmlformats.org/officeDocument/2006/relationships/hyperlink" Target="https://www.fisheries.noaa.gov/permit/alaska-community-quota-entity-applications" TargetMode="External" /><Relationship Id="rId24" Type="http://schemas.openxmlformats.org/officeDocument/2006/relationships/hyperlink" Target="http://www.fws.gov/informationquality/section515.html" TargetMode="External" /><Relationship Id="rId25" Type="http://schemas.openxmlformats.org/officeDocument/2006/relationships/hyperlink" Target="https://www.cio.noaa.gov/services_programs/IQ_Guidelines_103014.html" TargetMode="External" /><Relationship Id="rId26" Type="http://schemas.openxmlformats.org/officeDocument/2006/relationships/hyperlink" Target="https://www.ecfr.gov/current/title-50/chapter-VI/part-679/appendix-Table%2021%20to%20Part%20679" TargetMode="External" /><Relationship Id="rId27" Type="http://schemas.openxmlformats.org/officeDocument/2006/relationships/hyperlink" Target="https://www.fisheries.noaa.gov/alaska/commercial-fishing/permits-and-licenses-issued-alaska" TargetMode="External" /><Relationship Id="rId28" Type="http://schemas.openxmlformats.org/officeDocument/2006/relationships/hyperlink" Target="https://www.ecfr.gov/current/title-50/chapter-VI/part-679/subpart-A/section-679.5" TargetMode="External" /><Relationship Id="rId29" Type="http://schemas.openxmlformats.org/officeDocument/2006/relationships/hyperlink" Target="https://www.ecfr.gov/current/title-50/chapter-VI/part-679/subpart-D/section-679.42" TargetMode="External" /><Relationship Id="rId3" Type="http://schemas.openxmlformats.org/officeDocument/2006/relationships/fontTable" Target="fontTable.xml" /><Relationship Id="rId30" Type="http://schemas.openxmlformats.org/officeDocument/2006/relationships/hyperlink" Target="https://www.ecfr.gov/current/title-50/chapter-VI/part-679/subpart-A/section-679.4" TargetMode="External" /><Relationship Id="rId31" Type="http://schemas.openxmlformats.org/officeDocument/2006/relationships/hyperlink" Target="https://alaskafisheries.noaa.gov/" TargetMode="External" /><Relationship Id="rId32" Type="http://schemas.openxmlformats.org/officeDocument/2006/relationships/hyperlink" Target="https://www.federalregister.gov/documents/2022/11/23/2022-25296/fisheries-of-the-exclusive-economic-zone-off-alaska-amendment-124-to-the-bsai-fmp-for-groundfish-and" TargetMode="External" /><Relationship Id="rId33" Type="http://schemas.openxmlformats.org/officeDocument/2006/relationships/hyperlink" Target="https://www.noaa.gov/organization/administration/nao-216-100-protection-of-confidential-fisheries-statistics" TargetMode="External" /><Relationship Id="rId34" Type="http://schemas.openxmlformats.org/officeDocument/2006/relationships/hyperlink" Target="http://www.osec.doc.gov/opog/PrivacyAct/SORNs/noaa-19.html" TargetMode="External" /><Relationship Id="rId35" Type="http://schemas.openxmlformats.org/officeDocument/2006/relationships/hyperlink" Target="https://www.osec.doc.gov/opog/privacy/noaa%20pias/noaa4700_pia_saop_approved.pdf" TargetMode="External" /><Relationship Id="rId36" Type="http://schemas.openxmlformats.org/officeDocument/2006/relationships/hyperlink" Target="https://www.bls.gov/oes/current/oes_ak.htm%23:~:text=1.5%25-,45%2D0000,5.7%25,-45%2D1011" TargetMode="External" /><Relationship Id="rId37" Type="http://schemas.openxmlformats.org/officeDocument/2006/relationships/hyperlink" Target="http://www.gpo.gov/fdsys/pkg/CFR-2014-title5-vol3/pdf/CFR-2014-title5-vol3-sec1320-9.pdf" TargetMode="External" /><Relationship Id="rId38" Type="http://schemas.openxmlformats.org/officeDocument/2006/relationships/hyperlink" Target="http://www.gpo.gov/fdsys/pkg/CFR-2014-title5-vol3/pdf/CFR-2014-title5-vol3-sec1320-8.pdf" TargetMode="External" /><Relationship Id="rId39" Type="http://schemas.openxmlformats.org/officeDocument/2006/relationships/theme" Target="theme/theme1.xml" /><Relationship Id="rId4" Type="http://schemas.openxmlformats.org/officeDocument/2006/relationships/customXml" Target="../customXml/item1.xml" /><Relationship Id="rId40" Type="http://schemas.openxmlformats.org/officeDocument/2006/relationships/numbering" Target="numbering.xml" /><Relationship Id="rId41"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hyperlink" Target="https://www.fisheries.noaa.gov/resource/document/magnuson-stevens-fishery-conservation-and-management-act" TargetMode="External" /><Relationship Id="rId7" Type="http://schemas.openxmlformats.org/officeDocument/2006/relationships/hyperlink" Target="https://ecfr.federalregister.gov/current/title-50/chapter-VI/part-600" TargetMode="External" /><Relationship Id="rId8" Type="http://schemas.openxmlformats.org/officeDocument/2006/relationships/hyperlink" Target="https://ecfr.federalregister.gov/current/title-50/chapter-VI/part-679" TargetMode="External" /><Relationship Id="rId9" Type="http://schemas.openxmlformats.org/officeDocument/2006/relationships/hyperlink" Target="https://uscode.house.gov/view.xhtml?hl=false&amp;edition=prelim&amp;req=granuleid%3AUSC-prelim-title16-section773c&amp;f=treesort&amp;num=0&amp;saved=%7CKHRpdGxlOjE2IHNlY3Rpb246NzczIGVkaXRpb246cHJlbGltKSBPUiAoZ3JhbnVsZWlkOlVTQy1wcmVsaW0tdGl0bGUxNi1zZWN0aW9uNzczKQ%3D%3D%7CdHJlZXNvcnQ%3D%7C%7C0%7Cfalse%7Cpreli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0X+Rgwo6KWsEiVmTPx4tTOz3gw==">AMUW2mX15fpEMf1Cs0/CmNlaZJSmhPfs+A8h6XnqeK7ogEkbnmljMs2vE/1g7JjyZXQKNUwMuHofcCoFLYjdvZ65IF+Ve5dLJCKcezdk4WMk2R4EYtCbBGEzwvygscniriJz7hrqSojw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8BD5227-814D-4DBC-AF8C-1A584F972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Pages>
  <Words>8005</Words>
  <Characters>45634</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NOAA National Marine Fisheries Service Alaska Region</Company>
  <LinksUpToDate>false</LinksUpToDate>
  <CharactersWithSpaces>53532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Janet.Peery</cp:lastModifiedBy>
  <cp:revision>90</cp:revision>
  <dcterms:created xsi:type="dcterms:W3CDTF">2022-08-04T20:32:00Z</dcterms:created>
  <dcterms:modified xsi:type="dcterms:W3CDTF">2023-01-20T15:17:00Z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