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RPr="001A12A1" w:rsidP="005E0A0F" w14:paraId="73E78422" w14:textId="77777777">
      <w:pPr>
        <w:pStyle w:val="NormalWeb"/>
        <w:spacing w:line="288" w:lineRule="atLeast"/>
        <w:ind w:firstLine="480"/>
        <w:jc w:val="center"/>
        <w:rPr>
          <w:u w:val="single"/>
        </w:rPr>
      </w:pPr>
      <w:bookmarkStart w:id="0" w:name="cs31d"/>
      <w:r w:rsidRPr="001A12A1">
        <w:rPr>
          <w:u w:val="single"/>
        </w:rPr>
        <w:t>SUPPORTING STATEMENT</w:t>
      </w:r>
      <w:r w:rsidRPr="001A12A1" w:rsidR="006F3F40">
        <w:rPr>
          <w:u w:val="single"/>
        </w:rPr>
        <w:t xml:space="preserve"> – PART B</w:t>
      </w:r>
    </w:p>
    <w:p w:rsidR="005E0A0F" w:rsidRPr="001A12A1" w:rsidP="005E0A0F" w14:paraId="13C510AE" w14:textId="77777777">
      <w:pPr>
        <w:pStyle w:val="NormalWeb"/>
        <w:spacing w:line="288" w:lineRule="atLeast"/>
        <w:ind w:firstLine="480"/>
      </w:pPr>
      <w:bookmarkStart w:id="1" w:name="cs32"/>
      <w:bookmarkEnd w:id="0"/>
      <w:r w:rsidRPr="001A12A1">
        <w:t xml:space="preserve">B.  </w:t>
      </w:r>
      <w:r w:rsidRPr="001A12A1">
        <w:rPr>
          <w:u w:val="single"/>
        </w:rPr>
        <w:t>COLLECTIONS OF INFORMATION EMPLOYING STATISTICAL METHODS</w:t>
      </w:r>
    </w:p>
    <w:bookmarkEnd w:id="1"/>
    <w:p w:rsidR="00A93CBF" w:rsidRPr="001A12A1" w:rsidP="00DA2199" w14:paraId="0A1D8E4C" w14:textId="77777777">
      <w:pPr>
        <w:pStyle w:val="NormalWeb"/>
        <w:spacing w:line="288" w:lineRule="atLeast"/>
        <w:ind w:firstLine="900"/>
      </w:pPr>
      <w:r w:rsidRPr="001A12A1">
        <w:t>If the collection of information employs statistical methods, the following information should be provided in this Supporting Statement:</w:t>
      </w:r>
    </w:p>
    <w:p w:rsidR="005E0A0F" w:rsidRPr="00A925D8" w:rsidP="005E0A0F" w14:paraId="2AE8BE18" w14:textId="77777777">
      <w:pPr>
        <w:pStyle w:val="NormalWeb"/>
        <w:spacing w:line="288" w:lineRule="atLeast"/>
        <w:ind w:firstLine="900"/>
        <w:rPr>
          <w:b/>
        </w:rPr>
      </w:pPr>
      <w:r w:rsidRPr="00A925D8">
        <w:rPr>
          <w:b/>
        </w:rPr>
        <w:t xml:space="preserve">1.  </w:t>
      </w:r>
      <w:r w:rsidRPr="00A925D8">
        <w:rPr>
          <w:b/>
          <w:u w:val="single"/>
        </w:rPr>
        <w:t>Description of the Activity</w:t>
      </w:r>
    </w:p>
    <w:p w:rsidR="001A12A1" w:rsidRPr="00A925D8" w:rsidP="003C041D" w14:paraId="28279654" w14:textId="5EDFAC0F">
      <w:r w:rsidRPr="00A925D8">
        <w:rPr>
          <w:b/>
        </w:rPr>
        <w:t>Background</w:t>
      </w:r>
      <w:r w:rsidRPr="00A925D8">
        <w:t xml:space="preserve">: The </w:t>
      </w:r>
      <w:r w:rsidR="001D2102">
        <w:t>“SMART Scholars”</w:t>
      </w:r>
      <w:r w:rsidR="008471A4">
        <w:t xml:space="preserve"> and “SMART SF”</w:t>
      </w:r>
      <w:r w:rsidR="001D2102">
        <w:t xml:space="preserve"> </w:t>
      </w:r>
      <w:r w:rsidRPr="00A925D8">
        <w:t>survey</w:t>
      </w:r>
      <w:r w:rsidR="008471A4">
        <w:t>s</w:t>
      </w:r>
      <w:r w:rsidRPr="00A925D8">
        <w:t xml:space="preserve"> </w:t>
      </w:r>
      <w:r w:rsidR="008471A4">
        <w:t>are</w:t>
      </w:r>
      <w:r w:rsidRPr="00A925D8">
        <w:t xml:space="preserve"> part of a</w:t>
      </w:r>
      <w:r w:rsidR="003C041D">
        <w:t xml:space="preserve">n evaluation of the </w:t>
      </w:r>
      <w:r w:rsidRPr="00DD1B5E" w:rsidR="003C041D">
        <w:t>Science, Mathematics and Research for Transformation (SMART) Scholarship for Service Program</w:t>
      </w:r>
      <w:r w:rsidRPr="0037737C" w:rsidR="003C041D">
        <w:t>.</w:t>
      </w:r>
      <w:r w:rsidR="003C041D">
        <w:t xml:space="preserve"> The </w:t>
      </w:r>
      <w:r w:rsidRPr="00D05B54" w:rsidR="003C041D">
        <w:t xml:space="preserve">purpose of the </w:t>
      </w:r>
      <w:r w:rsidR="008471A4">
        <w:t xml:space="preserve">scholar </w:t>
      </w:r>
      <w:r w:rsidRPr="00D05B54" w:rsidR="003C041D">
        <w:t xml:space="preserve">survey is to gain a better understanding of </w:t>
      </w:r>
      <w:r w:rsidRPr="00D45E58" w:rsidR="003C041D">
        <w:t>scholars’ perspective on the program and its impact on the scholar</w:t>
      </w:r>
      <w:r w:rsidR="001D2102">
        <w:t xml:space="preserve">. </w:t>
      </w:r>
      <w:r w:rsidRPr="008471A4" w:rsidR="008471A4">
        <w:t>The purpose of the</w:t>
      </w:r>
      <w:r w:rsidR="008471A4">
        <w:t xml:space="preserve"> sponsoring facilities (SF)</w:t>
      </w:r>
      <w:r w:rsidRPr="008471A4" w:rsidR="008471A4">
        <w:t xml:space="preserve"> survey is to gain a better understanding of DoD </w:t>
      </w:r>
      <w:r w:rsidR="008471A4">
        <w:t>SF</w:t>
      </w:r>
      <w:r w:rsidRPr="008471A4" w:rsidR="008471A4">
        <w:t xml:space="preserve"> use of the SMART </w:t>
      </w:r>
      <w:r w:rsidR="008471A4">
        <w:t>Program.</w:t>
      </w:r>
    </w:p>
    <w:p w:rsidR="00935D96" w:rsidP="001A12A1" w14:paraId="776461FD" w14:textId="77777777">
      <w:pPr>
        <w:rPr>
          <w:b/>
        </w:rPr>
      </w:pPr>
    </w:p>
    <w:p w:rsidR="001A12A1" w:rsidP="001A12A1" w14:paraId="11BEEB10" w14:textId="241AB225">
      <w:r w:rsidRPr="00A925D8">
        <w:rPr>
          <w:b/>
        </w:rPr>
        <w:t>Recruitment and Sampling</w:t>
      </w:r>
      <w:r w:rsidRPr="00A925D8">
        <w:t xml:space="preserve">: </w:t>
      </w:r>
      <w:r w:rsidRPr="00D05B54" w:rsidR="003C041D">
        <w:t>The universe of potential respondents</w:t>
      </w:r>
      <w:r w:rsidR="008471A4">
        <w:t xml:space="preserve"> for the scholar survey</w:t>
      </w:r>
      <w:r w:rsidRPr="00D05B54" w:rsidR="003C041D">
        <w:t xml:space="preserve"> includes </w:t>
      </w:r>
      <w:r w:rsidR="003C041D">
        <w:t xml:space="preserve">all participants in the SMART Program, </w:t>
      </w:r>
      <w:r w:rsidR="00787DCA">
        <w:t>f</w:t>
      </w:r>
      <w:r w:rsidR="003C041D">
        <w:t xml:space="preserve">rom the award years of 2006 through 2021. There have been approximately 3783 such awards, with 104 of those award recipients receiving more than a single award, for a total number of unique recipients being approximately 3679. For this evaluation, IDA </w:t>
      </w:r>
      <w:r w:rsidRPr="00D05B54" w:rsidR="003C041D">
        <w:t xml:space="preserve">will ask </w:t>
      </w:r>
      <w:r w:rsidR="003C041D">
        <w:t xml:space="preserve">the SMART Support Contractor to send </w:t>
      </w:r>
      <w:r w:rsidRPr="00D05B54" w:rsidR="003C041D">
        <w:t>a</w:t>
      </w:r>
      <w:r w:rsidR="003C041D">
        <w:t xml:space="preserve"> survey </w:t>
      </w:r>
      <w:r w:rsidRPr="00D05B54" w:rsidR="003C041D">
        <w:t xml:space="preserve">invitation </w:t>
      </w:r>
      <w:r w:rsidR="003C041D">
        <w:t>email that contains</w:t>
      </w:r>
      <w:r w:rsidRPr="00D05B54" w:rsidR="003C041D">
        <w:t xml:space="preserve"> a link to the online survey to </w:t>
      </w:r>
      <w:r w:rsidR="003C041D">
        <w:t>the most recent address that is on file</w:t>
      </w:r>
      <w:r w:rsidRPr="00D05B54" w:rsidR="003C041D">
        <w:t xml:space="preserve">.  Potential respondents will read the invitation and then decide whether they wish to </w:t>
      </w:r>
      <w:r w:rsidR="003C041D">
        <w:t>participate</w:t>
      </w:r>
      <w:r w:rsidRPr="00D05B54" w:rsidR="003C041D">
        <w:t xml:space="preserve"> by clicking a static link that takes them to the survey.</w:t>
      </w:r>
      <w:r w:rsidR="003C041D">
        <w:t xml:space="preserve"> We expect a response rate of approximately 50%.</w:t>
      </w:r>
    </w:p>
    <w:p w:rsidR="001A12A1" w:rsidP="001A12A1" w14:paraId="644C706B" w14:textId="77777777"/>
    <w:tbl>
      <w:tblPr>
        <w:tblStyle w:val="TableGrid"/>
        <w:tblW w:w="0" w:type="auto"/>
        <w:tblLook w:val="04A0"/>
      </w:tblPr>
      <w:tblGrid>
        <w:gridCol w:w="1795"/>
        <w:gridCol w:w="1561"/>
        <w:gridCol w:w="2118"/>
        <w:gridCol w:w="1936"/>
        <w:gridCol w:w="1940"/>
      </w:tblGrid>
      <w:tr w14:paraId="15ADE378" w14:textId="77777777" w:rsidTr="00A925D8">
        <w:tblPrEx>
          <w:tblW w:w="0" w:type="auto"/>
          <w:tblLook w:val="04A0"/>
        </w:tblPrEx>
        <w:tc>
          <w:tcPr>
            <w:tcW w:w="1795" w:type="dxa"/>
            <w:shd w:val="clear" w:color="auto" w:fill="D9E2F3" w:themeFill="accent5" w:themeFillTint="33"/>
          </w:tcPr>
          <w:p w:rsidR="001A12A1" w:rsidRPr="00A925D8" w:rsidP="00A925D8" w14:paraId="6381AE22" w14:textId="77777777">
            <w:pPr>
              <w:rPr>
                <w:b/>
                <w:sz w:val="20"/>
                <w:szCs w:val="20"/>
              </w:rPr>
            </w:pPr>
            <w:r w:rsidRPr="00A925D8">
              <w:rPr>
                <w:b/>
                <w:sz w:val="20"/>
                <w:szCs w:val="20"/>
              </w:rPr>
              <w:t>Collection Round</w:t>
            </w:r>
          </w:p>
        </w:tc>
        <w:tc>
          <w:tcPr>
            <w:tcW w:w="1561" w:type="dxa"/>
            <w:shd w:val="clear" w:color="auto" w:fill="D9E2F3" w:themeFill="accent5" w:themeFillTint="33"/>
          </w:tcPr>
          <w:p w:rsidR="001A12A1" w:rsidRPr="00A925D8" w:rsidP="00A925D8" w14:paraId="01023276" w14:textId="77777777">
            <w:pPr>
              <w:rPr>
                <w:b/>
                <w:sz w:val="20"/>
                <w:szCs w:val="20"/>
              </w:rPr>
            </w:pPr>
            <w:r w:rsidRPr="00A925D8">
              <w:rPr>
                <w:b/>
                <w:sz w:val="20"/>
                <w:szCs w:val="20"/>
              </w:rPr>
              <w:t>Strata</w:t>
            </w:r>
          </w:p>
        </w:tc>
        <w:tc>
          <w:tcPr>
            <w:tcW w:w="2118" w:type="dxa"/>
            <w:shd w:val="clear" w:color="auto" w:fill="D9E2F3" w:themeFill="accent5" w:themeFillTint="33"/>
          </w:tcPr>
          <w:p w:rsidR="001A12A1" w:rsidRPr="00A925D8" w:rsidP="00A925D8" w14:paraId="4C567FC1" w14:textId="77777777">
            <w:pPr>
              <w:jc w:val="right"/>
              <w:rPr>
                <w:b/>
                <w:sz w:val="20"/>
                <w:szCs w:val="20"/>
              </w:rPr>
            </w:pPr>
            <w:r w:rsidRPr="00A925D8">
              <w:rPr>
                <w:b/>
                <w:sz w:val="20"/>
                <w:szCs w:val="20"/>
              </w:rPr>
              <w:t>Universe of Potential Respondents (estimated)</w:t>
            </w:r>
          </w:p>
        </w:tc>
        <w:tc>
          <w:tcPr>
            <w:tcW w:w="1936" w:type="dxa"/>
            <w:shd w:val="clear" w:color="auto" w:fill="D9E2F3" w:themeFill="accent5" w:themeFillTint="33"/>
          </w:tcPr>
          <w:p w:rsidR="001A12A1" w:rsidRPr="00A925D8" w:rsidP="00A925D8" w14:paraId="2D6FF35F" w14:textId="77777777">
            <w:pPr>
              <w:jc w:val="right"/>
              <w:rPr>
                <w:b/>
                <w:sz w:val="20"/>
                <w:szCs w:val="20"/>
              </w:rPr>
            </w:pPr>
            <w:r w:rsidRPr="00A925D8">
              <w:rPr>
                <w:b/>
                <w:sz w:val="20"/>
                <w:szCs w:val="20"/>
              </w:rPr>
              <w:t>Enrolled Respondents (estimated)</w:t>
            </w:r>
          </w:p>
        </w:tc>
        <w:tc>
          <w:tcPr>
            <w:tcW w:w="1940" w:type="dxa"/>
            <w:shd w:val="clear" w:color="auto" w:fill="D9E2F3" w:themeFill="accent5" w:themeFillTint="33"/>
          </w:tcPr>
          <w:p w:rsidR="001A12A1" w:rsidRPr="00A925D8" w:rsidP="00A925D8" w14:paraId="3AD843CD" w14:textId="77777777">
            <w:pPr>
              <w:jc w:val="right"/>
              <w:rPr>
                <w:b/>
                <w:sz w:val="20"/>
                <w:szCs w:val="20"/>
              </w:rPr>
            </w:pPr>
            <w:r w:rsidRPr="00A925D8">
              <w:rPr>
                <w:b/>
                <w:sz w:val="20"/>
                <w:szCs w:val="20"/>
              </w:rPr>
              <w:t>Response Rate (estimated)</w:t>
            </w:r>
          </w:p>
        </w:tc>
      </w:tr>
      <w:tr w14:paraId="0D9D4504" w14:textId="77777777" w:rsidTr="00A925D8">
        <w:tblPrEx>
          <w:tblW w:w="0" w:type="auto"/>
          <w:tblLook w:val="04A0"/>
        </w:tblPrEx>
        <w:tc>
          <w:tcPr>
            <w:tcW w:w="1795" w:type="dxa"/>
          </w:tcPr>
          <w:p w:rsidR="001A12A1" w:rsidP="00A925D8" w14:paraId="4AFC3DD2" w14:textId="77777777">
            <w:r>
              <w:t>1 of 1</w:t>
            </w:r>
          </w:p>
        </w:tc>
        <w:tc>
          <w:tcPr>
            <w:tcW w:w="1561" w:type="dxa"/>
          </w:tcPr>
          <w:p w:rsidR="001A12A1" w:rsidP="00A925D8" w14:paraId="49DC8937" w14:textId="77777777">
            <w:r>
              <w:t>None</w:t>
            </w:r>
          </w:p>
        </w:tc>
        <w:tc>
          <w:tcPr>
            <w:tcW w:w="2118" w:type="dxa"/>
          </w:tcPr>
          <w:p w:rsidR="001A12A1" w:rsidP="00A925D8" w14:paraId="2C88DA59" w14:textId="69A0AE90">
            <w:pPr>
              <w:jc w:val="right"/>
            </w:pPr>
            <w:r>
              <w:t>3679</w:t>
            </w:r>
          </w:p>
        </w:tc>
        <w:tc>
          <w:tcPr>
            <w:tcW w:w="1936" w:type="dxa"/>
          </w:tcPr>
          <w:p w:rsidR="001A12A1" w:rsidP="00A925D8" w14:paraId="192D5A3B" w14:textId="5455B622">
            <w:pPr>
              <w:jc w:val="right"/>
            </w:pPr>
            <w:r>
              <w:t>1800</w:t>
            </w:r>
          </w:p>
        </w:tc>
        <w:tc>
          <w:tcPr>
            <w:tcW w:w="1940" w:type="dxa"/>
          </w:tcPr>
          <w:p w:rsidR="001A12A1" w:rsidP="00A925D8" w14:paraId="7BEB515D" w14:textId="77391ECC">
            <w:pPr>
              <w:jc w:val="right"/>
            </w:pPr>
            <w:r>
              <w:t>50</w:t>
            </w:r>
            <w:r>
              <w:t>%</w:t>
            </w:r>
          </w:p>
        </w:tc>
      </w:tr>
    </w:tbl>
    <w:p w:rsidR="008471A4" w:rsidP="008471A4" w14:paraId="4F7471BE" w14:textId="77777777"/>
    <w:p w:rsidR="008471A4" w:rsidP="008471A4" w14:paraId="1593BC89" w14:textId="43FCAC8D">
      <w:r w:rsidRPr="00D05B54">
        <w:t>The universe of potential respondents</w:t>
      </w:r>
      <w:r>
        <w:t xml:space="preserve"> for the SF survey</w:t>
      </w:r>
      <w:r w:rsidRPr="00D05B54">
        <w:t xml:space="preserve"> includes </w:t>
      </w:r>
      <w:r>
        <w:t xml:space="preserve">SFs that are currently using the SMART Program. While there have been almost 200 SFs that have had SMART scholars, many of those are not currently active with SMART. This survey will only be requested from SFs that have engaged with SMART in the past 3 years, which would be approximately 120. For this evaluation, IDA </w:t>
      </w:r>
      <w:r w:rsidRPr="00D05B54">
        <w:t xml:space="preserve">will ask </w:t>
      </w:r>
      <w:r>
        <w:t xml:space="preserve">the SMART Support Contractor to send </w:t>
      </w:r>
      <w:r w:rsidRPr="00D05B54">
        <w:t>a</w:t>
      </w:r>
      <w:r>
        <w:t xml:space="preserve"> survey </w:t>
      </w:r>
      <w:r w:rsidRPr="00D05B54">
        <w:t xml:space="preserve">invitation </w:t>
      </w:r>
      <w:r>
        <w:t>email that contains</w:t>
      </w:r>
      <w:r w:rsidRPr="00D05B54">
        <w:t xml:space="preserve"> a link to the online survey to </w:t>
      </w:r>
      <w:r>
        <w:t>the SF point of contact email address that they have on file</w:t>
      </w:r>
      <w:r w:rsidRPr="00D05B54">
        <w:t xml:space="preserve">.  Potential respondents will read the invitation and then decide whether they wish to </w:t>
      </w:r>
      <w:r>
        <w:t>participate</w:t>
      </w:r>
      <w:r w:rsidRPr="00D05B54">
        <w:t xml:space="preserve"> by clicking a static link that takes them to the survey.</w:t>
      </w:r>
      <w:r>
        <w:t xml:space="preserve"> We expect a response rate of approximately 50%.</w:t>
      </w:r>
    </w:p>
    <w:p w:rsidR="008471A4" w:rsidP="008471A4" w14:paraId="5FB486B8" w14:textId="77777777"/>
    <w:tbl>
      <w:tblPr>
        <w:tblStyle w:val="TableGrid"/>
        <w:tblW w:w="0" w:type="auto"/>
        <w:tblLook w:val="04A0"/>
      </w:tblPr>
      <w:tblGrid>
        <w:gridCol w:w="1795"/>
        <w:gridCol w:w="1561"/>
        <w:gridCol w:w="2118"/>
        <w:gridCol w:w="1936"/>
        <w:gridCol w:w="1940"/>
      </w:tblGrid>
      <w:tr w14:paraId="4C812C51" w14:textId="77777777" w:rsidTr="008534D9">
        <w:tblPrEx>
          <w:tblW w:w="0" w:type="auto"/>
          <w:tblLook w:val="04A0"/>
        </w:tblPrEx>
        <w:tc>
          <w:tcPr>
            <w:tcW w:w="1795" w:type="dxa"/>
            <w:shd w:val="clear" w:color="auto" w:fill="D9E2F3" w:themeFill="accent5" w:themeFillTint="33"/>
          </w:tcPr>
          <w:p w:rsidR="008471A4" w:rsidRPr="00A925D8" w:rsidP="008534D9" w14:paraId="2BA12E77" w14:textId="77777777">
            <w:pPr>
              <w:rPr>
                <w:b/>
                <w:sz w:val="20"/>
                <w:szCs w:val="20"/>
              </w:rPr>
            </w:pPr>
            <w:r w:rsidRPr="00A925D8">
              <w:rPr>
                <w:b/>
                <w:sz w:val="20"/>
                <w:szCs w:val="20"/>
              </w:rPr>
              <w:t>Collection Round</w:t>
            </w:r>
          </w:p>
        </w:tc>
        <w:tc>
          <w:tcPr>
            <w:tcW w:w="1561" w:type="dxa"/>
            <w:shd w:val="clear" w:color="auto" w:fill="D9E2F3" w:themeFill="accent5" w:themeFillTint="33"/>
          </w:tcPr>
          <w:p w:rsidR="008471A4" w:rsidRPr="00A925D8" w:rsidP="008534D9" w14:paraId="61805B1A" w14:textId="77777777">
            <w:pPr>
              <w:rPr>
                <w:b/>
                <w:sz w:val="20"/>
                <w:szCs w:val="20"/>
              </w:rPr>
            </w:pPr>
            <w:r w:rsidRPr="00A925D8">
              <w:rPr>
                <w:b/>
                <w:sz w:val="20"/>
                <w:szCs w:val="20"/>
              </w:rPr>
              <w:t>Strata</w:t>
            </w:r>
          </w:p>
        </w:tc>
        <w:tc>
          <w:tcPr>
            <w:tcW w:w="2118" w:type="dxa"/>
            <w:shd w:val="clear" w:color="auto" w:fill="D9E2F3" w:themeFill="accent5" w:themeFillTint="33"/>
          </w:tcPr>
          <w:p w:rsidR="008471A4" w:rsidRPr="00A925D8" w:rsidP="008534D9" w14:paraId="1433E66A" w14:textId="77777777">
            <w:pPr>
              <w:jc w:val="right"/>
              <w:rPr>
                <w:b/>
                <w:sz w:val="20"/>
                <w:szCs w:val="20"/>
              </w:rPr>
            </w:pPr>
            <w:r w:rsidRPr="00A925D8">
              <w:rPr>
                <w:b/>
                <w:sz w:val="20"/>
                <w:szCs w:val="20"/>
              </w:rPr>
              <w:t>Universe of Potential Respondents (estimated)</w:t>
            </w:r>
          </w:p>
        </w:tc>
        <w:tc>
          <w:tcPr>
            <w:tcW w:w="1936" w:type="dxa"/>
            <w:shd w:val="clear" w:color="auto" w:fill="D9E2F3" w:themeFill="accent5" w:themeFillTint="33"/>
          </w:tcPr>
          <w:p w:rsidR="008471A4" w:rsidRPr="00A925D8" w:rsidP="008534D9" w14:paraId="261B2E8D" w14:textId="77777777">
            <w:pPr>
              <w:jc w:val="right"/>
              <w:rPr>
                <w:b/>
                <w:sz w:val="20"/>
                <w:szCs w:val="20"/>
              </w:rPr>
            </w:pPr>
            <w:r w:rsidRPr="00A925D8">
              <w:rPr>
                <w:b/>
                <w:sz w:val="20"/>
                <w:szCs w:val="20"/>
              </w:rPr>
              <w:t>Enrolled Respondents (estimated)</w:t>
            </w:r>
          </w:p>
        </w:tc>
        <w:tc>
          <w:tcPr>
            <w:tcW w:w="1940" w:type="dxa"/>
            <w:shd w:val="clear" w:color="auto" w:fill="D9E2F3" w:themeFill="accent5" w:themeFillTint="33"/>
          </w:tcPr>
          <w:p w:rsidR="008471A4" w:rsidRPr="00A925D8" w:rsidP="008534D9" w14:paraId="7BD599FB" w14:textId="77777777">
            <w:pPr>
              <w:jc w:val="right"/>
              <w:rPr>
                <w:b/>
                <w:sz w:val="20"/>
                <w:szCs w:val="20"/>
              </w:rPr>
            </w:pPr>
            <w:r w:rsidRPr="00A925D8">
              <w:rPr>
                <w:b/>
                <w:sz w:val="20"/>
                <w:szCs w:val="20"/>
              </w:rPr>
              <w:t>Response Rate (estimated)</w:t>
            </w:r>
          </w:p>
        </w:tc>
      </w:tr>
      <w:tr w14:paraId="3C52871B" w14:textId="77777777" w:rsidTr="008534D9">
        <w:tblPrEx>
          <w:tblW w:w="0" w:type="auto"/>
          <w:tblLook w:val="04A0"/>
        </w:tblPrEx>
        <w:tc>
          <w:tcPr>
            <w:tcW w:w="1795" w:type="dxa"/>
          </w:tcPr>
          <w:p w:rsidR="008471A4" w:rsidP="008534D9" w14:paraId="128DFC44" w14:textId="77777777">
            <w:r>
              <w:t>1 of 1</w:t>
            </w:r>
          </w:p>
        </w:tc>
        <w:tc>
          <w:tcPr>
            <w:tcW w:w="1561" w:type="dxa"/>
          </w:tcPr>
          <w:p w:rsidR="008471A4" w:rsidP="008534D9" w14:paraId="6C137233" w14:textId="77777777">
            <w:r>
              <w:t>None</w:t>
            </w:r>
          </w:p>
        </w:tc>
        <w:tc>
          <w:tcPr>
            <w:tcW w:w="2118" w:type="dxa"/>
          </w:tcPr>
          <w:p w:rsidR="008471A4" w:rsidP="008534D9" w14:paraId="411102E4" w14:textId="77777777">
            <w:pPr>
              <w:jc w:val="right"/>
            </w:pPr>
            <w:r>
              <w:t>120</w:t>
            </w:r>
          </w:p>
        </w:tc>
        <w:tc>
          <w:tcPr>
            <w:tcW w:w="1936" w:type="dxa"/>
          </w:tcPr>
          <w:p w:rsidR="008471A4" w:rsidP="008534D9" w14:paraId="44A8C21D" w14:textId="77777777">
            <w:pPr>
              <w:jc w:val="right"/>
            </w:pPr>
            <w:r>
              <w:t>60</w:t>
            </w:r>
          </w:p>
        </w:tc>
        <w:tc>
          <w:tcPr>
            <w:tcW w:w="1940" w:type="dxa"/>
          </w:tcPr>
          <w:p w:rsidR="008471A4" w:rsidP="008534D9" w14:paraId="192BB1D9" w14:textId="77777777">
            <w:pPr>
              <w:jc w:val="right"/>
            </w:pPr>
            <w:r>
              <w:t>50%</w:t>
            </w:r>
          </w:p>
        </w:tc>
      </w:tr>
    </w:tbl>
    <w:p w:rsidR="008471A4" w:rsidRPr="001A12A1" w:rsidP="000A65B3" w14:paraId="12D8CCC7" w14:textId="77777777">
      <w:pPr>
        <w:pStyle w:val="NormalWeb"/>
        <w:spacing w:line="288" w:lineRule="atLeast"/>
      </w:pPr>
    </w:p>
    <w:p w:rsidR="005E0A0F" w:rsidRPr="00A925D8" w:rsidP="005E0A0F" w14:paraId="1E961E60" w14:textId="77777777">
      <w:pPr>
        <w:pStyle w:val="NormalWeb"/>
        <w:spacing w:line="288" w:lineRule="atLeast"/>
        <w:ind w:firstLine="900"/>
        <w:rPr>
          <w:b/>
        </w:rPr>
      </w:pPr>
      <w:r w:rsidRPr="00A925D8">
        <w:rPr>
          <w:b/>
        </w:rPr>
        <w:t xml:space="preserve">2.  </w:t>
      </w:r>
      <w:r w:rsidRPr="00A925D8">
        <w:rPr>
          <w:b/>
          <w:u w:val="single"/>
        </w:rPr>
        <w:t>Procedures for the Collection of Information</w:t>
      </w:r>
    </w:p>
    <w:p w:rsidR="00BC0495" w:rsidP="00A925D8" w14:paraId="2FB8F34D" w14:textId="45D8934D">
      <w:pPr>
        <w:pStyle w:val="NormalWeb"/>
        <w:spacing w:line="288" w:lineRule="atLeast"/>
      </w:pPr>
      <w:r>
        <w:t>The</w:t>
      </w:r>
      <w:r w:rsidR="008471A4">
        <w:t xml:space="preserve"> scholar</w:t>
      </w:r>
      <w:r>
        <w:t xml:space="preserve"> survey is drawing upon a volunteer sample</w:t>
      </w:r>
      <w:r w:rsidR="001D2102">
        <w:t xml:space="preserve"> from all participants in the SMART </w:t>
      </w:r>
      <w:r w:rsidR="008471A4">
        <w:t>P</w:t>
      </w:r>
      <w:r w:rsidR="001D2102">
        <w:t>rogram</w:t>
      </w:r>
      <w:r>
        <w:t xml:space="preserve">, so there are no statistical methodologies or estimation procedures employed to stratify or otherwise structure the sample selection.  Potential respondents </w:t>
      </w:r>
      <w:r w:rsidR="003C041D">
        <w:t xml:space="preserve">will </w:t>
      </w:r>
      <w:r>
        <w:t xml:space="preserve">decide whether they wish to voluntarily opt into taking the survey. </w:t>
      </w:r>
    </w:p>
    <w:p w:rsidR="008471A4" w:rsidRPr="00000C16" w:rsidP="008471A4" w14:paraId="0026A206" w14:textId="5B343E64">
      <w:pPr>
        <w:pStyle w:val="NormalWeb"/>
        <w:spacing w:line="288" w:lineRule="atLeast"/>
      </w:pPr>
      <w:r>
        <w:t xml:space="preserve">The SF survey is drawing upon a volunteer sample from SMART SFs, so there are no statistical methodologies or estimation procedures employed to stratify or otherwise structure the sample selection.  Potential respondents will decide whether they wish to voluntarily opt into taking the survey. </w:t>
      </w:r>
    </w:p>
    <w:p w:rsidR="00FB7AE7" w:rsidRPr="00A925D8" w:rsidP="00A925D8" w14:paraId="655AAB69" w14:textId="77777777">
      <w:pPr>
        <w:pStyle w:val="NormalWeb"/>
        <w:spacing w:line="288" w:lineRule="atLeast"/>
      </w:pPr>
      <w:r>
        <w:t xml:space="preserve">Since this is a one-time collection event, there are no periodic or cyclical collection procedures </w:t>
      </w:r>
      <w:r w:rsidR="00A96C93">
        <w:t xml:space="preserve">planned </w:t>
      </w:r>
      <w:r>
        <w:t xml:space="preserve">to reduce respondent burden.  </w:t>
      </w:r>
    </w:p>
    <w:p w:rsidR="005E0A0F" w:rsidRPr="00A925D8" w:rsidP="005E0A0F" w14:paraId="626EBE33" w14:textId="77777777">
      <w:pPr>
        <w:pStyle w:val="NormalWeb"/>
        <w:spacing w:line="288" w:lineRule="atLeast"/>
        <w:ind w:firstLine="900"/>
        <w:rPr>
          <w:b/>
        </w:rPr>
      </w:pPr>
      <w:r w:rsidRPr="00A925D8">
        <w:rPr>
          <w:b/>
        </w:rPr>
        <w:t xml:space="preserve">3.  </w:t>
      </w:r>
      <w:r w:rsidRPr="00A925D8">
        <w:rPr>
          <w:b/>
          <w:u w:val="single"/>
        </w:rPr>
        <w:t>Maximization of Response Rates, Non-response, and Reliability</w:t>
      </w:r>
    </w:p>
    <w:p w:rsidR="00827BC1" w:rsidP="00A925D8" w14:paraId="4A379349" w14:textId="77777777">
      <w:pPr>
        <w:spacing w:after="120"/>
      </w:pPr>
      <w:r>
        <w:t xml:space="preserve">IDA is using three </w:t>
      </w:r>
      <w:r w:rsidR="00403255">
        <w:t>techniques</w:t>
      </w:r>
      <w:r>
        <w:t xml:space="preserve"> to maximize response rates</w:t>
      </w:r>
      <w:r w:rsidR="00403255">
        <w:t xml:space="preserve">.  </w:t>
      </w:r>
    </w:p>
    <w:p w:rsidR="00827BC1" w:rsidP="00A925D8" w14:paraId="511A2D76" w14:textId="2097DD06">
      <w:pPr>
        <w:pStyle w:val="ListParagraph"/>
        <w:numPr>
          <w:ilvl w:val="0"/>
          <w:numId w:val="4"/>
        </w:numPr>
        <w:spacing w:after="120"/>
        <w:ind w:left="720"/>
        <w:contextualSpacing w:val="0"/>
      </w:pPr>
      <w:r>
        <w:t xml:space="preserve">The SMART Support Contractor will send the SMART </w:t>
      </w:r>
      <w:r w:rsidR="008471A4">
        <w:t>s</w:t>
      </w:r>
      <w:r>
        <w:t>cholars</w:t>
      </w:r>
      <w:r w:rsidR="008471A4">
        <w:t xml:space="preserve"> and SFs</w:t>
      </w:r>
      <w:r>
        <w:t xml:space="preserve"> an email, describing the survey and request that scholars participate by clicking on a link. R</w:t>
      </w:r>
      <w:r w:rsidRPr="00A925D8" w:rsidR="0010293F">
        <w:t xml:space="preserve">espondents </w:t>
      </w:r>
      <w:r>
        <w:t xml:space="preserve">regularly receive emails from the SMART Support Contractor, so this is a known entity for respondents. Working through a trusted program support entity </w:t>
      </w:r>
      <w:r w:rsidR="00BE522D">
        <w:t>should</w:t>
      </w:r>
      <w:r w:rsidRPr="00A925D8" w:rsidR="0010293F">
        <w:t xml:space="preserve"> increase </w:t>
      </w:r>
      <w:r w:rsidR="00BE522D">
        <w:t xml:space="preserve">the </w:t>
      </w:r>
      <w:r w:rsidRPr="00A925D8" w:rsidR="0010293F">
        <w:t xml:space="preserve">response rate as compared to if IDA would </w:t>
      </w:r>
      <w:r w:rsidRPr="00A925D8" w:rsidR="00A96C93">
        <w:t xml:space="preserve">independently </w:t>
      </w:r>
      <w:r w:rsidRPr="00A925D8" w:rsidR="0010293F">
        <w:t xml:space="preserve">send the </w:t>
      </w:r>
      <w:r w:rsidR="00403255">
        <w:t xml:space="preserve">study </w:t>
      </w:r>
      <w:r w:rsidRPr="00A925D8" w:rsidR="0010293F">
        <w:t>invitation.</w:t>
      </w:r>
      <w:r>
        <w:t xml:space="preserve"> </w:t>
      </w:r>
    </w:p>
    <w:p w:rsidR="00827BC1" w:rsidP="00A925D8" w14:paraId="744EEED1" w14:textId="72716156">
      <w:pPr>
        <w:pStyle w:val="ListParagraph"/>
        <w:numPr>
          <w:ilvl w:val="0"/>
          <w:numId w:val="4"/>
        </w:numPr>
        <w:spacing w:after="120"/>
        <w:ind w:left="720"/>
        <w:contextualSpacing w:val="0"/>
      </w:pPr>
      <w:r>
        <w:t xml:space="preserve">IDA is </w:t>
      </w:r>
      <w:r w:rsidR="000A65B3">
        <w:t xml:space="preserve">using </w:t>
      </w:r>
      <w:r>
        <w:t>a recruitment email designed to encourage response rates</w:t>
      </w:r>
      <w:r w:rsidR="003A3081">
        <w:t xml:space="preserve"> by being informative using non-technical language</w:t>
      </w:r>
      <w:r>
        <w:t xml:space="preserve">.  The recruitment email provides information about who is doing the study, </w:t>
      </w:r>
      <w:r w:rsidR="002F1394">
        <w:t xml:space="preserve">the </w:t>
      </w:r>
      <w:r>
        <w:t xml:space="preserve">types of questions will be asked, and how </w:t>
      </w:r>
      <w:r w:rsidR="002F1394">
        <w:t xml:space="preserve">the </w:t>
      </w:r>
      <w:r>
        <w:t xml:space="preserve">information they choose to share </w:t>
      </w:r>
      <w:r w:rsidR="003A3081">
        <w:t>may</w:t>
      </w:r>
      <w:r>
        <w:t xml:space="preserve"> be used.  The recruitment email also </w:t>
      </w:r>
      <w:r w:rsidR="003A3081">
        <w:t>underscores</w:t>
      </w:r>
      <w:r>
        <w:t xml:space="preserve"> </w:t>
      </w:r>
      <w:r w:rsidR="003A3081">
        <w:t>the steps</w:t>
      </w:r>
      <w:r>
        <w:t xml:space="preserve"> IDA is taking to protect </w:t>
      </w:r>
      <w:r w:rsidR="003A3081">
        <w:t>respondents’</w:t>
      </w:r>
      <w:r>
        <w:t xml:space="preserve"> confidentiality and agency with respect to managing information, participation level</w:t>
      </w:r>
      <w:r w:rsidR="003A3081">
        <w:t>s</w:t>
      </w:r>
      <w:r>
        <w:t>, and time</w:t>
      </w:r>
      <w:r w:rsidR="003A3081">
        <w:t>.</w:t>
      </w:r>
    </w:p>
    <w:p w:rsidR="00827BC1" w:rsidRPr="00A925D8" w:rsidP="00A925D8" w14:paraId="132CB7CC" w14:textId="02B00207">
      <w:pPr>
        <w:pStyle w:val="ListParagraph"/>
        <w:numPr>
          <w:ilvl w:val="0"/>
          <w:numId w:val="4"/>
        </w:numPr>
        <w:spacing w:after="120"/>
        <w:ind w:left="720"/>
        <w:contextualSpacing w:val="0"/>
      </w:pPr>
      <w:r>
        <w:t>T</w:t>
      </w:r>
      <w:r>
        <w:t xml:space="preserve">he survey instrument was designed to maximize </w:t>
      </w:r>
      <w:r>
        <w:t>the acquisition of useful information gained on all of the program phases, while minimizing items that don’t apply to all respondents. A skip logic will be used to only provide survey items that are relevant to particular respondents.</w:t>
      </w:r>
      <w:r w:rsidR="0002699F">
        <w:t xml:space="preserve"> While the </w:t>
      </w:r>
      <w:r w:rsidR="002F1394">
        <w:t xml:space="preserve">total </w:t>
      </w:r>
      <w:r w:rsidR="0002699F">
        <w:t xml:space="preserve">printed survey may be rather long, there are </w:t>
      </w:r>
      <w:r w:rsidR="002F1394">
        <w:t xml:space="preserve">many </w:t>
      </w:r>
      <w:r w:rsidR="0002699F">
        <w:t>logic-determined points within the survey that will reduce the presentation of items to those that the questions does not apply.</w:t>
      </w:r>
      <w:r>
        <w:t xml:space="preserve"> </w:t>
      </w:r>
      <w:bookmarkStart w:id="2" w:name="_GoBack"/>
      <w:bookmarkEnd w:id="2"/>
      <w:r>
        <w:t xml:space="preserve"> </w:t>
      </w:r>
      <w:r w:rsidR="0002699F">
        <w:t>Also, most of</w:t>
      </w:r>
      <w:r w:rsidR="00342852">
        <w:t xml:space="preserve"> the survey items </w:t>
      </w:r>
      <w:r w:rsidR="00312054">
        <w:t>are</w:t>
      </w:r>
      <w:r w:rsidR="00342852">
        <w:t xml:space="preserve"> </w:t>
      </w:r>
      <w:r w:rsidR="00BE522D">
        <w:t xml:space="preserve">either </w:t>
      </w:r>
      <w:r w:rsidR="00342852">
        <w:t>discrete choice</w:t>
      </w:r>
      <w:r w:rsidR="00BE522D">
        <w:t xml:space="preserve"> or closed</w:t>
      </w:r>
      <w:r w:rsidR="00342852">
        <w:t xml:space="preserve">, which </w:t>
      </w:r>
      <w:r w:rsidR="00312054">
        <w:t>makes them</w:t>
      </w:r>
      <w:r w:rsidR="00342852">
        <w:t xml:space="preserve"> significantly easier </w:t>
      </w:r>
      <w:r w:rsidR="00312054">
        <w:t xml:space="preserve">and faster </w:t>
      </w:r>
      <w:r w:rsidR="00342852">
        <w:t>than open-ended questions.</w:t>
      </w:r>
      <w:r w:rsidR="00312054">
        <w:t xml:space="preserve">  All questions are also optional, allowing respondents to </w:t>
      </w:r>
      <w:r w:rsidR="001629AA">
        <w:t>determine if they want to respond or not</w:t>
      </w:r>
      <w:r w:rsidR="00312054">
        <w:t xml:space="preserve">.  </w:t>
      </w:r>
      <w:r w:rsidR="001629AA">
        <w:t xml:space="preserve"> </w:t>
      </w:r>
      <w:r w:rsidR="00312054">
        <w:t xml:space="preserve"> </w:t>
      </w:r>
    </w:p>
    <w:p w:rsidR="00E65023" w:rsidP="00A925D8" w14:paraId="3593C7EE" w14:textId="5B87012D">
      <w:r>
        <w:t xml:space="preserve">Both </w:t>
      </w:r>
      <w:r w:rsidR="00787DCA">
        <w:t>surveys are</w:t>
      </w:r>
      <w:r w:rsidR="0033009D">
        <w:t xml:space="preserve"> using volunteer sampling, since the goal is to capture a variety of feedback </w:t>
      </w:r>
      <w:r w:rsidR="001629AA">
        <w:t>across the SMART Program</w:t>
      </w:r>
      <w:r w:rsidR="008471A4">
        <w:t xml:space="preserve"> and SMART SFs</w:t>
      </w:r>
      <w:r w:rsidR="0033009D">
        <w:t>, rather than test a specific hypothesis</w:t>
      </w:r>
      <w:r w:rsidR="00BE522D">
        <w:t xml:space="preserve"> using a statistically representative sample</w:t>
      </w:r>
      <w:r w:rsidR="0033009D">
        <w:t xml:space="preserve">.  As such, IDA is seeking to learn from however many </w:t>
      </w:r>
      <w:r w:rsidR="001629AA">
        <w:t xml:space="preserve">SMART </w:t>
      </w:r>
      <w:r w:rsidR="008471A4">
        <w:t>s</w:t>
      </w:r>
      <w:r w:rsidR="001629AA">
        <w:t>cholars</w:t>
      </w:r>
      <w:r w:rsidR="008471A4">
        <w:t xml:space="preserve"> and SFs</w:t>
      </w:r>
      <w:r w:rsidR="001629AA">
        <w:t xml:space="preserve"> </w:t>
      </w:r>
      <w:r w:rsidR="0033009D">
        <w:t xml:space="preserve">are </w:t>
      </w:r>
      <w:r w:rsidR="001629AA">
        <w:t xml:space="preserve">willing to </w:t>
      </w:r>
      <w:r w:rsidR="0033009D">
        <w:t>provid</w:t>
      </w:r>
      <w:r w:rsidR="001629AA">
        <w:t>e</w:t>
      </w:r>
      <w:r w:rsidR="0033009D">
        <w:t xml:space="preserve"> program feedback.  </w:t>
      </w:r>
      <w:r w:rsidR="001629AA">
        <w:t xml:space="preserve"> </w:t>
      </w:r>
    </w:p>
    <w:p w:rsidR="0033009D" w:rsidP="00A925D8" w14:paraId="0169BF7F" w14:textId="77777777"/>
    <w:p w:rsidR="0033009D" w:rsidP="00A925D8" w14:paraId="50E409EE" w14:textId="22313C18">
      <w:r>
        <w:t xml:space="preserve">The </w:t>
      </w:r>
      <w:r w:rsidR="008471A4">
        <w:t>surveys are</w:t>
      </w:r>
      <w:r w:rsidR="001629AA">
        <w:t xml:space="preserve"> SMART Program specific, so no broad established </w:t>
      </w:r>
      <w:r>
        <w:t>survey instrument</w:t>
      </w:r>
      <w:r w:rsidR="001629AA">
        <w:t xml:space="preserve"> could be used. </w:t>
      </w:r>
      <w:r w:rsidR="008471A4">
        <w:t xml:space="preserve">The scholar </w:t>
      </w:r>
      <w:r w:rsidR="001629AA">
        <w:t>survey does include it</w:t>
      </w:r>
      <w:r w:rsidR="00776DDA">
        <w:t>e</w:t>
      </w:r>
      <w:r w:rsidR="001629AA">
        <w:t xml:space="preserve">ms from a prior SMART Scholar survey (2016) so that a comparison of responses could be assessed as the program has evolved.  </w:t>
      </w:r>
    </w:p>
    <w:p w:rsidR="0033009D" w:rsidP="00A925D8" w14:paraId="575DE267" w14:textId="77777777"/>
    <w:p w:rsidR="00AF7A62" w:rsidP="00776DDA" w14:paraId="0FF685F3" w14:textId="07BC8383">
      <w:pPr>
        <w:spacing w:after="120"/>
      </w:pPr>
      <w:r>
        <w:t xml:space="preserve">Since </w:t>
      </w:r>
      <w:r w:rsidR="00787DCA">
        <w:t xml:space="preserve">both </w:t>
      </w:r>
      <w:r w:rsidR="00384373">
        <w:t>surveys are</w:t>
      </w:r>
      <w:r>
        <w:t xml:space="preserve"> </w:t>
      </w:r>
      <w:r w:rsidR="001629AA">
        <w:t xml:space="preserve">SMART Program specific, </w:t>
      </w:r>
      <w:r>
        <w:t>i</w:t>
      </w:r>
      <w:r w:rsidR="00384373">
        <w:t>t</w:t>
      </w:r>
      <w:r>
        <w:t xml:space="preserve"> </w:t>
      </w:r>
      <w:r w:rsidR="001629AA">
        <w:t xml:space="preserve">would be inappropriate to assume </w:t>
      </w:r>
      <w:r>
        <w:t xml:space="preserve">generalizability </w:t>
      </w:r>
      <w:r w:rsidR="001629AA">
        <w:t xml:space="preserve">beyond SMART participants. </w:t>
      </w:r>
      <w:r>
        <w:t xml:space="preserve">The analysis </w:t>
      </w:r>
      <w:r w:rsidR="00180C6A">
        <w:t>primarily</w:t>
      </w:r>
      <w:r>
        <w:t xml:space="preserve"> focus</w:t>
      </w:r>
      <w:r w:rsidR="00180C6A">
        <w:t>es</w:t>
      </w:r>
      <w:r>
        <w:t xml:space="preserve"> on </w:t>
      </w:r>
      <w:r w:rsidR="001629AA">
        <w:t xml:space="preserve">outcomes of the SMART </w:t>
      </w:r>
      <w:r w:rsidR="00384373">
        <w:t>P</w:t>
      </w:r>
      <w:r w:rsidR="001629AA">
        <w:t>rogram</w:t>
      </w:r>
      <w:r w:rsidR="00180C6A">
        <w:t xml:space="preserve">, rather than comparing individual </w:t>
      </w:r>
      <w:r w:rsidR="001629AA">
        <w:t xml:space="preserve">participants </w:t>
      </w:r>
      <w:r w:rsidR="00180C6A">
        <w:t xml:space="preserve">to each other.  </w:t>
      </w:r>
      <w:r w:rsidR="001629AA">
        <w:t xml:space="preserve"> </w:t>
      </w:r>
    </w:p>
    <w:p w:rsidR="005E0A0F" w:rsidRPr="000F4E52" w:rsidP="005E0A0F" w14:paraId="7F7D67A2" w14:textId="77777777">
      <w:pPr>
        <w:pStyle w:val="NormalWeb"/>
        <w:spacing w:line="288" w:lineRule="atLeast"/>
        <w:ind w:firstLine="900"/>
        <w:rPr>
          <w:b/>
        </w:rPr>
      </w:pPr>
      <w:r w:rsidRPr="000F4E52">
        <w:rPr>
          <w:b/>
        </w:rPr>
        <w:t xml:space="preserve">4.  </w:t>
      </w:r>
      <w:r w:rsidRPr="000F4E52">
        <w:rPr>
          <w:b/>
          <w:u w:val="single"/>
        </w:rPr>
        <w:t>Tests of Procedures</w:t>
      </w:r>
    </w:p>
    <w:p w:rsidR="00A93CBF" w:rsidRPr="001A12A1" w:rsidP="000F4E52" w14:paraId="04F2B3E0" w14:textId="41791F14">
      <w:pPr>
        <w:pStyle w:val="NormalWeb"/>
        <w:spacing w:line="288" w:lineRule="atLeast"/>
      </w:pPr>
      <w:r>
        <w:t xml:space="preserve">Survey procedures </w:t>
      </w:r>
      <w:r w:rsidR="001629AA">
        <w:t>will be</w:t>
      </w:r>
      <w:r w:rsidRPr="000F4E52" w:rsidR="001629AA">
        <w:t xml:space="preserve"> </w:t>
      </w:r>
      <w:r>
        <w:t>pilot</w:t>
      </w:r>
      <w:r w:rsidRPr="000F4E52">
        <w:t xml:space="preserve"> </w:t>
      </w:r>
      <w:r w:rsidRPr="000F4E52" w:rsidR="0010293F">
        <w:t xml:space="preserve">tested with </w:t>
      </w:r>
      <w:r w:rsidR="00801380">
        <w:t>5</w:t>
      </w:r>
      <w:r w:rsidRPr="000F4E52" w:rsidR="0010293F">
        <w:t xml:space="preserve"> IDA </w:t>
      </w:r>
      <w:r w:rsidR="00801380">
        <w:t>employees/</w:t>
      </w:r>
      <w:r>
        <w:t>interns</w:t>
      </w:r>
      <w:r w:rsidRPr="000F4E52">
        <w:t xml:space="preserve"> </w:t>
      </w:r>
      <w:r w:rsidR="001629AA">
        <w:t>to determine the proper skip logic and presentation of survey items.  The survey</w:t>
      </w:r>
      <w:r w:rsidR="00787DCA">
        <w:t>s</w:t>
      </w:r>
      <w:r w:rsidR="001629AA">
        <w:t xml:space="preserve"> </w:t>
      </w:r>
      <w:r w:rsidR="00787DCA">
        <w:t xml:space="preserve">were </w:t>
      </w:r>
      <w:r w:rsidR="001629AA">
        <w:t xml:space="preserve">reviewed by the SMART Program Office and the DoD STEM </w:t>
      </w:r>
      <w:r w:rsidR="00B04D08">
        <w:t>Directorate to ensure that the items were relevant to information that will be valuable as part of the outcome evaluation.</w:t>
      </w:r>
    </w:p>
    <w:p w:rsidR="005E0A0F" w:rsidRPr="000F4E52" w:rsidP="005E0A0F" w14:paraId="6DEB49FA" w14:textId="77777777">
      <w:pPr>
        <w:pStyle w:val="NormalWeb"/>
        <w:spacing w:line="288" w:lineRule="atLeast"/>
        <w:ind w:firstLine="900"/>
        <w:rPr>
          <w:b/>
        </w:rPr>
      </w:pPr>
      <w:r w:rsidRPr="000F4E52">
        <w:rPr>
          <w:b/>
        </w:rPr>
        <w:t xml:space="preserve">5.  </w:t>
      </w:r>
      <w:r w:rsidRPr="000F4E52">
        <w:rPr>
          <w:b/>
          <w:u w:val="single"/>
        </w:rPr>
        <w:t>Statistical Consultation and Information Analysis</w:t>
      </w:r>
    </w:p>
    <w:p w:rsidR="00F434B6" w:rsidRPr="00550A7A" w:rsidP="00550A7A" w14:paraId="7681DF19" w14:textId="50D5E437">
      <w:pPr>
        <w:pStyle w:val="NormalWeb"/>
        <w:spacing w:line="288" w:lineRule="atLeast"/>
      </w:pPr>
      <w:r w:rsidRPr="00550A7A">
        <w:t>The following</w:t>
      </w:r>
      <w:r w:rsidRPr="00550A7A" w:rsidR="005E0A0F">
        <w:t xml:space="preserve"> individual</w:t>
      </w:r>
      <w:r w:rsidRPr="00550A7A">
        <w:t>s</w:t>
      </w:r>
      <w:r w:rsidRPr="00550A7A" w:rsidR="005E0A0F">
        <w:t xml:space="preserve"> </w:t>
      </w:r>
      <w:r w:rsidRPr="00550A7A">
        <w:t xml:space="preserve">were </w:t>
      </w:r>
      <w:r w:rsidRPr="00550A7A" w:rsidR="005E0A0F">
        <w:t xml:space="preserve">consulted on </w:t>
      </w:r>
      <w:r w:rsidRPr="00550A7A">
        <w:t xml:space="preserve">the </w:t>
      </w:r>
      <w:r w:rsidRPr="00550A7A" w:rsidR="005E0A0F">
        <w:t>statistical aspects of the design.</w:t>
      </w:r>
    </w:p>
    <w:p w:rsidR="005F10EC" w:rsidRPr="001A12A1" w:rsidP="00550A7A" w14:paraId="394511BC" w14:textId="1665C95F">
      <w:pPr>
        <w:pStyle w:val="NormalWeb"/>
        <w:numPr>
          <w:ilvl w:val="0"/>
          <w:numId w:val="6"/>
        </w:numPr>
        <w:spacing w:before="0" w:beforeAutospacing="0" w:after="0" w:afterAutospacing="0"/>
        <w:ind w:left="720"/>
      </w:pPr>
      <w:r w:rsidRPr="001A12A1">
        <w:t>Dr. James Belanich</w:t>
      </w:r>
      <w:r w:rsidR="002734B1">
        <w:t xml:space="preserve">, </w:t>
      </w:r>
      <w:r w:rsidRPr="001A12A1">
        <w:t>Institute for Defense Analyses</w:t>
      </w:r>
      <w:r w:rsidR="002734B1">
        <w:t xml:space="preserve">, </w:t>
      </w:r>
      <w:r w:rsidRPr="001A12A1">
        <w:t>703-845-6606</w:t>
      </w:r>
    </w:p>
    <w:p w:rsidR="00EB1023" w:rsidRPr="001A12A1" w:rsidP="00550A7A" w14:paraId="29C6334A" w14:textId="74274566">
      <w:pPr>
        <w:pStyle w:val="NormalWeb"/>
        <w:numPr>
          <w:ilvl w:val="0"/>
          <w:numId w:val="6"/>
        </w:numPr>
        <w:spacing w:before="0" w:beforeAutospacing="0" w:after="0" w:afterAutospacing="0"/>
        <w:ind w:left="720"/>
      </w:pPr>
      <w:r w:rsidRPr="001A12A1">
        <w:t xml:space="preserve">Dr. </w:t>
      </w:r>
      <w:r w:rsidR="00B04D08">
        <w:t>Sujeeta Bhatt</w:t>
      </w:r>
      <w:r w:rsidR="002734B1">
        <w:t xml:space="preserve">, </w:t>
      </w:r>
      <w:r w:rsidRPr="001A12A1">
        <w:t>Institute for Defense Analyses</w:t>
      </w:r>
      <w:r w:rsidR="002734B1">
        <w:t xml:space="preserve">, </w:t>
      </w:r>
      <w:r w:rsidRPr="001A12A1">
        <w:t>703</w:t>
      </w:r>
      <w:r w:rsidR="00B04D08">
        <w:t>-578</w:t>
      </w:r>
      <w:r w:rsidRPr="001A12A1">
        <w:t>-2</w:t>
      </w:r>
      <w:r w:rsidR="00B04D08">
        <w:t>719</w:t>
      </w:r>
    </w:p>
    <w:p w:rsidR="00F1447C" w:rsidRPr="00550A7A" w:rsidP="00550A7A" w14:paraId="33AA5721" w14:textId="26070E97">
      <w:pPr>
        <w:pStyle w:val="NormalWeb"/>
        <w:spacing w:line="288" w:lineRule="atLeast"/>
      </w:pPr>
      <w:r w:rsidRPr="00550A7A">
        <w:t>The following individuals and organizations will be involved in the collection and analysis of information.</w:t>
      </w:r>
      <w:r w:rsidRPr="00550A7A" w:rsidR="005E0A0F">
        <w:t xml:space="preserve"> </w:t>
      </w:r>
    </w:p>
    <w:p w:rsidR="005F10EC" w:rsidRPr="001A12A1" w:rsidP="00550A7A" w14:paraId="4F7133B0" w14:textId="219E5ED4">
      <w:pPr>
        <w:pStyle w:val="NormalWeb"/>
        <w:numPr>
          <w:ilvl w:val="0"/>
          <w:numId w:val="6"/>
        </w:numPr>
        <w:spacing w:before="0" w:beforeAutospacing="0" w:after="0" w:afterAutospacing="0"/>
        <w:ind w:left="720"/>
      </w:pPr>
      <w:r w:rsidRPr="001A12A1">
        <w:t>Dr. James Belanich</w:t>
      </w:r>
      <w:r w:rsidR="002734B1">
        <w:t xml:space="preserve">, </w:t>
      </w:r>
      <w:r w:rsidRPr="001A12A1">
        <w:t>Institute for Defense Analyses</w:t>
      </w:r>
    </w:p>
    <w:p w:rsidR="005F10EC" w:rsidRPr="001A12A1" w:rsidP="00B04D08" w14:paraId="44D8D203" w14:textId="767FDE16">
      <w:pPr>
        <w:pStyle w:val="NormalWeb"/>
        <w:numPr>
          <w:ilvl w:val="0"/>
          <w:numId w:val="6"/>
        </w:numPr>
        <w:spacing w:before="0" w:beforeAutospacing="0" w:after="0" w:afterAutospacing="0"/>
        <w:ind w:left="720"/>
      </w:pPr>
      <w:r w:rsidRPr="001A12A1">
        <w:t xml:space="preserve">Dr. </w:t>
      </w:r>
      <w:r>
        <w:t xml:space="preserve">Sujeeta Bhatt, </w:t>
      </w:r>
      <w:r w:rsidRPr="001A12A1">
        <w:t>Institute for Defense Analyses</w:t>
      </w: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423945DB" w14:textId="5CC0FE97">
    <w:pPr>
      <w:pStyle w:val="Footer"/>
      <w:jc w:val="center"/>
    </w:pPr>
    <w:r>
      <w:fldChar w:fldCharType="begin"/>
    </w:r>
    <w:r>
      <w:instrText xml:space="preserve"> PAGE   \* MERGEFORMAT </w:instrText>
    </w:r>
    <w:r>
      <w:fldChar w:fldCharType="separate"/>
    </w:r>
    <w:r w:rsidR="006714BA">
      <w:rPr>
        <w:noProof/>
      </w:rPr>
      <w:t>3</w:t>
    </w:r>
    <w:r>
      <w:fldChar w:fldCharType="end"/>
    </w:r>
  </w:p>
  <w:p w:rsidR="00977A74" w14:paraId="2A39A7F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A55FB"/>
    <w:multiLevelType w:val="hybridMultilevel"/>
    <w:tmpl w:val="7B1417A6"/>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EF41B03"/>
    <w:multiLevelType w:val="hybridMultilevel"/>
    <w:tmpl w:val="CFC439AE"/>
    <w:lvl w:ilvl="0">
      <w:start w:val="1"/>
      <w:numFmt w:val="bullet"/>
      <w:lvlText w:val=""/>
      <w:lvlJc w:val="left"/>
      <w:pPr>
        <w:ind w:left="1987" w:hanging="360"/>
      </w:pPr>
      <w:rPr>
        <w:rFonts w:ascii="Symbol" w:hAnsi="Symbol" w:hint="default"/>
      </w:rPr>
    </w:lvl>
    <w:lvl w:ilvl="1" w:tentative="1">
      <w:start w:val="1"/>
      <w:numFmt w:val="bullet"/>
      <w:lvlText w:val="o"/>
      <w:lvlJc w:val="left"/>
      <w:pPr>
        <w:ind w:left="2707" w:hanging="360"/>
      </w:pPr>
      <w:rPr>
        <w:rFonts w:ascii="Courier New" w:hAnsi="Courier New" w:cs="Courier New" w:hint="default"/>
      </w:rPr>
    </w:lvl>
    <w:lvl w:ilvl="2" w:tentative="1">
      <w:start w:val="1"/>
      <w:numFmt w:val="bullet"/>
      <w:lvlText w:val=""/>
      <w:lvlJc w:val="left"/>
      <w:pPr>
        <w:ind w:left="3427" w:hanging="360"/>
      </w:pPr>
      <w:rPr>
        <w:rFonts w:ascii="Wingdings" w:hAnsi="Wingdings" w:hint="default"/>
      </w:rPr>
    </w:lvl>
    <w:lvl w:ilvl="3" w:tentative="1">
      <w:start w:val="1"/>
      <w:numFmt w:val="bullet"/>
      <w:lvlText w:val=""/>
      <w:lvlJc w:val="left"/>
      <w:pPr>
        <w:ind w:left="4147" w:hanging="360"/>
      </w:pPr>
      <w:rPr>
        <w:rFonts w:ascii="Symbol" w:hAnsi="Symbol" w:hint="default"/>
      </w:rPr>
    </w:lvl>
    <w:lvl w:ilvl="4" w:tentative="1">
      <w:start w:val="1"/>
      <w:numFmt w:val="bullet"/>
      <w:lvlText w:val="o"/>
      <w:lvlJc w:val="left"/>
      <w:pPr>
        <w:ind w:left="4867" w:hanging="360"/>
      </w:pPr>
      <w:rPr>
        <w:rFonts w:ascii="Courier New" w:hAnsi="Courier New" w:cs="Courier New" w:hint="default"/>
      </w:rPr>
    </w:lvl>
    <w:lvl w:ilvl="5" w:tentative="1">
      <w:start w:val="1"/>
      <w:numFmt w:val="bullet"/>
      <w:lvlText w:val=""/>
      <w:lvlJc w:val="left"/>
      <w:pPr>
        <w:ind w:left="5587" w:hanging="360"/>
      </w:pPr>
      <w:rPr>
        <w:rFonts w:ascii="Wingdings" w:hAnsi="Wingdings" w:hint="default"/>
      </w:rPr>
    </w:lvl>
    <w:lvl w:ilvl="6" w:tentative="1">
      <w:start w:val="1"/>
      <w:numFmt w:val="bullet"/>
      <w:lvlText w:val=""/>
      <w:lvlJc w:val="left"/>
      <w:pPr>
        <w:ind w:left="6307" w:hanging="360"/>
      </w:pPr>
      <w:rPr>
        <w:rFonts w:ascii="Symbol" w:hAnsi="Symbol" w:hint="default"/>
      </w:rPr>
    </w:lvl>
    <w:lvl w:ilvl="7" w:tentative="1">
      <w:start w:val="1"/>
      <w:numFmt w:val="bullet"/>
      <w:lvlText w:val="o"/>
      <w:lvlJc w:val="left"/>
      <w:pPr>
        <w:ind w:left="7027" w:hanging="360"/>
      </w:pPr>
      <w:rPr>
        <w:rFonts w:ascii="Courier New" w:hAnsi="Courier New" w:cs="Courier New" w:hint="default"/>
      </w:rPr>
    </w:lvl>
    <w:lvl w:ilvl="8" w:tentative="1">
      <w:start w:val="1"/>
      <w:numFmt w:val="bullet"/>
      <w:lvlText w:val=""/>
      <w:lvlJc w:val="left"/>
      <w:pPr>
        <w:ind w:left="7747" w:hanging="360"/>
      </w:pPr>
      <w:rPr>
        <w:rFonts w:ascii="Wingdings" w:hAnsi="Wingdings" w:hint="default"/>
      </w:rPr>
    </w:lvl>
  </w:abstractNum>
  <w:abstractNum w:abstractNumId="2">
    <w:nsid w:val="5C9A3D38"/>
    <w:multiLevelType w:val="hybridMultilevel"/>
    <w:tmpl w:val="251ADF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DAF411A"/>
    <w:multiLevelType w:val="hybridMultilevel"/>
    <w:tmpl w:val="9E1E5F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0420151"/>
    <w:multiLevelType w:val="hybridMultilevel"/>
    <w:tmpl w:val="7B1417A6"/>
    <w:lvl w:ilvl="0">
      <w:start w:val="1"/>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76531C62"/>
    <w:multiLevelType w:val="hybridMultilevel"/>
    <w:tmpl w:val="680C0DEA"/>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0C16"/>
    <w:rsid w:val="00015C2F"/>
    <w:rsid w:val="0002699F"/>
    <w:rsid w:val="000419C5"/>
    <w:rsid w:val="00045762"/>
    <w:rsid w:val="000A65B3"/>
    <w:rsid w:val="000E291E"/>
    <w:rsid w:val="000F4E52"/>
    <w:rsid w:val="0010293F"/>
    <w:rsid w:val="00105A1B"/>
    <w:rsid w:val="0011279F"/>
    <w:rsid w:val="00146F7E"/>
    <w:rsid w:val="00155761"/>
    <w:rsid w:val="001629AA"/>
    <w:rsid w:val="00170FD1"/>
    <w:rsid w:val="00180C6A"/>
    <w:rsid w:val="00184219"/>
    <w:rsid w:val="001A12A1"/>
    <w:rsid w:val="001D2102"/>
    <w:rsid w:val="00200D2B"/>
    <w:rsid w:val="002734B1"/>
    <w:rsid w:val="002D05CC"/>
    <w:rsid w:val="002F1394"/>
    <w:rsid w:val="0030008B"/>
    <w:rsid w:val="00312054"/>
    <w:rsid w:val="0033009D"/>
    <w:rsid w:val="00342852"/>
    <w:rsid w:val="003618E4"/>
    <w:rsid w:val="0037497F"/>
    <w:rsid w:val="0037737C"/>
    <w:rsid w:val="00384373"/>
    <w:rsid w:val="003A3081"/>
    <w:rsid w:val="003C041D"/>
    <w:rsid w:val="00403255"/>
    <w:rsid w:val="00441BC1"/>
    <w:rsid w:val="004558AC"/>
    <w:rsid w:val="00475968"/>
    <w:rsid w:val="004C76DD"/>
    <w:rsid w:val="004D51E2"/>
    <w:rsid w:val="004E4F5E"/>
    <w:rsid w:val="00516E07"/>
    <w:rsid w:val="00517606"/>
    <w:rsid w:val="0054102C"/>
    <w:rsid w:val="00550A7A"/>
    <w:rsid w:val="005B419A"/>
    <w:rsid w:val="005E0A0F"/>
    <w:rsid w:val="005F10EC"/>
    <w:rsid w:val="00644904"/>
    <w:rsid w:val="006714BA"/>
    <w:rsid w:val="006B2B17"/>
    <w:rsid w:val="006F3F40"/>
    <w:rsid w:val="007066AD"/>
    <w:rsid w:val="00776DDA"/>
    <w:rsid w:val="007776D0"/>
    <w:rsid w:val="00787DCA"/>
    <w:rsid w:val="007A4700"/>
    <w:rsid w:val="007D49E8"/>
    <w:rsid w:val="00801380"/>
    <w:rsid w:val="00827BC1"/>
    <w:rsid w:val="008471A4"/>
    <w:rsid w:val="008534D9"/>
    <w:rsid w:val="008B4DF7"/>
    <w:rsid w:val="00900714"/>
    <w:rsid w:val="00904AFF"/>
    <w:rsid w:val="00905AB9"/>
    <w:rsid w:val="00935D96"/>
    <w:rsid w:val="009419F4"/>
    <w:rsid w:val="00977A74"/>
    <w:rsid w:val="009A240B"/>
    <w:rsid w:val="009F0B30"/>
    <w:rsid w:val="009F28DB"/>
    <w:rsid w:val="00A0459F"/>
    <w:rsid w:val="00A66340"/>
    <w:rsid w:val="00A925D8"/>
    <w:rsid w:val="00A93CBF"/>
    <w:rsid w:val="00A96C93"/>
    <w:rsid w:val="00AF7A62"/>
    <w:rsid w:val="00B04D08"/>
    <w:rsid w:val="00B74856"/>
    <w:rsid w:val="00B92CFB"/>
    <w:rsid w:val="00BC0495"/>
    <w:rsid w:val="00BE522D"/>
    <w:rsid w:val="00C03B0C"/>
    <w:rsid w:val="00C1151E"/>
    <w:rsid w:val="00C3475B"/>
    <w:rsid w:val="00C34D08"/>
    <w:rsid w:val="00C53FA6"/>
    <w:rsid w:val="00C66D8C"/>
    <w:rsid w:val="00C76563"/>
    <w:rsid w:val="00D02C44"/>
    <w:rsid w:val="00D05B54"/>
    <w:rsid w:val="00D45E58"/>
    <w:rsid w:val="00D46148"/>
    <w:rsid w:val="00DA2199"/>
    <w:rsid w:val="00DD1B5E"/>
    <w:rsid w:val="00DD4EA6"/>
    <w:rsid w:val="00E04085"/>
    <w:rsid w:val="00E65023"/>
    <w:rsid w:val="00EA43F6"/>
    <w:rsid w:val="00EA7386"/>
    <w:rsid w:val="00EB1023"/>
    <w:rsid w:val="00EF6EE2"/>
    <w:rsid w:val="00F024C5"/>
    <w:rsid w:val="00F04649"/>
    <w:rsid w:val="00F1447C"/>
    <w:rsid w:val="00F348F6"/>
    <w:rsid w:val="00F434B6"/>
    <w:rsid w:val="00F80231"/>
    <w:rsid w:val="00F92085"/>
    <w:rsid w:val="00F92ACC"/>
    <w:rsid w:val="00FB7A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7E87BD"/>
  <w15:chartTrackingRefBased/>
  <w15:docId w15:val="{32385642-9AA2-41B8-9C99-0BCF7CE0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table" w:styleId="TableGrid">
    <w:name w:val="Table Grid"/>
    <w:basedOn w:val="TableNormal"/>
    <w:uiPriority w:val="59"/>
    <w:rsid w:val="001A1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255"/>
    <w:pPr>
      <w:ind w:left="720"/>
      <w:contextualSpacing/>
    </w:pPr>
  </w:style>
  <w:style w:type="paragraph" w:styleId="BalloonText">
    <w:name w:val="Balloon Text"/>
    <w:basedOn w:val="Normal"/>
    <w:link w:val="BalloonTextChar"/>
    <w:uiPriority w:val="99"/>
    <w:semiHidden/>
    <w:unhideWhenUsed/>
    <w:rsid w:val="00A92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5D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A7386"/>
    <w:rPr>
      <w:sz w:val="16"/>
      <w:szCs w:val="16"/>
    </w:rPr>
  </w:style>
  <w:style w:type="paragraph" w:styleId="CommentText">
    <w:name w:val="annotation text"/>
    <w:basedOn w:val="Normal"/>
    <w:link w:val="CommentTextChar"/>
    <w:uiPriority w:val="99"/>
    <w:semiHidden/>
    <w:unhideWhenUsed/>
    <w:rsid w:val="00EA7386"/>
    <w:rPr>
      <w:sz w:val="20"/>
      <w:szCs w:val="20"/>
    </w:rPr>
  </w:style>
  <w:style w:type="character" w:customStyle="1" w:styleId="CommentTextChar">
    <w:name w:val="Comment Text Char"/>
    <w:basedOn w:val="DefaultParagraphFont"/>
    <w:link w:val="CommentText"/>
    <w:uiPriority w:val="99"/>
    <w:semiHidden/>
    <w:rsid w:val="00EA738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7386"/>
    <w:rPr>
      <w:b/>
      <w:bCs/>
    </w:rPr>
  </w:style>
  <w:style w:type="character" w:customStyle="1" w:styleId="CommentSubjectChar">
    <w:name w:val="Comment Subject Char"/>
    <w:basedOn w:val="CommentTextChar"/>
    <w:link w:val="CommentSubject"/>
    <w:uiPriority w:val="99"/>
    <w:semiHidden/>
    <w:rsid w:val="00EA7386"/>
    <w:rPr>
      <w:rFonts w:ascii="Times New Roman" w:eastAsia="Times New Roman" w:hAnsi="Times New Roman"/>
      <w:b/>
      <w:bCs/>
    </w:rPr>
  </w:style>
  <w:style w:type="paragraph" w:styleId="Title">
    <w:name w:val="Title"/>
    <w:basedOn w:val="Normal"/>
    <w:next w:val="Normal"/>
    <w:link w:val="TitleChar"/>
    <w:uiPriority w:val="10"/>
    <w:qFormat/>
    <w:rsid w:val="003C041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C041D"/>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Cochenour, Brandon M CIV USN NAWCAD (USA)</cp:lastModifiedBy>
  <cp:revision>4</cp:revision>
  <cp:lastPrinted>2013-01-25T19:13:00Z</cp:lastPrinted>
  <dcterms:created xsi:type="dcterms:W3CDTF">2022-09-22T14:12:00Z</dcterms:created>
  <dcterms:modified xsi:type="dcterms:W3CDTF">2022-09-22T14:13:00Z</dcterms:modified>
</cp:coreProperties>
</file>