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0770A1" w:rsidP="000770A1" w14:paraId="70B06ACD" w14:textId="45971E6C">
      <w:pPr>
        <w:jc w:val="center"/>
        <w:rPr>
          <w:rFonts w:eastAsia="Calibri"/>
        </w:rPr>
      </w:pPr>
      <w:bookmarkStart w:id="0" w:name="_Hlk130219385"/>
      <w:r w:rsidRPr="00D17B7F">
        <w:rPr>
          <w:rFonts w:eastAsia="Calibri"/>
        </w:rPr>
        <w:t>Generic Clearance for Qualitative Data to Support Social and Behavioral Research for Food, Dietary Supplements, Cosmetics, and Animal Food and Feed</w:t>
      </w:r>
    </w:p>
    <w:bookmarkEnd w:id="0"/>
    <w:p w:rsidR="00D17B7F" w:rsidP="000770A1" w14:paraId="5176FC1C" w14:textId="77777777">
      <w:pPr>
        <w:jc w:val="center"/>
        <w:rPr>
          <w:rFonts w:eastAsia="Calibri"/>
        </w:rPr>
      </w:pPr>
    </w:p>
    <w:p w:rsidR="000770A1" w:rsidP="000770A1" w14:paraId="0C87F8D2" w14:textId="498971F5">
      <w:pPr>
        <w:jc w:val="center"/>
        <w:rPr>
          <w:rFonts w:eastAsia="Calibri"/>
        </w:rPr>
      </w:pPr>
      <w:r w:rsidRPr="00357C8A">
        <w:rPr>
          <w:rFonts w:eastAsia="Calibri"/>
        </w:rPr>
        <w:t>OMB Control No. 0910</w:t>
      </w:r>
      <w:r>
        <w:rPr>
          <w:rFonts w:eastAsia="Calibri"/>
        </w:rPr>
        <w:t>-0</w:t>
      </w:r>
      <w:r w:rsidR="00D17B7F">
        <w:rPr>
          <w:rFonts w:eastAsia="Calibri"/>
        </w:rPr>
        <w:t>891</w:t>
      </w:r>
    </w:p>
    <w:p w:rsidR="000770A1" w:rsidP="000770A1" w14:paraId="57613C45" w14:textId="77777777">
      <w:pPr>
        <w:jc w:val="center"/>
        <w:rPr>
          <w:rFonts w:eastAsia="Calibri"/>
        </w:rPr>
      </w:pPr>
    </w:p>
    <w:p w:rsidR="000770A1" w:rsidP="000770A1" w14:paraId="485214CF" w14:textId="1D23D381">
      <w:pPr>
        <w:jc w:val="center"/>
        <w:rPr>
          <w:rFonts w:eastAsia="Calibri"/>
        </w:rPr>
      </w:pPr>
      <w:r>
        <w:rPr>
          <w:rFonts w:eastAsia="Calibri"/>
        </w:rPr>
        <w:t>SUMMARY OF GEN ICs</w:t>
      </w:r>
    </w:p>
    <w:p w:rsidR="000770A1" w14:paraId="432B9D7B" w14:textId="7B455544"/>
    <w:p w:rsidR="000770A1" w14:paraId="2DE50CE3" w14:textId="472C2B9E"/>
    <w:tbl>
      <w:tblPr>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2768"/>
        <w:gridCol w:w="3838"/>
        <w:gridCol w:w="1171"/>
      </w:tblGrid>
      <w:tr w14:paraId="4A86C4BF" w14:textId="77777777" w:rsidTr="001E7D60">
        <w:tblPrEx>
          <w:tblW w:w="491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235" w:type="pct"/>
            <w:shd w:val="clear" w:color="auto" w:fill="auto"/>
          </w:tcPr>
          <w:p w:rsidR="000770A1" w:rsidRPr="00593FDE" w:rsidP="000E04F6" w14:paraId="1741E17B" w14:textId="77777777">
            <w:pPr>
              <w:contextualSpacing/>
              <w:jc w:val="center"/>
              <w:rPr>
                <w:rFonts w:eastAsia="Calibri"/>
                <w:bCs/>
                <w:sz w:val="22"/>
                <w:szCs w:val="22"/>
              </w:rPr>
            </w:pPr>
            <w:r w:rsidRPr="008B6695">
              <w:t>Title of Collection</w:t>
            </w:r>
          </w:p>
        </w:tc>
        <w:tc>
          <w:tcPr>
            <w:tcW w:w="1340" w:type="pct"/>
            <w:shd w:val="clear" w:color="auto" w:fill="auto"/>
          </w:tcPr>
          <w:p w:rsidR="000770A1" w:rsidRPr="00593FDE" w:rsidP="000E04F6" w14:paraId="5573F8C9" w14:textId="77777777">
            <w:pPr>
              <w:autoSpaceDE w:val="0"/>
              <w:autoSpaceDN w:val="0"/>
              <w:adjustRightInd w:val="0"/>
              <w:jc w:val="center"/>
              <w:rPr>
                <w:sz w:val="22"/>
                <w:szCs w:val="22"/>
              </w:rPr>
            </w:pPr>
            <w:r w:rsidRPr="008B6695">
              <w:t>Participants</w:t>
            </w:r>
          </w:p>
        </w:tc>
        <w:tc>
          <w:tcPr>
            <w:tcW w:w="1858" w:type="pct"/>
          </w:tcPr>
          <w:p w:rsidR="000770A1" w:rsidRPr="00593FDE" w:rsidP="000E04F6" w14:paraId="5D1C0D56" w14:textId="77777777">
            <w:pPr>
              <w:jc w:val="center"/>
              <w:rPr>
                <w:sz w:val="22"/>
                <w:szCs w:val="22"/>
              </w:rPr>
            </w:pPr>
            <w:r w:rsidRPr="008B6695">
              <w:t>Use of Information</w:t>
            </w:r>
          </w:p>
        </w:tc>
        <w:tc>
          <w:tcPr>
            <w:tcW w:w="567" w:type="pct"/>
          </w:tcPr>
          <w:p w:rsidR="000770A1" w:rsidRPr="00593FDE" w:rsidP="000E04F6" w14:paraId="18387FAD" w14:textId="77777777">
            <w:pPr>
              <w:jc w:val="center"/>
              <w:rPr>
                <w:iCs/>
                <w:sz w:val="22"/>
                <w:szCs w:val="22"/>
              </w:rPr>
            </w:pPr>
            <w:r w:rsidRPr="008B6695">
              <w:t>Hours Used</w:t>
            </w:r>
          </w:p>
        </w:tc>
      </w:tr>
      <w:tr w14:paraId="3258CE49" w14:textId="77777777" w:rsidTr="001E7D60">
        <w:tblPrEx>
          <w:tblW w:w="4917" w:type="pct"/>
          <w:tblInd w:w="18" w:type="dxa"/>
          <w:tblLayout w:type="fixed"/>
          <w:tblLook w:val="01E0"/>
        </w:tblPrEx>
        <w:trPr>
          <w:cantSplit/>
        </w:trPr>
        <w:tc>
          <w:tcPr>
            <w:tcW w:w="1235" w:type="pct"/>
            <w:shd w:val="clear" w:color="auto" w:fill="auto"/>
          </w:tcPr>
          <w:p w:rsidR="000770A1" w:rsidP="00F1249A" w14:paraId="356209D9" w14:textId="6EBF043A">
            <w:pPr>
              <w:keepLines/>
              <w:ind w:right="30"/>
              <w:rPr>
                <w:sz w:val="22"/>
                <w:szCs w:val="22"/>
              </w:rPr>
            </w:pPr>
            <w:r>
              <w:rPr>
                <w:sz w:val="22"/>
                <w:szCs w:val="22"/>
              </w:rPr>
              <w:t>Focus Groups on Bioactives in Infant Formula – Phase 1</w:t>
            </w:r>
          </w:p>
          <w:p w:rsidR="000E04F6" w:rsidRPr="00593FDE" w:rsidP="00041208" w14:paraId="60FF0BF6" w14:textId="21362624">
            <w:pPr>
              <w:keepLines/>
              <w:ind w:right="-1440"/>
              <w:rPr>
                <w:sz w:val="22"/>
                <w:szCs w:val="22"/>
              </w:rPr>
            </w:pPr>
          </w:p>
        </w:tc>
        <w:tc>
          <w:tcPr>
            <w:tcW w:w="1340" w:type="pct"/>
            <w:shd w:val="clear" w:color="auto" w:fill="auto"/>
          </w:tcPr>
          <w:p w:rsidR="00F1249A" w:rsidRPr="001C17FC" w:rsidP="00041208" w14:paraId="337AD813" w14:textId="0099AA9C">
            <w:pPr>
              <w:autoSpaceDE w:val="0"/>
              <w:autoSpaceDN w:val="0"/>
              <w:adjustRightInd w:val="0"/>
              <w:rPr>
                <w:sz w:val="22"/>
                <w:szCs w:val="22"/>
              </w:rPr>
            </w:pPr>
            <w:r w:rsidRPr="001C17FC">
              <w:rPr>
                <w:sz w:val="22"/>
                <w:szCs w:val="22"/>
              </w:rPr>
              <w:t>960 respondents</w:t>
            </w:r>
            <w:r w:rsidRPr="001C17FC" w:rsidR="001C5FCB">
              <w:rPr>
                <w:sz w:val="22"/>
                <w:szCs w:val="22"/>
              </w:rPr>
              <w:t xml:space="preserve"> </w:t>
            </w:r>
            <w:r w:rsidRPr="001C17FC" w:rsidR="001D2BD3">
              <w:rPr>
                <w:sz w:val="22"/>
                <w:szCs w:val="22"/>
              </w:rPr>
              <w:t>who are U</w:t>
            </w:r>
            <w:r w:rsidRPr="001C17FC" w:rsidR="001C5FCB">
              <w:rPr>
                <w:sz w:val="22"/>
                <w:szCs w:val="22"/>
              </w:rPr>
              <w:t>.S. adults who ma</w:t>
            </w:r>
            <w:r w:rsidRPr="001C17FC" w:rsidR="002F6D90">
              <w:rPr>
                <w:sz w:val="22"/>
                <w:szCs w:val="22"/>
              </w:rPr>
              <w:t>d</w:t>
            </w:r>
            <w:r w:rsidRPr="001C17FC" w:rsidR="001C5FCB">
              <w:rPr>
                <w:sz w:val="22"/>
                <w:szCs w:val="22"/>
              </w:rPr>
              <w:t xml:space="preserve">e the primary decisions regarding which infant formula to purchase for their household. </w:t>
            </w:r>
            <w:r w:rsidRPr="001C17FC" w:rsidR="002F6D90">
              <w:rPr>
                <w:sz w:val="22"/>
                <w:szCs w:val="22"/>
              </w:rPr>
              <w:t>T</w:t>
            </w:r>
            <w:r w:rsidRPr="001C17FC" w:rsidR="001C5FCB">
              <w:rPr>
                <w:sz w:val="22"/>
                <w:szCs w:val="22"/>
              </w:rPr>
              <w:t>he groups exclude</w:t>
            </w:r>
            <w:r w:rsidRPr="001C17FC" w:rsidR="00314068">
              <w:rPr>
                <w:sz w:val="22"/>
                <w:szCs w:val="22"/>
              </w:rPr>
              <w:t>d</w:t>
            </w:r>
            <w:r w:rsidRPr="001C17FC" w:rsidR="001C5FCB">
              <w:rPr>
                <w:sz w:val="22"/>
                <w:szCs w:val="22"/>
              </w:rPr>
              <w:t xml:space="preserve"> those who work</w:t>
            </w:r>
            <w:r w:rsidRPr="001C17FC" w:rsidR="00314068">
              <w:rPr>
                <w:sz w:val="22"/>
                <w:szCs w:val="22"/>
              </w:rPr>
              <w:t>ed</w:t>
            </w:r>
            <w:r w:rsidRPr="001C17FC" w:rsidR="001C5FCB">
              <w:rPr>
                <w:sz w:val="22"/>
                <w:szCs w:val="22"/>
              </w:rPr>
              <w:t xml:space="preserve"> or ha</w:t>
            </w:r>
            <w:r w:rsidRPr="001C17FC" w:rsidR="00314068">
              <w:rPr>
                <w:sz w:val="22"/>
                <w:szCs w:val="22"/>
              </w:rPr>
              <w:t>d</w:t>
            </w:r>
            <w:r w:rsidRPr="001C17FC" w:rsidR="001C5FCB">
              <w:rPr>
                <w:sz w:val="22"/>
                <w:szCs w:val="22"/>
              </w:rPr>
              <w:t xml:space="preserve"> immediate family members who work</w:t>
            </w:r>
            <w:r w:rsidRPr="001C17FC" w:rsidR="00314068">
              <w:rPr>
                <w:sz w:val="22"/>
                <w:szCs w:val="22"/>
              </w:rPr>
              <w:t>ed</w:t>
            </w:r>
            <w:r w:rsidRPr="001C17FC" w:rsidR="001C5FCB">
              <w:rPr>
                <w:sz w:val="22"/>
                <w:szCs w:val="22"/>
              </w:rPr>
              <w:t xml:space="preserve"> in healthcare or public health, market research, or for food related government agencies</w:t>
            </w:r>
            <w:r w:rsidRPr="001C17FC" w:rsidR="002F6D90">
              <w:rPr>
                <w:sz w:val="22"/>
                <w:szCs w:val="22"/>
              </w:rPr>
              <w:t xml:space="preserve"> and </w:t>
            </w:r>
            <w:r w:rsidRPr="001C17FC" w:rsidR="00314068">
              <w:rPr>
                <w:sz w:val="22"/>
                <w:szCs w:val="22"/>
              </w:rPr>
              <w:t>t</w:t>
            </w:r>
            <w:r w:rsidRPr="001C17FC" w:rsidR="001C5FCB">
              <w:rPr>
                <w:sz w:val="22"/>
                <w:szCs w:val="22"/>
              </w:rPr>
              <w:t>he groups w</w:t>
            </w:r>
            <w:r w:rsidRPr="001C17FC" w:rsidR="00314068">
              <w:rPr>
                <w:sz w:val="22"/>
                <w:szCs w:val="22"/>
              </w:rPr>
              <w:t>ere</w:t>
            </w:r>
            <w:r w:rsidRPr="001C17FC" w:rsidR="001C5FCB">
              <w:rPr>
                <w:sz w:val="22"/>
                <w:szCs w:val="22"/>
              </w:rPr>
              <w:t xml:space="preserve"> segmented by time zone (Eastern, Pacific, and Central-Mountain), education (lower education, higher education), and primary language spoken at home and race/ethnicity (English, all races/ethnicities; Spanish, Hispanics).</w:t>
            </w:r>
            <w:r w:rsidRPr="001C17FC">
              <w:rPr>
                <w:sz w:val="22"/>
                <w:szCs w:val="22"/>
              </w:rPr>
              <w:t xml:space="preserve"> </w:t>
            </w:r>
          </w:p>
        </w:tc>
        <w:tc>
          <w:tcPr>
            <w:tcW w:w="1858" w:type="pct"/>
          </w:tcPr>
          <w:p w:rsidR="00497D15" w:rsidRPr="00497D15" w:rsidP="00497D15" w14:paraId="78B60305" w14:textId="75BC425A">
            <w:pPr>
              <w:rPr>
                <w:iCs/>
                <w:sz w:val="22"/>
                <w:szCs w:val="22"/>
              </w:rPr>
            </w:pPr>
            <w:r w:rsidRPr="00497D15">
              <w:rPr>
                <w:iCs/>
                <w:sz w:val="22"/>
                <w:szCs w:val="22"/>
              </w:rPr>
              <w:t xml:space="preserve">This study </w:t>
            </w:r>
            <w:r>
              <w:rPr>
                <w:iCs/>
                <w:sz w:val="22"/>
                <w:szCs w:val="22"/>
              </w:rPr>
              <w:t>was</w:t>
            </w:r>
            <w:r w:rsidRPr="00497D15">
              <w:rPr>
                <w:iCs/>
                <w:sz w:val="22"/>
                <w:szCs w:val="22"/>
              </w:rPr>
              <w:t xml:space="preserve"> part of the agency’s continuing effort to enable consumers to make informed dietary choices and construct healthful diets</w:t>
            </w:r>
            <w:r w:rsidR="00EE7B9F">
              <w:rPr>
                <w:iCs/>
                <w:sz w:val="22"/>
                <w:szCs w:val="22"/>
              </w:rPr>
              <w:t xml:space="preserve">. </w:t>
            </w:r>
            <w:r w:rsidRPr="00497D15">
              <w:rPr>
                <w:iCs/>
                <w:sz w:val="22"/>
                <w:szCs w:val="22"/>
              </w:rPr>
              <w:t xml:space="preserve"> This research </w:t>
            </w:r>
            <w:r w:rsidR="00C61C46">
              <w:rPr>
                <w:iCs/>
                <w:sz w:val="22"/>
                <w:szCs w:val="22"/>
              </w:rPr>
              <w:t>was</w:t>
            </w:r>
            <w:r w:rsidRPr="00497D15">
              <w:rPr>
                <w:iCs/>
                <w:sz w:val="22"/>
                <w:szCs w:val="22"/>
              </w:rPr>
              <w:t xml:space="preserve"> used to highlight or identify gaps in current communication strategies and assist</w:t>
            </w:r>
            <w:r w:rsidR="00C61C46">
              <w:rPr>
                <w:iCs/>
                <w:sz w:val="22"/>
                <w:szCs w:val="22"/>
              </w:rPr>
              <w:t>ed CFSAN in f</w:t>
            </w:r>
            <w:r w:rsidRPr="00497D15">
              <w:rPr>
                <w:iCs/>
                <w:sz w:val="22"/>
                <w:szCs w:val="22"/>
              </w:rPr>
              <w:t>ormulating effective educational materials</w:t>
            </w:r>
            <w:r w:rsidR="000B5632">
              <w:rPr>
                <w:iCs/>
                <w:sz w:val="22"/>
                <w:szCs w:val="22"/>
              </w:rPr>
              <w:t xml:space="preserve"> for bioactives in infant formula</w:t>
            </w:r>
            <w:r w:rsidRPr="00497D15">
              <w:rPr>
                <w:iCs/>
                <w:sz w:val="22"/>
                <w:szCs w:val="22"/>
              </w:rPr>
              <w:t>.</w:t>
            </w:r>
          </w:p>
          <w:p w:rsidR="00497D15" w:rsidRPr="00497D15" w:rsidP="00497D15" w14:paraId="799EC376" w14:textId="77777777">
            <w:pPr>
              <w:rPr>
                <w:iCs/>
                <w:sz w:val="22"/>
                <w:szCs w:val="22"/>
              </w:rPr>
            </w:pPr>
          </w:p>
          <w:p w:rsidR="000770A1" w:rsidRPr="00593FDE" w:rsidP="00497D15" w14:paraId="0AC02679" w14:textId="4799F7CD">
            <w:pPr>
              <w:rPr>
                <w:iCs/>
                <w:sz w:val="22"/>
                <w:szCs w:val="22"/>
              </w:rPr>
            </w:pPr>
            <w:r w:rsidRPr="00497D15">
              <w:rPr>
                <w:iCs/>
                <w:sz w:val="22"/>
                <w:szCs w:val="22"/>
              </w:rPr>
              <w:t>Th</w:t>
            </w:r>
            <w:r w:rsidR="000B5632">
              <w:rPr>
                <w:iCs/>
                <w:sz w:val="22"/>
                <w:szCs w:val="22"/>
              </w:rPr>
              <w:t>e</w:t>
            </w:r>
            <w:r w:rsidRPr="00497D15">
              <w:rPr>
                <w:iCs/>
                <w:sz w:val="22"/>
                <w:szCs w:val="22"/>
              </w:rPr>
              <w:t xml:space="preserve"> focus group study collect</w:t>
            </w:r>
            <w:r w:rsidR="000B5632">
              <w:rPr>
                <w:iCs/>
                <w:sz w:val="22"/>
                <w:szCs w:val="22"/>
              </w:rPr>
              <w:t>ed</w:t>
            </w:r>
            <w:r w:rsidRPr="00497D15">
              <w:rPr>
                <w:iCs/>
                <w:sz w:val="22"/>
                <w:szCs w:val="22"/>
              </w:rPr>
              <w:t xml:space="preserve"> qualitative information to help FDA better understand consumer perceptions of bioactives in infant formula</w:t>
            </w:r>
            <w:r w:rsidR="008E0331">
              <w:rPr>
                <w:iCs/>
                <w:sz w:val="22"/>
                <w:szCs w:val="22"/>
              </w:rPr>
              <w:t xml:space="preserve"> and had </w:t>
            </w:r>
            <w:r w:rsidRPr="00497D15">
              <w:rPr>
                <w:iCs/>
                <w:sz w:val="22"/>
                <w:szCs w:val="22"/>
              </w:rPr>
              <w:t>two phases</w:t>
            </w:r>
            <w:r w:rsidR="008E0331">
              <w:rPr>
                <w:iCs/>
                <w:sz w:val="22"/>
                <w:szCs w:val="22"/>
              </w:rPr>
              <w:t xml:space="preserve"> planned</w:t>
            </w:r>
            <w:r w:rsidR="001C328F">
              <w:rPr>
                <w:iCs/>
                <w:sz w:val="22"/>
                <w:szCs w:val="22"/>
              </w:rPr>
              <w:t>.  This phase (</w:t>
            </w:r>
            <w:r w:rsidRPr="00497D15">
              <w:rPr>
                <w:iCs/>
                <w:sz w:val="22"/>
                <w:szCs w:val="22"/>
              </w:rPr>
              <w:t>Phase 1</w:t>
            </w:r>
            <w:r w:rsidR="001C328F">
              <w:rPr>
                <w:iCs/>
                <w:sz w:val="22"/>
                <w:szCs w:val="22"/>
              </w:rPr>
              <w:t xml:space="preserve">) </w:t>
            </w:r>
            <w:r w:rsidRPr="00497D15">
              <w:rPr>
                <w:iCs/>
                <w:sz w:val="22"/>
                <w:szCs w:val="22"/>
              </w:rPr>
              <w:t>collect</w:t>
            </w:r>
            <w:r w:rsidR="008E0331">
              <w:rPr>
                <w:iCs/>
                <w:sz w:val="22"/>
                <w:szCs w:val="22"/>
              </w:rPr>
              <w:t>ed</w:t>
            </w:r>
            <w:r w:rsidRPr="00497D15">
              <w:rPr>
                <w:iCs/>
                <w:sz w:val="22"/>
                <w:szCs w:val="22"/>
              </w:rPr>
              <w:t xml:space="preserve"> formative research to explore consumer attitudes, behavior, and motivations about bioactives in infant formula</w:t>
            </w:r>
            <w:r w:rsidR="001C328F">
              <w:rPr>
                <w:iCs/>
                <w:sz w:val="22"/>
                <w:szCs w:val="22"/>
              </w:rPr>
              <w:t xml:space="preserve">.  The future </w:t>
            </w:r>
            <w:r w:rsidRPr="00497D15">
              <w:rPr>
                <w:iCs/>
                <w:sz w:val="22"/>
                <w:szCs w:val="22"/>
              </w:rPr>
              <w:t>Phase 2 will further build on what is learned in Phase 1.</w:t>
            </w:r>
          </w:p>
        </w:tc>
        <w:tc>
          <w:tcPr>
            <w:tcW w:w="567" w:type="pct"/>
          </w:tcPr>
          <w:p w:rsidR="000770A1" w:rsidRPr="00B2132D" w:rsidP="0059128B" w14:paraId="0890B412" w14:textId="223FBE17">
            <w:pPr>
              <w:rPr>
                <w:iCs/>
                <w:sz w:val="22"/>
                <w:szCs w:val="22"/>
              </w:rPr>
            </w:pPr>
            <w:r w:rsidRPr="00B2132D">
              <w:rPr>
                <w:iCs/>
                <w:sz w:val="22"/>
                <w:szCs w:val="22"/>
              </w:rPr>
              <w:t>280 hours were used</w:t>
            </w:r>
            <w:r w:rsidRPr="00B2132D" w:rsidR="00B2132D">
              <w:rPr>
                <w:iCs/>
                <w:sz w:val="22"/>
                <w:szCs w:val="22"/>
              </w:rPr>
              <w:t xml:space="preserve"> to conduct the focus groups on Bioactives in Infant Formula</w:t>
            </w:r>
          </w:p>
        </w:tc>
      </w:tr>
      <w:tr w14:paraId="1F66D061" w14:textId="77777777" w:rsidTr="001E7D60">
        <w:tblPrEx>
          <w:tblW w:w="4917" w:type="pct"/>
          <w:tblInd w:w="18" w:type="dxa"/>
          <w:tblLayout w:type="fixed"/>
          <w:tblLook w:val="01E0"/>
        </w:tblPrEx>
        <w:trPr>
          <w:cantSplit/>
        </w:trPr>
        <w:tc>
          <w:tcPr>
            <w:tcW w:w="1235" w:type="pct"/>
            <w:shd w:val="clear" w:color="auto" w:fill="auto"/>
          </w:tcPr>
          <w:p w:rsidR="000770A1" w:rsidP="00041208" w14:paraId="34683ADF" w14:textId="6EA73940">
            <w:pPr>
              <w:keepLines/>
              <w:ind w:right="-17"/>
              <w:rPr>
                <w:sz w:val="22"/>
                <w:szCs w:val="22"/>
              </w:rPr>
            </w:pPr>
            <w:r>
              <w:rPr>
                <w:sz w:val="22"/>
                <w:szCs w:val="22"/>
              </w:rPr>
              <w:t>Focus Groups on Health Communications with U.S. Women</w:t>
            </w:r>
          </w:p>
          <w:p w:rsidR="000E04F6" w:rsidRPr="00593FDE" w:rsidP="00041208" w14:paraId="13EEA5C2" w14:textId="0D208A59">
            <w:pPr>
              <w:keepLines/>
              <w:ind w:right="-17"/>
              <w:rPr>
                <w:sz w:val="22"/>
                <w:szCs w:val="22"/>
              </w:rPr>
            </w:pPr>
          </w:p>
        </w:tc>
        <w:tc>
          <w:tcPr>
            <w:tcW w:w="1340" w:type="pct"/>
            <w:shd w:val="clear" w:color="auto" w:fill="auto"/>
          </w:tcPr>
          <w:p w:rsidR="00A64B2F" w:rsidRPr="00A64B2F" w:rsidP="00A64B2F" w14:paraId="1939CF2A" w14:textId="01CE0AA2">
            <w:pPr>
              <w:rPr>
                <w:sz w:val="22"/>
                <w:szCs w:val="22"/>
              </w:rPr>
            </w:pPr>
            <w:r>
              <w:rPr>
                <w:sz w:val="22"/>
                <w:szCs w:val="22"/>
              </w:rPr>
              <w:t>900 respondents</w:t>
            </w:r>
            <w:r>
              <w:rPr>
                <w:sz w:val="22"/>
                <w:szCs w:val="22"/>
              </w:rPr>
              <w:t xml:space="preserve"> </w:t>
            </w:r>
            <w:r w:rsidRPr="00A64B2F">
              <w:rPr>
                <w:sz w:val="22"/>
                <w:szCs w:val="22"/>
              </w:rPr>
              <w:t>consist</w:t>
            </w:r>
            <w:r>
              <w:rPr>
                <w:sz w:val="22"/>
                <w:szCs w:val="22"/>
              </w:rPr>
              <w:t>ing</w:t>
            </w:r>
            <w:r w:rsidRPr="00A64B2F">
              <w:rPr>
                <w:sz w:val="22"/>
                <w:szCs w:val="22"/>
              </w:rPr>
              <w:t xml:space="preserve"> of U.S. adults who make the primary decisions regarding which infant formula to purchase for their household. </w:t>
            </w:r>
            <w:r>
              <w:rPr>
                <w:sz w:val="22"/>
                <w:szCs w:val="22"/>
              </w:rPr>
              <w:t xml:space="preserve"> </w:t>
            </w:r>
            <w:r w:rsidR="00BD6BDF">
              <w:rPr>
                <w:sz w:val="22"/>
                <w:szCs w:val="22"/>
              </w:rPr>
              <w:t>T</w:t>
            </w:r>
            <w:r w:rsidRPr="00A64B2F">
              <w:rPr>
                <w:sz w:val="22"/>
                <w:szCs w:val="22"/>
              </w:rPr>
              <w:t xml:space="preserve">he </w:t>
            </w:r>
            <w:r w:rsidR="00BD6BDF">
              <w:rPr>
                <w:sz w:val="22"/>
                <w:szCs w:val="22"/>
              </w:rPr>
              <w:t xml:space="preserve">focus </w:t>
            </w:r>
            <w:r w:rsidRPr="00A64B2F">
              <w:rPr>
                <w:sz w:val="22"/>
                <w:szCs w:val="22"/>
              </w:rPr>
              <w:t>groups exclude</w:t>
            </w:r>
            <w:r w:rsidR="00BD6BDF">
              <w:rPr>
                <w:sz w:val="22"/>
                <w:szCs w:val="22"/>
              </w:rPr>
              <w:t>d</w:t>
            </w:r>
            <w:r w:rsidRPr="00A64B2F">
              <w:rPr>
                <w:sz w:val="22"/>
                <w:szCs w:val="22"/>
              </w:rPr>
              <w:t xml:space="preserve"> those who work</w:t>
            </w:r>
            <w:r w:rsidR="00BD6BDF">
              <w:rPr>
                <w:sz w:val="22"/>
                <w:szCs w:val="22"/>
              </w:rPr>
              <w:t>ed</w:t>
            </w:r>
            <w:r w:rsidRPr="00A64B2F">
              <w:rPr>
                <w:sz w:val="22"/>
                <w:szCs w:val="22"/>
              </w:rPr>
              <w:t xml:space="preserve"> or ha</w:t>
            </w:r>
            <w:r w:rsidR="00BD6BDF">
              <w:rPr>
                <w:sz w:val="22"/>
                <w:szCs w:val="22"/>
              </w:rPr>
              <w:t>d</w:t>
            </w:r>
            <w:r w:rsidRPr="00A64B2F">
              <w:rPr>
                <w:sz w:val="22"/>
                <w:szCs w:val="22"/>
              </w:rPr>
              <w:t xml:space="preserve"> immediate family members who work in healthcare or public health, market research, or for food related government agencies. The groups w</w:t>
            </w:r>
            <w:r w:rsidR="005E12C2">
              <w:rPr>
                <w:sz w:val="22"/>
                <w:szCs w:val="22"/>
              </w:rPr>
              <w:t>ere</w:t>
            </w:r>
            <w:r w:rsidRPr="00A64B2F">
              <w:rPr>
                <w:sz w:val="22"/>
                <w:szCs w:val="22"/>
              </w:rPr>
              <w:t xml:space="preserve"> segmented by time zone (Eastern, Pacific, and Central-Mountain), education (lower education, higher education), and primary language spoken at home and race/ethnicity (English, all races/ethnicities; Spanish, Hispanics).</w:t>
            </w:r>
          </w:p>
          <w:p w:rsidR="000770A1" w:rsidRPr="00593FDE" w:rsidP="00041208" w14:paraId="4559B1C8" w14:textId="59CD4EA8">
            <w:pPr>
              <w:autoSpaceDE w:val="0"/>
              <w:autoSpaceDN w:val="0"/>
              <w:adjustRightInd w:val="0"/>
              <w:rPr>
                <w:sz w:val="22"/>
                <w:szCs w:val="22"/>
              </w:rPr>
            </w:pPr>
          </w:p>
        </w:tc>
        <w:tc>
          <w:tcPr>
            <w:tcW w:w="1858" w:type="pct"/>
          </w:tcPr>
          <w:p w:rsidR="000770A1" w:rsidRPr="00593FDE" w:rsidP="00041208" w14:paraId="1D06293D" w14:textId="351F5D35">
            <w:pPr>
              <w:rPr>
                <w:sz w:val="22"/>
                <w:szCs w:val="22"/>
              </w:rPr>
            </w:pPr>
            <w:r w:rsidRPr="001C17FC">
              <w:rPr>
                <w:sz w:val="22"/>
                <w:szCs w:val="22"/>
              </w:rPr>
              <w:t>Th</w:t>
            </w:r>
            <w:r>
              <w:rPr>
                <w:sz w:val="22"/>
                <w:szCs w:val="22"/>
              </w:rPr>
              <w:t>e</w:t>
            </w:r>
            <w:r w:rsidRPr="001C17FC">
              <w:rPr>
                <w:sz w:val="22"/>
                <w:szCs w:val="22"/>
              </w:rPr>
              <w:t xml:space="preserve"> focus group</w:t>
            </w:r>
            <w:r>
              <w:rPr>
                <w:sz w:val="22"/>
                <w:szCs w:val="22"/>
              </w:rPr>
              <w:t>s</w:t>
            </w:r>
            <w:r w:rsidRPr="001C17FC">
              <w:rPr>
                <w:sz w:val="22"/>
                <w:szCs w:val="22"/>
              </w:rPr>
              <w:t xml:space="preserve"> collect</w:t>
            </w:r>
            <w:r>
              <w:rPr>
                <w:sz w:val="22"/>
                <w:szCs w:val="22"/>
              </w:rPr>
              <w:t>ed</w:t>
            </w:r>
            <w:r w:rsidRPr="001C17FC">
              <w:rPr>
                <w:sz w:val="22"/>
                <w:szCs w:val="22"/>
              </w:rPr>
              <w:t xml:space="preserve"> qualitative information to help FDA better understand women </w:t>
            </w:r>
            <w:r w:rsidRPr="001C17FC" w:rsidR="00D641A5">
              <w:rPr>
                <w:sz w:val="22"/>
                <w:szCs w:val="22"/>
              </w:rPr>
              <w:t>aged</w:t>
            </w:r>
            <w:r w:rsidRPr="001C17FC">
              <w:rPr>
                <w:sz w:val="22"/>
                <w:szCs w:val="22"/>
              </w:rPr>
              <w:t xml:space="preserve"> 45 and older consumer behaviors and motivations on obtaining nutrition and cosmetics-related information. </w:t>
            </w:r>
            <w:r w:rsidR="00D641A5">
              <w:rPr>
                <w:sz w:val="22"/>
                <w:szCs w:val="22"/>
              </w:rPr>
              <w:t xml:space="preserve"> </w:t>
            </w:r>
            <w:r w:rsidRPr="001C17FC">
              <w:rPr>
                <w:sz w:val="22"/>
                <w:szCs w:val="22"/>
              </w:rPr>
              <w:t>This research w</w:t>
            </w:r>
            <w:r w:rsidR="00D641A5">
              <w:rPr>
                <w:sz w:val="22"/>
                <w:szCs w:val="22"/>
              </w:rPr>
              <w:t>as</w:t>
            </w:r>
            <w:r w:rsidRPr="001C17FC">
              <w:rPr>
                <w:sz w:val="22"/>
                <w:szCs w:val="22"/>
              </w:rPr>
              <w:t xml:space="preserve"> used to highlight or identify gaps in current communication strategies for older women and assist with formulating effective educational materials.  Because older women have rarely been the focus of consumer outreach and research, this study aims to address CFSAN’s gap in knowledge about older women’s purchasing habits and will inform current and future targeted education efforts for this population.</w:t>
            </w:r>
          </w:p>
        </w:tc>
        <w:tc>
          <w:tcPr>
            <w:tcW w:w="567" w:type="pct"/>
          </w:tcPr>
          <w:p w:rsidR="000770A1" w:rsidRPr="00593FDE" w:rsidP="0059128B" w14:paraId="1068CC00" w14:textId="5C427FEC">
            <w:pPr>
              <w:ind w:right="-14"/>
              <w:rPr>
                <w:sz w:val="22"/>
                <w:szCs w:val="22"/>
              </w:rPr>
            </w:pPr>
            <w:r>
              <w:rPr>
                <w:sz w:val="22"/>
                <w:szCs w:val="22"/>
              </w:rPr>
              <w:t xml:space="preserve">575 hours </w:t>
            </w:r>
            <w:r w:rsidR="00B2132D">
              <w:rPr>
                <w:sz w:val="22"/>
                <w:szCs w:val="22"/>
              </w:rPr>
              <w:t xml:space="preserve">were </w:t>
            </w:r>
            <w:r>
              <w:rPr>
                <w:sz w:val="22"/>
                <w:szCs w:val="22"/>
              </w:rPr>
              <w:t>used</w:t>
            </w:r>
            <w:r w:rsidR="00B2132D">
              <w:rPr>
                <w:sz w:val="22"/>
                <w:szCs w:val="22"/>
              </w:rPr>
              <w:t xml:space="preserve"> </w:t>
            </w:r>
            <w:r w:rsidR="00AD3A31">
              <w:rPr>
                <w:sz w:val="22"/>
                <w:szCs w:val="22"/>
              </w:rPr>
              <w:t>to conduct focus groups discussing health communications with U.S. Women.</w:t>
            </w:r>
          </w:p>
        </w:tc>
      </w:tr>
      <w:tr w14:paraId="0CCB6D04" w14:textId="77777777" w:rsidTr="001E7D60">
        <w:tblPrEx>
          <w:tblW w:w="4917" w:type="pct"/>
          <w:tblInd w:w="18" w:type="dxa"/>
          <w:tblLayout w:type="fixed"/>
          <w:tblLook w:val="01E0"/>
        </w:tblPrEx>
        <w:trPr>
          <w:cantSplit/>
        </w:trPr>
        <w:tc>
          <w:tcPr>
            <w:tcW w:w="1235" w:type="pct"/>
            <w:shd w:val="clear" w:color="auto" w:fill="auto"/>
          </w:tcPr>
          <w:p w:rsidR="000770A1" w:rsidP="00041208" w14:paraId="33B0E96D" w14:textId="3F002AA4">
            <w:pPr>
              <w:keepLines/>
              <w:ind w:right="-84"/>
              <w:rPr>
                <w:sz w:val="22"/>
                <w:szCs w:val="22"/>
              </w:rPr>
            </w:pPr>
            <w:r>
              <w:rPr>
                <w:sz w:val="22"/>
                <w:szCs w:val="22"/>
              </w:rPr>
              <w:t xml:space="preserve">Cannabidiol (CBD) </w:t>
            </w:r>
            <w:r w:rsidR="00DC178A">
              <w:rPr>
                <w:sz w:val="22"/>
                <w:szCs w:val="22"/>
              </w:rPr>
              <w:t>Interviews (Formative Research)</w:t>
            </w:r>
          </w:p>
          <w:p w:rsidR="000E04F6" w:rsidRPr="00593FDE" w:rsidP="00041208" w14:paraId="4654CB71" w14:textId="1DA73BE1">
            <w:pPr>
              <w:keepLines/>
              <w:ind w:right="-84"/>
              <w:rPr>
                <w:sz w:val="22"/>
                <w:szCs w:val="22"/>
              </w:rPr>
            </w:pPr>
          </w:p>
        </w:tc>
        <w:tc>
          <w:tcPr>
            <w:tcW w:w="1340" w:type="pct"/>
            <w:shd w:val="clear" w:color="auto" w:fill="auto"/>
          </w:tcPr>
          <w:p w:rsidR="000770A1" w:rsidRPr="00593FDE" w:rsidP="00041208" w14:paraId="3E0D7C5A" w14:textId="42E8D6C6">
            <w:pPr>
              <w:autoSpaceDE w:val="0"/>
              <w:autoSpaceDN w:val="0"/>
              <w:adjustRightInd w:val="0"/>
              <w:rPr>
                <w:sz w:val="22"/>
                <w:szCs w:val="22"/>
              </w:rPr>
            </w:pPr>
            <w:r>
              <w:rPr>
                <w:sz w:val="22"/>
                <w:szCs w:val="22"/>
              </w:rPr>
              <w:t>100 respondents</w:t>
            </w:r>
            <w:r w:rsidR="00A37EE3">
              <w:rPr>
                <w:sz w:val="22"/>
                <w:szCs w:val="22"/>
              </w:rPr>
              <w:t xml:space="preserve"> who have been winnowed down to </w:t>
            </w:r>
            <w:r w:rsidRPr="00A37EE3" w:rsidR="00A37EE3">
              <w:rPr>
                <w:sz w:val="22"/>
                <w:szCs w:val="22"/>
              </w:rPr>
              <w:t xml:space="preserve">30 interviews of English-speaking U.S. adults who </w:t>
            </w:r>
            <w:r w:rsidR="00A37EE3">
              <w:rPr>
                <w:sz w:val="22"/>
                <w:szCs w:val="22"/>
              </w:rPr>
              <w:t>were</w:t>
            </w:r>
            <w:r w:rsidRPr="00A37EE3" w:rsidR="00A37EE3">
              <w:rPr>
                <w:sz w:val="22"/>
                <w:szCs w:val="22"/>
              </w:rPr>
              <w:t xml:space="preserve"> at least 18 years old and either use</w:t>
            </w:r>
            <w:r w:rsidR="00A37EE3">
              <w:rPr>
                <w:sz w:val="22"/>
                <w:szCs w:val="22"/>
              </w:rPr>
              <w:t>d</w:t>
            </w:r>
            <w:r w:rsidRPr="00A37EE3" w:rsidR="00A37EE3">
              <w:rPr>
                <w:sz w:val="22"/>
                <w:szCs w:val="22"/>
              </w:rPr>
              <w:t xml:space="preserve"> CBD products themselves or administer</w:t>
            </w:r>
            <w:r w:rsidR="00A37EE3">
              <w:rPr>
                <w:sz w:val="22"/>
                <w:szCs w:val="22"/>
              </w:rPr>
              <w:t>ed</w:t>
            </w:r>
            <w:r w:rsidRPr="00A37EE3" w:rsidR="00A37EE3">
              <w:rPr>
                <w:sz w:val="22"/>
                <w:szCs w:val="22"/>
              </w:rPr>
              <w:t xml:space="preserve"> it to their pets at least 2 to 3 times a month in the past 3 months. The interviews w</w:t>
            </w:r>
            <w:r w:rsidR="00AE4204">
              <w:rPr>
                <w:sz w:val="22"/>
                <w:szCs w:val="22"/>
              </w:rPr>
              <w:t xml:space="preserve">ere </w:t>
            </w:r>
            <w:r w:rsidRPr="00A37EE3" w:rsidR="00A37EE3">
              <w:rPr>
                <w:sz w:val="22"/>
                <w:szCs w:val="22"/>
              </w:rPr>
              <w:t>segmented by CBD product type and age</w:t>
            </w:r>
            <w:r w:rsidR="00AE4204">
              <w:rPr>
                <w:sz w:val="22"/>
                <w:szCs w:val="22"/>
              </w:rPr>
              <w:t xml:space="preserve"> and represented</w:t>
            </w:r>
            <w:r w:rsidRPr="00A37EE3" w:rsidR="00A37EE3">
              <w:rPr>
                <w:sz w:val="22"/>
                <w:szCs w:val="22"/>
              </w:rPr>
              <w:t xml:space="preserve"> a mix of gender, race/ethnicity, and education levels.</w:t>
            </w:r>
          </w:p>
        </w:tc>
        <w:tc>
          <w:tcPr>
            <w:tcW w:w="1858" w:type="pct"/>
          </w:tcPr>
          <w:p w:rsidR="00097CF4" w:rsidRPr="00097CF4" w:rsidP="00097CF4" w14:paraId="5F531593" w14:textId="73FCAC29">
            <w:pPr>
              <w:rPr>
                <w:sz w:val="22"/>
                <w:szCs w:val="22"/>
              </w:rPr>
            </w:pPr>
            <w:r w:rsidRPr="00097CF4">
              <w:rPr>
                <w:sz w:val="22"/>
                <w:szCs w:val="22"/>
              </w:rPr>
              <w:t xml:space="preserve">This study </w:t>
            </w:r>
            <w:r>
              <w:rPr>
                <w:sz w:val="22"/>
                <w:szCs w:val="22"/>
              </w:rPr>
              <w:t>was</w:t>
            </w:r>
            <w:r w:rsidRPr="00097CF4">
              <w:rPr>
                <w:sz w:val="22"/>
                <w:szCs w:val="22"/>
              </w:rPr>
              <w:t xml:space="preserve"> part of the agency’s continuing effort to </w:t>
            </w:r>
            <w:r>
              <w:rPr>
                <w:sz w:val="22"/>
                <w:szCs w:val="22"/>
              </w:rPr>
              <w:t>help</w:t>
            </w:r>
            <w:r w:rsidRPr="00097CF4">
              <w:rPr>
                <w:sz w:val="22"/>
                <w:szCs w:val="22"/>
              </w:rPr>
              <w:t xml:space="preserve"> consumers make informed choices a</w:t>
            </w:r>
            <w:r>
              <w:rPr>
                <w:sz w:val="22"/>
                <w:szCs w:val="22"/>
              </w:rPr>
              <w:t>bout</w:t>
            </w:r>
            <w:r w:rsidRPr="00097CF4">
              <w:rPr>
                <w:sz w:val="22"/>
                <w:szCs w:val="22"/>
              </w:rPr>
              <w:t xml:space="preserve"> CBD use</w:t>
            </w:r>
            <w:r>
              <w:rPr>
                <w:sz w:val="22"/>
                <w:szCs w:val="22"/>
              </w:rPr>
              <w:t xml:space="preserve"> and aligned </w:t>
            </w:r>
            <w:r w:rsidRPr="00097CF4">
              <w:rPr>
                <w:sz w:val="22"/>
                <w:szCs w:val="22"/>
              </w:rPr>
              <w:t>with FDA</w:t>
            </w:r>
            <w:r>
              <w:rPr>
                <w:sz w:val="22"/>
                <w:szCs w:val="22"/>
              </w:rPr>
              <w:t>/CFSAN</w:t>
            </w:r>
            <w:r w:rsidRPr="00097CF4">
              <w:rPr>
                <w:sz w:val="22"/>
                <w:szCs w:val="22"/>
              </w:rPr>
              <w:t>’s strategic outcome to increase knowledge of consumer awareness, perceptions, understanding, and behaviors.  This effort support</w:t>
            </w:r>
            <w:r>
              <w:rPr>
                <w:sz w:val="22"/>
                <w:szCs w:val="22"/>
              </w:rPr>
              <w:t>ed</w:t>
            </w:r>
            <w:r w:rsidRPr="00097CF4">
              <w:rPr>
                <w:sz w:val="22"/>
                <w:szCs w:val="22"/>
              </w:rPr>
              <w:t xml:space="preserve"> the work of FDA’s Cannabis Products Committee (CPC)—a cross-center collective of subject matter experts to develop and implement informed strategies for protecting the health of consumers of FDA-regulated cannabis products. CFSAN collect</w:t>
            </w:r>
            <w:r>
              <w:rPr>
                <w:sz w:val="22"/>
                <w:szCs w:val="22"/>
              </w:rPr>
              <w:t xml:space="preserve">ed this information </w:t>
            </w:r>
            <w:r w:rsidRPr="00097CF4">
              <w:rPr>
                <w:sz w:val="22"/>
                <w:szCs w:val="22"/>
              </w:rPr>
              <w:t>because many of the product categories in th</w:t>
            </w:r>
            <w:r>
              <w:rPr>
                <w:sz w:val="22"/>
                <w:szCs w:val="22"/>
              </w:rPr>
              <w:t>e</w:t>
            </w:r>
            <w:r w:rsidRPr="00097CF4">
              <w:rPr>
                <w:sz w:val="22"/>
                <w:szCs w:val="22"/>
              </w:rPr>
              <w:t xml:space="preserve"> study f</w:t>
            </w:r>
            <w:r>
              <w:rPr>
                <w:sz w:val="22"/>
                <w:szCs w:val="22"/>
              </w:rPr>
              <w:t>e</w:t>
            </w:r>
            <w:r w:rsidRPr="00097CF4">
              <w:rPr>
                <w:sz w:val="22"/>
                <w:szCs w:val="22"/>
              </w:rPr>
              <w:t xml:space="preserve">ll under CFSAN’s </w:t>
            </w:r>
            <w:r>
              <w:rPr>
                <w:sz w:val="22"/>
                <w:szCs w:val="22"/>
              </w:rPr>
              <w:t>jurisdiction</w:t>
            </w:r>
            <w:r w:rsidRPr="00097CF4">
              <w:rPr>
                <w:sz w:val="22"/>
                <w:szCs w:val="22"/>
              </w:rPr>
              <w:t xml:space="preserve">. This research </w:t>
            </w:r>
            <w:r>
              <w:rPr>
                <w:sz w:val="22"/>
                <w:szCs w:val="22"/>
              </w:rPr>
              <w:t xml:space="preserve">was also </w:t>
            </w:r>
            <w:r w:rsidRPr="00097CF4">
              <w:rPr>
                <w:sz w:val="22"/>
                <w:szCs w:val="22"/>
              </w:rPr>
              <w:t xml:space="preserve">used to highlight or identify gaps in agency understanding of consumer CBD use and </w:t>
            </w:r>
            <w:r>
              <w:rPr>
                <w:sz w:val="22"/>
                <w:szCs w:val="22"/>
              </w:rPr>
              <w:t xml:space="preserve">has </w:t>
            </w:r>
            <w:r w:rsidRPr="00097CF4">
              <w:rPr>
                <w:sz w:val="22"/>
                <w:szCs w:val="22"/>
              </w:rPr>
              <w:t>assist</w:t>
            </w:r>
            <w:r>
              <w:rPr>
                <w:sz w:val="22"/>
                <w:szCs w:val="22"/>
              </w:rPr>
              <w:t xml:space="preserve">ed CFSAN in the formulation of </w:t>
            </w:r>
            <w:r w:rsidRPr="00097CF4">
              <w:rPr>
                <w:sz w:val="22"/>
                <w:szCs w:val="22"/>
              </w:rPr>
              <w:t>effective educational materials.</w:t>
            </w:r>
          </w:p>
          <w:p w:rsidR="00097CF4" w:rsidRPr="00097CF4" w:rsidP="00097CF4" w14:paraId="116F90A1" w14:textId="77777777">
            <w:pPr>
              <w:rPr>
                <w:sz w:val="22"/>
                <w:szCs w:val="22"/>
              </w:rPr>
            </w:pPr>
          </w:p>
          <w:p w:rsidR="000770A1" w:rsidRPr="00593FDE" w:rsidP="00097CF4" w14:paraId="0C87DFBB" w14:textId="3892C586">
            <w:pPr>
              <w:rPr>
                <w:sz w:val="22"/>
                <w:szCs w:val="22"/>
              </w:rPr>
            </w:pPr>
            <w:r w:rsidRPr="00097CF4">
              <w:rPr>
                <w:sz w:val="22"/>
                <w:szCs w:val="22"/>
              </w:rPr>
              <w:t>This collection mark</w:t>
            </w:r>
            <w:r>
              <w:rPr>
                <w:sz w:val="22"/>
                <w:szCs w:val="22"/>
              </w:rPr>
              <w:t>ed</w:t>
            </w:r>
            <w:r w:rsidRPr="00097CF4">
              <w:rPr>
                <w:sz w:val="22"/>
                <w:szCs w:val="22"/>
              </w:rPr>
              <w:t xml:space="preserve"> FDA’s first qualitative data collection on consumer CBD use. FDA collect</w:t>
            </w:r>
            <w:r w:rsidR="00103B35">
              <w:rPr>
                <w:sz w:val="22"/>
                <w:szCs w:val="22"/>
              </w:rPr>
              <w:t>ed</w:t>
            </w:r>
            <w:r w:rsidRPr="00097CF4">
              <w:rPr>
                <w:sz w:val="22"/>
                <w:szCs w:val="22"/>
              </w:rPr>
              <w:t xml:space="preserve"> qualitative information with users based on varied product categories</w:t>
            </w:r>
            <w:r w:rsidR="00103B35">
              <w:rPr>
                <w:sz w:val="22"/>
                <w:szCs w:val="22"/>
              </w:rPr>
              <w:t xml:space="preserve"> and </w:t>
            </w:r>
            <w:r w:rsidRPr="00097CF4">
              <w:rPr>
                <w:sz w:val="22"/>
                <w:szCs w:val="22"/>
              </w:rPr>
              <w:t xml:space="preserve"> FDA</w:t>
            </w:r>
            <w:r w:rsidR="00103B35">
              <w:rPr>
                <w:sz w:val="22"/>
                <w:szCs w:val="22"/>
              </w:rPr>
              <w:t>, through its contractor,</w:t>
            </w:r>
            <w:r w:rsidRPr="00097CF4">
              <w:rPr>
                <w:sz w:val="22"/>
                <w:szCs w:val="22"/>
              </w:rPr>
              <w:t xml:space="preserve"> conduct</w:t>
            </w:r>
            <w:r w:rsidR="00103B35">
              <w:rPr>
                <w:sz w:val="22"/>
                <w:szCs w:val="22"/>
              </w:rPr>
              <w:t>ed</w:t>
            </w:r>
            <w:r w:rsidRPr="00097CF4">
              <w:rPr>
                <w:sz w:val="22"/>
                <w:szCs w:val="22"/>
              </w:rPr>
              <w:t xml:space="preserve"> one-on-one, in-depth interviews </w:t>
            </w:r>
            <w:r w:rsidR="00103B35">
              <w:rPr>
                <w:sz w:val="22"/>
                <w:szCs w:val="22"/>
              </w:rPr>
              <w:t>for b</w:t>
            </w:r>
            <w:r w:rsidRPr="00097CF4">
              <w:rPr>
                <w:sz w:val="22"/>
                <w:szCs w:val="22"/>
              </w:rPr>
              <w:t>etter understand</w:t>
            </w:r>
            <w:r w:rsidR="00103B35">
              <w:rPr>
                <w:sz w:val="22"/>
                <w:szCs w:val="22"/>
              </w:rPr>
              <w:t>ing of</w:t>
            </w:r>
            <w:r w:rsidRPr="00097CF4">
              <w:rPr>
                <w:sz w:val="22"/>
                <w:szCs w:val="22"/>
              </w:rPr>
              <w:t xml:space="preserve"> adult consumers’ attitudes, beliefs, feelings, and motivations related to CBD, and their reported use of products containing CBD, including foods, supplements for humans and pets, cosmetics, and vaping. </w:t>
            </w:r>
            <w:r w:rsidR="00103B35">
              <w:rPr>
                <w:sz w:val="22"/>
                <w:szCs w:val="22"/>
              </w:rPr>
              <w:t>FDA learned d</w:t>
            </w:r>
            <w:r w:rsidRPr="00097CF4">
              <w:rPr>
                <w:sz w:val="22"/>
                <w:szCs w:val="22"/>
              </w:rPr>
              <w:t>uring the interviews</w:t>
            </w:r>
            <w:r w:rsidR="00103B35">
              <w:rPr>
                <w:sz w:val="22"/>
                <w:szCs w:val="22"/>
              </w:rPr>
              <w:t xml:space="preserve"> </w:t>
            </w:r>
            <w:r w:rsidRPr="00097CF4">
              <w:rPr>
                <w:sz w:val="22"/>
                <w:szCs w:val="22"/>
              </w:rPr>
              <w:t xml:space="preserve">about the sources consumers use to </w:t>
            </w:r>
            <w:r w:rsidR="00103B35">
              <w:rPr>
                <w:sz w:val="22"/>
                <w:szCs w:val="22"/>
              </w:rPr>
              <w:t>obtain</w:t>
            </w:r>
            <w:r w:rsidRPr="00097CF4">
              <w:rPr>
                <w:sz w:val="22"/>
                <w:szCs w:val="22"/>
              </w:rPr>
              <w:t xml:space="preserve"> information about </w:t>
            </w:r>
            <w:r w:rsidR="00103B35">
              <w:rPr>
                <w:sz w:val="22"/>
                <w:szCs w:val="22"/>
              </w:rPr>
              <w:t xml:space="preserve">CBD </w:t>
            </w:r>
            <w:r w:rsidRPr="00097CF4">
              <w:rPr>
                <w:sz w:val="22"/>
                <w:szCs w:val="22"/>
              </w:rPr>
              <w:t xml:space="preserve">products, who </w:t>
            </w:r>
            <w:r w:rsidR="00103B35">
              <w:rPr>
                <w:sz w:val="22"/>
                <w:szCs w:val="22"/>
              </w:rPr>
              <w:t>are</w:t>
            </w:r>
            <w:r w:rsidRPr="00097CF4">
              <w:rPr>
                <w:sz w:val="22"/>
                <w:szCs w:val="22"/>
              </w:rPr>
              <w:t xml:space="preserve"> consider</w:t>
            </w:r>
            <w:r w:rsidR="00103B35">
              <w:rPr>
                <w:sz w:val="22"/>
                <w:szCs w:val="22"/>
              </w:rPr>
              <w:t>ed</w:t>
            </w:r>
            <w:r w:rsidRPr="00097CF4">
              <w:rPr>
                <w:sz w:val="22"/>
                <w:szCs w:val="22"/>
              </w:rPr>
              <w:t xml:space="preserve"> to be credible messengers about CBD, and </w:t>
            </w:r>
            <w:r w:rsidR="00103B35">
              <w:rPr>
                <w:sz w:val="22"/>
                <w:szCs w:val="22"/>
              </w:rPr>
              <w:t>any</w:t>
            </w:r>
            <w:r w:rsidRPr="00097CF4">
              <w:rPr>
                <w:sz w:val="22"/>
                <w:szCs w:val="22"/>
              </w:rPr>
              <w:t xml:space="preserve"> resistance messengers </w:t>
            </w:r>
            <w:r w:rsidR="00103B35">
              <w:rPr>
                <w:sz w:val="22"/>
                <w:szCs w:val="22"/>
              </w:rPr>
              <w:t>have</w:t>
            </w:r>
            <w:r w:rsidRPr="00097CF4">
              <w:rPr>
                <w:sz w:val="22"/>
                <w:szCs w:val="22"/>
              </w:rPr>
              <w:t xml:space="preserve"> encounter</w:t>
            </w:r>
            <w:r w:rsidR="00103B35">
              <w:rPr>
                <w:sz w:val="22"/>
                <w:szCs w:val="22"/>
              </w:rPr>
              <w:t>ed</w:t>
            </w:r>
            <w:r w:rsidRPr="00097CF4">
              <w:rPr>
                <w:sz w:val="22"/>
                <w:szCs w:val="22"/>
              </w:rPr>
              <w:t xml:space="preserve"> when communicating information about CBD. These interviews also explore</w:t>
            </w:r>
            <w:r w:rsidR="00103B35">
              <w:rPr>
                <w:sz w:val="22"/>
                <w:szCs w:val="22"/>
              </w:rPr>
              <w:t>d</w:t>
            </w:r>
            <w:r w:rsidRPr="00097CF4">
              <w:rPr>
                <w:sz w:val="22"/>
                <w:szCs w:val="22"/>
              </w:rPr>
              <w:t xml:space="preserve"> consumer awareness of, perceptions about, and actual experiences with adverse events resulting from CBD use.</w:t>
            </w:r>
          </w:p>
        </w:tc>
        <w:tc>
          <w:tcPr>
            <w:tcW w:w="567" w:type="pct"/>
          </w:tcPr>
          <w:p w:rsidR="000770A1" w:rsidRPr="00593FDE" w:rsidP="0059128B" w14:paraId="539EC3D4" w14:textId="1815756B">
            <w:pPr>
              <w:rPr>
                <w:sz w:val="22"/>
                <w:szCs w:val="22"/>
              </w:rPr>
            </w:pPr>
            <w:r>
              <w:rPr>
                <w:sz w:val="22"/>
                <w:szCs w:val="22"/>
              </w:rPr>
              <w:t>81</w:t>
            </w:r>
            <w:r w:rsidR="001E7D60">
              <w:rPr>
                <w:sz w:val="22"/>
                <w:szCs w:val="22"/>
              </w:rPr>
              <w:t xml:space="preserve"> hours</w:t>
            </w:r>
            <w:r w:rsidR="00351171">
              <w:rPr>
                <w:sz w:val="22"/>
                <w:szCs w:val="22"/>
              </w:rPr>
              <w:t xml:space="preserve"> </w:t>
            </w:r>
            <w:r w:rsidRPr="00351171" w:rsidR="00351171">
              <w:rPr>
                <w:sz w:val="22"/>
                <w:szCs w:val="22"/>
              </w:rPr>
              <w:t xml:space="preserve">were used to conduct </w:t>
            </w:r>
            <w:r w:rsidR="001E7D60">
              <w:rPr>
                <w:sz w:val="22"/>
                <w:szCs w:val="22"/>
              </w:rPr>
              <w:t xml:space="preserve">in-depth </w:t>
            </w:r>
            <w:r w:rsidR="00D9424C">
              <w:rPr>
                <w:sz w:val="22"/>
                <w:szCs w:val="22"/>
              </w:rPr>
              <w:t xml:space="preserve">interviews of CBD users to </w:t>
            </w:r>
            <w:r w:rsidR="00453BB1">
              <w:rPr>
                <w:sz w:val="22"/>
                <w:szCs w:val="22"/>
              </w:rPr>
              <w:t>help FDA in its understanding of CBD use.</w:t>
            </w:r>
          </w:p>
        </w:tc>
      </w:tr>
      <w:tr w14:paraId="654557A0" w14:textId="77777777" w:rsidTr="001E7D60">
        <w:tblPrEx>
          <w:tblW w:w="4917" w:type="pct"/>
          <w:tblInd w:w="18" w:type="dxa"/>
          <w:tblLayout w:type="fixed"/>
          <w:tblLook w:val="01E0"/>
        </w:tblPrEx>
        <w:trPr>
          <w:cantSplit/>
        </w:trPr>
        <w:tc>
          <w:tcPr>
            <w:tcW w:w="1235" w:type="pct"/>
            <w:shd w:val="clear" w:color="auto" w:fill="auto"/>
          </w:tcPr>
          <w:p w:rsidR="000770A1" w:rsidP="00041208" w14:paraId="50A974DD" w14:textId="3476EA9D">
            <w:pPr>
              <w:keepLines/>
              <w:ind w:right="-18"/>
              <w:rPr>
                <w:sz w:val="22"/>
                <w:szCs w:val="22"/>
              </w:rPr>
            </w:pPr>
            <w:r>
              <w:rPr>
                <w:sz w:val="22"/>
                <w:szCs w:val="22"/>
              </w:rPr>
              <w:t>CFSAN</w:t>
            </w:r>
            <w:r w:rsidR="000D5381">
              <w:rPr>
                <w:sz w:val="22"/>
                <w:szCs w:val="22"/>
              </w:rPr>
              <w:t xml:space="preserve"> Adverse Event Reporting System (CAERS</w:t>
            </w:r>
            <w:r w:rsidR="00F07FED">
              <w:rPr>
                <w:sz w:val="22"/>
                <w:szCs w:val="22"/>
              </w:rPr>
              <w:t>) Healthcare Provider (HCP) In-Depth Interviews (Formative Research)</w:t>
            </w:r>
          </w:p>
          <w:p w:rsidR="000E04F6" w:rsidRPr="00593FDE" w:rsidP="00041208" w14:paraId="7321F37D" w14:textId="24F7C767">
            <w:pPr>
              <w:keepLines/>
              <w:ind w:right="-18"/>
              <w:rPr>
                <w:sz w:val="22"/>
                <w:szCs w:val="22"/>
              </w:rPr>
            </w:pPr>
          </w:p>
        </w:tc>
        <w:tc>
          <w:tcPr>
            <w:tcW w:w="1340" w:type="pct"/>
            <w:shd w:val="clear" w:color="auto" w:fill="auto"/>
          </w:tcPr>
          <w:p w:rsidR="000770A1" w:rsidRPr="00593FDE" w:rsidP="00041208" w14:paraId="7886F5B9" w14:textId="5AE9CD4F">
            <w:pPr>
              <w:autoSpaceDE w:val="0"/>
              <w:autoSpaceDN w:val="0"/>
              <w:adjustRightInd w:val="0"/>
              <w:rPr>
                <w:sz w:val="22"/>
                <w:szCs w:val="22"/>
              </w:rPr>
            </w:pPr>
            <w:r>
              <w:rPr>
                <w:sz w:val="22"/>
                <w:szCs w:val="22"/>
              </w:rPr>
              <w:t>45 respondents</w:t>
            </w:r>
            <w:r w:rsidR="002419E7">
              <w:rPr>
                <w:sz w:val="22"/>
                <w:szCs w:val="22"/>
              </w:rPr>
              <w:t xml:space="preserve"> </w:t>
            </w:r>
            <w:r w:rsidR="008B774E">
              <w:rPr>
                <w:sz w:val="22"/>
                <w:szCs w:val="22"/>
              </w:rPr>
              <w:t xml:space="preserve">were used for this study </w:t>
            </w:r>
            <w:r w:rsidR="00CB7318">
              <w:rPr>
                <w:sz w:val="22"/>
                <w:szCs w:val="22"/>
              </w:rPr>
              <w:t>who were</w:t>
            </w:r>
            <w:r w:rsidR="002419E7">
              <w:rPr>
                <w:sz w:val="22"/>
                <w:szCs w:val="22"/>
              </w:rPr>
              <w:t xml:space="preserve"> </w:t>
            </w:r>
            <w:r w:rsidRPr="00D70BA0" w:rsidR="00D70BA0">
              <w:rPr>
                <w:sz w:val="22"/>
                <w:szCs w:val="22"/>
              </w:rPr>
              <w:t>English-speaking U.S. adult</w:t>
            </w:r>
            <w:r w:rsidR="00FA3C09">
              <w:rPr>
                <w:sz w:val="22"/>
                <w:szCs w:val="22"/>
              </w:rPr>
              <w:t xml:space="preserve"> h</w:t>
            </w:r>
            <w:r w:rsidRPr="00D70BA0" w:rsidR="00D70BA0">
              <w:rPr>
                <w:sz w:val="22"/>
                <w:szCs w:val="22"/>
              </w:rPr>
              <w:t xml:space="preserve">ealthcare providers who </w:t>
            </w:r>
            <w:r w:rsidR="005857D3">
              <w:rPr>
                <w:sz w:val="22"/>
                <w:szCs w:val="22"/>
              </w:rPr>
              <w:t xml:space="preserve">had </w:t>
            </w:r>
            <w:r w:rsidRPr="00D70BA0" w:rsidR="00D70BA0">
              <w:rPr>
                <w:sz w:val="22"/>
                <w:szCs w:val="22"/>
              </w:rPr>
              <w:t xml:space="preserve">a patient with an adverse event or product problem from a food, dietary supplement, cosmetic, or infant formula in the past 12 months. </w:t>
            </w:r>
            <w:r w:rsidR="005857D3">
              <w:rPr>
                <w:sz w:val="22"/>
                <w:szCs w:val="22"/>
              </w:rPr>
              <w:t>45 providers w</w:t>
            </w:r>
            <w:r w:rsidR="00CB7318">
              <w:rPr>
                <w:sz w:val="22"/>
                <w:szCs w:val="22"/>
              </w:rPr>
              <w:t>ere</w:t>
            </w:r>
            <w:r w:rsidR="005857D3">
              <w:rPr>
                <w:sz w:val="22"/>
                <w:szCs w:val="22"/>
              </w:rPr>
              <w:t xml:space="preserve"> screened down to 15 individual interviews </w:t>
            </w:r>
            <w:r w:rsidR="008B774E">
              <w:rPr>
                <w:sz w:val="22"/>
                <w:szCs w:val="22"/>
              </w:rPr>
              <w:t xml:space="preserve">which were </w:t>
            </w:r>
            <w:r w:rsidRPr="00D70BA0" w:rsidR="00D70BA0">
              <w:rPr>
                <w:sz w:val="22"/>
                <w:szCs w:val="22"/>
              </w:rPr>
              <w:t xml:space="preserve">segmented by healthcare provider type: physicians (primary care and specialists), pharmacists, and other healthcare providers, including physician assistants, nurses, and nurse practitioners, and other staff. </w:t>
            </w:r>
            <w:r w:rsidR="00CB7318">
              <w:rPr>
                <w:sz w:val="22"/>
                <w:szCs w:val="22"/>
              </w:rPr>
              <w:t xml:space="preserve">  The </w:t>
            </w:r>
            <w:r w:rsidRPr="00D70BA0" w:rsidR="00D70BA0">
              <w:rPr>
                <w:sz w:val="22"/>
                <w:szCs w:val="22"/>
              </w:rPr>
              <w:t>participants w</w:t>
            </w:r>
            <w:r w:rsidR="00CB7318">
              <w:rPr>
                <w:sz w:val="22"/>
                <w:szCs w:val="22"/>
              </w:rPr>
              <w:t>ere</w:t>
            </w:r>
            <w:r w:rsidRPr="00D70BA0" w:rsidR="00D70BA0">
              <w:rPr>
                <w:sz w:val="22"/>
                <w:szCs w:val="22"/>
              </w:rPr>
              <w:t xml:space="preserve"> a mix of age, level of education, race/ethnicity, and gender.</w:t>
            </w:r>
          </w:p>
        </w:tc>
        <w:tc>
          <w:tcPr>
            <w:tcW w:w="1858" w:type="pct"/>
          </w:tcPr>
          <w:p w:rsidR="00AD041E" w:rsidRPr="00AD041E" w:rsidP="00AD041E" w14:paraId="6A13FA25" w14:textId="66892692">
            <w:pPr>
              <w:rPr>
                <w:sz w:val="22"/>
                <w:szCs w:val="22"/>
              </w:rPr>
            </w:pPr>
            <w:r w:rsidRPr="00AD041E">
              <w:rPr>
                <w:sz w:val="22"/>
                <w:szCs w:val="22"/>
              </w:rPr>
              <w:t xml:space="preserve">The CFSAN Adverse Event Reporting System (CAERS) is a surveillance system that collects adverse event reports (AERs) and product complaints (PCs) regarding FDA-regulated products that fall under CFSAN jurisdiction (i.e., foods, cosmetics, infant formula, and dietary supplements). AERs and PCs received on these products provide CFSAN another venue through which to monitor product safety and help serve as ‘signals’ to potential products of concern. In addition, </w:t>
            </w:r>
          </w:p>
          <w:p w:rsidR="00AD041E" w:rsidRPr="00AD041E" w:rsidP="00AD041E" w14:paraId="1B704585" w14:textId="77777777">
            <w:pPr>
              <w:rPr>
                <w:sz w:val="22"/>
                <w:szCs w:val="22"/>
              </w:rPr>
            </w:pPr>
          </w:p>
          <w:p w:rsidR="00764F21" w:rsidP="00AD041E" w14:paraId="3B61836B" w14:textId="77777777">
            <w:pPr>
              <w:rPr>
                <w:sz w:val="22"/>
                <w:szCs w:val="22"/>
              </w:rPr>
            </w:pPr>
            <w:r w:rsidRPr="00AD041E">
              <w:rPr>
                <w:sz w:val="22"/>
                <w:szCs w:val="22"/>
              </w:rPr>
              <w:t>CAERS receives AERs and PCs from industry, consumers, and healthcare professionals</w:t>
            </w:r>
            <w:r w:rsidR="00831CBA">
              <w:rPr>
                <w:sz w:val="22"/>
                <w:szCs w:val="22"/>
              </w:rPr>
              <w:t>, and a recent</w:t>
            </w:r>
            <w:r w:rsidRPr="00AD041E">
              <w:rPr>
                <w:sz w:val="22"/>
                <w:szCs w:val="22"/>
              </w:rPr>
              <w:t xml:space="preserve"> review of the classification of CAERS reporters found that healthcare professionals are severely underrepresented relative to other types of CAERS reporters</w:t>
            </w:r>
            <w:r w:rsidR="00831CBA">
              <w:rPr>
                <w:sz w:val="22"/>
                <w:szCs w:val="22"/>
              </w:rPr>
              <w:t>.</w:t>
            </w:r>
            <w:r w:rsidR="00EF782E">
              <w:rPr>
                <w:sz w:val="22"/>
                <w:szCs w:val="22"/>
              </w:rPr>
              <w:t xml:space="preserve"> </w:t>
            </w:r>
            <w:r w:rsidRPr="00AD041E">
              <w:rPr>
                <w:sz w:val="22"/>
                <w:szCs w:val="22"/>
              </w:rPr>
              <w:t xml:space="preserve"> </w:t>
            </w:r>
            <w:r w:rsidR="00EF782E">
              <w:rPr>
                <w:sz w:val="22"/>
                <w:szCs w:val="22"/>
              </w:rPr>
              <w:t>CAERS</w:t>
            </w:r>
            <w:r w:rsidRPr="00AD041E">
              <w:rPr>
                <w:sz w:val="22"/>
                <w:szCs w:val="22"/>
              </w:rPr>
              <w:t xml:space="preserve"> reports </w:t>
            </w:r>
            <w:r w:rsidR="00EF782E">
              <w:rPr>
                <w:sz w:val="22"/>
                <w:szCs w:val="22"/>
              </w:rPr>
              <w:t>are</w:t>
            </w:r>
            <w:r w:rsidRPr="00AD041E">
              <w:rPr>
                <w:sz w:val="22"/>
                <w:szCs w:val="22"/>
              </w:rPr>
              <w:t xml:space="preserve"> important role in helping FDA quickly identify products that may have caused AEs or PCs and act in a timely manner. </w:t>
            </w:r>
          </w:p>
          <w:p w:rsidR="00764F21" w:rsidP="00AD041E" w14:paraId="19A9BF15" w14:textId="77777777">
            <w:pPr>
              <w:rPr>
                <w:sz w:val="22"/>
                <w:szCs w:val="22"/>
              </w:rPr>
            </w:pPr>
          </w:p>
          <w:p w:rsidR="00AD041E" w:rsidRPr="00AD041E" w:rsidP="00AD041E" w14:paraId="3D27BE42" w14:textId="4DD121C3">
            <w:pPr>
              <w:rPr>
                <w:sz w:val="22"/>
                <w:szCs w:val="22"/>
              </w:rPr>
            </w:pPr>
            <w:r w:rsidRPr="00AD041E">
              <w:rPr>
                <w:sz w:val="22"/>
                <w:szCs w:val="22"/>
              </w:rPr>
              <w:t>FDA is looking to create education and outreach materials to increase healthcare professional reporting of AEs or PCs to FDA</w:t>
            </w:r>
            <w:r w:rsidR="00764F21">
              <w:rPr>
                <w:sz w:val="22"/>
                <w:szCs w:val="22"/>
              </w:rPr>
              <w:t>, and t</w:t>
            </w:r>
            <w:r w:rsidRPr="00AD041E">
              <w:rPr>
                <w:sz w:val="22"/>
                <w:szCs w:val="22"/>
              </w:rPr>
              <w:t xml:space="preserve">he information collected </w:t>
            </w:r>
            <w:r w:rsidR="00764F21">
              <w:rPr>
                <w:sz w:val="22"/>
                <w:szCs w:val="22"/>
              </w:rPr>
              <w:t xml:space="preserve">by this GenIC </w:t>
            </w:r>
            <w:r w:rsidR="003B61E8">
              <w:rPr>
                <w:sz w:val="22"/>
                <w:szCs w:val="22"/>
              </w:rPr>
              <w:t xml:space="preserve">submission helped </w:t>
            </w:r>
            <w:r w:rsidRPr="00AD041E">
              <w:rPr>
                <w:sz w:val="22"/>
                <w:szCs w:val="22"/>
              </w:rPr>
              <w:t>identify gaps in agency understanding of healthcare professionals’ knowledge of CAERS and assist</w:t>
            </w:r>
            <w:r w:rsidR="00BD6BDF">
              <w:rPr>
                <w:sz w:val="22"/>
                <w:szCs w:val="22"/>
              </w:rPr>
              <w:t>ed</w:t>
            </w:r>
            <w:r w:rsidR="003B61E8">
              <w:rPr>
                <w:sz w:val="22"/>
                <w:szCs w:val="22"/>
              </w:rPr>
              <w:t xml:space="preserve"> CFSAN in creating </w:t>
            </w:r>
            <w:r w:rsidRPr="00AD041E">
              <w:rPr>
                <w:sz w:val="22"/>
                <w:szCs w:val="22"/>
              </w:rPr>
              <w:t>effective educational materials.</w:t>
            </w:r>
          </w:p>
          <w:p w:rsidR="00AD041E" w:rsidRPr="00AD041E" w:rsidP="00AD041E" w14:paraId="38BAB3A2" w14:textId="77777777">
            <w:pPr>
              <w:rPr>
                <w:sz w:val="22"/>
                <w:szCs w:val="22"/>
              </w:rPr>
            </w:pPr>
          </w:p>
          <w:p w:rsidR="000770A1" w:rsidRPr="00593FDE" w:rsidP="00AD041E" w14:paraId="6C8DA906" w14:textId="5863759D">
            <w:pPr>
              <w:rPr>
                <w:sz w:val="22"/>
                <w:szCs w:val="22"/>
              </w:rPr>
            </w:pPr>
            <w:r>
              <w:rPr>
                <w:sz w:val="22"/>
                <w:szCs w:val="22"/>
              </w:rPr>
              <w:t xml:space="preserve">CFSAN, through its contractor, </w:t>
            </w:r>
            <w:r w:rsidRPr="00AD041E" w:rsidR="00AD041E">
              <w:rPr>
                <w:sz w:val="22"/>
                <w:szCs w:val="22"/>
              </w:rPr>
              <w:t>conduct</w:t>
            </w:r>
            <w:r w:rsidR="003B61E8">
              <w:rPr>
                <w:sz w:val="22"/>
                <w:szCs w:val="22"/>
              </w:rPr>
              <w:t>ed</w:t>
            </w:r>
            <w:r w:rsidRPr="00AD041E" w:rsidR="00AD041E">
              <w:rPr>
                <w:sz w:val="22"/>
                <w:szCs w:val="22"/>
              </w:rPr>
              <w:t xml:space="preserve"> one-on-one, in-depth interviews to understand healthcare professionals’ knowledge, attitudes, and behaviors with adverse event and product problem reporting to the FDA.  </w:t>
            </w:r>
            <w:r w:rsidR="00755FFC">
              <w:rPr>
                <w:sz w:val="22"/>
                <w:szCs w:val="22"/>
              </w:rPr>
              <w:t>H</w:t>
            </w:r>
            <w:r w:rsidRPr="00AD041E" w:rsidR="00AD041E">
              <w:rPr>
                <w:sz w:val="22"/>
                <w:szCs w:val="22"/>
              </w:rPr>
              <w:t xml:space="preserve">ealthcare professionals’ experiences with treating patients who have experienced adverse events or product problems from food, dietary supplements, infant formula, or cosmetics, and their awareness of FDA CAERS reporting, including any barriers or facilitators to reporting </w:t>
            </w:r>
            <w:r w:rsidR="00755FFC">
              <w:rPr>
                <w:sz w:val="22"/>
                <w:szCs w:val="22"/>
              </w:rPr>
              <w:t>these</w:t>
            </w:r>
            <w:r w:rsidRPr="00AD041E" w:rsidR="00AD041E">
              <w:rPr>
                <w:sz w:val="22"/>
                <w:szCs w:val="22"/>
              </w:rPr>
              <w:t xml:space="preserve"> events or product problems</w:t>
            </w:r>
            <w:r>
              <w:rPr>
                <w:sz w:val="22"/>
                <w:szCs w:val="22"/>
              </w:rPr>
              <w:t xml:space="preserve"> were identified, and </w:t>
            </w:r>
            <w:r>
              <w:rPr>
                <w:sz w:val="22"/>
                <w:szCs w:val="22"/>
              </w:rPr>
              <w:t>helped CFSAN</w:t>
            </w:r>
            <w:r w:rsidR="00BE6622">
              <w:rPr>
                <w:sz w:val="22"/>
                <w:szCs w:val="22"/>
              </w:rPr>
              <w:t xml:space="preserve"> </w:t>
            </w:r>
            <w:r w:rsidRPr="00AD041E" w:rsidR="00AD041E">
              <w:rPr>
                <w:sz w:val="22"/>
                <w:szCs w:val="22"/>
              </w:rPr>
              <w:t xml:space="preserve">learn more about the sources healthcare professionals use </w:t>
            </w:r>
            <w:r w:rsidR="00DD3ED8">
              <w:rPr>
                <w:sz w:val="22"/>
                <w:szCs w:val="22"/>
              </w:rPr>
              <w:t xml:space="preserve">for </w:t>
            </w:r>
            <w:r w:rsidRPr="00AD041E" w:rsidR="00AD041E">
              <w:rPr>
                <w:sz w:val="22"/>
                <w:szCs w:val="22"/>
              </w:rPr>
              <w:t xml:space="preserve">information about adverse event and product problem reporting, who </w:t>
            </w:r>
            <w:r w:rsidR="00DD3ED8">
              <w:rPr>
                <w:sz w:val="22"/>
                <w:szCs w:val="22"/>
              </w:rPr>
              <w:t xml:space="preserve">are </w:t>
            </w:r>
            <w:r w:rsidRPr="00AD041E" w:rsidR="00AD041E">
              <w:rPr>
                <w:sz w:val="22"/>
                <w:szCs w:val="22"/>
              </w:rPr>
              <w:t>the</w:t>
            </w:r>
            <w:r w:rsidR="00DD3ED8">
              <w:rPr>
                <w:sz w:val="22"/>
                <w:szCs w:val="22"/>
              </w:rPr>
              <w:t>ir</w:t>
            </w:r>
            <w:r w:rsidRPr="00AD041E" w:rsidR="00AD041E">
              <w:rPr>
                <w:sz w:val="22"/>
                <w:szCs w:val="22"/>
              </w:rPr>
              <w:t xml:space="preserve"> sources of information, and the best communication channels FDA </w:t>
            </w:r>
            <w:r w:rsidR="001D2790">
              <w:rPr>
                <w:sz w:val="22"/>
                <w:szCs w:val="22"/>
              </w:rPr>
              <w:t xml:space="preserve">and CFSAN </w:t>
            </w:r>
            <w:r w:rsidRPr="00AD041E" w:rsidR="00AD041E">
              <w:rPr>
                <w:sz w:val="22"/>
                <w:szCs w:val="22"/>
              </w:rPr>
              <w:t>use to educate healthcare professionals on CAERS reporting.</w:t>
            </w:r>
          </w:p>
        </w:tc>
        <w:tc>
          <w:tcPr>
            <w:tcW w:w="567" w:type="pct"/>
          </w:tcPr>
          <w:p w:rsidR="000770A1" w:rsidRPr="00593FDE" w:rsidP="0059128B" w14:paraId="119A3DE6" w14:textId="1B385800">
            <w:pPr>
              <w:rPr>
                <w:sz w:val="22"/>
                <w:szCs w:val="22"/>
              </w:rPr>
            </w:pPr>
            <w:r>
              <w:rPr>
                <w:sz w:val="22"/>
                <w:szCs w:val="22"/>
              </w:rPr>
              <w:t>29</w:t>
            </w:r>
            <w:r w:rsidR="00453BB1">
              <w:t xml:space="preserve"> </w:t>
            </w:r>
            <w:r w:rsidR="001E7D60">
              <w:t xml:space="preserve">hours </w:t>
            </w:r>
            <w:r w:rsidRPr="00453BB1" w:rsidR="00453BB1">
              <w:rPr>
                <w:sz w:val="22"/>
                <w:szCs w:val="22"/>
              </w:rPr>
              <w:t xml:space="preserve">were used to conduct </w:t>
            </w:r>
            <w:r w:rsidR="001E7D60">
              <w:rPr>
                <w:sz w:val="22"/>
                <w:szCs w:val="22"/>
              </w:rPr>
              <w:t xml:space="preserve">in-depth interviews </w:t>
            </w:r>
            <w:r w:rsidR="009B173F">
              <w:rPr>
                <w:sz w:val="22"/>
                <w:szCs w:val="22"/>
              </w:rPr>
              <w:t xml:space="preserve">of healthcare professionals who have used </w:t>
            </w:r>
            <w:r w:rsidR="00837971">
              <w:rPr>
                <w:sz w:val="22"/>
                <w:szCs w:val="22"/>
              </w:rPr>
              <w:t xml:space="preserve">CFSAN’s CAERS adverse event </w:t>
            </w:r>
            <w:r w:rsidR="00EE503D">
              <w:rPr>
                <w:sz w:val="22"/>
                <w:szCs w:val="22"/>
              </w:rPr>
              <w:t>reporting system.</w:t>
            </w:r>
            <w:r w:rsidRPr="00453BB1" w:rsidR="00453BB1">
              <w:rPr>
                <w:sz w:val="22"/>
                <w:szCs w:val="22"/>
              </w:rPr>
              <w:t>.</w:t>
            </w:r>
            <w:r w:rsidR="00453BB1">
              <w:rPr>
                <w:sz w:val="22"/>
                <w:szCs w:val="22"/>
              </w:rPr>
              <w:t xml:space="preserve"> </w:t>
            </w:r>
          </w:p>
        </w:tc>
      </w:tr>
      <w:tr w14:paraId="40DD2BEC" w14:textId="77777777" w:rsidTr="001E7D60">
        <w:tblPrEx>
          <w:tblW w:w="4917" w:type="pct"/>
          <w:tblInd w:w="18" w:type="dxa"/>
          <w:tblLayout w:type="fixed"/>
          <w:tblLook w:val="01E0"/>
        </w:tblPrEx>
        <w:trPr>
          <w:cantSplit/>
        </w:trPr>
        <w:tc>
          <w:tcPr>
            <w:tcW w:w="1235" w:type="pct"/>
            <w:shd w:val="clear" w:color="auto" w:fill="auto"/>
          </w:tcPr>
          <w:p w:rsidR="000E04F6" w:rsidRPr="008543EA" w:rsidP="00041208" w14:paraId="303F825F" w14:textId="0A2C7238">
            <w:pPr>
              <w:keepLines/>
              <w:ind w:right="-18"/>
              <w:rPr>
                <w:b/>
                <w:bCs/>
                <w:sz w:val="22"/>
                <w:szCs w:val="22"/>
              </w:rPr>
            </w:pPr>
            <w:r w:rsidRPr="008543EA">
              <w:rPr>
                <w:b/>
                <w:bCs/>
                <w:sz w:val="22"/>
                <w:szCs w:val="22"/>
              </w:rPr>
              <w:t>Total Hours</w:t>
            </w:r>
            <w:r w:rsidRPr="008543EA" w:rsidR="005D70BA">
              <w:rPr>
                <w:b/>
                <w:bCs/>
                <w:sz w:val="22"/>
                <w:szCs w:val="22"/>
              </w:rPr>
              <w:t xml:space="preserve"> Actually Used for ICs under Currently Approved ICR</w:t>
            </w:r>
          </w:p>
        </w:tc>
        <w:tc>
          <w:tcPr>
            <w:tcW w:w="1340" w:type="pct"/>
            <w:shd w:val="clear" w:color="auto" w:fill="auto"/>
          </w:tcPr>
          <w:p w:rsidR="000770A1" w:rsidRPr="008543EA" w:rsidP="00041208" w14:paraId="0F7949E9" w14:textId="77777777">
            <w:pPr>
              <w:autoSpaceDE w:val="0"/>
              <w:autoSpaceDN w:val="0"/>
              <w:adjustRightInd w:val="0"/>
              <w:rPr>
                <w:b/>
                <w:bCs/>
                <w:sz w:val="22"/>
                <w:szCs w:val="22"/>
              </w:rPr>
            </w:pPr>
          </w:p>
        </w:tc>
        <w:tc>
          <w:tcPr>
            <w:tcW w:w="1858" w:type="pct"/>
          </w:tcPr>
          <w:p w:rsidR="000770A1" w:rsidRPr="008543EA" w:rsidP="00041208" w14:paraId="3B15297D" w14:textId="77777777">
            <w:pPr>
              <w:jc w:val="right"/>
              <w:rPr>
                <w:b/>
                <w:bCs/>
                <w:sz w:val="22"/>
                <w:szCs w:val="22"/>
              </w:rPr>
            </w:pPr>
          </w:p>
        </w:tc>
        <w:tc>
          <w:tcPr>
            <w:tcW w:w="567" w:type="pct"/>
          </w:tcPr>
          <w:p w:rsidR="000770A1" w:rsidRPr="008543EA" w:rsidP="0059128B" w14:paraId="35E582F1" w14:textId="327C0397">
            <w:pPr>
              <w:jc w:val="right"/>
              <w:rPr>
                <w:b/>
                <w:bCs/>
                <w:sz w:val="22"/>
                <w:szCs w:val="22"/>
              </w:rPr>
            </w:pPr>
            <w:r w:rsidRPr="008543EA">
              <w:rPr>
                <w:b/>
                <w:bCs/>
                <w:sz w:val="22"/>
                <w:szCs w:val="22"/>
              </w:rPr>
              <w:t>965</w:t>
            </w:r>
          </w:p>
        </w:tc>
      </w:tr>
    </w:tbl>
    <w:p w:rsidR="000E04F6" w14:paraId="71D50CC4" w14:textId="586FF351">
      <w:pPr>
        <w:spacing w:after="160" w:line="259" w:lineRule="auto"/>
      </w:pPr>
    </w:p>
    <w:sectPr w:rsidSect="000E04F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02B95"/>
    <w:rsid w:val="00007A62"/>
    <w:rsid w:val="00022E9A"/>
    <w:rsid w:val="00041208"/>
    <w:rsid w:val="000770A1"/>
    <w:rsid w:val="00097CF4"/>
    <w:rsid w:val="000B5632"/>
    <w:rsid w:val="000D5381"/>
    <w:rsid w:val="000E04F6"/>
    <w:rsid w:val="00103B35"/>
    <w:rsid w:val="001214F4"/>
    <w:rsid w:val="001C17FC"/>
    <w:rsid w:val="001C328F"/>
    <w:rsid w:val="001C5FCB"/>
    <w:rsid w:val="001D2790"/>
    <w:rsid w:val="001D2BD3"/>
    <w:rsid w:val="001D711E"/>
    <w:rsid w:val="001E7D60"/>
    <w:rsid w:val="00211138"/>
    <w:rsid w:val="002419E7"/>
    <w:rsid w:val="002569B2"/>
    <w:rsid w:val="002E6A72"/>
    <w:rsid w:val="002F6D90"/>
    <w:rsid w:val="0031118E"/>
    <w:rsid w:val="00314068"/>
    <w:rsid w:val="00336C9D"/>
    <w:rsid w:val="00347044"/>
    <w:rsid w:val="00351171"/>
    <w:rsid w:val="00357C8A"/>
    <w:rsid w:val="0038570F"/>
    <w:rsid w:val="003B61E8"/>
    <w:rsid w:val="003B6700"/>
    <w:rsid w:val="004116D4"/>
    <w:rsid w:val="00453BB1"/>
    <w:rsid w:val="00471E28"/>
    <w:rsid w:val="00497D15"/>
    <w:rsid w:val="00513E90"/>
    <w:rsid w:val="0052384A"/>
    <w:rsid w:val="00564762"/>
    <w:rsid w:val="005857D3"/>
    <w:rsid w:val="0059128B"/>
    <w:rsid w:val="00593FDE"/>
    <w:rsid w:val="005D70BA"/>
    <w:rsid w:val="005E12C2"/>
    <w:rsid w:val="005E697A"/>
    <w:rsid w:val="00601CA0"/>
    <w:rsid w:val="00755C77"/>
    <w:rsid w:val="00755FFC"/>
    <w:rsid w:val="00764F21"/>
    <w:rsid w:val="007C38EF"/>
    <w:rsid w:val="00830B1C"/>
    <w:rsid w:val="00831CBA"/>
    <w:rsid w:val="00837971"/>
    <w:rsid w:val="008543EA"/>
    <w:rsid w:val="008B6695"/>
    <w:rsid w:val="008B774E"/>
    <w:rsid w:val="008D559C"/>
    <w:rsid w:val="008E0331"/>
    <w:rsid w:val="00904017"/>
    <w:rsid w:val="0092719B"/>
    <w:rsid w:val="009A131F"/>
    <w:rsid w:val="009B173F"/>
    <w:rsid w:val="009B279C"/>
    <w:rsid w:val="009D10B9"/>
    <w:rsid w:val="00A316AF"/>
    <w:rsid w:val="00A333D0"/>
    <w:rsid w:val="00A37EE3"/>
    <w:rsid w:val="00A411BB"/>
    <w:rsid w:val="00A64B2F"/>
    <w:rsid w:val="00AD041E"/>
    <w:rsid w:val="00AD3A31"/>
    <w:rsid w:val="00AE4204"/>
    <w:rsid w:val="00B06C2C"/>
    <w:rsid w:val="00B2132D"/>
    <w:rsid w:val="00BD6BDF"/>
    <w:rsid w:val="00BE6622"/>
    <w:rsid w:val="00C02842"/>
    <w:rsid w:val="00C558D9"/>
    <w:rsid w:val="00C61C46"/>
    <w:rsid w:val="00CB7318"/>
    <w:rsid w:val="00D011F2"/>
    <w:rsid w:val="00D17B7F"/>
    <w:rsid w:val="00D26A31"/>
    <w:rsid w:val="00D641A5"/>
    <w:rsid w:val="00D70BA0"/>
    <w:rsid w:val="00D9424C"/>
    <w:rsid w:val="00DB0B8C"/>
    <w:rsid w:val="00DB70A6"/>
    <w:rsid w:val="00DC178A"/>
    <w:rsid w:val="00DD3ED8"/>
    <w:rsid w:val="00E76997"/>
    <w:rsid w:val="00EA5150"/>
    <w:rsid w:val="00EA5D90"/>
    <w:rsid w:val="00ED2870"/>
    <w:rsid w:val="00EE503D"/>
    <w:rsid w:val="00EE7B9F"/>
    <w:rsid w:val="00EF782E"/>
    <w:rsid w:val="00F07FED"/>
    <w:rsid w:val="00F1249A"/>
    <w:rsid w:val="00F317D8"/>
    <w:rsid w:val="00F40DB6"/>
    <w:rsid w:val="00F6279D"/>
    <w:rsid w:val="00FA3C09"/>
    <w:rsid w:val="00FE4438"/>
    <w:rsid w:val="00FF1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Sanford, Amber</cp:lastModifiedBy>
  <cp:revision>3</cp:revision>
  <dcterms:created xsi:type="dcterms:W3CDTF">2023-08-08T14:04:00Z</dcterms:created>
  <dcterms:modified xsi:type="dcterms:W3CDTF">2023-08-08T14:05:00Z</dcterms:modified>
</cp:coreProperties>
</file>