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24A8" w:rsidR="00411339" w:rsidRDefault="00411339" w14:paraId="73F48322" w14:textId="77777777">
      <w:pPr>
        <w:pStyle w:val="BodyText"/>
        <w:spacing w:before="9"/>
        <w:rPr>
          <w:sz w:val="23"/>
        </w:rPr>
      </w:pPr>
    </w:p>
    <w:p w:rsidR="006A48D8" w:rsidP="006A48D8" w:rsidRDefault="006A48D8" w14:paraId="368D7125" w14:textId="77777777">
      <w:pPr>
        <w:ind w:left="720"/>
        <w:jc w:val="right"/>
      </w:pPr>
      <w:bookmarkStart w:name="APPENDIX_2:" w:id="0"/>
      <w:bookmarkEnd w:id="0"/>
      <w:r>
        <w:t xml:space="preserve">OMB Control Number: </w:t>
      </w:r>
      <w:r w:rsidRPr="0A3CECA1">
        <w:t>0938-NEW</w:t>
      </w:r>
    </w:p>
    <w:p w:rsidR="006A48D8" w:rsidP="006A48D8" w:rsidRDefault="006A48D8" w14:paraId="6B3A6FE1" w14:textId="77777777">
      <w:pPr>
        <w:ind w:left="720"/>
        <w:jc w:val="right"/>
      </w:pPr>
      <w:r>
        <w:t xml:space="preserve">Expiration Date: </w:t>
      </w:r>
      <w:r w:rsidRPr="0A3CECA1">
        <w:rPr>
          <w:rFonts w:ascii="Calibri" w:hAnsi="Calibri" w:eastAsia="Calibri" w:cs="Calibri"/>
        </w:rPr>
        <w:t>XX/XXXX</w:t>
      </w:r>
    </w:p>
    <w:p w:rsidR="00F746D8" w:rsidRDefault="00F746D8" w14:paraId="660018F1" w14:textId="77777777">
      <w:pPr>
        <w:pStyle w:val="Heading1"/>
      </w:pPr>
      <w:bookmarkStart w:name="_GoBack" w:id="1"/>
      <w:bookmarkEnd w:id="1"/>
    </w:p>
    <w:p w:rsidR="00411339" w:rsidRDefault="000E543A" w14:paraId="0657B002" w14:textId="4A4F79CA">
      <w:pPr>
        <w:pStyle w:val="Heading1"/>
      </w:pPr>
      <w:r>
        <w:t>APPENDIX</w:t>
      </w:r>
      <w:r>
        <w:rPr>
          <w:spacing w:val="-7"/>
        </w:rPr>
        <w:t xml:space="preserve"> </w:t>
      </w:r>
      <w:r w:rsidR="00734A6F">
        <w:rPr>
          <w:spacing w:val="-7"/>
        </w:rPr>
        <w:t>5</w:t>
      </w:r>
    </w:p>
    <w:p w:rsidR="00411339" w:rsidRDefault="00411339" w14:paraId="6D07EB8E" w14:textId="77777777">
      <w:pPr>
        <w:pStyle w:val="BodyText"/>
        <w:spacing w:before="10"/>
        <w:rPr>
          <w:b/>
          <w:sz w:val="21"/>
        </w:rPr>
      </w:pPr>
    </w:p>
    <w:p w:rsidR="007D2159" w:rsidP="007D2159" w:rsidRDefault="00D37289" w14:paraId="6906E536" w14:textId="0D0E6D3E">
      <w:pPr>
        <w:spacing w:before="1"/>
        <w:ind w:right="60"/>
        <w:jc w:val="center"/>
        <w:rPr>
          <w:b/>
          <w:sz w:val="24"/>
        </w:rPr>
      </w:pPr>
      <w:bookmarkStart w:name="In-network_Rate_Machine-Readable_File" w:id="2"/>
      <w:bookmarkStart w:name="Data_Elements" w:id="3"/>
      <w:bookmarkStart w:name="The_Departments_of_the_Treasury,_Labor,_" w:id="4"/>
      <w:bookmarkEnd w:id="2"/>
      <w:bookmarkEnd w:id="3"/>
      <w:bookmarkEnd w:id="4"/>
      <w:r>
        <w:rPr>
          <w:b/>
          <w:sz w:val="24"/>
        </w:rPr>
        <w:t>Patient-Provider</w:t>
      </w:r>
      <w:r w:rsidR="00675CBA">
        <w:rPr>
          <w:b/>
          <w:sz w:val="24"/>
        </w:rPr>
        <w:t xml:space="preserve"> </w:t>
      </w:r>
      <w:r w:rsidR="00D25D3A">
        <w:rPr>
          <w:b/>
          <w:sz w:val="24"/>
        </w:rPr>
        <w:t xml:space="preserve">Selected </w:t>
      </w:r>
      <w:r w:rsidR="00675CBA">
        <w:rPr>
          <w:b/>
          <w:sz w:val="24"/>
        </w:rPr>
        <w:t>Dispute Resolution</w:t>
      </w:r>
      <w:r w:rsidR="00D25D3A">
        <w:rPr>
          <w:b/>
          <w:sz w:val="24"/>
        </w:rPr>
        <w:t xml:space="preserve"> </w:t>
      </w:r>
      <w:r w:rsidR="00EB32FE">
        <w:rPr>
          <w:b/>
          <w:sz w:val="24"/>
        </w:rPr>
        <w:t xml:space="preserve">(SDR) </w:t>
      </w:r>
      <w:r w:rsidR="006F3607">
        <w:rPr>
          <w:b/>
          <w:sz w:val="24"/>
        </w:rPr>
        <w:t xml:space="preserve">Entity </w:t>
      </w:r>
      <w:r w:rsidR="006E6840">
        <w:rPr>
          <w:b/>
          <w:sz w:val="24"/>
        </w:rPr>
        <w:t>Certification</w:t>
      </w:r>
      <w:r w:rsidR="00CF5FEC">
        <w:rPr>
          <w:b/>
          <w:sz w:val="24"/>
        </w:rPr>
        <w:t xml:space="preserve"> Application</w:t>
      </w:r>
    </w:p>
    <w:p w:rsidR="00411339" w:rsidRDefault="000E543A" w14:paraId="63E49494" w14:textId="676D5947">
      <w:pPr>
        <w:spacing w:before="1"/>
        <w:ind w:left="2731" w:right="2910"/>
        <w:jc w:val="center"/>
        <w:rPr>
          <w:b/>
          <w:sz w:val="24"/>
        </w:rPr>
      </w:pPr>
      <w:r>
        <w:rPr>
          <w:b/>
          <w:sz w:val="24"/>
        </w:rPr>
        <w:t xml:space="preserve"> Data</w:t>
      </w:r>
      <w:r>
        <w:rPr>
          <w:b/>
          <w:spacing w:val="-1"/>
          <w:sz w:val="24"/>
        </w:rPr>
        <w:t xml:space="preserve"> </w:t>
      </w:r>
      <w:r>
        <w:rPr>
          <w:b/>
          <w:sz w:val="24"/>
        </w:rPr>
        <w:t>Elements</w:t>
      </w:r>
    </w:p>
    <w:p w:rsidR="00411339" w:rsidRDefault="00411339" w14:paraId="5324E47B" w14:textId="77777777">
      <w:pPr>
        <w:pStyle w:val="BodyText"/>
        <w:spacing w:before="10"/>
        <w:rPr>
          <w:b/>
          <w:sz w:val="30"/>
        </w:rPr>
      </w:pPr>
    </w:p>
    <w:p w:rsidR="00D25D3A" w:rsidP="0043007C" w:rsidRDefault="0043007C" w14:paraId="0BADACAF" w14:textId="1891AE5B">
      <w:pPr>
        <w:pStyle w:val="Heading2"/>
        <w:ind w:right="366"/>
      </w:pPr>
      <w:r>
        <w:t xml:space="preserve">The Departments </w:t>
      </w:r>
      <w:r w:rsidR="00D25D3A">
        <w:t xml:space="preserve">of the Treasury, </w:t>
      </w:r>
      <w:r>
        <w:t>Labor and Health and Human Services (the Departments) have issued the Requirements Related to Surprise Billing; Part II interim final rule (</w:t>
      </w:r>
      <w:hyperlink w:history="1" r:id="rId12">
        <w:r w:rsidRPr="00321FB8" w:rsidR="00321FB8">
          <w:rPr>
            <w:rStyle w:val="Hyperlink"/>
          </w:rPr>
          <w:t>86 FR 55980</w:t>
        </w:r>
      </w:hyperlink>
      <w:r>
        <w:t>), which provides protections for the uninsured</w:t>
      </w:r>
      <w:r w:rsidR="003C492A">
        <w:t xml:space="preserve">. </w:t>
      </w:r>
      <w:r w:rsidR="00EB32FE">
        <w:t xml:space="preserve"> </w:t>
      </w:r>
      <w:r w:rsidR="003C492A">
        <w:t>This rule requires</w:t>
      </w:r>
      <w:r>
        <w:t xml:space="preserve"> the Secretary of HHS to establish a process referred to as </w:t>
      </w:r>
      <w:r w:rsidR="00321FB8">
        <w:t xml:space="preserve">the </w:t>
      </w:r>
      <w:r>
        <w:t>patient-provider dispute resolution</w:t>
      </w:r>
      <w:r w:rsidR="00817D1B">
        <w:t xml:space="preserve"> process.</w:t>
      </w:r>
      <w:r>
        <w:t xml:space="preserve"> </w:t>
      </w:r>
      <w:r w:rsidR="00EB32FE">
        <w:t xml:space="preserve"> </w:t>
      </w:r>
      <w:r w:rsidR="00817D1B">
        <w:t xml:space="preserve">Under this process, </w:t>
      </w:r>
      <w:r>
        <w:t xml:space="preserve">an uninsured </w:t>
      </w:r>
      <w:r w:rsidR="00817D1B">
        <w:t xml:space="preserve">(or self-pay) </w:t>
      </w:r>
      <w:r>
        <w:t>individual</w:t>
      </w:r>
      <w:r w:rsidR="004314DF">
        <w:t xml:space="preserve"> may seek a determination from a</w:t>
      </w:r>
      <w:r w:rsidR="00EB32FE">
        <w:t xml:space="preserve">n SDR </w:t>
      </w:r>
      <w:r w:rsidR="004314DF">
        <w:t xml:space="preserve">entity for </w:t>
      </w:r>
      <w:r w:rsidR="00051AC2">
        <w:t>any billed charges</w:t>
      </w:r>
      <w:r w:rsidR="00A53467">
        <w:t xml:space="preserve"> from a provider</w:t>
      </w:r>
      <w:r w:rsidR="00195FF0">
        <w:rPr>
          <w:rStyle w:val="FootnoteReference"/>
        </w:rPr>
        <w:footnoteReference w:id="2"/>
      </w:r>
      <w:r w:rsidR="00A53467">
        <w:t xml:space="preserve"> or facility</w:t>
      </w:r>
      <w:r w:rsidR="00051AC2">
        <w:t xml:space="preserve"> that are substantially in excess of the good faith estimate provided by </w:t>
      </w:r>
      <w:r w:rsidR="00F746D8">
        <w:t xml:space="preserve">that </w:t>
      </w:r>
      <w:r w:rsidR="00051AC2">
        <w:t xml:space="preserve">health care provider or facility in advance of receiving the items or services. </w:t>
      </w:r>
      <w:r w:rsidR="00EB32FE">
        <w:t xml:space="preserve"> </w:t>
      </w:r>
      <w:r w:rsidRPr="00FF1ED3" w:rsidR="00FF1ED3">
        <w:t>These requirements provide for a</w:t>
      </w:r>
      <w:r w:rsidR="00EB32FE">
        <w:t xml:space="preserve">n </w:t>
      </w:r>
      <w:r w:rsidR="00D25D3A">
        <w:t>SDR</w:t>
      </w:r>
      <w:r w:rsidRPr="00FF1ED3" w:rsidR="00FF1ED3">
        <w:t xml:space="preserve"> entity to review and make an independent, binding determination of the </w:t>
      </w:r>
      <w:r w:rsidR="0059616B">
        <w:t>payment amount</w:t>
      </w:r>
      <w:r w:rsidRPr="00FF1ED3" w:rsidR="00FF1ED3">
        <w:t xml:space="preserve"> for items and services. </w:t>
      </w:r>
      <w:r w:rsidR="00EB32FE">
        <w:t xml:space="preserve"> </w:t>
      </w:r>
      <w:r w:rsidRPr="00FF1ED3" w:rsidR="00305BD9">
        <w:t>The</w:t>
      </w:r>
      <w:r w:rsidR="00F746D8">
        <w:t xml:space="preserve"> </w:t>
      </w:r>
      <w:r w:rsidR="00305BD9">
        <w:t>S</w:t>
      </w:r>
      <w:r w:rsidRPr="00FF1ED3" w:rsidR="00305BD9">
        <w:t>DR entit</w:t>
      </w:r>
      <w:r w:rsidR="00F746D8">
        <w:t xml:space="preserve">y </w:t>
      </w:r>
      <w:r w:rsidRPr="00FF1ED3" w:rsidR="00305BD9">
        <w:t xml:space="preserve">must be certified by the Secretary under </w:t>
      </w:r>
      <w:r w:rsidR="00305BD9">
        <w:t>45 CFR 149.6</w:t>
      </w:r>
      <w:r w:rsidR="00436535">
        <w:t>20</w:t>
      </w:r>
      <w:r w:rsidR="00B131BB">
        <w:t>(</w:t>
      </w:r>
      <w:r w:rsidR="004F184E">
        <w:t>d</w:t>
      </w:r>
      <w:r w:rsidR="00B131BB">
        <w:t>)</w:t>
      </w:r>
      <w:r>
        <w:t xml:space="preserve">. </w:t>
      </w:r>
      <w:r w:rsidR="006E0982">
        <w:t xml:space="preserve"> </w:t>
      </w:r>
      <w:r w:rsidRPr="008A43FC" w:rsidR="00CB0BEE">
        <w:t xml:space="preserve">HHS intends to contract with </w:t>
      </w:r>
      <w:r w:rsidR="00436535">
        <w:t xml:space="preserve">between </w:t>
      </w:r>
      <w:r w:rsidR="004D4592">
        <w:t>1</w:t>
      </w:r>
      <w:r w:rsidR="00436535">
        <w:t xml:space="preserve"> and </w:t>
      </w:r>
      <w:r w:rsidRPr="008A43FC" w:rsidR="00CB0BEE">
        <w:t xml:space="preserve">3 SDR entities that meet the certification requirements outlined in </w:t>
      </w:r>
      <w:r w:rsidR="002E5663">
        <w:t>45 CFR 149.6</w:t>
      </w:r>
      <w:r w:rsidR="00436535">
        <w:t>20</w:t>
      </w:r>
      <w:r w:rsidR="002E5663">
        <w:t>(</w:t>
      </w:r>
      <w:r w:rsidR="004F184E">
        <w:t>d</w:t>
      </w:r>
      <w:r w:rsidR="002E5663">
        <w:t>)</w:t>
      </w:r>
      <w:r w:rsidR="00195FF0">
        <w:t>,</w:t>
      </w:r>
      <w:r w:rsidRPr="008A43FC" w:rsidR="00CB0BEE">
        <w:t xml:space="preserve"> rather than pursue an open certification process</w:t>
      </w:r>
      <w:r w:rsidR="003151C3">
        <w:t xml:space="preserve"> as is the case for certified </w:t>
      </w:r>
      <w:r w:rsidR="00F746D8">
        <w:t>Independent Dispute Resolution (</w:t>
      </w:r>
      <w:r w:rsidR="003151C3">
        <w:t>IDR</w:t>
      </w:r>
      <w:r w:rsidR="00F746D8">
        <w:t>)</w:t>
      </w:r>
      <w:r w:rsidR="003151C3">
        <w:t xml:space="preserve"> entities in the federal IDR process</w:t>
      </w:r>
      <w:r w:rsidRPr="008A43FC" w:rsidR="00CB0BEE">
        <w:t xml:space="preserve">. </w:t>
      </w:r>
    </w:p>
    <w:p w:rsidR="00D25D3A" w:rsidP="0043007C" w:rsidRDefault="00D25D3A" w14:paraId="0DF14DF7" w14:textId="77777777">
      <w:pPr>
        <w:pStyle w:val="Heading2"/>
        <w:ind w:right="366"/>
      </w:pPr>
    </w:p>
    <w:p w:rsidR="0043007C" w:rsidP="0043007C" w:rsidRDefault="0043007C" w14:paraId="792FB6A2" w14:textId="3A7CD2BA">
      <w:pPr>
        <w:pStyle w:val="Heading2"/>
        <w:ind w:right="366"/>
      </w:pPr>
      <w:r>
        <w:t xml:space="preserve">The table below identifies data elements that </w:t>
      </w:r>
      <w:r w:rsidR="00732C7C">
        <w:t>an organization seeking to become a</w:t>
      </w:r>
      <w:r w:rsidR="00EB32FE">
        <w:t>n</w:t>
      </w:r>
      <w:r w:rsidR="00732C7C">
        <w:t xml:space="preserve"> </w:t>
      </w:r>
      <w:r w:rsidR="00D25D3A">
        <w:t>S</w:t>
      </w:r>
      <w:r>
        <w:t xml:space="preserve">DR entity is required to include in the </w:t>
      </w:r>
      <w:r w:rsidR="002D2C6D">
        <w:t xml:space="preserve">contracting </w:t>
      </w:r>
      <w:r>
        <w:t>process.</w:t>
      </w:r>
    </w:p>
    <w:p w:rsidR="00411339" w:rsidRDefault="00411339" w14:paraId="10AF50F3" w14:textId="77777777">
      <w:pPr>
        <w:pStyle w:val="BodyText"/>
        <w:spacing w:before="1"/>
        <w:rPr>
          <w:sz w:val="21"/>
        </w:rPr>
      </w:pPr>
    </w:p>
    <w:tbl>
      <w:tblPr>
        <w:tblW w:w="9540"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1"/>
        <w:gridCol w:w="6109"/>
      </w:tblGrid>
      <w:tr w:rsidR="00411339" w:rsidTr="008B5A39" w14:paraId="1A490DAA" w14:textId="77777777">
        <w:trPr>
          <w:trHeight w:val="506"/>
          <w:tblHeader/>
        </w:trPr>
        <w:tc>
          <w:tcPr>
            <w:tcW w:w="3431" w:type="dxa"/>
          </w:tcPr>
          <w:p w:rsidRPr="009014C5" w:rsidR="00411339" w:rsidP="009014C5" w:rsidRDefault="000E543A" w14:paraId="30C133C0" w14:textId="77777777">
            <w:pPr>
              <w:pStyle w:val="TableParagraph"/>
              <w:spacing w:before="0"/>
              <w:ind w:left="743" w:right="115"/>
              <w:rPr>
                <w:b/>
                <w:sz w:val="24"/>
                <w:szCs w:val="24"/>
              </w:rPr>
            </w:pPr>
            <w:r w:rsidRPr="009014C5">
              <w:rPr>
                <w:b/>
                <w:sz w:val="24"/>
                <w:szCs w:val="24"/>
              </w:rPr>
              <w:t>DATA ELEMENT</w:t>
            </w:r>
          </w:p>
        </w:tc>
        <w:tc>
          <w:tcPr>
            <w:tcW w:w="6109" w:type="dxa"/>
          </w:tcPr>
          <w:p w:rsidRPr="009014C5" w:rsidR="00411339" w:rsidP="009014C5" w:rsidRDefault="000E543A" w14:paraId="7EEB0C6F" w14:textId="77777777">
            <w:pPr>
              <w:pStyle w:val="TableParagraph"/>
              <w:spacing w:before="0"/>
              <w:ind w:left="2196" w:right="2192"/>
              <w:jc w:val="center"/>
              <w:rPr>
                <w:b/>
                <w:sz w:val="24"/>
                <w:szCs w:val="24"/>
              </w:rPr>
            </w:pPr>
            <w:r w:rsidRPr="009014C5">
              <w:rPr>
                <w:b/>
                <w:sz w:val="24"/>
                <w:szCs w:val="24"/>
              </w:rPr>
              <w:t>DESCRIPTION</w:t>
            </w:r>
          </w:p>
        </w:tc>
      </w:tr>
      <w:tr w:rsidR="00411339" w:rsidTr="008B5A39" w14:paraId="6A597DA7" w14:textId="77777777">
        <w:trPr>
          <w:trHeight w:val="340"/>
        </w:trPr>
        <w:tc>
          <w:tcPr>
            <w:tcW w:w="9540" w:type="dxa"/>
            <w:gridSpan w:val="2"/>
            <w:shd w:val="clear" w:color="auto" w:fill="D9D9D9" w:themeFill="background1" w:themeFillShade="D9"/>
          </w:tcPr>
          <w:p w:rsidRPr="009014C5" w:rsidR="00411339" w:rsidP="009014C5" w:rsidRDefault="00D25D3A" w14:paraId="7F9DF8AA" w14:textId="00B94EC9">
            <w:pPr>
              <w:pStyle w:val="TableParagraph"/>
              <w:spacing w:before="0"/>
              <w:ind w:right="115"/>
              <w:rPr>
                <w:b/>
                <w:sz w:val="24"/>
                <w:szCs w:val="24"/>
              </w:rPr>
            </w:pPr>
            <w:r>
              <w:rPr>
                <w:b/>
                <w:sz w:val="24"/>
                <w:szCs w:val="24"/>
              </w:rPr>
              <w:t>S</w:t>
            </w:r>
            <w:r w:rsidR="00634AB9">
              <w:rPr>
                <w:b/>
                <w:sz w:val="24"/>
                <w:szCs w:val="24"/>
              </w:rPr>
              <w:t>DR Entity Application for Certification</w:t>
            </w:r>
          </w:p>
        </w:tc>
      </w:tr>
      <w:tr w:rsidR="00830BDF" w:rsidTr="00830BDF" w14:paraId="3798F77E" w14:textId="77777777">
        <w:trPr>
          <w:trHeight w:val="340"/>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0F43D041" w14:textId="77777777">
            <w:pPr>
              <w:pStyle w:val="TableParagraph"/>
              <w:spacing w:before="0"/>
              <w:ind w:right="115"/>
              <w:rPr>
                <w:i/>
                <w:sz w:val="24"/>
                <w:szCs w:val="24"/>
              </w:rPr>
            </w:pPr>
            <w:r>
              <w:rPr>
                <w:i/>
                <w:sz w:val="24"/>
                <w:szCs w:val="24"/>
              </w:rPr>
              <w:t>General Company Information</w:t>
            </w:r>
          </w:p>
        </w:tc>
      </w:tr>
      <w:tr w:rsidR="004B1123" w:rsidTr="00884FCA" w14:paraId="624669A9"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496082FD" w14:textId="77777777">
            <w:pPr>
              <w:pStyle w:val="TableParagraph"/>
              <w:spacing w:before="0"/>
              <w:ind w:right="115"/>
              <w:rPr>
                <w:sz w:val="24"/>
                <w:szCs w:val="24"/>
              </w:rPr>
            </w:pPr>
            <w:r>
              <w:rPr>
                <w:sz w:val="24"/>
                <w:szCs w:val="24"/>
              </w:rPr>
              <w:t>Legal SDR entity Name and trade name (DBA) if applicable</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168E0AF0" w14:textId="77777777">
            <w:pPr>
              <w:pStyle w:val="TableParagraph"/>
              <w:spacing w:before="0"/>
              <w:ind w:right="210"/>
              <w:rPr>
                <w:sz w:val="24"/>
                <w:szCs w:val="24"/>
              </w:rPr>
            </w:pPr>
            <w:r>
              <w:rPr>
                <w:sz w:val="24"/>
                <w:szCs w:val="24"/>
              </w:rPr>
              <w:t>SDR entity’s legal name as written on their business license, and DBA if applicable</w:t>
            </w:r>
          </w:p>
        </w:tc>
      </w:tr>
      <w:tr w:rsidR="00830BDF" w:rsidTr="00830BDF" w14:paraId="7B0D0AD7"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4D309F" w14:paraId="32BD1623" w14:textId="45271709">
            <w:pPr>
              <w:pStyle w:val="TableParagraph"/>
              <w:spacing w:before="0"/>
              <w:ind w:right="115"/>
              <w:rPr>
                <w:sz w:val="24"/>
                <w:szCs w:val="24"/>
              </w:rPr>
            </w:pPr>
            <w:r>
              <w:rPr>
                <w:sz w:val="24"/>
                <w:szCs w:val="24"/>
              </w:rPr>
              <w:t>SDR entity</w:t>
            </w:r>
            <w:r w:rsidR="00830BDF">
              <w:rPr>
                <w:sz w:val="24"/>
                <w:szCs w:val="24"/>
              </w:rPr>
              <w:t xml:space="preserve"> Address</w:t>
            </w:r>
          </w:p>
        </w:tc>
        <w:tc>
          <w:tcPr>
            <w:tcW w:w="6109" w:type="dxa"/>
            <w:tcBorders>
              <w:top w:val="single" w:color="000000" w:sz="4" w:space="0"/>
              <w:left w:val="single" w:color="000000" w:sz="4" w:space="0"/>
              <w:bottom w:val="single" w:color="000000" w:sz="4" w:space="0"/>
              <w:right w:val="single" w:color="000000" w:sz="4" w:space="0"/>
            </w:tcBorders>
            <w:hideMark/>
          </w:tcPr>
          <w:p w:rsidR="00830BDF" w:rsidRDefault="004D309F" w14:paraId="1B071DC0" w14:textId="59C86D3E">
            <w:pPr>
              <w:pStyle w:val="TableParagraph"/>
              <w:spacing w:before="0"/>
              <w:ind w:right="210"/>
              <w:rPr>
                <w:sz w:val="24"/>
                <w:szCs w:val="24"/>
              </w:rPr>
            </w:pPr>
            <w:r>
              <w:rPr>
                <w:sz w:val="24"/>
                <w:szCs w:val="24"/>
              </w:rPr>
              <w:t>SDR entity</w:t>
            </w:r>
            <w:r w:rsidR="00830BDF">
              <w:rPr>
                <w:sz w:val="24"/>
                <w:szCs w:val="24"/>
              </w:rPr>
              <w:t>’s physical address, including street name and number, city, state, and zip code</w:t>
            </w:r>
          </w:p>
        </w:tc>
      </w:tr>
      <w:tr w:rsidR="00830BDF" w:rsidTr="00830BDF" w14:paraId="70447DEB"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4D309F" w14:paraId="3E65CDDF" w14:textId="05E9E3BC">
            <w:pPr>
              <w:pStyle w:val="TableParagraph"/>
              <w:spacing w:before="0"/>
              <w:ind w:right="115"/>
              <w:rPr>
                <w:sz w:val="24"/>
                <w:szCs w:val="24"/>
              </w:rPr>
            </w:pPr>
            <w:r>
              <w:rPr>
                <w:sz w:val="24"/>
                <w:szCs w:val="24"/>
              </w:rPr>
              <w:t>SDR entity</w:t>
            </w:r>
            <w:r w:rsidR="00830BDF">
              <w:rPr>
                <w:sz w:val="24"/>
                <w:szCs w:val="24"/>
              </w:rPr>
              <w:t xml:space="preserve"> Website</w:t>
            </w:r>
          </w:p>
        </w:tc>
        <w:tc>
          <w:tcPr>
            <w:tcW w:w="6109" w:type="dxa"/>
            <w:tcBorders>
              <w:top w:val="single" w:color="000000" w:sz="4" w:space="0"/>
              <w:left w:val="single" w:color="000000" w:sz="4" w:space="0"/>
              <w:bottom w:val="single" w:color="000000" w:sz="4" w:space="0"/>
              <w:right w:val="single" w:color="000000" w:sz="4" w:space="0"/>
            </w:tcBorders>
            <w:hideMark/>
          </w:tcPr>
          <w:p w:rsidR="00830BDF" w:rsidRDefault="004D309F" w14:paraId="6297AFEA" w14:textId="014C8763">
            <w:pPr>
              <w:pStyle w:val="TableParagraph"/>
              <w:spacing w:before="0"/>
              <w:ind w:right="210"/>
              <w:rPr>
                <w:sz w:val="24"/>
                <w:szCs w:val="24"/>
              </w:rPr>
            </w:pPr>
            <w:r>
              <w:rPr>
                <w:sz w:val="24"/>
                <w:szCs w:val="24"/>
              </w:rPr>
              <w:t>SDR entity</w:t>
            </w:r>
            <w:r w:rsidR="00830BDF">
              <w:rPr>
                <w:sz w:val="24"/>
                <w:szCs w:val="24"/>
              </w:rPr>
              <w:t>’s uniform resource locator (URL) linked to the home webpage (e.g., www.</w:t>
            </w:r>
            <w:r>
              <w:rPr>
                <w:sz w:val="24"/>
                <w:szCs w:val="24"/>
              </w:rPr>
              <w:t>SDR entity</w:t>
            </w:r>
            <w:r w:rsidR="00830BDF">
              <w:rPr>
                <w:sz w:val="24"/>
                <w:szCs w:val="24"/>
              </w:rPr>
              <w:t>.org)</w:t>
            </w:r>
          </w:p>
        </w:tc>
      </w:tr>
      <w:tr w:rsidR="004B1123" w:rsidTr="00884FCA" w14:paraId="36EBCC2C"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28567C7F" w14:textId="77777777">
            <w:pPr>
              <w:pStyle w:val="TableParagraph"/>
              <w:spacing w:before="0"/>
              <w:ind w:right="115"/>
              <w:rPr>
                <w:sz w:val="24"/>
                <w:szCs w:val="24"/>
              </w:rPr>
            </w:pPr>
            <w:r>
              <w:rPr>
                <w:sz w:val="24"/>
                <w:szCs w:val="24"/>
              </w:rPr>
              <w:t>Tax ID Type and Number</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18F2D541" w14:textId="77777777">
            <w:pPr>
              <w:pStyle w:val="TableParagraph"/>
              <w:spacing w:before="0"/>
              <w:ind w:right="210"/>
              <w:rPr>
                <w:sz w:val="24"/>
                <w:szCs w:val="24"/>
              </w:rPr>
            </w:pPr>
            <w:r>
              <w:rPr>
                <w:sz w:val="24"/>
                <w:szCs w:val="24"/>
              </w:rPr>
              <w:t>SDR entity’s taxpayer identification number (TIN), employer identification number (EIN), or federal tax identification number (FEIN) issued by the Internal Revenue Service, and type of number</w:t>
            </w:r>
          </w:p>
        </w:tc>
      </w:tr>
      <w:tr w:rsidR="00830BDF" w:rsidTr="00830BDF" w14:paraId="183919D5"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830BDF" w14:paraId="4B689D1E" w14:textId="77777777">
            <w:pPr>
              <w:pStyle w:val="TableParagraph"/>
              <w:spacing w:before="0"/>
              <w:ind w:right="115"/>
              <w:rPr>
                <w:sz w:val="24"/>
                <w:szCs w:val="24"/>
              </w:rPr>
            </w:pPr>
            <w:r>
              <w:rPr>
                <w:sz w:val="24"/>
                <w:szCs w:val="24"/>
              </w:rPr>
              <w:t>Primary Contact Information</w:t>
            </w:r>
          </w:p>
        </w:tc>
        <w:tc>
          <w:tcPr>
            <w:tcW w:w="6109" w:type="dxa"/>
            <w:tcBorders>
              <w:top w:val="single" w:color="000000" w:sz="4" w:space="0"/>
              <w:left w:val="single" w:color="000000" w:sz="4" w:space="0"/>
              <w:bottom w:val="single" w:color="000000" w:sz="4" w:space="0"/>
              <w:right w:val="single" w:color="000000" w:sz="4" w:space="0"/>
            </w:tcBorders>
            <w:hideMark/>
          </w:tcPr>
          <w:p w:rsidR="00830BDF" w:rsidRDefault="00830BDF" w14:paraId="07606616" w14:textId="543C178D">
            <w:pPr>
              <w:pStyle w:val="TableParagraph"/>
              <w:spacing w:before="0"/>
              <w:ind w:right="210"/>
              <w:rPr>
                <w:sz w:val="24"/>
                <w:szCs w:val="24"/>
              </w:rPr>
            </w:pPr>
            <w:r>
              <w:rPr>
                <w:sz w:val="24"/>
                <w:szCs w:val="24"/>
              </w:rPr>
              <w:t xml:space="preserve">First name, last name, phone number, and email address of the person representing the </w:t>
            </w:r>
            <w:r w:rsidR="004D309F">
              <w:rPr>
                <w:sz w:val="24"/>
                <w:szCs w:val="24"/>
              </w:rPr>
              <w:t>SDR entity</w:t>
            </w:r>
            <w:r>
              <w:rPr>
                <w:sz w:val="24"/>
                <w:szCs w:val="24"/>
              </w:rPr>
              <w:t xml:space="preserve"> on the application</w:t>
            </w:r>
          </w:p>
        </w:tc>
      </w:tr>
      <w:tr w:rsidR="00830BDF" w:rsidTr="00830BDF" w14:paraId="3BE7F067"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830BDF" w14:paraId="61A0D0ED" w14:textId="77777777">
            <w:pPr>
              <w:pStyle w:val="TableParagraph"/>
              <w:spacing w:before="0"/>
              <w:ind w:right="115"/>
              <w:rPr>
                <w:sz w:val="24"/>
                <w:szCs w:val="24"/>
              </w:rPr>
            </w:pPr>
            <w:r>
              <w:rPr>
                <w:sz w:val="24"/>
                <w:szCs w:val="24"/>
              </w:rPr>
              <w:lastRenderedPageBreak/>
              <w:t>Secondary Contact Information</w:t>
            </w:r>
          </w:p>
        </w:tc>
        <w:tc>
          <w:tcPr>
            <w:tcW w:w="6109" w:type="dxa"/>
            <w:tcBorders>
              <w:top w:val="single" w:color="000000" w:sz="4" w:space="0"/>
              <w:left w:val="single" w:color="000000" w:sz="4" w:space="0"/>
              <w:bottom w:val="single" w:color="000000" w:sz="4" w:space="0"/>
              <w:right w:val="single" w:color="000000" w:sz="4" w:space="0"/>
            </w:tcBorders>
            <w:hideMark/>
          </w:tcPr>
          <w:p w:rsidR="00830BDF" w:rsidRDefault="00830BDF" w14:paraId="717BF80D" w14:textId="737D6CD4">
            <w:pPr>
              <w:pStyle w:val="TableParagraph"/>
              <w:spacing w:before="0"/>
              <w:ind w:right="210"/>
              <w:rPr>
                <w:sz w:val="24"/>
                <w:szCs w:val="24"/>
              </w:rPr>
            </w:pPr>
            <w:r>
              <w:rPr>
                <w:sz w:val="24"/>
                <w:szCs w:val="24"/>
              </w:rPr>
              <w:t xml:space="preserve">First name, last name, phone number, and email address of an additional person, other than the primary contact, representing the </w:t>
            </w:r>
            <w:r w:rsidR="004D309F">
              <w:rPr>
                <w:sz w:val="24"/>
                <w:szCs w:val="24"/>
              </w:rPr>
              <w:t>SDR entity</w:t>
            </w:r>
            <w:r>
              <w:rPr>
                <w:sz w:val="24"/>
                <w:szCs w:val="24"/>
              </w:rPr>
              <w:t xml:space="preserve"> on the application</w:t>
            </w:r>
            <w:r w:rsidR="003B5F1A">
              <w:rPr>
                <w:sz w:val="24"/>
                <w:szCs w:val="24"/>
              </w:rPr>
              <w:t>.</w:t>
            </w:r>
          </w:p>
        </w:tc>
      </w:tr>
      <w:tr w:rsidR="00830BDF" w:rsidTr="00830BDF" w14:paraId="7D8C276C"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1B789F83" w14:textId="77777777">
            <w:pPr>
              <w:pStyle w:val="TableParagraph"/>
              <w:spacing w:before="0"/>
              <w:ind w:right="143"/>
              <w:rPr>
                <w:bCs/>
                <w:i/>
                <w:sz w:val="24"/>
                <w:szCs w:val="24"/>
              </w:rPr>
            </w:pPr>
            <w:r>
              <w:rPr>
                <w:bCs/>
                <w:i/>
                <w:sz w:val="24"/>
                <w:szCs w:val="24"/>
              </w:rPr>
              <w:t>Expertise</w:t>
            </w:r>
          </w:p>
        </w:tc>
      </w:tr>
      <w:tr w:rsidR="00830BDF" w:rsidTr="00830BDF" w14:paraId="02D91560"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830BDF" w14:paraId="04D15B57" w14:textId="77777777">
            <w:pPr>
              <w:pStyle w:val="TableParagraph"/>
              <w:spacing w:before="0"/>
              <w:ind w:right="115"/>
              <w:rPr>
                <w:sz w:val="24"/>
                <w:szCs w:val="24"/>
              </w:rPr>
            </w:pPr>
            <w:r>
              <w:rPr>
                <w:sz w:val="24"/>
                <w:szCs w:val="24"/>
              </w:rPr>
              <w:t>Documentation to prove expertise</w:t>
            </w:r>
          </w:p>
        </w:tc>
        <w:tc>
          <w:tcPr>
            <w:tcW w:w="6109" w:type="dxa"/>
            <w:tcBorders>
              <w:top w:val="single" w:color="000000" w:sz="4" w:space="0"/>
              <w:left w:val="single" w:color="000000" w:sz="4" w:space="0"/>
              <w:bottom w:val="single" w:color="000000" w:sz="4" w:space="0"/>
              <w:right w:val="single" w:color="000000" w:sz="4" w:space="0"/>
            </w:tcBorders>
            <w:hideMark/>
          </w:tcPr>
          <w:p w:rsidRPr="003B5F1A" w:rsidR="00830BDF" w:rsidRDefault="00830BDF" w14:paraId="6EA9CAE1" w14:textId="76E9AC43">
            <w:pPr>
              <w:pStyle w:val="TableParagraph"/>
              <w:spacing w:before="0"/>
              <w:ind w:right="210"/>
              <w:rPr>
                <w:sz w:val="24"/>
                <w:szCs w:val="24"/>
              </w:rPr>
            </w:pPr>
            <w:r w:rsidRPr="003B5F1A">
              <w:rPr>
                <w:sz w:val="24"/>
                <w:szCs w:val="24"/>
              </w:rPr>
              <w:t xml:space="preserve">Verification </w:t>
            </w:r>
            <w:r w:rsidRPr="003B5F1A" w:rsidR="00D25D3A">
              <w:rPr>
                <w:sz w:val="24"/>
                <w:szCs w:val="24"/>
              </w:rPr>
              <w:t>(e.g.</w:t>
            </w:r>
            <w:r w:rsidRPr="003B5F1A" w:rsidR="00195FF0">
              <w:rPr>
                <w:sz w:val="24"/>
                <w:szCs w:val="24"/>
              </w:rPr>
              <w:t>,</w:t>
            </w:r>
            <w:r w:rsidRPr="003B5F1A" w:rsidR="00D25D3A">
              <w:rPr>
                <w:sz w:val="24"/>
                <w:szCs w:val="24"/>
              </w:rPr>
              <w:t xml:space="preserve"> staff members’ resumes or CVs showing experience) </w:t>
            </w:r>
            <w:r w:rsidRPr="003B5F1A">
              <w:rPr>
                <w:sz w:val="24"/>
                <w:szCs w:val="24"/>
              </w:rPr>
              <w:t xml:space="preserve">that </w:t>
            </w:r>
            <w:r w:rsidRPr="003B5F1A" w:rsidR="004D309F">
              <w:rPr>
                <w:sz w:val="24"/>
                <w:szCs w:val="24"/>
              </w:rPr>
              <w:t>SDR entity</w:t>
            </w:r>
            <w:r w:rsidRPr="003B5F1A">
              <w:rPr>
                <w:sz w:val="24"/>
                <w:szCs w:val="24"/>
              </w:rPr>
              <w:t xml:space="preserve"> has requisite medical and legal expertise, including in health</w:t>
            </w:r>
            <w:r w:rsidRPr="003B5F1A" w:rsidR="00195FF0">
              <w:rPr>
                <w:sz w:val="24"/>
                <w:szCs w:val="24"/>
              </w:rPr>
              <w:t xml:space="preserve"> </w:t>
            </w:r>
            <w:r w:rsidRPr="003B5F1A">
              <w:rPr>
                <w:sz w:val="24"/>
                <w:szCs w:val="24"/>
              </w:rPr>
              <w:t xml:space="preserve">care and air-space laws, and sufficient experience in arbitration and claims administration, managed care, and billing and coding. Additional documentation </w:t>
            </w:r>
            <w:r w:rsidRPr="003B5F1A" w:rsidR="00195FF0">
              <w:rPr>
                <w:sz w:val="24"/>
                <w:szCs w:val="24"/>
              </w:rPr>
              <w:t xml:space="preserve">of expertise and other supporting materials </w:t>
            </w:r>
            <w:r w:rsidRPr="003B5F1A">
              <w:rPr>
                <w:sz w:val="24"/>
                <w:szCs w:val="24"/>
              </w:rPr>
              <w:t xml:space="preserve">may be submitted for </w:t>
            </w:r>
            <w:proofErr w:type="gramStart"/>
            <w:r w:rsidRPr="003B5F1A">
              <w:rPr>
                <w:sz w:val="24"/>
                <w:szCs w:val="24"/>
              </w:rPr>
              <w:t>consideration.*</w:t>
            </w:r>
            <w:proofErr w:type="gramEnd"/>
          </w:p>
        </w:tc>
      </w:tr>
      <w:tr w:rsidR="00830BDF" w:rsidTr="00830BDF" w14:paraId="237E5C83"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5D15AC43" w14:textId="77777777">
            <w:pPr>
              <w:pStyle w:val="TableParagraph"/>
              <w:spacing w:before="0"/>
              <w:ind w:right="143"/>
              <w:rPr>
                <w:b/>
                <w:bCs/>
                <w:sz w:val="24"/>
                <w:szCs w:val="24"/>
              </w:rPr>
            </w:pPr>
            <w:r>
              <w:rPr>
                <w:bCs/>
                <w:i/>
                <w:sz w:val="24"/>
                <w:szCs w:val="24"/>
              </w:rPr>
              <w:t>Organization Structure and Staffing Plan</w:t>
            </w:r>
          </w:p>
        </w:tc>
      </w:tr>
      <w:tr w:rsidR="004B1123" w:rsidTr="00884FCA" w14:paraId="7B79257B"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4B53F1BC" w14:textId="77777777">
            <w:pPr>
              <w:pStyle w:val="TableParagraph"/>
              <w:spacing w:before="0"/>
              <w:ind w:right="115"/>
              <w:rPr>
                <w:sz w:val="24"/>
                <w:szCs w:val="24"/>
              </w:rPr>
            </w:pPr>
            <w:r>
              <w:rPr>
                <w:sz w:val="24"/>
                <w:szCs w:val="24"/>
              </w:rPr>
              <w:t>Organization Chart</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6E6D8AF7" w14:textId="7D828737">
            <w:pPr>
              <w:pStyle w:val="TableParagraph"/>
              <w:spacing w:before="0"/>
              <w:ind w:right="210"/>
              <w:rPr>
                <w:sz w:val="24"/>
                <w:szCs w:val="24"/>
              </w:rPr>
            </w:pPr>
            <w:r w:rsidRPr="00387782">
              <w:rPr>
                <w:sz w:val="24"/>
                <w:szCs w:val="24"/>
              </w:rPr>
              <w:t xml:space="preserve">A graphic representation of the structure of the </w:t>
            </w:r>
            <w:r>
              <w:rPr>
                <w:sz w:val="24"/>
                <w:szCs w:val="24"/>
              </w:rPr>
              <w:t>SDR</w:t>
            </w:r>
            <w:r w:rsidRPr="00387782">
              <w:rPr>
                <w:sz w:val="24"/>
                <w:szCs w:val="24"/>
              </w:rPr>
              <w:t xml:space="preserve"> entity showing the hierarchy of the organization and the relationships within it, including any parent or subsidiary entities. </w:t>
            </w:r>
            <w:r w:rsidR="007E566D">
              <w:rPr>
                <w:sz w:val="24"/>
                <w:szCs w:val="24"/>
              </w:rPr>
              <w:t xml:space="preserve"> </w:t>
            </w:r>
            <w:r>
              <w:rPr>
                <w:sz w:val="24"/>
                <w:szCs w:val="24"/>
              </w:rPr>
              <w:t>SDR</w:t>
            </w:r>
            <w:r w:rsidRPr="00387782">
              <w:rPr>
                <w:sz w:val="24"/>
                <w:szCs w:val="24"/>
              </w:rPr>
              <w:t xml:space="preserve"> </w:t>
            </w:r>
            <w:r w:rsidR="004D0368">
              <w:rPr>
                <w:sz w:val="24"/>
                <w:szCs w:val="24"/>
              </w:rPr>
              <w:t>e</w:t>
            </w:r>
            <w:r w:rsidRPr="00387782">
              <w:rPr>
                <w:sz w:val="24"/>
                <w:szCs w:val="24"/>
              </w:rPr>
              <w:t xml:space="preserve">ntities must not be owned by a subsidiary of, or associated or affiliated with a </w:t>
            </w:r>
            <w:r w:rsidRPr="00387782" w:rsidR="004F184E">
              <w:rPr>
                <w:sz w:val="24"/>
                <w:szCs w:val="24"/>
              </w:rPr>
              <w:t>plan, issuer, provider, provider of air ambulance services</w:t>
            </w:r>
            <w:r w:rsidR="00E447A9">
              <w:rPr>
                <w:sz w:val="24"/>
                <w:szCs w:val="24"/>
              </w:rPr>
              <w:t>.</w:t>
            </w:r>
          </w:p>
        </w:tc>
      </w:tr>
      <w:tr w:rsidR="00830BDF" w:rsidTr="00830BDF" w14:paraId="34DF4173"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830BDF" w14:paraId="0FAE4B6D" w14:textId="77777777">
            <w:pPr>
              <w:pStyle w:val="TableParagraph"/>
              <w:spacing w:before="0"/>
              <w:ind w:right="115"/>
              <w:rPr>
                <w:sz w:val="24"/>
                <w:szCs w:val="24"/>
              </w:rPr>
            </w:pPr>
            <w:r>
              <w:rPr>
                <w:sz w:val="24"/>
                <w:szCs w:val="24"/>
              </w:rPr>
              <w:t>Staffing Plan</w:t>
            </w:r>
          </w:p>
        </w:tc>
        <w:tc>
          <w:tcPr>
            <w:tcW w:w="6109" w:type="dxa"/>
            <w:tcBorders>
              <w:top w:val="single" w:color="000000" w:sz="4" w:space="0"/>
              <w:left w:val="single" w:color="000000" w:sz="4" w:space="0"/>
              <w:bottom w:val="single" w:color="000000" w:sz="4" w:space="0"/>
              <w:right w:val="single" w:color="000000" w:sz="4" w:space="0"/>
            </w:tcBorders>
            <w:hideMark/>
          </w:tcPr>
          <w:p w:rsidR="00830BDF" w:rsidRDefault="004F184E" w14:paraId="2C903F75" w14:textId="2821840E">
            <w:pPr>
              <w:pStyle w:val="TableParagraph"/>
              <w:spacing w:before="0"/>
              <w:ind w:right="210"/>
              <w:rPr>
                <w:sz w:val="24"/>
                <w:szCs w:val="24"/>
              </w:rPr>
            </w:pPr>
            <w:r>
              <w:rPr>
                <w:sz w:val="24"/>
                <w:szCs w:val="24"/>
              </w:rPr>
              <w:t xml:space="preserve">Document that describes </w:t>
            </w:r>
            <w:r w:rsidRPr="00467F3B">
              <w:rPr>
                <w:sz w:val="24"/>
                <w:szCs w:val="24"/>
              </w:rPr>
              <w:t>the</w:t>
            </w:r>
            <w:r>
              <w:rPr>
                <w:sz w:val="24"/>
                <w:szCs w:val="24"/>
              </w:rPr>
              <w:t xml:space="preserve"> </w:t>
            </w:r>
            <w:r w:rsidRPr="009F375F">
              <w:rPr>
                <w:sz w:val="24"/>
                <w:szCs w:val="24"/>
              </w:rPr>
              <w:t>credentials, responsibilities, and number of personnel employed to make determinations</w:t>
            </w:r>
            <w:r>
              <w:rPr>
                <w:sz w:val="24"/>
                <w:szCs w:val="24"/>
              </w:rPr>
              <w:t xml:space="preserve">. </w:t>
            </w:r>
            <w:r w:rsidRPr="00A23A61">
              <w:rPr>
                <w:sz w:val="24"/>
                <w:szCs w:val="24"/>
              </w:rPr>
              <w:t>This should also include policies and procedures governing the allocation of staff to case arbitration, including the credentials and responsibilities of staff that will be arbitrating cases, as well as policies and procedures for ensuring proper verification of credentials.</w:t>
            </w:r>
            <w:r w:rsidRPr="00467F3B">
              <w:rPr>
                <w:sz w:val="24"/>
                <w:szCs w:val="24"/>
              </w:rPr>
              <w:t xml:space="preserve"> </w:t>
            </w:r>
            <w:r>
              <w:rPr>
                <w:sz w:val="24"/>
                <w:szCs w:val="24"/>
              </w:rPr>
              <w:t xml:space="preserve"> Documentation should also show o</w:t>
            </w:r>
            <w:r w:rsidRPr="00967919">
              <w:rPr>
                <w:sz w:val="24"/>
                <w:szCs w:val="24"/>
              </w:rPr>
              <w:t>perations and infrastructure to effectively and efficiently manage the arbitration process, including delegation of functions and oversight of the process, and applicable procedures for using contractors to fill expertise vacancies</w:t>
            </w:r>
            <w:r>
              <w:rPr>
                <w:sz w:val="24"/>
                <w:szCs w:val="24"/>
              </w:rPr>
              <w:t xml:space="preserve"> so determinations can be completed within the required time period.</w:t>
            </w:r>
          </w:p>
        </w:tc>
      </w:tr>
      <w:tr w:rsidR="00830BDF" w:rsidTr="00830BDF" w14:paraId="3DAE74A7"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73DE995D" w14:textId="77777777">
            <w:pPr>
              <w:pStyle w:val="TableParagraph"/>
              <w:spacing w:before="0"/>
              <w:ind w:right="143"/>
              <w:rPr>
                <w:b/>
                <w:bCs/>
                <w:sz w:val="24"/>
                <w:szCs w:val="24"/>
              </w:rPr>
            </w:pPr>
            <w:r>
              <w:rPr>
                <w:bCs/>
                <w:i/>
                <w:sz w:val="24"/>
                <w:szCs w:val="24"/>
              </w:rPr>
              <w:t>Conflict of Interest Attestation</w:t>
            </w:r>
          </w:p>
        </w:tc>
      </w:tr>
      <w:tr w:rsidR="004B1123" w:rsidTr="00884FCA" w14:paraId="26EA7284"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F184E" w14:paraId="20189A19" w14:textId="0F7E72DA">
            <w:pPr>
              <w:pStyle w:val="TableParagraph"/>
              <w:spacing w:before="0"/>
              <w:ind w:right="115"/>
              <w:rPr>
                <w:sz w:val="24"/>
                <w:szCs w:val="24"/>
              </w:rPr>
            </w:pPr>
            <w:r>
              <w:rPr>
                <w:sz w:val="24"/>
                <w:szCs w:val="24"/>
              </w:rPr>
              <w:t xml:space="preserve">Organizational </w:t>
            </w:r>
            <w:r w:rsidR="004B1123">
              <w:rPr>
                <w:sz w:val="24"/>
                <w:szCs w:val="24"/>
              </w:rPr>
              <w:t>Attestation of No Conflicts of Interest</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6ADC77BD" w14:textId="138A3302">
            <w:pPr>
              <w:pStyle w:val="TableParagraph"/>
              <w:spacing w:before="0"/>
              <w:ind w:right="210"/>
              <w:rPr>
                <w:sz w:val="24"/>
                <w:szCs w:val="24"/>
              </w:rPr>
            </w:pPr>
            <w:r>
              <w:rPr>
                <w:sz w:val="24"/>
                <w:szCs w:val="24"/>
              </w:rPr>
              <w:t xml:space="preserve">An attestation indicating the SDR </w:t>
            </w:r>
            <w:r w:rsidR="004D0368">
              <w:rPr>
                <w:sz w:val="24"/>
                <w:szCs w:val="24"/>
              </w:rPr>
              <w:t>e</w:t>
            </w:r>
            <w:r>
              <w:rPr>
                <w:sz w:val="24"/>
                <w:szCs w:val="24"/>
              </w:rPr>
              <w:t>ntity is not (1) a provider or a facility; (2) not an affiliate or subsidiary of a provider or a facility; or (3) an affiliate or subsidiary of a professional or trade association representing providers or facilities.</w:t>
            </w:r>
          </w:p>
        </w:tc>
      </w:tr>
      <w:tr w:rsidR="00830BDF" w:rsidTr="00830BDF" w14:paraId="2218BD25"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67C59602" w14:textId="2D1A18B7">
            <w:pPr>
              <w:pStyle w:val="TableParagraph"/>
              <w:spacing w:before="0"/>
              <w:ind w:right="143"/>
              <w:rPr>
                <w:b/>
                <w:bCs/>
                <w:sz w:val="24"/>
                <w:szCs w:val="24"/>
              </w:rPr>
            </w:pPr>
            <w:r>
              <w:rPr>
                <w:bCs/>
                <w:i/>
                <w:sz w:val="24"/>
                <w:szCs w:val="24"/>
              </w:rPr>
              <w:t>Indicators of Fiscal Integrity</w:t>
            </w:r>
            <w:r w:rsidR="004B1123">
              <w:rPr>
                <w:bCs/>
                <w:i/>
                <w:sz w:val="24"/>
                <w:szCs w:val="24"/>
              </w:rPr>
              <w:t xml:space="preserve"> and Stability</w:t>
            </w:r>
          </w:p>
        </w:tc>
      </w:tr>
      <w:tr w:rsidR="004B1123" w:rsidTr="00884FCA" w14:paraId="205C8BA9"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0DAF4013" w14:textId="77777777">
            <w:pPr>
              <w:pStyle w:val="TableParagraph"/>
              <w:spacing w:before="0"/>
              <w:ind w:right="115"/>
              <w:rPr>
                <w:sz w:val="24"/>
                <w:szCs w:val="24"/>
              </w:rPr>
            </w:pPr>
            <w:r>
              <w:rPr>
                <w:sz w:val="24"/>
                <w:szCs w:val="24"/>
              </w:rPr>
              <w:t>Documentation to prove fiscal integrity and stability</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F184E" w14:paraId="1739D2E6" w14:textId="022A6562">
            <w:pPr>
              <w:pStyle w:val="TableParagraph"/>
              <w:spacing w:before="0"/>
              <w:ind w:right="210"/>
              <w:rPr>
                <w:sz w:val="24"/>
                <w:szCs w:val="24"/>
              </w:rPr>
            </w:pPr>
            <w:r w:rsidRPr="00F94566">
              <w:rPr>
                <w:sz w:val="24"/>
                <w:szCs w:val="24"/>
              </w:rPr>
              <w:t xml:space="preserve">Documentation describing </w:t>
            </w:r>
            <w:r>
              <w:rPr>
                <w:sz w:val="24"/>
                <w:szCs w:val="24"/>
              </w:rPr>
              <w:t>a</w:t>
            </w:r>
            <w:r w:rsidRPr="00F94566">
              <w:rPr>
                <w:sz w:val="24"/>
                <w:szCs w:val="24"/>
              </w:rPr>
              <w:t xml:space="preserve"> system of safeguards and controls in place to prevent and detect improper financial activities by employees </w:t>
            </w:r>
            <w:r w:rsidRPr="00F94566">
              <w:rPr>
                <w:bCs/>
                <w:sz w:val="24"/>
                <w:szCs w:val="24"/>
              </w:rPr>
              <w:t>and</w:t>
            </w:r>
            <w:r w:rsidRPr="00F94566">
              <w:rPr>
                <w:sz w:val="24"/>
                <w:szCs w:val="24"/>
              </w:rPr>
              <w:t xml:space="preserve"> </w:t>
            </w:r>
            <w:r w:rsidRPr="00F94566">
              <w:rPr>
                <w:bCs/>
                <w:sz w:val="24"/>
                <w:szCs w:val="24"/>
              </w:rPr>
              <w:t>other affiliated persons</w:t>
            </w:r>
            <w:r w:rsidRPr="00F94566">
              <w:rPr>
                <w:sz w:val="24"/>
                <w:szCs w:val="24"/>
              </w:rPr>
              <w:t xml:space="preserve"> to assure the fiscal integrity and accountability for all fees received and held</w:t>
            </w:r>
            <w:r>
              <w:rPr>
                <w:sz w:val="24"/>
                <w:szCs w:val="24"/>
              </w:rPr>
              <w:t>, and t</w:t>
            </w:r>
            <w:r w:rsidRPr="00F94566">
              <w:rPr>
                <w:sz w:val="24"/>
                <w:szCs w:val="24"/>
              </w:rPr>
              <w:t xml:space="preserve">hree most recent years of </w:t>
            </w:r>
            <w:r>
              <w:rPr>
                <w:sz w:val="24"/>
                <w:szCs w:val="24"/>
              </w:rPr>
              <w:t>S</w:t>
            </w:r>
            <w:r w:rsidRPr="00F94566">
              <w:rPr>
                <w:sz w:val="24"/>
                <w:szCs w:val="24"/>
              </w:rPr>
              <w:t xml:space="preserve">DR </w:t>
            </w:r>
            <w:r w:rsidRPr="00F94566">
              <w:rPr>
                <w:sz w:val="24"/>
                <w:szCs w:val="24"/>
              </w:rPr>
              <w:lastRenderedPageBreak/>
              <w:t>entity’s balance sheets, income statements, cash flow statements, and statements of changes in owners’ equity</w:t>
            </w:r>
            <w:r>
              <w:rPr>
                <w:sz w:val="24"/>
                <w:szCs w:val="24"/>
              </w:rPr>
              <w:t xml:space="preserve"> (if applicable) or other documentation to demonstrate fiscal stability.</w:t>
            </w:r>
          </w:p>
        </w:tc>
      </w:tr>
      <w:tr w:rsidR="00830BDF" w:rsidTr="00830BDF" w14:paraId="759A848D"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515CF11B" w14:textId="77777777">
            <w:pPr>
              <w:pStyle w:val="TableParagraph"/>
              <w:spacing w:before="0"/>
              <w:ind w:right="143"/>
              <w:rPr>
                <w:b/>
                <w:bCs/>
                <w:sz w:val="24"/>
                <w:szCs w:val="24"/>
              </w:rPr>
            </w:pPr>
            <w:r>
              <w:rPr>
                <w:bCs/>
                <w:i/>
                <w:sz w:val="24"/>
                <w:szCs w:val="24"/>
              </w:rPr>
              <w:lastRenderedPageBreak/>
              <w:t>Internal Controls to Hold Fees</w:t>
            </w:r>
          </w:p>
        </w:tc>
      </w:tr>
      <w:tr w:rsidR="004B1123" w:rsidTr="00884FCA" w14:paraId="4EBE5FDE"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356E874C" w14:textId="77777777">
            <w:pPr>
              <w:pStyle w:val="TableParagraph"/>
              <w:spacing w:before="0"/>
              <w:ind w:right="115"/>
              <w:rPr>
                <w:sz w:val="24"/>
                <w:szCs w:val="24"/>
              </w:rPr>
            </w:pPr>
            <w:r>
              <w:rPr>
                <w:sz w:val="24"/>
                <w:szCs w:val="24"/>
              </w:rPr>
              <w:t>Internal Controls to Hold Administrative Fees</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6C492FDF" w14:textId="425A91F3">
            <w:pPr>
              <w:pStyle w:val="TableParagraph"/>
              <w:spacing w:before="0"/>
              <w:ind w:right="210"/>
              <w:rPr>
                <w:sz w:val="24"/>
                <w:szCs w:val="24"/>
              </w:rPr>
            </w:pPr>
            <w:r>
              <w:rPr>
                <w:sz w:val="24"/>
                <w:szCs w:val="24"/>
              </w:rPr>
              <w:t>Poli</w:t>
            </w:r>
            <w:r w:rsidRPr="003B5F1A">
              <w:rPr>
                <w:sz w:val="24"/>
                <w:szCs w:val="24"/>
              </w:rPr>
              <w:t>cies and procedures to retain the administrative fees paid by the initiating party during the initiation of the dispute resolution process, remit funds to CMS, and prevent fraud, abuse, or waste of funds held.</w:t>
            </w:r>
          </w:p>
        </w:tc>
      </w:tr>
      <w:tr w:rsidR="00830BDF" w:rsidTr="00830BDF" w14:paraId="61A3756E"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0A9A6F10" w14:textId="77777777">
            <w:pPr>
              <w:pStyle w:val="TableParagraph"/>
              <w:spacing w:before="0"/>
              <w:ind w:right="143"/>
              <w:rPr>
                <w:b/>
                <w:bCs/>
                <w:sz w:val="24"/>
                <w:szCs w:val="24"/>
              </w:rPr>
            </w:pPr>
            <w:r>
              <w:rPr>
                <w:bCs/>
                <w:i/>
                <w:sz w:val="24"/>
                <w:szCs w:val="24"/>
              </w:rPr>
              <w:t>Conflict of Interest Audit Standards</w:t>
            </w:r>
          </w:p>
        </w:tc>
      </w:tr>
      <w:tr w:rsidR="00830BDF" w:rsidTr="00830BDF" w14:paraId="365461C9"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830BDF" w:rsidRDefault="004F184E" w14:paraId="56DCD4C7" w14:textId="2F800192">
            <w:pPr>
              <w:pStyle w:val="TableParagraph"/>
              <w:spacing w:before="0"/>
              <w:ind w:right="115"/>
              <w:rPr>
                <w:sz w:val="24"/>
                <w:szCs w:val="24"/>
              </w:rPr>
            </w:pPr>
            <w:r w:rsidRPr="004F184E">
              <w:rPr>
                <w:sz w:val="24"/>
                <w:szCs w:val="24"/>
              </w:rPr>
              <w:t>Conflict of Interest Mitigation Policies</w:t>
            </w:r>
          </w:p>
        </w:tc>
        <w:tc>
          <w:tcPr>
            <w:tcW w:w="6109" w:type="dxa"/>
            <w:tcBorders>
              <w:top w:val="single" w:color="000000" w:sz="4" w:space="0"/>
              <w:left w:val="single" w:color="000000" w:sz="4" w:space="0"/>
              <w:bottom w:val="single" w:color="000000" w:sz="4" w:space="0"/>
              <w:right w:val="single" w:color="000000" w:sz="4" w:space="0"/>
            </w:tcBorders>
            <w:hideMark/>
          </w:tcPr>
          <w:p w:rsidR="00830BDF" w:rsidRDefault="004F184E" w14:paraId="70DBABA2" w14:textId="391EDBE1">
            <w:pPr>
              <w:pStyle w:val="TableParagraph"/>
              <w:spacing w:before="0"/>
              <w:ind w:right="210"/>
              <w:rPr>
                <w:sz w:val="24"/>
                <w:szCs w:val="24"/>
              </w:rPr>
            </w:pPr>
            <w:r>
              <w:rPr>
                <w:sz w:val="24"/>
                <w:szCs w:val="24"/>
              </w:rPr>
              <w:t>I</w:t>
            </w:r>
            <w:r w:rsidRPr="00E602BE">
              <w:rPr>
                <w:sz w:val="24"/>
                <w:szCs w:val="24"/>
              </w:rPr>
              <w:t>nformation on the SDR entity’s conflict-of-interest policies and procedures, including outlining a mitigation plan in the event of an entity-level conflict of interest, under which no dispute resolution personnel affiliated with the SDR entity can fairly and impartially adjudicate a case, in compliance with the standards in Federal Acquisition Regulation subpart 9.5</w:t>
            </w:r>
          </w:p>
        </w:tc>
      </w:tr>
      <w:tr w:rsidR="00830BDF" w:rsidTr="00830BDF" w14:paraId="2A3B2FD7"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5E382047" w14:textId="44990714">
            <w:pPr>
              <w:pStyle w:val="TableParagraph"/>
              <w:spacing w:before="0"/>
              <w:ind w:right="143"/>
              <w:rPr>
                <w:b/>
                <w:bCs/>
                <w:sz w:val="24"/>
                <w:szCs w:val="24"/>
              </w:rPr>
            </w:pPr>
            <w:r>
              <w:rPr>
                <w:bCs/>
                <w:i/>
                <w:sz w:val="24"/>
                <w:szCs w:val="24"/>
              </w:rPr>
              <w:t xml:space="preserve">Proof of </w:t>
            </w:r>
            <w:r w:rsidR="004D4592">
              <w:rPr>
                <w:bCs/>
                <w:i/>
                <w:sz w:val="24"/>
                <w:szCs w:val="24"/>
              </w:rPr>
              <w:t>Accreditation</w:t>
            </w:r>
            <w:r w:rsidR="004B1123">
              <w:rPr>
                <w:bCs/>
                <w:i/>
                <w:sz w:val="24"/>
                <w:szCs w:val="24"/>
              </w:rPr>
              <w:t xml:space="preserve"> or Arbitration Training</w:t>
            </w:r>
          </w:p>
        </w:tc>
      </w:tr>
      <w:tr w:rsidR="004B1123" w:rsidTr="00884FCA" w14:paraId="2BD19F96"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4B1123" w:rsidRDefault="004B1123" w14:paraId="3567462A" w14:textId="77777777">
            <w:pPr>
              <w:pStyle w:val="TableParagraph"/>
              <w:spacing w:before="0"/>
              <w:ind w:right="115"/>
              <w:rPr>
                <w:sz w:val="24"/>
                <w:szCs w:val="24"/>
              </w:rPr>
            </w:pPr>
            <w:r>
              <w:rPr>
                <w:sz w:val="24"/>
                <w:szCs w:val="24"/>
              </w:rPr>
              <w:t>Document(s) to demonstration proof of Accreditation or Arbitration Training</w:t>
            </w:r>
          </w:p>
        </w:tc>
        <w:tc>
          <w:tcPr>
            <w:tcW w:w="6109" w:type="dxa"/>
            <w:tcBorders>
              <w:top w:val="single" w:color="000000" w:sz="4" w:space="0"/>
              <w:left w:val="single" w:color="000000" w:sz="4" w:space="0"/>
              <w:bottom w:val="single" w:color="000000" w:sz="4" w:space="0"/>
              <w:right w:val="single" w:color="000000" w:sz="4" w:space="0"/>
            </w:tcBorders>
            <w:hideMark/>
          </w:tcPr>
          <w:p w:rsidRPr="004B1123" w:rsidR="004B1123" w:rsidP="004B1123" w:rsidRDefault="004F184E" w14:paraId="55FB7C05" w14:textId="3ECEB55B">
            <w:pPr>
              <w:pStyle w:val="TableParagraph"/>
              <w:spacing w:before="0"/>
              <w:ind w:right="210"/>
              <w:rPr>
                <w:sz w:val="24"/>
                <w:szCs w:val="24"/>
              </w:rPr>
            </w:pPr>
            <w:r w:rsidRPr="00F94566">
              <w:rPr>
                <w:sz w:val="24"/>
              </w:rPr>
              <w:t xml:space="preserve">Documentation proving current accreditation by a certified accreditation body, such as URAC, or </w:t>
            </w:r>
            <w:r w:rsidRPr="00F94566">
              <w:rPr>
                <w:color w:val="000000"/>
                <w:sz w:val="24"/>
              </w:rPr>
              <w:t xml:space="preserve">that the </w:t>
            </w:r>
            <w:r>
              <w:rPr>
                <w:color w:val="000000"/>
                <w:sz w:val="24"/>
              </w:rPr>
              <w:t>SDR</w:t>
            </w:r>
            <w:r w:rsidRPr="00F94566">
              <w:rPr>
                <w:color w:val="000000"/>
                <w:sz w:val="24"/>
              </w:rPr>
              <w:t xml:space="preserve"> </w:t>
            </w:r>
            <w:r>
              <w:rPr>
                <w:color w:val="000000"/>
                <w:sz w:val="24"/>
              </w:rPr>
              <w:t>e</w:t>
            </w:r>
            <w:r w:rsidRPr="00F94566">
              <w:rPr>
                <w:color w:val="000000"/>
                <w:sz w:val="24"/>
              </w:rPr>
              <w:t xml:space="preserve">ntity otherwise possesses the requisite training to conduct payment determinations (for example, providing </w:t>
            </w:r>
            <w:r w:rsidRPr="00F94566">
              <w:rPr>
                <w:sz w:val="24"/>
              </w:rPr>
              <w:t xml:space="preserve">documentation that </w:t>
            </w:r>
            <w:r w:rsidRPr="00F94566">
              <w:rPr>
                <w:color w:val="000000"/>
                <w:sz w:val="24"/>
              </w:rPr>
              <w:t>personnel have competed arbitration training by the A</w:t>
            </w:r>
            <w:r>
              <w:rPr>
                <w:color w:val="000000"/>
                <w:sz w:val="24"/>
              </w:rPr>
              <w:t xml:space="preserve">merican </w:t>
            </w:r>
            <w:r w:rsidRPr="00F94566">
              <w:rPr>
                <w:color w:val="000000"/>
                <w:sz w:val="24"/>
              </w:rPr>
              <w:t>A</w:t>
            </w:r>
            <w:r>
              <w:rPr>
                <w:color w:val="000000"/>
                <w:sz w:val="24"/>
              </w:rPr>
              <w:t>rbitration Association</w:t>
            </w:r>
            <w:r w:rsidRPr="00F94566">
              <w:rPr>
                <w:color w:val="000000"/>
                <w:sz w:val="24"/>
              </w:rPr>
              <w:t>, A</w:t>
            </w:r>
            <w:r>
              <w:rPr>
                <w:color w:val="000000"/>
                <w:sz w:val="24"/>
              </w:rPr>
              <w:t xml:space="preserve">merican </w:t>
            </w:r>
            <w:r w:rsidRPr="00F94566">
              <w:rPr>
                <w:color w:val="000000"/>
                <w:sz w:val="24"/>
              </w:rPr>
              <w:t>H</w:t>
            </w:r>
            <w:r>
              <w:rPr>
                <w:color w:val="000000"/>
                <w:sz w:val="24"/>
              </w:rPr>
              <w:t xml:space="preserve">ealth </w:t>
            </w:r>
            <w:r w:rsidRPr="00F94566">
              <w:rPr>
                <w:color w:val="000000"/>
                <w:sz w:val="24"/>
              </w:rPr>
              <w:t>L</w:t>
            </w:r>
            <w:r>
              <w:rPr>
                <w:color w:val="000000"/>
                <w:sz w:val="24"/>
              </w:rPr>
              <w:t xml:space="preserve">aw </w:t>
            </w:r>
            <w:r w:rsidRPr="00F94566">
              <w:rPr>
                <w:color w:val="000000"/>
                <w:sz w:val="24"/>
              </w:rPr>
              <w:t>A</w:t>
            </w:r>
            <w:r>
              <w:rPr>
                <w:color w:val="000000"/>
                <w:sz w:val="24"/>
              </w:rPr>
              <w:t>ssociation</w:t>
            </w:r>
            <w:r w:rsidRPr="00F94566">
              <w:rPr>
                <w:color w:val="000000"/>
                <w:sz w:val="24"/>
              </w:rPr>
              <w:t xml:space="preserve">, </w:t>
            </w:r>
            <w:r w:rsidRPr="00F94566">
              <w:rPr>
                <w:sz w:val="24"/>
              </w:rPr>
              <w:t xml:space="preserve">or a similar </w:t>
            </w:r>
            <w:r>
              <w:rPr>
                <w:sz w:val="24"/>
              </w:rPr>
              <w:t>organization</w:t>
            </w:r>
            <w:r w:rsidRPr="00F94566">
              <w:rPr>
                <w:sz w:val="24"/>
              </w:rPr>
              <w:t>).</w:t>
            </w:r>
          </w:p>
        </w:tc>
      </w:tr>
      <w:tr w:rsidR="00830BDF" w:rsidTr="00830BDF" w14:paraId="5F06DE65"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63701C9F" w14:textId="575DD862">
            <w:pPr>
              <w:pStyle w:val="TableParagraph"/>
              <w:spacing w:before="0"/>
              <w:ind w:right="143"/>
              <w:rPr>
                <w:b/>
                <w:bCs/>
                <w:sz w:val="24"/>
                <w:szCs w:val="24"/>
              </w:rPr>
            </w:pPr>
            <w:r>
              <w:rPr>
                <w:bCs/>
                <w:i/>
                <w:sz w:val="24"/>
                <w:szCs w:val="24"/>
              </w:rPr>
              <w:t>Confidential</w:t>
            </w:r>
            <w:r w:rsidR="0007088B">
              <w:rPr>
                <w:bCs/>
                <w:i/>
                <w:sz w:val="24"/>
                <w:szCs w:val="24"/>
              </w:rPr>
              <w:t xml:space="preserve"> </w:t>
            </w:r>
            <w:r>
              <w:rPr>
                <w:bCs/>
                <w:i/>
                <w:sz w:val="24"/>
                <w:szCs w:val="24"/>
              </w:rPr>
              <w:t>Health Information</w:t>
            </w:r>
          </w:p>
        </w:tc>
      </w:tr>
      <w:tr w:rsidR="004B1123" w:rsidTr="00884FCA" w14:paraId="7ACB051C"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5B7B4F51" w14:textId="77777777">
            <w:pPr>
              <w:pStyle w:val="TableParagraph"/>
              <w:spacing w:before="0"/>
              <w:ind w:right="115"/>
              <w:rPr>
                <w:sz w:val="24"/>
                <w:szCs w:val="24"/>
              </w:rPr>
            </w:pPr>
            <w:r>
              <w:rPr>
                <w:sz w:val="24"/>
                <w:szCs w:val="24"/>
              </w:rPr>
              <w:t>Confidential Health Information Standards</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884FCA" w:rsidRDefault="004B1123" w14:paraId="249ECA7E" w14:textId="5DC6C200">
            <w:pPr>
              <w:pStyle w:val="TableParagraph"/>
              <w:spacing w:before="0"/>
              <w:ind w:right="210"/>
              <w:rPr>
                <w:sz w:val="24"/>
                <w:szCs w:val="24"/>
              </w:rPr>
            </w:pPr>
            <w:r w:rsidRPr="00F94566">
              <w:rPr>
                <w:sz w:val="24"/>
              </w:rPr>
              <w:t xml:space="preserve">Written policies and procedures to protect the confidentially of IIHI as outlined in the interim final rules for Requirements Related to Surprise Billing: Part II, including how the certified </w:t>
            </w:r>
            <w:r>
              <w:rPr>
                <w:sz w:val="24"/>
              </w:rPr>
              <w:t>S</w:t>
            </w:r>
            <w:r w:rsidRPr="00F94566">
              <w:rPr>
                <w:sz w:val="24"/>
              </w:rPr>
              <w:t>DR Entity will: ensure the confidentiality, integrity, and availability of all IIHI they create, obtain, maintain, store, or transmit; protect against any reasonably anticipated threats or hazards to the security or integrity of IIHI; protect against unauthorized use or disclosure of IIHI by their personnel; securely destroy or dispose of IIHI; monitor, periodically assess, and update security controls and related systems risks to ensure the continued effectiveness of those controls; and in the event of a breach in unsecure IIHI, conduct a risk assessment to determine the nature and extent of the breach, and provide notifications to the Departments and all parties affected by the breach.</w:t>
            </w:r>
          </w:p>
        </w:tc>
      </w:tr>
      <w:tr w:rsidR="004B1123" w:rsidTr="00830BDF" w14:paraId="78BD3AA9"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4B1123" w:rsidP="004B1123" w:rsidRDefault="004B1123" w14:paraId="0EEEC30B" w14:textId="4642F920">
            <w:pPr>
              <w:pStyle w:val="TableParagraph"/>
              <w:spacing w:before="0"/>
              <w:ind w:right="143"/>
              <w:rPr>
                <w:b/>
                <w:bCs/>
                <w:sz w:val="24"/>
                <w:szCs w:val="24"/>
              </w:rPr>
            </w:pPr>
            <w:r>
              <w:rPr>
                <w:bCs/>
                <w:i/>
                <w:sz w:val="24"/>
                <w:szCs w:val="24"/>
              </w:rPr>
              <w:lastRenderedPageBreak/>
              <w:t>Internal Controls to Support Reporting Compliance</w:t>
            </w:r>
          </w:p>
        </w:tc>
      </w:tr>
      <w:tr w:rsidR="004B1123" w:rsidTr="00830BDF" w14:paraId="60091148"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4B1123" w:rsidRDefault="004B1123" w14:paraId="0E80520B" w14:textId="77777777">
            <w:pPr>
              <w:pStyle w:val="TableParagraph"/>
              <w:spacing w:before="0"/>
              <w:ind w:right="115"/>
              <w:rPr>
                <w:sz w:val="24"/>
                <w:szCs w:val="24"/>
              </w:rPr>
            </w:pPr>
            <w:r>
              <w:rPr>
                <w:sz w:val="24"/>
                <w:szCs w:val="24"/>
              </w:rPr>
              <w:t>Reporting Plan</w:t>
            </w:r>
          </w:p>
        </w:tc>
        <w:tc>
          <w:tcPr>
            <w:tcW w:w="6109" w:type="dxa"/>
            <w:tcBorders>
              <w:top w:val="single" w:color="000000" w:sz="4" w:space="0"/>
              <w:left w:val="single" w:color="000000" w:sz="4" w:space="0"/>
              <w:bottom w:val="single" w:color="000000" w:sz="4" w:space="0"/>
              <w:right w:val="single" w:color="000000" w:sz="4" w:space="0"/>
            </w:tcBorders>
            <w:hideMark/>
          </w:tcPr>
          <w:p w:rsidRPr="003B5F1A" w:rsidR="004B1123" w:rsidP="004B1123" w:rsidRDefault="004B1123" w14:paraId="6BD83228" w14:textId="5E65771E">
            <w:pPr>
              <w:pStyle w:val="TableParagraph"/>
              <w:spacing w:before="0"/>
              <w:ind w:right="210"/>
              <w:rPr>
                <w:sz w:val="24"/>
                <w:szCs w:val="24"/>
              </w:rPr>
            </w:pPr>
            <w:r w:rsidRPr="003B5F1A">
              <w:rPr>
                <w:sz w:val="24"/>
                <w:szCs w:val="24"/>
              </w:rPr>
              <w:t>Policies and procedures outlining your organization’s ability to comply with reporting requirements</w:t>
            </w:r>
            <w:r w:rsidRPr="003B5F1A" w:rsidR="006105E4">
              <w:rPr>
                <w:sz w:val="24"/>
                <w:szCs w:val="24"/>
              </w:rPr>
              <w:t xml:space="preserve"> found</w:t>
            </w:r>
            <w:r w:rsidRPr="003B5F1A">
              <w:rPr>
                <w:sz w:val="24"/>
                <w:szCs w:val="24"/>
              </w:rPr>
              <w:t xml:space="preserve"> in the </w:t>
            </w:r>
            <w:r w:rsidRPr="003B5F1A" w:rsidR="006105E4">
              <w:rPr>
                <w:sz w:val="24"/>
                <w:szCs w:val="24"/>
              </w:rPr>
              <w:t>SDR entity’s contract with CMS</w:t>
            </w:r>
            <w:r w:rsidRPr="003B5F1A">
              <w:rPr>
                <w:sz w:val="24"/>
                <w:szCs w:val="24"/>
              </w:rPr>
              <w:t>, including properly collecting and storing all required information and how this will be reported to the Departments.</w:t>
            </w:r>
          </w:p>
        </w:tc>
      </w:tr>
      <w:tr w:rsidR="00830BDF" w:rsidTr="00830BDF" w14:paraId="3C4A9C73"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830BDF" w:rsidRDefault="00830BDF" w14:paraId="56E8CE99" w14:textId="77777777">
            <w:pPr>
              <w:pStyle w:val="TableParagraph"/>
              <w:spacing w:before="0"/>
              <w:ind w:right="143"/>
              <w:rPr>
                <w:b/>
                <w:bCs/>
                <w:sz w:val="24"/>
                <w:szCs w:val="24"/>
              </w:rPr>
            </w:pPr>
            <w:r>
              <w:rPr>
                <w:bCs/>
                <w:i/>
                <w:sz w:val="24"/>
                <w:szCs w:val="24"/>
              </w:rPr>
              <w:t>Policies and Procedures for Subcontracting</w:t>
            </w:r>
          </w:p>
        </w:tc>
      </w:tr>
      <w:tr w:rsidR="004B1123" w:rsidTr="00830BDF" w14:paraId="73C29C12" w14:textId="77777777">
        <w:trPr>
          <w:trHeight w:val="367"/>
        </w:trPr>
        <w:tc>
          <w:tcPr>
            <w:tcW w:w="3431" w:type="dxa"/>
            <w:tcBorders>
              <w:top w:val="single" w:color="000000" w:sz="4" w:space="0"/>
              <w:left w:val="single" w:color="000000" w:sz="4" w:space="0"/>
              <w:bottom w:val="single" w:color="000000" w:sz="4" w:space="0"/>
              <w:right w:val="single" w:color="000000" w:sz="4" w:space="0"/>
            </w:tcBorders>
            <w:hideMark/>
          </w:tcPr>
          <w:p w:rsidR="004B1123" w:rsidP="004B1123" w:rsidRDefault="004B1123" w14:paraId="1560AB97" w14:textId="77777777">
            <w:pPr>
              <w:pStyle w:val="TableParagraph"/>
              <w:spacing w:before="0"/>
              <w:ind w:right="115"/>
              <w:rPr>
                <w:sz w:val="24"/>
                <w:szCs w:val="24"/>
              </w:rPr>
            </w:pPr>
            <w:r>
              <w:rPr>
                <w:sz w:val="24"/>
                <w:szCs w:val="24"/>
              </w:rPr>
              <w:t>Subcontractor Management Plan</w:t>
            </w:r>
          </w:p>
        </w:tc>
        <w:tc>
          <w:tcPr>
            <w:tcW w:w="6109" w:type="dxa"/>
            <w:tcBorders>
              <w:top w:val="single" w:color="000000" w:sz="4" w:space="0"/>
              <w:left w:val="single" w:color="000000" w:sz="4" w:space="0"/>
              <w:bottom w:val="single" w:color="000000" w:sz="4" w:space="0"/>
              <w:right w:val="single" w:color="000000" w:sz="4" w:space="0"/>
            </w:tcBorders>
            <w:hideMark/>
          </w:tcPr>
          <w:p w:rsidR="004B1123" w:rsidP="004B1123" w:rsidRDefault="004B1123" w14:paraId="38A38218" w14:textId="75979CF3">
            <w:pPr>
              <w:pStyle w:val="TableParagraph"/>
              <w:spacing w:before="0"/>
              <w:ind w:right="210"/>
              <w:rPr>
                <w:sz w:val="24"/>
                <w:szCs w:val="24"/>
              </w:rPr>
            </w:pPr>
            <w:r w:rsidRPr="00387782">
              <w:rPr>
                <w:sz w:val="24"/>
              </w:rPr>
              <w:t>Documentation describing the organization’s policies and procedures for managing subcontractors, including how the organization will ensure that subcontractors assigned to a determination do not have a conflict of interest regarding any party to the dispute, and how the organization will ensure that subcontractors protect IIHI, in the same manner as</w:t>
            </w:r>
            <w:r w:rsidRPr="00387782" w:rsidDel="00A67937">
              <w:rPr>
                <w:sz w:val="24"/>
              </w:rPr>
              <w:t xml:space="preserve"> </w:t>
            </w:r>
            <w:r w:rsidRPr="00387782">
              <w:rPr>
                <w:sz w:val="24"/>
              </w:rPr>
              <w:t xml:space="preserve">required of certified </w:t>
            </w:r>
            <w:r>
              <w:rPr>
                <w:sz w:val="24"/>
              </w:rPr>
              <w:t>S</w:t>
            </w:r>
            <w:r w:rsidRPr="00387782">
              <w:rPr>
                <w:sz w:val="24"/>
              </w:rPr>
              <w:t xml:space="preserve">DR </w:t>
            </w:r>
            <w:r w:rsidR="008D190D">
              <w:rPr>
                <w:sz w:val="24"/>
              </w:rPr>
              <w:t>e</w:t>
            </w:r>
            <w:r w:rsidRPr="00387782">
              <w:rPr>
                <w:sz w:val="24"/>
              </w:rPr>
              <w:t>ntities.</w:t>
            </w:r>
          </w:p>
        </w:tc>
      </w:tr>
      <w:tr w:rsidR="004D4592" w:rsidTr="00575D5C" w14:paraId="45080F6D" w14:textId="77777777">
        <w:trPr>
          <w:trHeight w:val="331"/>
        </w:trPr>
        <w:tc>
          <w:tcPr>
            <w:tcW w:w="9540" w:type="dxa"/>
            <w:gridSpan w:val="2"/>
            <w:tcBorders>
              <w:top w:val="single" w:color="000000" w:sz="4" w:space="0"/>
              <w:left w:val="single" w:color="000000" w:sz="4" w:space="0"/>
              <w:bottom w:val="single" w:color="000000" w:sz="4" w:space="0"/>
              <w:right w:val="single" w:color="000000" w:sz="4" w:space="0"/>
            </w:tcBorders>
            <w:hideMark/>
          </w:tcPr>
          <w:p w:rsidR="004D4592" w:rsidP="00575D5C" w:rsidRDefault="004D4592" w14:paraId="61599723" w14:textId="55C8C5C9">
            <w:pPr>
              <w:pStyle w:val="TableParagraph"/>
              <w:spacing w:before="0"/>
              <w:ind w:right="143"/>
              <w:rPr>
                <w:b/>
                <w:bCs/>
                <w:sz w:val="24"/>
                <w:szCs w:val="24"/>
              </w:rPr>
            </w:pPr>
            <w:r>
              <w:rPr>
                <w:bCs/>
                <w:i/>
                <w:sz w:val="24"/>
                <w:szCs w:val="24"/>
              </w:rPr>
              <w:t>Policies and Procedures for Compliance with Federal Civil Rights Laws</w:t>
            </w:r>
          </w:p>
        </w:tc>
      </w:tr>
      <w:tr w:rsidR="004D4592" w:rsidTr="00830BDF" w14:paraId="1CAC0566" w14:textId="77777777">
        <w:trPr>
          <w:trHeight w:val="367"/>
        </w:trPr>
        <w:tc>
          <w:tcPr>
            <w:tcW w:w="3431" w:type="dxa"/>
            <w:tcBorders>
              <w:top w:val="single" w:color="000000" w:sz="4" w:space="0"/>
              <w:left w:val="single" w:color="000000" w:sz="4" w:space="0"/>
              <w:bottom w:val="single" w:color="000000" w:sz="4" w:space="0"/>
              <w:right w:val="single" w:color="000000" w:sz="4" w:space="0"/>
            </w:tcBorders>
          </w:tcPr>
          <w:p w:rsidR="004D4592" w:rsidRDefault="0007088B" w14:paraId="2B0F862E" w14:textId="762E870D">
            <w:pPr>
              <w:pStyle w:val="TableParagraph"/>
              <w:spacing w:before="0"/>
              <w:ind w:right="115"/>
              <w:rPr>
                <w:sz w:val="24"/>
                <w:szCs w:val="24"/>
              </w:rPr>
            </w:pPr>
            <w:r>
              <w:rPr>
                <w:sz w:val="24"/>
                <w:szCs w:val="24"/>
              </w:rPr>
              <w:t>Nondiscrimination Policies and Procedures</w:t>
            </w:r>
          </w:p>
        </w:tc>
        <w:tc>
          <w:tcPr>
            <w:tcW w:w="6109" w:type="dxa"/>
            <w:tcBorders>
              <w:top w:val="single" w:color="000000" w:sz="4" w:space="0"/>
              <w:left w:val="single" w:color="000000" w:sz="4" w:space="0"/>
              <w:bottom w:val="single" w:color="000000" w:sz="4" w:space="0"/>
              <w:right w:val="single" w:color="000000" w:sz="4" w:space="0"/>
            </w:tcBorders>
          </w:tcPr>
          <w:p w:rsidR="004D4592" w:rsidRDefault="0007088B" w14:paraId="0D9B5F84" w14:textId="546D1B6D">
            <w:pPr>
              <w:pStyle w:val="TableParagraph"/>
              <w:spacing w:before="0"/>
              <w:ind w:right="210"/>
              <w:rPr>
                <w:sz w:val="24"/>
                <w:szCs w:val="24"/>
              </w:rPr>
            </w:pPr>
            <w:r>
              <w:rPr>
                <w:sz w:val="24"/>
                <w:szCs w:val="24"/>
              </w:rPr>
              <w:t>Policies and procedures for ensuring compliance with federal civil rights laws that prohibit discrimination</w:t>
            </w:r>
            <w:r w:rsidR="004224EF">
              <w:rPr>
                <w:sz w:val="24"/>
                <w:szCs w:val="24"/>
              </w:rPr>
              <w:t xml:space="preserve"> to the extent applicable</w:t>
            </w:r>
            <w:r>
              <w:rPr>
                <w:sz w:val="24"/>
                <w:szCs w:val="24"/>
              </w:rPr>
              <w:t>, including section 1557 of the Affordable Care Act, title VI of the Civil Rights Act of 1964, sections 504 and 508 of the Rehabilitation Act of 1973.</w:t>
            </w:r>
          </w:p>
        </w:tc>
      </w:tr>
      <w:tr w:rsidR="00496B4D" w:rsidTr="008B5A39" w14:paraId="5E74FFD6" w14:textId="77777777">
        <w:trPr>
          <w:trHeight w:val="331"/>
        </w:trPr>
        <w:tc>
          <w:tcPr>
            <w:tcW w:w="9540" w:type="dxa"/>
            <w:gridSpan w:val="2"/>
            <w:shd w:val="clear" w:color="auto" w:fill="D9D9D9" w:themeFill="background1" w:themeFillShade="D9"/>
          </w:tcPr>
          <w:p w:rsidRPr="0045075C" w:rsidR="00496B4D" w:rsidP="009014C5" w:rsidRDefault="00496B4D" w14:paraId="0E51429B" w14:textId="48AC6C7C">
            <w:pPr>
              <w:pStyle w:val="TableParagraph"/>
              <w:spacing w:before="0"/>
              <w:ind w:right="143"/>
              <w:rPr>
                <w:b/>
                <w:bCs/>
                <w:sz w:val="24"/>
                <w:szCs w:val="24"/>
              </w:rPr>
            </w:pPr>
            <w:r>
              <w:rPr>
                <w:b/>
                <w:bCs/>
                <w:sz w:val="24"/>
                <w:szCs w:val="24"/>
              </w:rPr>
              <w:t xml:space="preserve">Contract with Secretary </w:t>
            </w:r>
            <w:r w:rsidR="004B167C">
              <w:rPr>
                <w:b/>
                <w:bCs/>
                <w:sz w:val="24"/>
                <w:szCs w:val="24"/>
              </w:rPr>
              <w:t xml:space="preserve">to Meet </w:t>
            </w:r>
            <w:r w:rsidR="00EB1F32">
              <w:rPr>
                <w:b/>
                <w:bCs/>
                <w:sz w:val="24"/>
                <w:szCs w:val="24"/>
              </w:rPr>
              <w:t xml:space="preserve">Certified </w:t>
            </w:r>
            <w:r w:rsidR="002A4F95">
              <w:rPr>
                <w:b/>
                <w:bCs/>
                <w:sz w:val="24"/>
                <w:szCs w:val="24"/>
              </w:rPr>
              <w:t>S</w:t>
            </w:r>
            <w:r w:rsidR="00EB1F32">
              <w:rPr>
                <w:b/>
                <w:bCs/>
                <w:sz w:val="24"/>
                <w:szCs w:val="24"/>
              </w:rPr>
              <w:t xml:space="preserve">DR Entity </w:t>
            </w:r>
            <w:r w:rsidR="004B167C">
              <w:rPr>
                <w:b/>
                <w:bCs/>
                <w:sz w:val="24"/>
                <w:szCs w:val="24"/>
              </w:rPr>
              <w:t>Standards and Procedures</w:t>
            </w:r>
          </w:p>
        </w:tc>
      </w:tr>
      <w:tr w:rsidR="00EB1F32" w:rsidTr="008B5A39" w14:paraId="51F7F3FF" w14:textId="77777777">
        <w:trPr>
          <w:trHeight w:val="367"/>
        </w:trPr>
        <w:tc>
          <w:tcPr>
            <w:tcW w:w="3431" w:type="dxa"/>
          </w:tcPr>
          <w:p w:rsidRPr="009014C5" w:rsidR="00EB1F32" w:rsidP="007E2F38" w:rsidRDefault="00EB1F32" w14:paraId="4C0DD4AD" w14:textId="1B0DF154">
            <w:pPr>
              <w:pStyle w:val="TableParagraph"/>
              <w:spacing w:before="0"/>
              <w:ind w:right="115"/>
              <w:rPr>
                <w:sz w:val="24"/>
                <w:szCs w:val="24"/>
              </w:rPr>
            </w:pPr>
            <w:r>
              <w:rPr>
                <w:sz w:val="24"/>
                <w:szCs w:val="24"/>
              </w:rPr>
              <w:t>Standards and Procedures as Determined by the Secretary</w:t>
            </w:r>
          </w:p>
        </w:tc>
        <w:tc>
          <w:tcPr>
            <w:tcW w:w="6109" w:type="dxa"/>
          </w:tcPr>
          <w:p w:rsidRPr="009014C5" w:rsidR="00EB1F32" w:rsidP="002A4F95" w:rsidRDefault="00EB1F32" w14:paraId="49A4CA76" w14:textId="0F60D443">
            <w:pPr>
              <w:pStyle w:val="TableParagraph"/>
              <w:spacing w:before="0"/>
              <w:ind w:right="120"/>
              <w:rPr>
                <w:sz w:val="24"/>
                <w:szCs w:val="24"/>
              </w:rPr>
            </w:pPr>
            <w:r>
              <w:rPr>
                <w:sz w:val="24"/>
                <w:szCs w:val="24"/>
              </w:rPr>
              <w:t>Contract detailing standards and procedures determined by the Secretary through guidance for</w:t>
            </w:r>
            <w:r w:rsidR="00695617">
              <w:rPr>
                <w:sz w:val="24"/>
                <w:szCs w:val="24"/>
              </w:rPr>
              <w:t xml:space="preserve"> </w:t>
            </w:r>
            <w:r w:rsidR="002A4F95">
              <w:rPr>
                <w:sz w:val="24"/>
                <w:szCs w:val="24"/>
              </w:rPr>
              <w:t>S</w:t>
            </w:r>
            <w:r w:rsidR="00695617">
              <w:rPr>
                <w:sz w:val="24"/>
                <w:szCs w:val="24"/>
              </w:rPr>
              <w:t>DR entities.</w:t>
            </w:r>
          </w:p>
        </w:tc>
      </w:tr>
    </w:tbl>
    <w:p w:rsidR="00666609" w:rsidP="000A0BFA" w:rsidRDefault="00666609" w14:paraId="33CBD383" w14:textId="6B0C7BB6">
      <w:pPr>
        <w:pStyle w:val="BodyText"/>
        <w:spacing w:before="9"/>
        <w:rPr>
          <w:sz w:val="15"/>
        </w:rPr>
      </w:pPr>
      <w:bookmarkStart w:name="_bookmark0" w:id="5"/>
      <w:bookmarkEnd w:id="5"/>
    </w:p>
    <w:p w:rsidRPr="00666609" w:rsidR="00666609" w:rsidP="00666609" w:rsidRDefault="00666609" w14:paraId="58F2E210" w14:textId="40BDF899">
      <w:pPr>
        <w:rPr>
          <w:i/>
        </w:rPr>
      </w:pPr>
      <w:r>
        <w:rPr>
          <w:i/>
        </w:rPr>
        <w:t>*Denotes optional submission</w:t>
      </w:r>
    </w:p>
    <w:p w:rsidR="00666609" w:rsidP="00666609" w:rsidRDefault="00666609" w14:paraId="79382618" w14:textId="6D55816D"/>
    <w:p w:rsidRPr="008670D1" w:rsidR="00411339" w:rsidP="00183DEF" w:rsidRDefault="000E543A" w14:paraId="230E73BA" w14:textId="1BDFE8B4">
      <w:pPr>
        <w:spacing w:before="92"/>
        <w:rPr>
          <w:b/>
          <w:sz w:val="24"/>
          <w:szCs w:val="24"/>
        </w:rPr>
      </w:pPr>
      <w:r w:rsidRPr="008670D1">
        <w:rPr>
          <w:b/>
          <w:sz w:val="24"/>
          <w:szCs w:val="24"/>
        </w:rPr>
        <w:t>Paperwork Reduction Act Statement</w:t>
      </w:r>
    </w:p>
    <w:p w:rsidRPr="008670D1" w:rsidR="00411339" w:rsidP="00AC330F" w:rsidRDefault="000E543A" w14:paraId="7C7A7B3C" w14:textId="103ED9B5">
      <w:pPr>
        <w:spacing w:before="179" w:line="259" w:lineRule="auto"/>
        <w:ind w:right="403"/>
        <w:rPr>
          <w:sz w:val="24"/>
          <w:szCs w:val="24"/>
        </w:rPr>
      </w:pPr>
      <w:r w:rsidRPr="008670D1">
        <w:rPr>
          <w:sz w:val="24"/>
          <w:szCs w:val="24"/>
        </w:rPr>
        <w:t xml:space="preserve">According to the Paperwork Reduction Act of 1995, no persons are required to respond to a collection of information unless it displays a valid Office of Management and Budget (OMB) control number. </w:t>
      </w:r>
      <w:r w:rsidR="006A2B55">
        <w:rPr>
          <w:sz w:val="24"/>
          <w:szCs w:val="24"/>
        </w:rPr>
        <w:t xml:space="preserve"> </w:t>
      </w:r>
      <w:r w:rsidR="00CE647E">
        <w:rPr>
          <w:sz w:val="24"/>
        </w:rPr>
        <w:t>The</w:t>
      </w:r>
      <w:r w:rsidR="00CE647E">
        <w:rPr>
          <w:spacing w:val="1"/>
          <w:sz w:val="24"/>
        </w:rPr>
        <w:t xml:space="preserve"> </w:t>
      </w:r>
      <w:r w:rsidR="00CE647E">
        <w:rPr>
          <w:sz w:val="24"/>
        </w:rPr>
        <w:t>valid</w:t>
      </w:r>
      <w:r w:rsidR="00CE647E">
        <w:rPr>
          <w:spacing w:val="1"/>
          <w:sz w:val="24"/>
        </w:rPr>
        <w:t xml:space="preserve"> </w:t>
      </w:r>
      <w:r w:rsidR="00CE647E">
        <w:rPr>
          <w:sz w:val="24"/>
        </w:rPr>
        <w:t>OMB</w:t>
      </w:r>
      <w:r w:rsidR="00CE647E">
        <w:rPr>
          <w:spacing w:val="1"/>
          <w:sz w:val="24"/>
        </w:rPr>
        <w:t xml:space="preserve"> </w:t>
      </w:r>
      <w:r w:rsidR="00CE647E">
        <w:rPr>
          <w:sz w:val="24"/>
        </w:rPr>
        <w:t>control</w:t>
      </w:r>
      <w:r w:rsidR="00CE647E">
        <w:rPr>
          <w:spacing w:val="2"/>
          <w:sz w:val="24"/>
        </w:rPr>
        <w:t xml:space="preserve"> </w:t>
      </w:r>
      <w:r w:rsidR="00CE647E">
        <w:rPr>
          <w:sz w:val="24"/>
        </w:rPr>
        <w:t>number for</w:t>
      </w:r>
      <w:r w:rsidR="00CE647E">
        <w:rPr>
          <w:spacing w:val="1"/>
          <w:sz w:val="24"/>
        </w:rPr>
        <w:t xml:space="preserve"> </w:t>
      </w:r>
      <w:r w:rsidR="00CE647E">
        <w:rPr>
          <w:sz w:val="24"/>
        </w:rPr>
        <w:t>this</w:t>
      </w:r>
      <w:r w:rsidR="00CE647E">
        <w:rPr>
          <w:spacing w:val="1"/>
          <w:sz w:val="24"/>
        </w:rPr>
        <w:t xml:space="preserve"> </w:t>
      </w:r>
      <w:r w:rsidR="00CE647E">
        <w:rPr>
          <w:sz w:val="24"/>
        </w:rPr>
        <w:t>information</w:t>
      </w:r>
      <w:r w:rsidR="00CE647E">
        <w:rPr>
          <w:spacing w:val="2"/>
          <w:sz w:val="24"/>
        </w:rPr>
        <w:t xml:space="preserve"> </w:t>
      </w:r>
      <w:r w:rsidR="00CE647E">
        <w:rPr>
          <w:sz w:val="24"/>
        </w:rPr>
        <w:t>collection</w:t>
      </w:r>
      <w:r w:rsidR="00CE647E">
        <w:rPr>
          <w:spacing w:val="1"/>
          <w:sz w:val="24"/>
        </w:rPr>
        <w:t xml:space="preserve"> </w:t>
      </w:r>
      <w:r w:rsidR="00CE647E">
        <w:rPr>
          <w:sz w:val="24"/>
        </w:rPr>
        <w:t>is</w:t>
      </w:r>
      <w:r w:rsidR="00CE647E">
        <w:rPr>
          <w:spacing w:val="1"/>
          <w:sz w:val="24"/>
        </w:rPr>
        <w:t xml:space="preserve"> </w:t>
      </w:r>
      <w:r w:rsidRPr="00802C48" w:rsidR="00CE647E">
        <w:rPr>
          <w:sz w:val="24"/>
        </w:rPr>
        <w:t>1210-0169</w:t>
      </w:r>
      <w:r w:rsidR="00E3466A">
        <w:rPr>
          <w:sz w:val="24"/>
          <w:szCs w:val="24"/>
        </w:rPr>
        <w:t>.</w:t>
      </w:r>
      <w:r w:rsidRPr="008670D1">
        <w:rPr>
          <w:sz w:val="24"/>
          <w:szCs w:val="24"/>
        </w:rPr>
        <w:t xml:space="preserve"> </w:t>
      </w:r>
      <w:r w:rsidR="006A2B55">
        <w:rPr>
          <w:sz w:val="24"/>
          <w:szCs w:val="24"/>
        </w:rPr>
        <w:t xml:space="preserve"> </w:t>
      </w:r>
      <w:r w:rsidRPr="008670D1">
        <w:rPr>
          <w:sz w:val="24"/>
          <w:szCs w:val="24"/>
        </w:rPr>
        <w:t xml:space="preserve">The time required to complete this information collection is estimated to average of </w:t>
      </w:r>
      <w:r w:rsidR="004F184E">
        <w:rPr>
          <w:sz w:val="24"/>
          <w:szCs w:val="24"/>
        </w:rPr>
        <w:t>5</w:t>
      </w:r>
      <w:r w:rsidR="00295B0C">
        <w:rPr>
          <w:sz w:val="24"/>
          <w:szCs w:val="24"/>
        </w:rPr>
        <w:t>.</w:t>
      </w:r>
      <w:r w:rsidR="004F184E">
        <w:rPr>
          <w:sz w:val="24"/>
          <w:szCs w:val="24"/>
        </w:rPr>
        <w:t>2</w:t>
      </w:r>
      <w:r w:rsidR="00295B0C">
        <w:rPr>
          <w:sz w:val="24"/>
          <w:szCs w:val="24"/>
        </w:rPr>
        <w:t>5</w:t>
      </w:r>
      <w:r w:rsidRPr="008670D1" w:rsidR="00625FB3">
        <w:rPr>
          <w:sz w:val="24"/>
          <w:szCs w:val="24"/>
        </w:rPr>
        <w:t xml:space="preserve"> </w:t>
      </w:r>
      <w:r w:rsidRPr="008670D1">
        <w:rPr>
          <w:sz w:val="24"/>
          <w:szCs w:val="24"/>
        </w:rPr>
        <w:t xml:space="preserve">hours per respondent, including the time to </w:t>
      </w:r>
      <w:r w:rsidRPr="003644B6">
        <w:rPr>
          <w:sz w:val="24"/>
          <w:szCs w:val="24"/>
        </w:rPr>
        <w:t>review instructions, search existing data resources, gather the data needed, and complete and review the information collection</w:t>
      </w:r>
      <w:r w:rsidRPr="008670D1">
        <w:rPr>
          <w:sz w:val="24"/>
          <w:szCs w:val="24"/>
        </w:rPr>
        <w:t xml:space="preserve">. </w:t>
      </w:r>
      <w:r w:rsidR="006A2B55">
        <w:rPr>
          <w:sz w:val="24"/>
          <w:szCs w:val="24"/>
        </w:rPr>
        <w:t xml:space="preserve"> </w:t>
      </w:r>
      <w:r w:rsidRPr="008670D1">
        <w:rPr>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AC330F" w:rsidP="00D46914" w:rsidRDefault="00AC330F" w14:paraId="51206793" w14:textId="27CDBDBE">
      <w:pPr>
        <w:spacing w:before="179" w:line="259" w:lineRule="auto"/>
        <w:ind w:right="403"/>
        <w:rPr>
          <w:sz w:val="24"/>
          <w:szCs w:val="24"/>
        </w:rPr>
      </w:pPr>
    </w:p>
    <w:p w:rsidR="00D46914" w:rsidP="00D46914" w:rsidRDefault="00D46914" w14:paraId="1AF4E623" w14:textId="402D8476">
      <w:pPr>
        <w:spacing w:before="179" w:line="259" w:lineRule="auto"/>
        <w:ind w:right="403"/>
        <w:rPr>
          <w:sz w:val="24"/>
          <w:szCs w:val="24"/>
        </w:rPr>
      </w:pPr>
    </w:p>
    <w:p w:rsidR="00D46914" w:rsidP="00D46914" w:rsidRDefault="00D46914" w14:paraId="2D3F821A" w14:textId="52A5BD27">
      <w:pPr>
        <w:spacing w:before="179" w:line="259" w:lineRule="auto"/>
        <w:ind w:right="403"/>
        <w:rPr>
          <w:sz w:val="24"/>
          <w:szCs w:val="24"/>
        </w:rPr>
      </w:pPr>
    </w:p>
    <w:p w:rsidR="00D46914" w:rsidP="00D46914" w:rsidRDefault="00D46914" w14:paraId="3B565790" w14:textId="77777777">
      <w:pPr>
        <w:spacing w:before="179" w:line="259" w:lineRule="auto"/>
        <w:ind w:right="403"/>
        <w:rPr>
          <w:sz w:val="24"/>
          <w:szCs w:val="24"/>
        </w:rPr>
      </w:pPr>
    </w:p>
    <w:p w:rsidRPr="00D46914" w:rsidR="00D46914" w:rsidP="00D46914" w:rsidRDefault="00D46914" w14:paraId="6F05F570" w14:textId="77777777">
      <w:pPr>
        <w:pStyle w:val="TableParagraph"/>
        <w:spacing w:before="46"/>
        <w:jc w:val="both"/>
        <w:rPr>
          <w:sz w:val="24"/>
          <w:szCs w:val="24"/>
        </w:rPr>
      </w:pPr>
      <w:r w:rsidRPr="00695579">
        <w:rPr>
          <w:b/>
          <w:sz w:val="24"/>
          <w:szCs w:val="24"/>
        </w:rPr>
        <w:t>PRIVACY ACT STATEMENT</w:t>
      </w:r>
      <w:r w:rsidRPr="00D46914">
        <w:rPr>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w:t>
      </w:r>
      <w:proofErr w:type="gramStart"/>
      <w:r w:rsidRPr="00D46914">
        <w:rPr>
          <w:sz w:val="24"/>
          <w:szCs w:val="24"/>
        </w:rPr>
        <w:t>:  (</w:t>
      </w:r>
      <w:proofErr w:type="gramEnd"/>
      <w:r w:rsidRPr="00D46914">
        <w:rPr>
          <w:sz w:val="24"/>
          <w:szCs w:val="24"/>
        </w:rPr>
        <w:t>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00D46914" w:rsidP="00D46914" w:rsidRDefault="00D46914" w14:paraId="5397E01D" w14:textId="047DA1D0">
      <w:pPr>
        <w:spacing w:before="179" w:line="259" w:lineRule="auto"/>
        <w:ind w:right="403"/>
        <w:rPr>
          <w:sz w:val="24"/>
          <w:szCs w:val="24"/>
        </w:rPr>
      </w:pPr>
    </w:p>
    <w:p w:rsidRPr="008670D1" w:rsidR="00D46914" w:rsidP="00D46914" w:rsidRDefault="00D46914" w14:paraId="62B563E7" w14:textId="77777777">
      <w:pPr>
        <w:spacing w:before="179" w:line="259" w:lineRule="auto"/>
        <w:ind w:right="403"/>
        <w:rPr>
          <w:sz w:val="24"/>
          <w:szCs w:val="24"/>
        </w:rPr>
      </w:pPr>
    </w:p>
    <w:sectPr w:rsidRPr="008670D1" w:rsidR="00D46914" w:rsidSect="002B70AB">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39181" w14:textId="77777777" w:rsidR="00F97AB1" w:rsidRDefault="00F97AB1" w:rsidP="00B831E9">
      <w:r>
        <w:separator/>
      </w:r>
    </w:p>
  </w:endnote>
  <w:endnote w:type="continuationSeparator" w:id="0">
    <w:p w14:paraId="6608C3B4" w14:textId="77777777" w:rsidR="00F97AB1" w:rsidRDefault="00F97AB1" w:rsidP="00B831E9">
      <w:r>
        <w:continuationSeparator/>
      </w:r>
    </w:p>
  </w:endnote>
  <w:endnote w:type="continuationNotice" w:id="1">
    <w:p w14:paraId="770A44D2" w14:textId="77777777" w:rsidR="00F97AB1" w:rsidRDefault="00F97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83504"/>
      <w:docPartObj>
        <w:docPartGallery w:val="Page Numbers (Bottom of Page)"/>
        <w:docPartUnique/>
      </w:docPartObj>
    </w:sdtPr>
    <w:sdtEndPr>
      <w:rPr>
        <w:noProof/>
      </w:rPr>
    </w:sdtEndPr>
    <w:sdtContent>
      <w:p w14:paraId="44D3A909" w14:textId="48BD3A9E" w:rsidR="00B831E9" w:rsidRDefault="00B831E9">
        <w:pPr>
          <w:pStyle w:val="Footer"/>
          <w:jc w:val="center"/>
        </w:pPr>
        <w:r>
          <w:fldChar w:fldCharType="begin"/>
        </w:r>
        <w:r>
          <w:instrText xml:space="preserve"> PAGE   \* MERGEFORMAT </w:instrText>
        </w:r>
        <w:r>
          <w:fldChar w:fldCharType="separate"/>
        </w:r>
        <w:r w:rsidR="00167CB5">
          <w:rPr>
            <w:noProof/>
          </w:rPr>
          <w:t>1</w:t>
        </w:r>
        <w:r>
          <w:rPr>
            <w:noProof/>
          </w:rPr>
          <w:fldChar w:fldCharType="end"/>
        </w:r>
      </w:p>
    </w:sdtContent>
  </w:sdt>
  <w:p w14:paraId="3627B92B" w14:textId="77777777" w:rsidR="00B831E9" w:rsidRDefault="00B8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48DC" w14:textId="77777777" w:rsidR="00F97AB1" w:rsidRDefault="00F97AB1" w:rsidP="00B831E9">
      <w:r>
        <w:separator/>
      </w:r>
    </w:p>
  </w:footnote>
  <w:footnote w:type="continuationSeparator" w:id="0">
    <w:p w14:paraId="10739435" w14:textId="77777777" w:rsidR="00F97AB1" w:rsidRDefault="00F97AB1" w:rsidP="00B831E9">
      <w:r>
        <w:continuationSeparator/>
      </w:r>
    </w:p>
  </w:footnote>
  <w:footnote w:type="continuationNotice" w:id="1">
    <w:p w14:paraId="2E0653F8" w14:textId="77777777" w:rsidR="00F97AB1" w:rsidRDefault="00F97AB1"/>
  </w:footnote>
  <w:footnote w:id="2">
    <w:p w14:paraId="289F58A7" w14:textId="0A81AC97" w:rsidR="00195FF0" w:rsidRDefault="00195FF0">
      <w:pPr>
        <w:pStyle w:val="FootnoteText"/>
      </w:pPr>
      <w:r>
        <w:rPr>
          <w:rStyle w:val="FootnoteReference"/>
        </w:rPr>
        <w:footnoteRef/>
      </w:r>
      <w:r>
        <w:t xml:space="preserve"> </w:t>
      </w:r>
      <w:r>
        <w:rPr>
          <w:rStyle w:val="normaltextrun"/>
        </w:rPr>
        <w:t>For ease of reference, for purposes of this document, the term “provider” should be considered to include providers of air ambulance services.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39"/>
    <w:rsid w:val="0000013C"/>
    <w:rsid w:val="00003D84"/>
    <w:rsid w:val="00012151"/>
    <w:rsid w:val="0001227F"/>
    <w:rsid w:val="00013294"/>
    <w:rsid w:val="000231A0"/>
    <w:rsid w:val="00030CCB"/>
    <w:rsid w:val="00040129"/>
    <w:rsid w:val="0004342A"/>
    <w:rsid w:val="00051AC2"/>
    <w:rsid w:val="0007088B"/>
    <w:rsid w:val="00071DCF"/>
    <w:rsid w:val="00074657"/>
    <w:rsid w:val="00086DEE"/>
    <w:rsid w:val="000A0BFA"/>
    <w:rsid w:val="000A1224"/>
    <w:rsid w:val="000A1F9F"/>
    <w:rsid w:val="000B66CF"/>
    <w:rsid w:val="000D32B9"/>
    <w:rsid w:val="000E543A"/>
    <w:rsid w:val="00100504"/>
    <w:rsid w:val="00103035"/>
    <w:rsid w:val="0012403B"/>
    <w:rsid w:val="00130DA6"/>
    <w:rsid w:val="0013530C"/>
    <w:rsid w:val="00137B19"/>
    <w:rsid w:val="00142629"/>
    <w:rsid w:val="00146F1E"/>
    <w:rsid w:val="00167CB5"/>
    <w:rsid w:val="00183DEF"/>
    <w:rsid w:val="00195FF0"/>
    <w:rsid w:val="001B2AD6"/>
    <w:rsid w:val="001B4F0E"/>
    <w:rsid w:val="001C587C"/>
    <w:rsid w:val="001D3F49"/>
    <w:rsid w:val="001D7D00"/>
    <w:rsid w:val="001E157A"/>
    <w:rsid w:val="001E3E1E"/>
    <w:rsid w:val="001F14B9"/>
    <w:rsid w:val="001F2C53"/>
    <w:rsid w:val="0020756F"/>
    <w:rsid w:val="0021563B"/>
    <w:rsid w:val="00216D13"/>
    <w:rsid w:val="0021788E"/>
    <w:rsid w:val="00223DD2"/>
    <w:rsid w:val="0023290C"/>
    <w:rsid w:val="0025015E"/>
    <w:rsid w:val="00261091"/>
    <w:rsid w:val="00274C65"/>
    <w:rsid w:val="00276D41"/>
    <w:rsid w:val="00286829"/>
    <w:rsid w:val="002924D6"/>
    <w:rsid w:val="00295B0C"/>
    <w:rsid w:val="002A19E5"/>
    <w:rsid w:val="002A4F95"/>
    <w:rsid w:val="002B31E6"/>
    <w:rsid w:val="002B70AB"/>
    <w:rsid w:val="002C624C"/>
    <w:rsid w:val="002D206E"/>
    <w:rsid w:val="002D2C6D"/>
    <w:rsid w:val="002D5D05"/>
    <w:rsid w:val="002D7646"/>
    <w:rsid w:val="002E5663"/>
    <w:rsid w:val="002F1D74"/>
    <w:rsid w:val="002F605A"/>
    <w:rsid w:val="002F7690"/>
    <w:rsid w:val="00305BD9"/>
    <w:rsid w:val="00313575"/>
    <w:rsid w:val="003151C3"/>
    <w:rsid w:val="0031558E"/>
    <w:rsid w:val="00321FB8"/>
    <w:rsid w:val="00322686"/>
    <w:rsid w:val="003304E3"/>
    <w:rsid w:val="003472F1"/>
    <w:rsid w:val="00361C4A"/>
    <w:rsid w:val="00362E15"/>
    <w:rsid w:val="00363EAD"/>
    <w:rsid w:val="003644B6"/>
    <w:rsid w:val="00364A11"/>
    <w:rsid w:val="0036691D"/>
    <w:rsid w:val="00383246"/>
    <w:rsid w:val="0038671A"/>
    <w:rsid w:val="003952A3"/>
    <w:rsid w:val="003B0E8C"/>
    <w:rsid w:val="003B5F1A"/>
    <w:rsid w:val="003C104D"/>
    <w:rsid w:val="003C492A"/>
    <w:rsid w:val="003D0FEC"/>
    <w:rsid w:val="003D10BA"/>
    <w:rsid w:val="003D6282"/>
    <w:rsid w:val="003F0DB8"/>
    <w:rsid w:val="004004C9"/>
    <w:rsid w:val="0040639F"/>
    <w:rsid w:val="00411339"/>
    <w:rsid w:val="004132E1"/>
    <w:rsid w:val="00420B06"/>
    <w:rsid w:val="004224EF"/>
    <w:rsid w:val="00423342"/>
    <w:rsid w:val="0043007C"/>
    <w:rsid w:val="004314DF"/>
    <w:rsid w:val="00436535"/>
    <w:rsid w:val="0045075C"/>
    <w:rsid w:val="004632C2"/>
    <w:rsid w:val="004679A6"/>
    <w:rsid w:val="00496B4D"/>
    <w:rsid w:val="00496E71"/>
    <w:rsid w:val="004A71F5"/>
    <w:rsid w:val="004B1123"/>
    <w:rsid w:val="004B167C"/>
    <w:rsid w:val="004C37D0"/>
    <w:rsid w:val="004D0368"/>
    <w:rsid w:val="004D309F"/>
    <w:rsid w:val="004D4592"/>
    <w:rsid w:val="004D7E94"/>
    <w:rsid w:val="004D7EAC"/>
    <w:rsid w:val="004E0855"/>
    <w:rsid w:val="004E2790"/>
    <w:rsid w:val="004E2FAD"/>
    <w:rsid w:val="004F184E"/>
    <w:rsid w:val="0050307A"/>
    <w:rsid w:val="00506DF1"/>
    <w:rsid w:val="005105A4"/>
    <w:rsid w:val="005146D3"/>
    <w:rsid w:val="00516CF7"/>
    <w:rsid w:val="0052608A"/>
    <w:rsid w:val="00534899"/>
    <w:rsid w:val="005472CB"/>
    <w:rsid w:val="00561954"/>
    <w:rsid w:val="005624A8"/>
    <w:rsid w:val="00570D65"/>
    <w:rsid w:val="00572A7B"/>
    <w:rsid w:val="005744AE"/>
    <w:rsid w:val="00583CC7"/>
    <w:rsid w:val="00587097"/>
    <w:rsid w:val="00593448"/>
    <w:rsid w:val="00593FDC"/>
    <w:rsid w:val="00595B40"/>
    <w:rsid w:val="0059616B"/>
    <w:rsid w:val="005A42ED"/>
    <w:rsid w:val="005B3E7E"/>
    <w:rsid w:val="005B61A5"/>
    <w:rsid w:val="005F1036"/>
    <w:rsid w:val="005F4E13"/>
    <w:rsid w:val="005F5498"/>
    <w:rsid w:val="006019A8"/>
    <w:rsid w:val="006105E4"/>
    <w:rsid w:val="006129C5"/>
    <w:rsid w:val="006143A2"/>
    <w:rsid w:val="00625FB3"/>
    <w:rsid w:val="00634AB9"/>
    <w:rsid w:val="00636D85"/>
    <w:rsid w:val="00647612"/>
    <w:rsid w:val="006506CE"/>
    <w:rsid w:val="006547F9"/>
    <w:rsid w:val="0065779D"/>
    <w:rsid w:val="00663C8C"/>
    <w:rsid w:val="00666609"/>
    <w:rsid w:val="00675CBA"/>
    <w:rsid w:val="00686201"/>
    <w:rsid w:val="00695579"/>
    <w:rsid w:val="00695617"/>
    <w:rsid w:val="006959DE"/>
    <w:rsid w:val="00696022"/>
    <w:rsid w:val="006A2B55"/>
    <w:rsid w:val="006A48D8"/>
    <w:rsid w:val="006C0945"/>
    <w:rsid w:val="006C21E6"/>
    <w:rsid w:val="006C5BD6"/>
    <w:rsid w:val="006E0982"/>
    <w:rsid w:val="006E2B7A"/>
    <w:rsid w:val="006E3D77"/>
    <w:rsid w:val="006E6840"/>
    <w:rsid w:val="006F10E1"/>
    <w:rsid w:val="006F3607"/>
    <w:rsid w:val="00706041"/>
    <w:rsid w:val="00730ADF"/>
    <w:rsid w:val="00732C7C"/>
    <w:rsid w:val="00734A6F"/>
    <w:rsid w:val="00736212"/>
    <w:rsid w:val="00743765"/>
    <w:rsid w:val="007478F2"/>
    <w:rsid w:val="00750496"/>
    <w:rsid w:val="00767A1E"/>
    <w:rsid w:val="00795D01"/>
    <w:rsid w:val="007A7D66"/>
    <w:rsid w:val="007B364C"/>
    <w:rsid w:val="007B49F2"/>
    <w:rsid w:val="007C1F73"/>
    <w:rsid w:val="007C3833"/>
    <w:rsid w:val="007C4CDF"/>
    <w:rsid w:val="007D2159"/>
    <w:rsid w:val="007E2F38"/>
    <w:rsid w:val="007E45FA"/>
    <w:rsid w:val="007E566D"/>
    <w:rsid w:val="007F01FC"/>
    <w:rsid w:val="007F1940"/>
    <w:rsid w:val="007F7A26"/>
    <w:rsid w:val="0080148A"/>
    <w:rsid w:val="00803910"/>
    <w:rsid w:val="008147D7"/>
    <w:rsid w:val="00817D1B"/>
    <w:rsid w:val="00830BDF"/>
    <w:rsid w:val="008403B2"/>
    <w:rsid w:val="008670D1"/>
    <w:rsid w:val="00877606"/>
    <w:rsid w:val="00880ACA"/>
    <w:rsid w:val="00882D32"/>
    <w:rsid w:val="0089462F"/>
    <w:rsid w:val="008953CE"/>
    <w:rsid w:val="008A4497"/>
    <w:rsid w:val="008A6845"/>
    <w:rsid w:val="008B25E1"/>
    <w:rsid w:val="008B5A39"/>
    <w:rsid w:val="008C7A29"/>
    <w:rsid w:val="008D0E2A"/>
    <w:rsid w:val="008D190D"/>
    <w:rsid w:val="008E38B2"/>
    <w:rsid w:val="008E4979"/>
    <w:rsid w:val="008F20E2"/>
    <w:rsid w:val="008F284D"/>
    <w:rsid w:val="008F707A"/>
    <w:rsid w:val="009014C5"/>
    <w:rsid w:val="0090602A"/>
    <w:rsid w:val="00914BD2"/>
    <w:rsid w:val="00917EF1"/>
    <w:rsid w:val="009218FB"/>
    <w:rsid w:val="0093468F"/>
    <w:rsid w:val="00945E5C"/>
    <w:rsid w:val="009473D6"/>
    <w:rsid w:val="0096228A"/>
    <w:rsid w:val="00981107"/>
    <w:rsid w:val="009A0FF7"/>
    <w:rsid w:val="009B261C"/>
    <w:rsid w:val="009C2059"/>
    <w:rsid w:val="009C79FB"/>
    <w:rsid w:val="009D4CB8"/>
    <w:rsid w:val="009D6E57"/>
    <w:rsid w:val="009D6FD8"/>
    <w:rsid w:val="009E296E"/>
    <w:rsid w:val="009F159A"/>
    <w:rsid w:val="00A00CCC"/>
    <w:rsid w:val="00A04ED2"/>
    <w:rsid w:val="00A147F9"/>
    <w:rsid w:val="00A15607"/>
    <w:rsid w:val="00A21852"/>
    <w:rsid w:val="00A53467"/>
    <w:rsid w:val="00A549DC"/>
    <w:rsid w:val="00A6159E"/>
    <w:rsid w:val="00A772E3"/>
    <w:rsid w:val="00AA5965"/>
    <w:rsid w:val="00AB4B1B"/>
    <w:rsid w:val="00AC3072"/>
    <w:rsid w:val="00AC330F"/>
    <w:rsid w:val="00AC708A"/>
    <w:rsid w:val="00AD1D16"/>
    <w:rsid w:val="00AD5199"/>
    <w:rsid w:val="00AE000E"/>
    <w:rsid w:val="00AF058A"/>
    <w:rsid w:val="00AF198C"/>
    <w:rsid w:val="00AF6A1A"/>
    <w:rsid w:val="00B1282A"/>
    <w:rsid w:val="00B131BB"/>
    <w:rsid w:val="00B16DC9"/>
    <w:rsid w:val="00B20B9A"/>
    <w:rsid w:val="00B6343D"/>
    <w:rsid w:val="00B661C3"/>
    <w:rsid w:val="00B66266"/>
    <w:rsid w:val="00B82211"/>
    <w:rsid w:val="00B831E9"/>
    <w:rsid w:val="00B84D3B"/>
    <w:rsid w:val="00B961B5"/>
    <w:rsid w:val="00BB270B"/>
    <w:rsid w:val="00BB4389"/>
    <w:rsid w:val="00BE5B30"/>
    <w:rsid w:val="00BF3BBE"/>
    <w:rsid w:val="00BF677F"/>
    <w:rsid w:val="00C057E3"/>
    <w:rsid w:val="00C14DA3"/>
    <w:rsid w:val="00C26177"/>
    <w:rsid w:val="00C274FD"/>
    <w:rsid w:val="00C31B22"/>
    <w:rsid w:val="00C47B50"/>
    <w:rsid w:val="00C552DB"/>
    <w:rsid w:val="00C61FED"/>
    <w:rsid w:val="00C92AD9"/>
    <w:rsid w:val="00CB0BEE"/>
    <w:rsid w:val="00CB1397"/>
    <w:rsid w:val="00CB64CD"/>
    <w:rsid w:val="00CD3CC9"/>
    <w:rsid w:val="00CD4A95"/>
    <w:rsid w:val="00CD559E"/>
    <w:rsid w:val="00CD7159"/>
    <w:rsid w:val="00CE0711"/>
    <w:rsid w:val="00CE490C"/>
    <w:rsid w:val="00CE647E"/>
    <w:rsid w:val="00CF4245"/>
    <w:rsid w:val="00CF5A60"/>
    <w:rsid w:val="00CF5FEC"/>
    <w:rsid w:val="00CF772D"/>
    <w:rsid w:val="00D02362"/>
    <w:rsid w:val="00D1149F"/>
    <w:rsid w:val="00D25D3A"/>
    <w:rsid w:val="00D30D7D"/>
    <w:rsid w:val="00D3496D"/>
    <w:rsid w:val="00D36AEA"/>
    <w:rsid w:val="00D37289"/>
    <w:rsid w:val="00D40FF0"/>
    <w:rsid w:val="00D45CB3"/>
    <w:rsid w:val="00D46914"/>
    <w:rsid w:val="00D46DEA"/>
    <w:rsid w:val="00D504C2"/>
    <w:rsid w:val="00D65608"/>
    <w:rsid w:val="00D74BE1"/>
    <w:rsid w:val="00D805C5"/>
    <w:rsid w:val="00D94FFE"/>
    <w:rsid w:val="00DA63FB"/>
    <w:rsid w:val="00DB03CE"/>
    <w:rsid w:val="00DB41D5"/>
    <w:rsid w:val="00DE2E33"/>
    <w:rsid w:val="00E06C89"/>
    <w:rsid w:val="00E23A87"/>
    <w:rsid w:val="00E3466A"/>
    <w:rsid w:val="00E447A9"/>
    <w:rsid w:val="00E472F8"/>
    <w:rsid w:val="00E54D85"/>
    <w:rsid w:val="00E611E0"/>
    <w:rsid w:val="00E72FF5"/>
    <w:rsid w:val="00E740FD"/>
    <w:rsid w:val="00E75EF8"/>
    <w:rsid w:val="00E842C5"/>
    <w:rsid w:val="00E95570"/>
    <w:rsid w:val="00E9576E"/>
    <w:rsid w:val="00E95913"/>
    <w:rsid w:val="00EA66FE"/>
    <w:rsid w:val="00EB1F32"/>
    <w:rsid w:val="00EB32FE"/>
    <w:rsid w:val="00ED2EAE"/>
    <w:rsid w:val="00EE15B3"/>
    <w:rsid w:val="00F10AA6"/>
    <w:rsid w:val="00F11960"/>
    <w:rsid w:val="00F12B93"/>
    <w:rsid w:val="00F2052D"/>
    <w:rsid w:val="00F23AD7"/>
    <w:rsid w:val="00F23BA4"/>
    <w:rsid w:val="00F32823"/>
    <w:rsid w:val="00F43C85"/>
    <w:rsid w:val="00F53EB1"/>
    <w:rsid w:val="00F57199"/>
    <w:rsid w:val="00F62290"/>
    <w:rsid w:val="00F709F3"/>
    <w:rsid w:val="00F746D8"/>
    <w:rsid w:val="00F75E06"/>
    <w:rsid w:val="00F77F0C"/>
    <w:rsid w:val="00F836C9"/>
    <w:rsid w:val="00F874CA"/>
    <w:rsid w:val="00F944D9"/>
    <w:rsid w:val="00F97AB1"/>
    <w:rsid w:val="00FA2A98"/>
    <w:rsid w:val="00FB16F3"/>
    <w:rsid w:val="00FB2309"/>
    <w:rsid w:val="00FB7459"/>
    <w:rsid w:val="00FD2568"/>
    <w:rsid w:val="00FD36FC"/>
    <w:rsid w:val="00FE6D4B"/>
    <w:rsid w:val="00FF1ED3"/>
    <w:rsid w:val="00F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D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728" w:right="2910"/>
      <w:jc w:val="center"/>
      <w:outlineLvl w:val="0"/>
    </w:pPr>
    <w:rPr>
      <w:b/>
      <w:bCs/>
      <w:sz w:val="24"/>
      <w:szCs w:val="24"/>
    </w:rPr>
  </w:style>
  <w:style w:type="paragraph" w:styleId="Heading2">
    <w:name w:val="heading 2"/>
    <w:basedOn w:val="Normal"/>
    <w:uiPriority w:val="9"/>
    <w:unhideWhenUsed/>
    <w:qFormat/>
    <w:pPr>
      <w:ind w:left="120" w:right="32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9"/>
      <w:ind w:left="115"/>
    </w:pPr>
  </w:style>
  <w:style w:type="character" w:styleId="CommentReference">
    <w:name w:val="annotation reference"/>
    <w:basedOn w:val="DefaultParagraphFont"/>
    <w:uiPriority w:val="99"/>
    <w:unhideWhenUsed/>
    <w:rsid w:val="009473D6"/>
    <w:rPr>
      <w:sz w:val="16"/>
      <w:szCs w:val="16"/>
    </w:rPr>
  </w:style>
  <w:style w:type="paragraph" w:styleId="CommentText">
    <w:name w:val="annotation text"/>
    <w:aliases w:val="t"/>
    <w:basedOn w:val="Normal"/>
    <w:link w:val="CommentTextChar"/>
    <w:uiPriority w:val="99"/>
    <w:unhideWhenUsed/>
    <w:qFormat/>
    <w:rsid w:val="009473D6"/>
    <w:rPr>
      <w:sz w:val="20"/>
      <w:szCs w:val="20"/>
    </w:rPr>
  </w:style>
  <w:style w:type="character" w:customStyle="1" w:styleId="CommentTextChar">
    <w:name w:val="Comment Text Char"/>
    <w:aliases w:val="t Char"/>
    <w:basedOn w:val="DefaultParagraphFont"/>
    <w:link w:val="CommentText"/>
    <w:uiPriority w:val="99"/>
    <w:rsid w:val="009473D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473D6"/>
    <w:rPr>
      <w:b/>
      <w:bCs/>
    </w:rPr>
  </w:style>
  <w:style w:type="character" w:customStyle="1" w:styleId="CommentSubjectChar">
    <w:name w:val="Comment Subject Char"/>
    <w:basedOn w:val="CommentTextChar"/>
    <w:link w:val="CommentSubject"/>
    <w:uiPriority w:val="99"/>
    <w:semiHidden/>
    <w:rsid w:val="009473D6"/>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B831E9"/>
    <w:pPr>
      <w:tabs>
        <w:tab w:val="center" w:pos="4680"/>
        <w:tab w:val="right" w:pos="9360"/>
      </w:tabs>
    </w:pPr>
  </w:style>
  <w:style w:type="character" w:customStyle="1" w:styleId="HeaderChar">
    <w:name w:val="Header Char"/>
    <w:basedOn w:val="DefaultParagraphFont"/>
    <w:link w:val="Header"/>
    <w:uiPriority w:val="99"/>
    <w:rsid w:val="00B831E9"/>
    <w:rPr>
      <w:rFonts w:ascii="Times New Roman" w:eastAsia="Times New Roman" w:hAnsi="Times New Roman" w:cs="Times New Roman"/>
      <w:lang w:bidi="en-US"/>
    </w:rPr>
  </w:style>
  <w:style w:type="paragraph" w:styleId="Footer">
    <w:name w:val="footer"/>
    <w:basedOn w:val="Normal"/>
    <w:link w:val="FooterChar"/>
    <w:uiPriority w:val="99"/>
    <w:unhideWhenUsed/>
    <w:rsid w:val="00B831E9"/>
    <w:pPr>
      <w:tabs>
        <w:tab w:val="center" w:pos="4680"/>
        <w:tab w:val="right" w:pos="9360"/>
      </w:tabs>
    </w:pPr>
  </w:style>
  <w:style w:type="character" w:customStyle="1" w:styleId="FooterChar">
    <w:name w:val="Footer Char"/>
    <w:basedOn w:val="DefaultParagraphFont"/>
    <w:link w:val="Footer"/>
    <w:uiPriority w:val="99"/>
    <w:rsid w:val="00B831E9"/>
    <w:rPr>
      <w:rFonts w:ascii="Times New Roman" w:eastAsia="Times New Roman" w:hAnsi="Times New Roman" w:cs="Times New Roman"/>
      <w:lang w:bidi="en-US"/>
    </w:rPr>
  </w:style>
  <w:style w:type="character" w:customStyle="1" w:styleId="UnresolvedMention1">
    <w:name w:val="Unresolved Mention1"/>
    <w:basedOn w:val="DefaultParagraphFont"/>
    <w:uiPriority w:val="99"/>
    <w:unhideWhenUsed/>
    <w:rsid w:val="00E842C5"/>
    <w:rPr>
      <w:color w:val="605E5C"/>
      <w:shd w:val="clear" w:color="auto" w:fill="E1DFDD"/>
    </w:rPr>
  </w:style>
  <w:style w:type="character" w:customStyle="1" w:styleId="Mention1">
    <w:name w:val="Mention1"/>
    <w:basedOn w:val="DefaultParagraphFont"/>
    <w:uiPriority w:val="99"/>
    <w:unhideWhenUsed/>
    <w:rsid w:val="00E842C5"/>
    <w:rPr>
      <w:color w:val="2B579A"/>
      <w:shd w:val="clear" w:color="auto" w:fill="E1DFDD"/>
    </w:rPr>
  </w:style>
  <w:style w:type="paragraph" w:styleId="BalloonText">
    <w:name w:val="Balloon Text"/>
    <w:basedOn w:val="Normal"/>
    <w:link w:val="BalloonTextChar"/>
    <w:uiPriority w:val="99"/>
    <w:semiHidden/>
    <w:unhideWhenUsed/>
    <w:rsid w:val="000B6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CF"/>
    <w:rPr>
      <w:rFonts w:ascii="Segoe UI" w:eastAsia="Times New Roman" w:hAnsi="Segoe UI" w:cs="Segoe UI"/>
      <w:sz w:val="18"/>
      <w:szCs w:val="18"/>
      <w:lang w:bidi="en-US"/>
    </w:rPr>
  </w:style>
  <w:style w:type="character" w:customStyle="1" w:styleId="CommentTextChar1">
    <w:name w:val="Comment Text Char1"/>
    <w:uiPriority w:val="99"/>
    <w:locked/>
    <w:rsid w:val="00CB0BE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21FB8"/>
    <w:rPr>
      <w:color w:val="0000FF" w:themeColor="hyperlink"/>
      <w:u w:val="single"/>
    </w:rPr>
  </w:style>
  <w:style w:type="character" w:styleId="UnresolvedMention">
    <w:name w:val="Unresolved Mention"/>
    <w:basedOn w:val="DefaultParagraphFont"/>
    <w:uiPriority w:val="99"/>
    <w:semiHidden/>
    <w:unhideWhenUsed/>
    <w:rsid w:val="00321FB8"/>
    <w:rPr>
      <w:color w:val="605E5C"/>
      <w:shd w:val="clear" w:color="auto" w:fill="E1DFDD"/>
    </w:rPr>
  </w:style>
  <w:style w:type="character" w:customStyle="1" w:styleId="normaltextrun">
    <w:name w:val="normaltextrun"/>
    <w:basedOn w:val="DefaultParagraphFont"/>
    <w:rsid w:val="00195FF0"/>
  </w:style>
  <w:style w:type="paragraph" w:styleId="FootnoteText">
    <w:name w:val="footnote text"/>
    <w:basedOn w:val="Normal"/>
    <w:link w:val="FootnoteTextChar"/>
    <w:uiPriority w:val="99"/>
    <w:semiHidden/>
    <w:unhideWhenUsed/>
    <w:rsid w:val="00195FF0"/>
    <w:rPr>
      <w:sz w:val="20"/>
      <w:szCs w:val="20"/>
    </w:rPr>
  </w:style>
  <w:style w:type="character" w:customStyle="1" w:styleId="FootnoteTextChar">
    <w:name w:val="Footnote Text Char"/>
    <w:basedOn w:val="DefaultParagraphFont"/>
    <w:link w:val="FootnoteText"/>
    <w:uiPriority w:val="99"/>
    <w:semiHidden/>
    <w:rsid w:val="00195FF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195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01573">
      <w:bodyDiv w:val="1"/>
      <w:marLeft w:val="0"/>
      <w:marRight w:val="0"/>
      <w:marTop w:val="0"/>
      <w:marBottom w:val="0"/>
      <w:divBdr>
        <w:top w:val="none" w:sz="0" w:space="0" w:color="auto"/>
        <w:left w:val="none" w:sz="0" w:space="0" w:color="auto"/>
        <w:bottom w:val="none" w:sz="0" w:space="0" w:color="auto"/>
        <w:right w:val="none" w:sz="0" w:space="0" w:color="auto"/>
      </w:divBdr>
    </w:div>
    <w:div w:id="631835793">
      <w:bodyDiv w:val="1"/>
      <w:marLeft w:val="0"/>
      <w:marRight w:val="0"/>
      <w:marTop w:val="0"/>
      <w:marBottom w:val="0"/>
      <w:divBdr>
        <w:top w:val="none" w:sz="0" w:space="0" w:color="auto"/>
        <w:left w:val="none" w:sz="0" w:space="0" w:color="auto"/>
        <w:bottom w:val="none" w:sz="0" w:space="0" w:color="auto"/>
        <w:right w:val="none" w:sz="0" w:space="0" w:color="auto"/>
      </w:divBdr>
    </w:div>
    <w:div w:id="869608653">
      <w:bodyDiv w:val="1"/>
      <w:marLeft w:val="0"/>
      <w:marRight w:val="0"/>
      <w:marTop w:val="0"/>
      <w:marBottom w:val="0"/>
      <w:divBdr>
        <w:top w:val="none" w:sz="0" w:space="0" w:color="auto"/>
        <w:left w:val="none" w:sz="0" w:space="0" w:color="auto"/>
        <w:bottom w:val="none" w:sz="0" w:space="0" w:color="auto"/>
        <w:right w:val="none" w:sz="0" w:space="0" w:color="auto"/>
      </w:divBdr>
    </w:div>
    <w:div w:id="880214299">
      <w:bodyDiv w:val="1"/>
      <w:marLeft w:val="0"/>
      <w:marRight w:val="0"/>
      <w:marTop w:val="0"/>
      <w:marBottom w:val="0"/>
      <w:divBdr>
        <w:top w:val="none" w:sz="0" w:space="0" w:color="auto"/>
        <w:left w:val="none" w:sz="0" w:space="0" w:color="auto"/>
        <w:bottom w:val="none" w:sz="0" w:space="0" w:color="auto"/>
        <w:right w:val="none" w:sz="0" w:space="0" w:color="auto"/>
      </w:divBdr>
    </w:div>
    <w:div w:id="165035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ederalregister.gov/documents/2021/10/07/2021-21441/requirements-related-to-surprise-billing-part-i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8FE4-A83B-4AC2-8333-AE9BC406C4FF}">
  <ds:schemaRefs>
    <ds:schemaRef ds:uri="Microsoft.SharePoint.Taxonomy.ContentTypeSync"/>
  </ds:schemaRefs>
</ds:datastoreItem>
</file>

<file path=customXml/itemProps2.xml><?xml version="1.0" encoding="utf-8"?>
<ds:datastoreItem xmlns:ds="http://schemas.openxmlformats.org/officeDocument/2006/customXml" ds:itemID="{35B2DC06-2B21-4225-AC5A-728021D13643}">
  <ds:schemaRefs>
    <ds:schemaRef ds:uri="http://schemas.microsoft.com/sharepoint/events"/>
  </ds:schemaRefs>
</ds:datastoreItem>
</file>

<file path=customXml/itemProps3.xml><?xml version="1.0" encoding="utf-8"?>
<ds:datastoreItem xmlns:ds="http://schemas.openxmlformats.org/officeDocument/2006/customXml" ds:itemID="{0260AA5A-D4D4-42F1-90DC-8FAD0D2D55DA}">
  <ds:schemaRefs>
    <ds:schemaRef ds:uri="http://schemas.microsoft.com/sharepoint/v3/contenttype/forms"/>
  </ds:schemaRefs>
</ds:datastoreItem>
</file>

<file path=customXml/itemProps4.xml><?xml version="1.0" encoding="utf-8"?>
<ds:datastoreItem xmlns:ds="http://schemas.openxmlformats.org/officeDocument/2006/customXml" ds:itemID="{AD08FB7B-94D4-41BD-B65F-C130DF131D8B}">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5.xml><?xml version="1.0" encoding="utf-8"?>
<ds:datastoreItem xmlns:ds="http://schemas.openxmlformats.org/officeDocument/2006/customXml" ds:itemID="{9DCA0729-20D5-4F45-97A5-45D60565C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FDDE7F-71EA-4CE4-8A37-C6F1B851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5.Appendix-SDR Entity Certification_Data Elements11.24.21_OGC_JF edits Redline</vt:lpstr>
    </vt:vector>
  </TitlesOfParts>
  <Company/>
  <LinksUpToDate>false</LinksUpToDate>
  <CharactersWithSpaces>10612</CharactersWithSpaces>
  <SharedDoc>false</SharedDoc>
  <HLinks>
    <vt:vector size="12" baseType="variant">
      <vt:variant>
        <vt:i4>852024</vt:i4>
      </vt:variant>
      <vt:variant>
        <vt:i4>3</vt:i4>
      </vt:variant>
      <vt:variant>
        <vt:i4>0</vt:i4>
      </vt:variant>
      <vt:variant>
        <vt:i4>5</vt:i4>
      </vt:variant>
      <vt:variant>
        <vt:lpwstr>mailto:wul@mitre.org</vt:lpwstr>
      </vt:variant>
      <vt:variant>
        <vt:lpwstr/>
      </vt:variant>
      <vt:variant>
        <vt:i4>852024</vt:i4>
      </vt:variant>
      <vt:variant>
        <vt:i4>0</vt:i4>
      </vt:variant>
      <vt:variant>
        <vt:i4>0</vt:i4>
      </vt:variant>
      <vt:variant>
        <vt:i4>5</vt:i4>
      </vt:variant>
      <vt:variant>
        <vt:lpwstr>mailto:wul@mitre.org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5.Appendix-SDR Entity Certification_Data Elements11.24.21_OGC_JF edits Redline</dc:title>
  <dc:subject/>
  <dc:creator/>
  <cp:keywords/>
  <cp:lastModifiedBy/>
  <cp:revision>1</cp:revision>
  <dcterms:created xsi:type="dcterms:W3CDTF">2022-04-12T18:27:00Z</dcterms:created>
  <dcterms:modified xsi:type="dcterms:W3CDTF">2022-04-12T18:27:00Z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ategory">
    <vt:lpwstr>2021 Surprise Billing IFR2</vt:lpwstr>
  </property>
  <property fmtid="{D5CDD505-2E9C-101B-9397-08002B2CF9AE}" pid="4" name="Sub-Category">
    <vt:lpwstr>CSG Topics</vt:lpwstr>
  </property>
  <property fmtid="{D5CDD505-2E9C-101B-9397-08002B2CF9AE}" pid="5" name="_dlc_DocIdItemGuid">
    <vt:lpwstr>b9e4e4f3-3bcc-42a2-8b1d-331ad5b3a60c</vt:lpwstr>
  </property>
  <property fmtid="{D5CDD505-2E9C-101B-9397-08002B2CF9AE}" pid="6" name="_dlc_DocId">
    <vt:lpwstr>QSXZK4DW25JC-2088971228-7083</vt:lpwstr>
  </property>
  <property fmtid="{D5CDD505-2E9C-101B-9397-08002B2CF9AE}" pid="7" name="_dlc_DocIdUrl">
    <vt:lpwstr>https://share.cms.gov/center/cciio/CSG/TranDisc/_layouts/15/DocIdRedir.aspx?ID=QSXZK4DW25JC-2088971228-7083, QSXZK4DW25JC-2088971228-7083</vt:lpwstr>
  </property>
</Properties>
</file>