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B00BC" w:rsidRPr="004E0796" w:rsidP="002B00BC" w14:paraId="5CE118A4" w14:textId="77777777">
      <w:pPr>
        <w:tabs>
          <w:tab w:val="left" w:pos="1080"/>
        </w:tabs>
      </w:pPr>
    </w:p>
    <w:p w:rsidR="002B00BC" w:rsidRPr="007256AC" w:rsidP="002B00BC" w14:paraId="427B2FE8" w14:textId="25727ADF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b/>
          <w:bCs/>
        </w:rPr>
      </w:pPr>
      <w:r w:rsidRPr="004E0796">
        <w:rPr>
          <w:b/>
          <w:bCs/>
        </w:rPr>
        <w:t>Subject:</w:t>
      </w:r>
      <w:r w:rsidRPr="004E0796">
        <w:tab/>
      </w:r>
      <w:r w:rsidRPr="007256AC">
        <w:rPr>
          <w:b/>
          <w:bCs/>
        </w:rPr>
        <w:t xml:space="preserve">No material/Non-Substantive Change Request – </w:t>
      </w:r>
      <w:r w:rsidRPr="007256AC" w:rsidR="003F685C">
        <w:rPr>
          <w:b/>
          <w:bCs/>
        </w:rPr>
        <w:t>No Surprises</w:t>
      </w:r>
      <w:r w:rsidRPr="007256AC" w:rsidR="008C781B">
        <w:rPr>
          <w:b/>
          <w:bCs/>
        </w:rPr>
        <w:t xml:space="preserve"> Act: IDR Process</w:t>
      </w:r>
      <w:r w:rsidRPr="007256AC" w:rsidR="009448CA">
        <w:rPr>
          <w:b/>
          <w:bCs/>
        </w:rPr>
        <w:t xml:space="preserve"> </w:t>
      </w:r>
    </w:p>
    <w:p w:rsidR="004953E4" w:rsidP="00141F70" w14:paraId="13C3A9F5" w14:textId="77777777"/>
    <w:p w:rsidR="004953E4" w:rsidP="00981EB4" w14:paraId="611F5442" w14:textId="737531D5">
      <w:pPr>
        <w:pStyle w:val="Header"/>
        <w:ind w:firstLine="720"/>
      </w:pPr>
      <w:r>
        <w:tab/>
      </w:r>
      <w:r w:rsidR="00FE638C">
        <w:t>This memo requests</w:t>
      </w:r>
      <w:r>
        <w:t xml:space="preserve"> a no</w:t>
      </w:r>
      <w:r w:rsidR="008E2EF8">
        <w:t xml:space="preserve"> </w:t>
      </w:r>
      <w:r>
        <w:t xml:space="preserve">material/non-substantive change request for the </w:t>
      </w:r>
      <w:r w:rsidRPr="00981EB4" w:rsidR="00981EB4">
        <w:t xml:space="preserve">No Surprises Act: IDR Process </w:t>
      </w:r>
      <w:r w:rsidR="00BD7952">
        <w:t>(OMB Control Number 1210-01</w:t>
      </w:r>
      <w:r w:rsidR="00981EB4">
        <w:t>69</w:t>
      </w:r>
      <w:r w:rsidR="008C1AE4">
        <w:t>)</w:t>
      </w:r>
      <w:r>
        <w:t xml:space="preserve">, which currently is scheduled to expire on </w:t>
      </w:r>
      <w:r w:rsidR="003849CD">
        <w:t xml:space="preserve">November </w:t>
      </w:r>
      <w:r w:rsidRPr="00B35693" w:rsidR="00B35693">
        <w:t>3</w:t>
      </w:r>
      <w:r w:rsidR="00981EB4">
        <w:t>0</w:t>
      </w:r>
      <w:r w:rsidRPr="00B35693">
        <w:t>, 20</w:t>
      </w:r>
      <w:r w:rsidRPr="00B35693" w:rsidR="00B35693">
        <w:t>2</w:t>
      </w:r>
      <w:r w:rsidR="00981EB4">
        <w:t>5</w:t>
      </w:r>
      <w:r w:rsidRPr="00B35693">
        <w:t>.</w:t>
      </w:r>
      <w:r>
        <w:t xml:space="preserve">   </w:t>
      </w:r>
      <w:r w:rsidR="000E3E15">
        <w:t>As further discussed below, t</w:t>
      </w:r>
      <w:r w:rsidRPr="00B81FC1">
        <w:t xml:space="preserve">he Department is </w:t>
      </w:r>
      <w:r w:rsidR="00981EB4">
        <w:t xml:space="preserve">updating the instructions, but not changing the underlying collection. </w:t>
      </w:r>
    </w:p>
    <w:p w:rsidR="00981EB4" w:rsidP="00981EB4" w14:paraId="3C84F487" w14:textId="77777777">
      <w:pPr>
        <w:pStyle w:val="Header"/>
        <w:ind w:firstLine="720"/>
      </w:pPr>
    </w:p>
    <w:p w:rsidR="00E31A52" w:rsidP="00FC6AF5" w14:paraId="275E38E5" w14:textId="7812BC0C">
      <w:pPr>
        <w:pStyle w:val="Header"/>
        <w:contextualSpacing/>
        <w:rPr>
          <w:b/>
          <w:bCs/>
        </w:rPr>
      </w:pPr>
      <w:r w:rsidRPr="00FC6AF5">
        <w:rPr>
          <w:b/>
          <w:bCs/>
        </w:rPr>
        <w:t>Back</w:t>
      </w:r>
      <w:r w:rsidRPr="00FC6AF5" w:rsidR="00FC6AF5">
        <w:rPr>
          <w:b/>
          <w:bCs/>
        </w:rPr>
        <w:t>ground</w:t>
      </w:r>
    </w:p>
    <w:p w:rsidR="00FC6AF5" w:rsidRPr="00FC6AF5" w:rsidP="00FC6AF5" w14:paraId="247212F6" w14:textId="77777777">
      <w:pPr>
        <w:pStyle w:val="Header"/>
        <w:contextualSpacing/>
        <w:rPr>
          <w:b/>
          <w:bCs/>
        </w:rPr>
      </w:pPr>
    </w:p>
    <w:p w:rsidR="00981EB4" w:rsidP="00981EB4" w14:paraId="5829DFCA" w14:textId="7D58FCA7">
      <w:pPr>
        <w:ind w:firstLine="720"/>
      </w:pPr>
      <w:r>
        <w:t>The Department of Labor’s Employee Benefits Security Administration, in conjunction with the Department o</w:t>
      </w:r>
      <w:r w:rsidRPr="00575B94">
        <w:t xml:space="preserve">f </w:t>
      </w:r>
      <w:r>
        <w:t>t</w:t>
      </w:r>
      <w:r w:rsidRPr="00575B94">
        <w:t>he Treasury</w:t>
      </w:r>
      <w:r>
        <w:t xml:space="preserve">, Internal Revenue Service, and the Department of Health and Human Services as well as the Office of Personnel Management, issued a joint Final Rule (FR), </w:t>
      </w:r>
      <w:r w:rsidRPr="00575B94">
        <w:rPr>
          <w:i/>
        </w:rPr>
        <w:t>Requirements Related to Surprise Billing</w:t>
      </w:r>
      <w:r>
        <w:t>, on August 26, 2022 (</w:t>
      </w:r>
      <w:bookmarkStart w:id="0" w:name="_Hlk127543593"/>
      <w:r w:rsidRPr="00022FB7">
        <w:t>87 FR 52618</w:t>
      </w:r>
      <w:bookmarkEnd w:id="0"/>
      <w:r>
        <w:t>)</w:t>
      </w:r>
      <w:r w:rsidR="003849CD">
        <w:t>.</w:t>
      </w:r>
      <w:r>
        <w:t xml:space="preserve"> The FR implements provisions of the </w:t>
      </w:r>
      <w:r w:rsidRPr="00154C01">
        <w:t>No Surprises Act</w:t>
      </w:r>
      <w:r>
        <w:t>. The No Surprises Act</w:t>
      </w:r>
      <w:r w:rsidRPr="00154C01">
        <w:t xml:space="preserve"> was enacted on December 27, 2020, as title I of Division BB of the Consolidated Appropriations Act, 2021</w:t>
      </w:r>
      <w:r w:rsidR="00A10F14">
        <w:t xml:space="preserve"> (P.L. 116-260)</w:t>
      </w:r>
      <w:r w:rsidRPr="00154C01">
        <w:t>.</w:t>
      </w:r>
      <w:r>
        <w:t xml:space="preserve">  The No Surprises Act </w:t>
      </w:r>
      <w:r w:rsidRPr="008235AF">
        <w:t>establishes new protections from surprise billing and excessive cost-sharing for consumers receiving health care items and services</w:t>
      </w:r>
      <w:r w:rsidRPr="00997C58">
        <w:t xml:space="preserve">. </w:t>
      </w:r>
      <w:r w:rsidRPr="00997C58">
        <w:rPr>
          <w:color w:val="000000"/>
        </w:rPr>
        <w:t>Section 102 of the No Surprises Act contains limitations on cost sharing and requirements for initial payments for emergency services</w:t>
      </w:r>
      <w:r w:rsidRPr="00BB7031">
        <w:t xml:space="preserve"> </w:t>
      </w:r>
      <w:r w:rsidRPr="00BB7031">
        <w:rPr>
          <w:color w:val="000000"/>
        </w:rPr>
        <w:t>and for non-emergency services performed by non-participating providers at participating facilities</w:t>
      </w:r>
      <w:r w:rsidRPr="00997C58">
        <w:rPr>
          <w:color w:val="000000"/>
        </w:rPr>
        <w:t xml:space="preserve">.  Section 103 establishes a federal independent dispute resolution (IDR) process that allows plans and issuers and out-of-network providers to resolve disputes </w:t>
      </w:r>
      <w:r>
        <w:rPr>
          <w:color w:val="000000"/>
        </w:rPr>
        <w:t>regarding</w:t>
      </w:r>
      <w:r w:rsidRPr="00997C58">
        <w:rPr>
          <w:color w:val="000000"/>
        </w:rPr>
        <w:t xml:space="preserve"> out-of-network rates.  Section 105 contains limitations on cost sharing and requirements for initial payments for air ambulance services, and </w:t>
      </w:r>
      <w:r>
        <w:rPr>
          <w:color w:val="000000"/>
        </w:rPr>
        <w:t xml:space="preserve">established the IDR process for </w:t>
      </w:r>
      <w:r w:rsidRPr="00997C58">
        <w:rPr>
          <w:color w:val="000000"/>
        </w:rPr>
        <w:t>plans, issuers, and providers of air ambulance services.</w:t>
      </w:r>
      <w:r w:rsidRPr="003D1568">
        <w:rPr>
          <w:color w:val="000000"/>
        </w:rPr>
        <w:t xml:space="preserve"> </w:t>
      </w:r>
    </w:p>
    <w:p w:rsidR="00981EB4" w:rsidP="00981EB4" w14:paraId="1754460E" w14:textId="328F8A31"/>
    <w:p w:rsidR="005539DD" w:rsidP="00BD7952" w14:paraId="270F6161" w14:textId="01C3AAAD">
      <w:pPr>
        <w:ind w:firstLine="720"/>
      </w:pPr>
      <w:r w:rsidRPr="00981EB4">
        <w:t xml:space="preserve">On February 6, 2023, the U.S. District Court for the Eastern District of Texas issued an adverse ruling vacating certain provisions of the FR related to the information a certified IDR entity must consider in making a payment determination, and the information required to be included in a certified IDR entity’s written decision payment determinations under the federal IDR process.  </w:t>
      </w:r>
      <w:r w:rsidRPr="005539DD">
        <w:t>The court also vacated the parallel provisions applicable to air ambulance payment disputes.</w:t>
      </w:r>
    </w:p>
    <w:p w:rsidR="00FC6AF5" w:rsidP="00BD7952" w14:paraId="1B5FD705" w14:textId="77777777">
      <w:pPr>
        <w:ind w:firstLine="720"/>
      </w:pPr>
    </w:p>
    <w:p w:rsidR="00FC6AF5" w:rsidRPr="0069495B" w:rsidP="0069495B" w14:paraId="1B577342" w14:textId="5143DDA8">
      <w:pPr>
        <w:rPr>
          <w:b/>
          <w:bCs/>
        </w:rPr>
      </w:pPr>
      <w:r w:rsidRPr="0069495B">
        <w:rPr>
          <w:b/>
          <w:bCs/>
        </w:rPr>
        <w:t>Over</w:t>
      </w:r>
      <w:r w:rsidRPr="0069495B" w:rsidR="0069495B">
        <w:rPr>
          <w:b/>
          <w:bCs/>
        </w:rPr>
        <w:t>view of Requested Changes</w:t>
      </w:r>
    </w:p>
    <w:p w:rsidR="005539DD" w:rsidP="00BD7952" w14:paraId="7BB5908A" w14:textId="77777777">
      <w:pPr>
        <w:ind w:firstLine="720"/>
      </w:pPr>
    </w:p>
    <w:p w:rsidR="00981EB4" w:rsidP="00BD7952" w14:paraId="47B54C99" w14:textId="2695EA7A">
      <w:pPr>
        <w:ind w:firstLine="720"/>
      </w:pPr>
      <w:r>
        <w:t xml:space="preserve">In </w:t>
      </w:r>
      <w:r w:rsidR="005539DD">
        <w:t>order to</w:t>
      </w:r>
      <w:r>
        <w:t xml:space="preserve"> comply with the recent court decision, DOL is updating the instructions to the Notice of Offer Data Elements and </w:t>
      </w:r>
      <w:r w:rsidR="005539DD">
        <w:t xml:space="preserve">the </w:t>
      </w:r>
      <w:r>
        <w:t>Certified IDR Entity Written Payment Determination</w:t>
      </w:r>
      <w:r w:rsidR="005539DD">
        <w:t xml:space="preserve"> Notice</w:t>
      </w:r>
      <w:r>
        <w:t xml:space="preserve">. However, these updates do not change the underlying collection. </w:t>
      </w:r>
      <w:r w:rsidR="00180223">
        <w:t>These updates remove the reference to whether the a</w:t>
      </w:r>
      <w:r w:rsidRPr="00180223" w:rsidR="00180223">
        <w:t>dditional information relating to the offers submitted by the parties relates to the circumstances</w:t>
      </w:r>
      <w:r w:rsidR="00180223">
        <w:t>. These updates also remove the reference</w:t>
      </w:r>
      <w:r w:rsidRPr="00180223" w:rsidR="00180223">
        <w:t xml:space="preserve"> </w:t>
      </w:r>
      <w:r w:rsidR="00180223">
        <w:t>that i</w:t>
      </w:r>
      <w:r w:rsidRPr="00180223" w:rsidR="00180223">
        <w:t>f the certified IDR entity relies on information other than the QPA in selecting an offer</w:t>
      </w:r>
      <w:r w:rsidR="00180223">
        <w:t xml:space="preserve">, </w:t>
      </w:r>
      <w:r w:rsidRPr="00180223" w:rsidR="00180223">
        <w:t xml:space="preserve">the written decision must include an explanation of why the certified IDR entity concluded that this information was not already reflected in the </w:t>
      </w:r>
      <w:r w:rsidRPr="00180223" w:rsidR="00180223">
        <w:t xml:space="preserve">QPA. </w:t>
      </w:r>
      <w:r w:rsidR="00180223">
        <w:t xml:space="preserve"> </w:t>
      </w:r>
      <w:r w:rsidR="005539DD">
        <w:t>Therefore, t</w:t>
      </w:r>
      <w:r>
        <w:t>his change is non-material and will not affect the hour or cost burden associated with the annual information collection.</w:t>
      </w:r>
    </w:p>
    <w:p w:rsidR="00607A2D" w:rsidP="00BD7952" w14:paraId="7A2D12FF" w14:textId="77777777">
      <w:pPr>
        <w:ind w:firstLine="720"/>
      </w:pPr>
    </w:p>
    <w:p w:rsidR="00607A2D" w:rsidP="0056404E" w14:paraId="423F2D97" w14:textId="5EE8163F">
      <w:pPr>
        <w:rPr>
          <w:b/>
          <w:bCs/>
        </w:rPr>
      </w:pPr>
      <w:r w:rsidRPr="0056404E">
        <w:rPr>
          <w:b/>
          <w:bCs/>
        </w:rPr>
        <w:t>Time Sensi</w:t>
      </w:r>
      <w:r w:rsidRPr="0056404E" w:rsidR="00016166">
        <w:rPr>
          <w:b/>
          <w:bCs/>
        </w:rPr>
        <w:t>tivities</w:t>
      </w:r>
    </w:p>
    <w:p w:rsidR="00673740" w:rsidP="0056404E" w14:paraId="0103B89A" w14:textId="77777777">
      <w:pPr>
        <w:rPr>
          <w:b/>
          <w:bCs/>
        </w:rPr>
      </w:pPr>
    </w:p>
    <w:p w:rsidR="00673740" w:rsidRPr="0056404E" w:rsidP="0056404E" w14:paraId="5B546A42" w14:textId="4E106C1F">
      <w:pPr>
        <w:rPr>
          <w:b/>
          <w:bCs/>
        </w:rPr>
      </w:pPr>
      <w:r w:rsidRPr="004A1CA9">
        <w:rPr>
          <w:bCs/>
          <w:iCs/>
        </w:rPr>
        <w:t>An immediate approval is requested</w:t>
      </w:r>
      <w:r>
        <w:rPr>
          <w:bCs/>
          <w:iCs/>
        </w:rPr>
        <w:t xml:space="preserve"> </w:t>
      </w:r>
      <w:r w:rsidRPr="00A8790E">
        <w:rPr>
          <w:bCs/>
          <w:iCs/>
        </w:rPr>
        <w:t>with no change in the approved expiration date.</w:t>
      </w:r>
      <w:r w:rsidR="00A8790E">
        <w:rPr>
          <w:bCs/>
          <w:iCs/>
        </w:rPr>
        <w:t xml:space="preserve">  The IDR </w:t>
      </w:r>
      <w:r w:rsidR="00BC41B2">
        <w:rPr>
          <w:bCs/>
          <w:iCs/>
        </w:rPr>
        <w:t xml:space="preserve">Process has been paused </w:t>
      </w:r>
      <w:r w:rsidR="009F6E07">
        <w:rPr>
          <w:bCs/>
          <w:iCs/>
        </w:rPr>
        <w:t>following the vacatur as changes are made</w:t>
      </w:r>
      <w:r w:rsidR="007B4C5B">
        <w:rPr>
          <w:bCs/>
          <w:iCs/>
        </w:rPr>
        <w:t xml:space="preserve"> to </w:t>
      </w:r>
      <w:r w:rsidR="007B56FF">
        <w:rPr>
          <w:bCs/>
          <w:iCs/>
        </w:rPr>
        <w:t>the review process and these forms.</w:t>
      </w:r>
      <w:r w:rsidR="003D2F9E">
        <w:rPr>
          <w:bCs/>
          <w:iCs/>
        </w:rPr>
        <w:t xml:space="preserve">  </w:t>
      </w:r>
      <w:r w:rsidR="00ED5883">
        <w:rPr>
          <w:bCs/>
          <w:iCs/>
        </w:rPr>
        <w:t>Approval will allow the reviews to resume.</w:t>
      </w:r>
      <w:r>
        <w:rPr>
          <w:bCs/>
          <w:iCs/>
        </w:rPr>
        <w:t xml:space="preserve"> </w:t>
      </w:r>
      <w:r w:rsidRPr="004A1CA9">
        <w:rPr>
          <w:bCs/>
          <w:iCs/>
        </w:rPr>
        <w:t xml:space="preserve"> </w:t>
      </w:r>
    </w:p>
    <w:p w:rsidR="00090642" w:rsidP="00141F70" w14:paraId="3CEA951C" w14:textId="2E1D8CC4">
      <w:r>
        <w:t xml:space="preserve"> </w:t>
      </w:r>
    </w:p>
    <w:sectPr w:rsidSect="00132090">
      <w:headerReference w:type="default" r:id="rId7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A21" w:rsidP="0024189D" w14:paraId="0576902A" w14:textId="77777777">
    <w:pPr>
      <w:jc w:val="right"/>
      <w:rPr>
        <w:b/>
        <w:sz w:val="20"/>
        <w:szCs w:val="20"/>
      </w:rPr>
    </w:pPr>
    <w:r w:rsidRPr="00981EB4">
      <w:rPr>
        <w:b/>
        <w:sz w:val="20"/>
        <w:szCs w:val="20"/>
      </w:rPr>
      <w:t xml:space="preserve">No Surprises Act: IDR Process </w:t>
    </w:r>
  </w:p>
  <w:p w:rsidR="0024189D" w:rsidP="0024189D" w14:paraId="421B6C56" w14:textId="67C180C9">
    <w:pPr>
      <w:jc w:val="right"/>
      <w:rPr>
        <w:rFonts w:ascii="CG Times" w:hAnsi="CG Times"/>
        <w:b/>
        <w:bCs/>
        <w:sz w:val="20"/>
        <w:szCs w:val="20"/>
      </w:rPr>
    </w:pPr>
    <w:r>
      <w:rPr>
        <w:rFonts w:ascii="CG Times" w:hAnsi="CG Times"/>
        <w:b/>
        <w:bCs/>
        <w:sz w:val="20"/>
        <w:szCs w:val="20"/>
      </w:rPr>
      <w:t>OMB Number 1210-</w:t>
    </w:r>
    <w:r w:rsidR="00981EB4">
      <w:rPr>
        <w:rFonts w:ascii="CG Times" w:hAnsi="CG Times"/>
        <w:b/>
        <w:bCs/>
        <w:sz w:val="20"/>
        <w:szCs w:val="20"/>
      </w:rPr>
      <w:t>0169</w:t>
    </w:r>
  </w:p>
  <w:p w:rsidR="0024189D" w:rsidP="0024189D" w14:paraId="31180765" w14:textId="5C14C7A8">
    <w:pPr>
      <w:jc w:val="right"/>
      <w:rPr>
        <w:rFonts w:ascii="CG Times" w:hAnsi="CG Times"/>
        <w:b/>
        <w:bCs/>
        <w:sz w:val="20"/>
        <w:szCs w:val="20"/>
      </w:rPr>
    </w:pPr>
    <w:r>
      <w:rPr>
        <w:rFonts w:ascii="CG Times" w:hAnsi="CG Times"/>
        <w:b/>
        <w:bCs/>
        <w:sz w:val="20"/>
        <w:szCs w:val="20"/>
      </w:rPr>
      <w:tab/>
    </w:r>
    <w:r w:rsidR="00981EB4">
      <w:rPr>
        <w:rFonts w:ascii="CG Times" w:hAnsi="CG Times"/>
        <w:b/>
        <w:bCs/>
        <w:sz w:val="20"/>
        <w:szCs w:val="20"/>
      </w:rPr>
      <w:t xml:space="preserve">Expiration Date: </w:t>
    </w:r>
    <w:r w:rsidR="00537C45">
      <w:rPr>
        <w:rFonts w:ascii="CG Times" w:hAnsi="CG Times"/>
        <w:b/>
        <w:bCs/>
        <w:sz w:val="20"/>
        <w:szCs w:val="20"/>
      </w:rPr>
      <w:t>11</w:t>
    </w:r>
    <w:r w:rsidR="00981EB4">
      <w:rPr>
        <w:rFonts w:ascii="CG Times" w:hAnsi="CG Times"/>
        <w:b/>
        <w:bCs/>
        <w:sz w:val="20"/>
        <w:szCs w:val="20"/>
      </w:rPr>
      <w:t>/30/2025</w:t>
    </w:r>
    <w:r>
      <w:rPr>
        <w:rFonts w:ascii="CG Times" w:hAnsi="CG Times"/>
        <w:b/>
        <w:bCs/>
        <w:sz w:val="20"/>
        <w:szCs w:val="20"/>
      </w:rPr>
      <w:t xml:space="preserve"> </w:t>
    </w:r>
  </w:p>
  <w:p w:rsidR="00175136" w14:paraId="01E0739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4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E4"/>
    <w:rsid w:val="00016166"/>
    <w:rsid w:val="00022FB7"/>
    <w:rsid w:val="00051B80"/>
    <w:rsid w:val="00066D7D"/>
    <w:rsid w:val="00090642"/>
    <w:rsid w:val="000E3E15"/>
    <w:rsid w:val="00126841"/>
    <w:rsid w:val="00141F70"/>
    <w:rsid w:val="00154C01"/>
    <w:rsid w:val="00175136"/>
    <w:rsid w:val="00180223"/>
    <w:rsid w:val="001804E9"/>
    <w:rsid w:val="00190E60"/>
    <w:rsid w:val="001A14E1"/>
    <w:rsid w:val="001D2E9B"/>
    <w:rsid w:val="001F3462"/>
    <w:rsid w:val="002256D7"/>
    <w:rsid w:val="0024189D"/>
    <w:rsid w:val="00295814"/>
    <w:rsid w:val="002B00BC"/>
    <w:rsid w:val="002E4E5D"/>
    <w:rsid w:val="00332F4B"/>
    <w:rsid w:val="003849CD"/>
    <w:rsid w:val="0039015C"/>
    <w:rsid w:val="0039754D"/>
    <w:rsid w:val="003B5F96"/>
    <w:rsid w:val="003D1568"/>
    <w:rsid w:val="003D2F9E"/>
    <w:rsid w:val="003F685C"/>
    <w:rsid w:val="00401AA7"/>
    <w:rsid w:val="0040553F"/>
    <w:rsid w:val="004953E4"/>
    <w:rsid w:val="004A1CA9"/>
    <w:rsid w:val="004E0796"/>
    <w:rsid w:val="004F2DD4"/>
    <w:rsid w:val="004F45A4"/>
    <w:rsid w:val="00517D47"/>
    <w:rsid w:val="00537C45"/>
    <w:rsid w:val="005539DD"/>
    <w:rsid w:val="0056404E"/>
    <w:rsid w:val="0057283D"/>
    <w:rsid w:val="00575B94"/>
    <w:rsid w:val="00607A2D"/>
    <w:rsid w:val="00616EE6"/>
    <w:rsid w:val="006243F1"/>
    <w:rsid w:val="006701A9"/>
    <w:rsid w:val="00673740"/>
    <w:rsid w:val="006851B8"/>
    <w:rsid w:val="0069495B"/>
    <w:rsid w:val="006B0FC9"/>
    <w:rsid w:val="006D74F6"/>
    <w:rsid w:val="007256AC"/>
    <w:rsid w:val="00740703"/>
    <w:rsid w:val="00740749"/>
    <w:rsid w:val="00780546"/>
    <w:rsid w:val="007B4C5B"/>
    <w:rsid w:val="007B56FF"/>
    <w:rsid w:val="007E3218"/>
    <w:rsid w:val="007F0638"/>
    <w:rsid w:val="00801065"/>
    <w:rsid w:val="008235AF"/>
    <w:rsid w:val="00833F0B"/>
    <w:rsid w:val="00863804"/>
    <w:rsid w:val="00894B10"/>
    <w:rsid w:val="008C1AE4"/>
    <w:rsid w:val="008C69AB"/>
    <w:rsid w:val="008C781B"/>
    <w:rsid w:val="008D6561"/>
    <w:rsid w:val="008E2EF8"/>
    <w:rsid w:val="008F46C3"/>
    <w:rsid w:val="00910805"/>
    <w:rsid w:val="00913B92"/>
    <w:rsid w:val="009448CA"/>
    <w:rsid w:val="00960B0B"/>
    <w:rsid w:val="009620D6"/>
    <w:rsid w:val="009640E4"/>
    <w:rsid w:val="00981EB4"/>
    <w:rsid w:val="00993DD8"/>
    <w:rsid w:val="00996ABF"/>
    <w:rsid w:val="00997C58"/>
    <w:rsid w:val="009A5AAB"/>
    <w:rsid w:val="009C579F"/>
    <w:rsid w:val="009F6E07"/>
    <w:rsid w:val="00A01F67"/>
    <w:rsid w:val="00A10F14"/>
    <w:rsid w:val="00A814CE"/>
    <w:rsid w:val="00A8790E"/>
    <w:rsid w:val="00AD5672"/>
    <w:rsid w:val="00AF0D67"/>
    <w:rsid w:val="00B138C5"/>
    <w:rsid w:val="00B310B7"/>
    <w:rsid w:val="00B35693"/>
    <w:rsid w:val="00B538D0"/>
    <w:rsid w:val="00B66132"/>
    <w:rsid w:val="00B81FC1"/>
    <w:rsid w:val="00BB5A21"/>
    <w:rsid w:val="00BB7031"/>
    <w:rsid w:val="00BC41B2"/>
    <w:rsid w:val="00BD7952"/>
    <w:rsid w:val="00C215CD"/>
    <w:rsid w:val="00C376FA"/>
    <w:rsid w:val="00CB5CAD"/>
    <w:rsid w:val="00CF2C36"/>
    <w:rsid w:val="00D12F2E"/>
    <w:rsid w:val="00D31DA5"/>
    <w:rsid w:val="00D52493"/>
    <w:rsid w:val="00DE5483"/>
    <w:rsid w:val="00DF09CE"/>
    <w:rsid w:val="00E03D8C"/>
    <w:rsid w:val="00E31A52"/>
    <w:rsid w:val="00ED5883"/>
    <w:rsid w:val="00F2681C"/>
    <w:rsid w:val="00F30F6C"/>
    <w:rsid w:val="00F53AB9"/>
    <w:rsid w:val="00F56C3A"/>
    <w:rsid w:val="00F83B07"/>
    <w:rsid w:val="00FB139F"/>
    <w:rsid w:val="00FC6AF5"/>
    <w:rsid w:val="00FE638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7D5CE0"/>
  <w15:chartTrackingRefBased/>
  <w15:docId w15:val="{D230EB45-5C16-4C7E-8AB6-F416D8FB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953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953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5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3E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96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8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B0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0BC"/>
    <w:pPr>
      <w:suppressAutoHyphens/>
      <w:autoSpaceDE/>
      <w:autoSpaceDN/>
      <w:adjustRightInd/>
    </w:pPr>
    <w:rPr>
      <w:rFonts w:eastAsia="Tahoma"/>
      <w:kern w:val="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0BC"/>
    <w:rPr>
      <w:rFonts w:ascii="Times New Roman" w:eastAsia="Tahoma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2D2FFA849DC42B2A0F9FA0A01678D" ma:contentTypeVersion="8" ma:contentTypeDescription="Create a new document." ma:contentTypeScope="" ma:versionID="683b23d0e1cf49f8e389b5c34f5ac976">
  <xsd:schema xmlns:xsd="http://www.w3.org/2001/XMLSchema" xmlns:xs="http://www.w3.org/2001/XMLSchema" xmlns:p="http://schemas.microsoft.com/office/2006/metadata/properties" xmlns:ns2="3f770ad9-5eb5-4717-9e53-a4191c0fe3a3" xmlns:ns3="702f922a-4822-456a-81ca-e751b937cee3" targetNamespace="http://schemas.microsoft.com/office/2006/metadata/properties" ma:root="true" ma:fieldsID="aa88e2b17dd563c667435724eb441eed" ns2:_="" ns3:_="">
    <xsd:import namespace="3f770ad9-5eb5-4717-9e53-a4191c0fe3a3"/>
    <xsd:import namespace="702f922a-4822-456a-81ca-e751b937c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70ad9-5eb5-4717-9e53-a4191c0fe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922a-4822-456a-81ca-e751b937c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6CCEF1-2D39-443C-B70F-28ABAC633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6B20E-8F15-4597-B654-D6D7208F8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70ad9-5eb5-4717-9e53-a4191c0fe3a3"/>
    <ds:schemaRef ds:uri="702f922a-4822-456a-81ca-e751b937c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D3BB2-1C89-40D5-B61A-6C10B03ADE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Henderson, Richard L - EBSA</dc:creator>
  <cp:lastModifiedBy>Khan, Mariam - EBSA</cp:lastModifiedBy>
  <cp:revision>2</cp:revision>
  <cp:lastPrinted>2019-12-04T18:34:00Z</cp:lastPrinted>
  <dcterms:created xsi:type="dcterms:W3CDTF">2023-02-24T13:19:00Z</dcterms:created>
  <dcterms:modified xsi:type="dcterms:W3CDTF">2023-02-24T13:19:00Z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0x0101007D72D2FFA849DC42B2A0F9FA0A01678D</vt:lpwstr>
  </property>
  <property fmtid="{D5CDD505-2E9C-101B-9397-08002B2CF9AE}" pid="3" name="MSIP_Label_5d78b2ef-7ec2-484b-9195-1d837d645e4c_ActionId">
    <vt:lpwstr>026500bf-057d-43ef-adfe-f8a0dfe4b43c</vt:lpwstr>
  </property>
  <property fmtid="{D5CDD505-2E9C-101B-9397-08002B2CF9AE}" pid="4" name="MSIP_Label_5d78b2ef-7ec2-484b-9195-1d837d645e4c_ContentBits">
    <vt:lpwstr>0</vt:lpwstr>
  </property>
  <property fmtid="{D5CDD505-2E9C-101B-9397-08002B2CF9AE}" pid="5" name="MSIP_Label_5d78b2ef-7ec2-484b-9195-1d837d645e4c_Enabled">
    <vt:lpwstr>true</vt:lpwstr>
  </property>
  <property fmtid="{D5CDD505-2E9C-101B-9397-08002B2CF9AE}" pid="6" name="MSIP_Label_5d78b2ef-7ec2-484b-9195-1d837d645e4c_Method">
    <vt:lpwstr>Standard</vt:lpwstr>
  </property>
  <property fmtid="{D5CDD505-2E9C-101B-9397-08002B2CF9AE}" pid="7" name="MSIP_Label_5d78b2ef-7ec2-484b-9195-1d837d645e4c_Name">
    <vt:lpwstr>General</vt:lpwstr>
  </property>
  <property fmtid="{D5CDD505-2E9C-101B-9397-08002B2CF9AE}" pid="8" name="MSIP_Label_5d78b2ef-7ec2-484b-9195-1d837d645e4c_SetDate">
    <vt:lpwstr>2023-02-23T21:37:11Z</vt:lpwstr>
  </property>
  <property fmtid="{D5CDD505-2E9C-101B-9397-08002B2CF9AE}" pid="9" name="MSIP_Label_5d78b2ef-7ec2-484b-9195-1d837d645e4c_SiteId">
    <vt:lpwstr>75a63054-7204-4e0c-9126-adab971d4aca</vt:lpwstr>
  </property>
</Properties>
</file>