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727C7" w:rsidRPr="008F4E63" w:rsidP="003727C7" w14:paraId="764FC5D2" w14:textId="7B2AF976">
      <w:pPr>
        <w:jc w:val="center"/>
        <w:rPr>
          <w:b/>
          <w:szCs w:val="24"/>
        </w:rPr>
      </w:pPr>
      <w:r w:rsidRPr="008F4E63">
        <w:rPr>
          <w:b/>
          <w:bCs/>
          <w:szCs w:val="24"/>
        </w:rPr>
        <w:t>GUIDANCE</w:t>
      </w:r>
      <w:r w:rsidRPr="008F4E63">
        <w:rPr>
          <w:b/>
          <w:szCs w:val="24"/>
        </w:rPr>
        <w:t xml:space="preserve"> FOR THE LOCAL ASSISTANCE AND TRIBAL CONSISTENCY FUND</w:t>
      </w:r>
    </w:p>
    <w:p w:rsidR="003727C7" w:rsidRPr="008F4E63" w:rsidP="003727C7" w14:paraId="6D64EF57" w14:textId="77777777">
      <w:pPr>
        <w:rPr>
          <w:b/>
          <w:szCs w:val="24"/>
        </w:rPr>
      </w:pPr>
    </w:p>
    <w:p w:rsidR="003727C7" w:rsidRPr="008F4E63" w:rsidP="003727C7" w14:paraId="543EC5BB" w14:textId="1C25EBF0">
      <w:pPr>
        <w:jc w:val="center"/>
        <w:rPr>
          <w:b/>
          <w:bCs/>
          <w:szCs w:val="24"/>
        </w:rPr>
      </w:pPr>
      <w:r w:rsidRPr="008F4E63">
        <w:rPr>
          <w:b/>
          <w:bCs/>
          <w:szCs w:val="24"/>
        </w:rPr>
        <w:t xml:space="preserve">U.S. Department of </w:t>
      </w:r>
      <w:r w:rsidRPr="008F4E63">
        <w:rPr>
          <w:b/>
          <w:szCs w:val="24"/>
        </w:rPr>
        <w:t xml:space="preserve">the </w:t>
      </w:r>
      <w:r w:rsidRPr="008F4E63">
        <w:rPr>
          <w:b/>
          <w:bCs/>
          <w:szCs w:val="24"/>
        </w:rPr>
        <w:t xml:space="preserve">Treasury </w:t>
      </w:r>
      <w:r w:rsidRPr="008F4E63">
        <w:rPr>
          <w:b/>
          <w:szCs w:val="24"/>
        </w:rPr>
        <w:br/>
      </w:r>
      <w:r w:rsidR="00F44873">
        <w:rPr>
          <w:b/>
          <w:bCs/>
          <w:szCs w:val="24"/>
        </w:rPr>
        <w:t xml:space="preserve">Updated </w:t>
      </w:r>
      <w:r w:rsidR="003E1879">
        <w:rPr>
          <w:b/>
          <w:bCs/>
          <w:szCs w:val="24"/>
        </w:rPr>
        <w:t>February</w:t>
      </w:r>
      <w:r w:rsidR="00313574">
        <w:rPr>
          <w:b/>
          <w:bCs/>
          <w:szCs w:val="24"/>
        </w:rPr>
        <w:t xml:space="preserve"> </w:t>
      </w:r>
      <w:r w:rsidR="00B75E8D">
        <w:rPr>
          <w:b/>
          <w:bCs/>
          <w:szCs w:val="24"/>
        </w:rPr>
        <w:t>202</w:t>
      </w:r>
      <w:r w:rsidR="00313574">
        <w:rPr>
          <w:b/>
          <w:bCs/>
          <w:szCs w:val="24"/>
        </w:rPr>
        <w:t>3</w:t>
      </w:r>
    </w:p>
    <w:p w:rsidR="000F6F9C" w:rsidRPr="008F4E63" w:rsidP="003727C7" w14:paraId="01551A36" w14:textId="16A791C3">
      <w:pPr>
        <w:jc w:val="center"/>
        <w:rPr>
          <w:b/>
          <w:szCs w:val="24"/>
        </w:rPr>
      </w:pPr>
      <w:r w:rsidRPr="008F4E63">
        <w:rPr>
          <w:noProof/>
          <w:szCs w:val="24"/>
        </w:rPr>
        <mc:AlternateContent>
          <mc:Choice Requires="wps">
            <w:drawing>
              <wp:anchor distT="0" distB="0" distL="114300" distR="114300" simplePos="0" relativeHeight="251658240" behindDoc="0" locked="0" layoutInCell="1" allowOverlap="1">
                <wp:simplePos x="0" y="0"/>
                <wp:positionH relativeFrom="margin">
                  <wp:posOffset>2275205</wp:posOffset>
                </wp:positionH>
                <wp:positionV relativeFrom="paragraph">
                  <wp:posOffset>111760</wp:posOffset>
                </wp:positionV>
                <wp:extent cx="1533525"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V="1">
                          <a:off x="0" y="0"/>
                          <a:ext cx="1533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179.15pt,8.8pt" to="299.9pt,8.8pt" strokecolor="black" strokeweight="0.5pt">
                <v:stroke joinstyle="miter"/>
                <w10:wrap anchorx="margin"/>
              </v:line>
            </w:pict>
          </mc:Fallback>
        </mc:AlternateContent>
      </w:r>
    </w:p>
    <w:p w:rsidR="003727C7" w:rsidRPr="008F4E63" w:rsidP="003727C7" w14:paraId="07346AC8" w14:textId="2319D9E9">
      <w:pPr>
        <w:pStyle w:val="Heading1"/>
        <w:pageBreakBefore w:val="0"/>
        <w:numPr>
          <w:ilvl w:val="0"/>
          <w:numId w:val="0"/>
        </w:numPr>
        <w:ind w:left="360" w:hanging="360"/>
        <w:rPr>
          <w:sz w:val="24"/>
        </w:rPr>
      </w:pPr>
      <w:bookmarkStart w:id="0" w:name="_Toc79589837"/>
      <w:bookmarkStart w:id="1" w:name="_Toc79598564"/>
      <w:bookmarkStart w:id="2" w:name="_Toc82542683"/>
      <w:bookmarkStart w:id="3" w:name="_Toc80900040"/>
      <w:r w:rsidRPr="008F4E63">
        <w:rPr>
          <w:sz w:val="24"/>
        </w:rPr>
        <w:t>INTRODUCTION</w:t>
      </w:r>
      <w:bookmarkEnd w:id="0"/>
      <w:bookmarkEnd w:id="1"/>
      <w:bookmarkEnd w:id="2"/>
      <w:bookmarkEnd w:id="3"/>
    </w:p>
    <w:p w:rsidR="003727C7" w:rsidRPr="008F4E63" w:rsidP="003727C7" w14:paraId="00F137F4" w14:textId="7005905C">
      <w:pPr>
        <w:widowControl/>
        <w:autoSpaceDE/>
        <w:autoSpaceDN/>
        <w:rPr>
          <w:szCs w:val="24"/>
        </w:rPr>
      </w:pPr>
      <w:r w:rsidRPr="008F4E63">
        <w:rPr>
          <w:szCs w:val="24"/>
        </w:rPr>
        <w:t xml:space="preserve">The U.S. Department of the Treasury (Treasury) is </w:t>
      </w:r>
      <w:r w:rsidR="00313574">
        <w:rPr>
          <w:szCs w:val="24"/>
        </w:rPr>
        <w:t>updating</w:t>
      </w:r>
      <w:r w:rsidRPr="008F4E63" w:rsidR="00313574">
        <w:rPr>
          <w:szCs w:val="24"/>
        </w:rPr>
        <w:t xml:space="preserve"> </w:t>
      </w:r>
      <w:r w:rsidRPr="008F4E63">
        <w:rPr>
          <w:szCs w:val="24"/>
        </w:rPr>
        <w:t xml:space="preserve">this </w:t>
      </w:r>
      <w:r w:rsidRPr="008F4E63">
        <w:rPr>
          <w:szCs w:val="24"/>
        </w:rPr>
        <w:t xml:space="preserve">guidance </w:t>
      </w:r>
      <w:bookmarkStart w:id="4" w:name="_Hlk80959459"/>
      <w:r w:rsidR="00313574">
        <w:rPr>
          <w:szCs w:val="24"/>
        </w:rPr>
        <w:t xml:space="preserve">issued in July 2022 </w:t>
      </w:r>
      <w:r w:rsidRPr="008F4E63">
        <w:rPr>
          <w:szCs w:val="24"/>
        </w:rPr>
        <w:t xml:space="preserve">regarding the </w:t>
      </w:r>
      <w:r w:rsidRPr="008F4E63" w:rsidR="00A82AA5">
        <w:rPr>
          <w:szCs w:val="24"/>
        </w:rPr>
        <w:t>Local</w:t>
      </w:r>
      <w:r w:rsidRPr="008F4E63" w:rsidR="000B0AFD">
        <w:rPr>
          <w:szCs w:val="24"/>
        </w:rPr>
        <w:t xml:space="preserve"> Assistance and Tribal Consistency Fund</w:t>
      </w:r>
      <w:r w:rsidRPr="008F4E63" w:rsidR="00FD548F">
        <w:rPr>
          <w:szCs w:val="24"/>
        </w:rPr>
        <w:t xml:space="preserve"> (LATCF)</w:t>
      </w:r>
      <w:r w:rsidRPr="008F4E63">
        <w:rPr>
          <w:szCs w:val="24"/>
        </w:rPr>
        <w:t>, established by Section 60</w:t>
      </w:r>
      <w:r w:rsidRPr="008F4E63" w:rsidR="000B0AFD">
        <w:rPr>
          <w:szCs w:val="24"/>
        </w:rPr>
        <w:t>5</w:t>
      </w:r>
      <w:r w:rsidRPr="008F4E63">
        <w:rPr>
          <w:szCs w:val="24"/>
        </w:rPr>
        <w:t xml:space="preserve"> of the Social Security Act, as added by Section 9901 of the American Rescue Plan</w:t>
      </w:r>
      <w:r w:rsidRPr="008F4E63">
        <w:rPr>
          <w:szCs w:val="24"/>
        </w:rPr>
        <w:t xml:space="preserve"> Act of 2021</w:t>
      </w:r>
      <w:r w:rsidRPr="008F4E63">
        <w:rPr>
          <w:szCs w:val="24"/>
        </w:rPr>
        <w:t xml:space="preserve"> (American Rescue Plan</w:t>
      </w:r>
      <w:r w:rsidRPr="008F4E63">
        <w:rPr>
          <w:szCs w:val="24"/>
        </w:rPr>
        <w:t>)</w:t>
      </w:r>
      <w:r w:rsidR="003935DF">
        <w:rPr>
          <w:szCs w:val="24"/>
        </w:rPr>
        <w:t xml:space="preserve"> and as amended by </w:t>
      </w:r>
      <w:r w:rsidR="00313574">
        <w:rPr>
          <w:szCs w:val="24"/>
        </w:rPr>
        <w:t xml:space="preserve">Section </w:t>
      </w:r>
      <w:r w:rsidR="00B36C12">
        <w:rPr>
          <w:szCs w:val="24"/>
        </w:rPr>
        <w:t>10</w:t>
      </w:r>
      <w:r w:rsidR="00313574">
        <w:rPr>
          <w:szCs w:val="24"/>
        </w:rPr>
        <w:t xml:space="preserve">3 of </w:t>
      </w:r>
      <w:r w:rsidR="00B36C12">
        <w:rPr>
          <w:szCs w:val="24"/>
        </w:rPr>
        <w:t>Division LL of the Consolidated Appropriations Act</w:t>
      </w:r>
      <w:r w:rsidR="00695056">
        <w:rPr>
          <w:szCs w:val="24"/>
        </w:rPr>
        <w:t>,</w:t>
      </w:r>
      <w:r w:rsidR="00B36C12">
        <w:rPr>
          <w:szCs w:val="24"/>
        </w:rPr>
        <w:t xml:space="preserve"> 2023</w:t>
      </w:r>
      <w:r w:rsidR="003935DF">
        <w:rPr>
          <w:szCs w:val="24"/>
        </w:rPr>
        <w:t>.</w:t>
      </w:r>
      <w:r w:rsidR="00B36C12">
        <w:rPr>
          <w:szCs w:val="24"/>
        </w:rPr>
        <w:t xml:space="preserve"> </w:t>
      </w:r>
      <w:bookmarkEnd w:id="4"/>
      <w:r w:rsidRPr="008F4E63">
        <w:rPr>
          <w:szCs w:val="24"/>
        </w:rPr>
        <w:t xml:space="preserve">This guidance provides a summary of </w:t>
      </w:r>
      <w:r w:rsidRPr="008F4E63" w:rsidR="00525342">
        <w:rPr>
          <w:szCs w:val="24"/>
        </w:rPr>
        <w:t xml:space="preserve">the structure and terms of the </w:t>
      </w:r>
      <w:r w:rsidRPr="008F4E63" w:rsidR="00E52E94">
        <w:rPr>
          <w:szCs w:val="24"/>
        </w:rPr>
        <w:t>program</w:t>
      </w:r>
      <w:r w:rsidRPr="008F4E63" w:rsidR="00525342">
        <w:rPr>
          <w:szCs w:val="24"/>
        </w:rPr>
        <w:t>, including information about eligible uses of funds, program administration, and other requirements</w:t>
      </w:r>
      <w:r w:rsidRPr="008F4E63">
        <w:rPr>
          <w:szCs w:val="24"/>
        </w:rPr>
        <w:t xml:space="preserve"> under the </w:t>
      </w:r>
      <w:r w:rsidRPr="008F4E63" w:rsidR="00525342">
        <w:rPr>
          <w:szCs w:val="24"/>
        </w:rPr>
        <w:t xml:space="preserve">LATCF </w:t>
      </w:r>
      <w:r w:rsidRPr="008F4E63">
        <w:rPr>
          <w:szCs w:val="24"/>
        </w:rPr>
        <w:t xml:space="preserve">program.  This guidance may be updated, revised, or modified, and Treasury may waive these standards to the extent permitted by law. </w:t>
      </w:r>
    </w:p>
    <w:p w:rsidR="003727C7" w:rsidRPr="008F4E63" w:rsidP="003727C7" w14:paraId="40FC2F15" w14:textId="77777777">
      <w:pPr>
        <w:pStyle w:val="BodyText"/>
        <w:ind w:right="302"/>
      </w:pPr>
    </w:p>
    <w:p w:rsidR="003727C7" w:rsidRPr="008F4E63" w:rsidP="00AA169D" w14:paraId="5A10A802" w14:textId="31E31D73">
      <w:pPr>
        <w:widowControl/>
        <w:autoSpaceDE/>
        <w:autoSpaceDN/>
        <w:rPr>
          <w:szCs w:val="24"/>
        </w:rPr>
      </w:pPr>
      <w:bookmarkStart w:id="5" w:name="_Hlk80959479"/>
      <w:r w:rsidRPr="008F4E63">
        <w:rPr>
          <w:szCs w:val="24"/>
        </w:rPr>
        <w:t>The American Rescue Plan appropriated $</w:t>
      </w:r>
      <w:r w:rsidRPr="008F4E63" w:rsidR="009E2E23">
        <w:rPr>
          <w:szCs w:val="24"/>
        </w:rPr>
        <w:t>2</w:t>
      </w:r>
      <w:r w:rsidRPr="008F4E63">
        <w:rPr>
          <w:szCs w:val="24"/>
        </w:rPr>
        <w:t xml:space="preserve"> billion to Treasury</w:t>
      </w:r>
      <w:r w:rsidR="00D8237C">
        <w:rPr>
          <w:szCs w:val="24"/>
        </w:rPr>
        <w:t xml:space="preserve"> across fiscal years 2022 and 2023</w:t>
      </w:r>
      <w:r w:rsidRPr="008F4E63">
        <w:rPr>
          <w:szCs w:val="24"/>
        </w:rPr>
        <w:t xml:space="preserve"> to provide payments to </w:t>
      </w:r>
      <w:r w:rsidRPr="008F4E63" w:rsidR="009E2E23">
        <w:rPr>
          <w:szCs w:val="24"/>
        </w:rPr>
        <w:t>eligible revenue</w:t>
      </w:r>
      <w:r w:rsidRPr="008F4E63" w:rsidR="002C66B4">
        <w:rPr>
          <w:szCs w:val="24"/>
        </w:rPr>
        <w:t xml:space="preserve"> </w:t>
      </w:r>
      <w:r w:rsidRPr="008F4E63" w:rsidR="009E2E23">
        <w:rPr>
          <w:szCs w:val="24"/>
        </w:rPr>
        <w:t xml:space="preserve">sharing counties and </w:t>
      </w:r>
      <w:r w:rsidR="0065183E">
        <w:rPr>
          <w:szCs w:val="24"/>
        </w:rPr>
        <w:t xml:space="preserve">eligible </w:t>
      </w:r>
      <w:r w:rsidRPr="008F4E63" w:rsidR="009E2E23">
        <w:rPr>
          <w:szCs w:val="24"/>
        </w:rPr>
        <w:t>Tribal government</w:t>
      </w:r>
      <w:r w:rsidRPr="008F4E63" w:rsidR="002C66B4">
        <w:rPr>
          <w:szCs w:val="24"/>
        </w:rPr>
        <w:t>s</w:t>
      </w:r>
      <w:r w:rsidR="0082176D">
        <w:rPr>
          <w:szCs w:val="24"/>
        </w:rPr>
        <w:t xml:space="preserve">, and </w:t>
      </w:r>
      <w:r w:rsidR="00B36C12">
        <w:rPr>
          <w:szCs w:val="24"/>
        </w:rPr>
        <w:t>Section 103</w:t>
      </w:r>
      <w:r w:rsidR="0082176D">
        <w:rPr>
          <w:szCs w:val="24"/>
        </w:rPr>
        <w:t xml:space="preserve"> </w:t>
      </w:r>
      <w:r w:rsidR="003935DF">
        <w:rPr>
          <w:szCs w:val="24"/>
        </w:rPr>
        <w:t>of Division LL of the Consolidated Appropriations Act, 202</w:t>
      </w:r>
      <w:r w:rsidR="00F44873">
        <w:rPr>
          <w:szCs w:val="24"/>
        </w:rPr>
        <w:t>3</w:t>
      </w:r>
      <w:r w:rsidR="003935DF">
        <w:rPr>
          <w:szCs w:val="24"/>
        </w:rPr>
        <w:t xml:space="preserve"> </w:t>
      </w:r>
      <w:r w:rsidR="005B5105">
        <w:rPr>
          <w:szCs w:val="24"/>
        </w:rPr>
        <w:t xml:space="preserve">made </w:t>
      </w:r>
      <w:r w:rsidR="00F44873">
        <w:rPr>
          <w:szCs w:val="24"/>
        </w:rPr>
        <w:t xml:space="preserve">additional funding </w:t>
      </w:r>
      <w:r w:rsidR="005B5105">
        <w:rPr>
          <w:szCs w:val="24"/>
        </w:rPr>
        <w:t xml:space="preserve">available </w:t>
      </w:r>
      <w:r w:rsidR="006D52DD">
        <w:rPr>
          <w:szCs w:val="24"/>
        </w:rPr>
        <w:t>from LATCF funds unclaimed by eligible revenue sharing counties after January 31, 2023 or Treasury administrative funds,</w:t>
      </w:r>
      <w:r w:rsidR="005B5105">
        <w:rPr>
          <w:szCs w:val="24"/>
        </w:rPr>
        <w:t xml:space="preserve"> </w:t>
      </w:r>
      <w:r w:rsidR="0082176D">
        <w:rPr>
          <w:szCs w:val="24"/>
        </w:rPr>
        <w:t>across fiscal years 2023 and 2024</w:t>
      </w:r>
      <w:r w:rsidR="00CD748C">
        <w:rPr>
          <w:szCs w:val="24"/>
        </w:rPr>
        <w:t xml:space="preserve"> </w:t>
      </w:r>
      <w:r w:rsidR="006D52DD">
        <w:rPr>
          <w:szCs w:val="24"/>
        </w:rPr>
        <w:t>for</w:t>
      </w:r>
      <w:r w:rsidR="0082176D">
        <w:rPr>
          <w:szCs w:val="24"/>
        </w:rPr>
        <w:t xml:space="preserve"> payments to eligible revenue sharing consolidated governments,</w:t>
      </w:r>
      <w:r w:rsidRPr="008F4E63" w:rsidR="002C66B4">
        <w:rPr>
          <w:szCs w:val="24"/>
        </w:rPr>
        <w:t xml:space="preserve"> for use on any governmental purpose except for a lobbying activity</w:t>
      </w:r>
      <w:r w:rsidR="003245D1">
        <w:rPr>
          <w:szCs w:val="24"/>
        </w:rPr>
        <w:t xml:space="preserve">. </w:t>
      </w:r>
      <w:r w:rsidR="00F44873">
        <w:rPr>
          <w:szCs w:val="24"/>
        </w:rPr>
        <w:t>Treasury determined that the Consolidated Appropriations Act, 2023 made</w:t>
      </w:r>
      <w:r w:rsidR="00AF6582">
        <w:rPr>
          <w:szCs w:val="24"/>
        </w:rPr>
        <w:t xml:space="preserve"> </w:t>
      </w:r>
      <w:r w:rsidR="00F44873">
        <w:rPr>
          <w:szCs w:val="24"/>
        </w:rPr>
        <w:t>$10.6 million available for LATCF.</w:t>
      </w:r>
      <w:r w:rsidR="003245D1">
        <w:rPr>
          <w:szCs w:val="24"/>
        </w:rPr>
        <w:t xml:space="preserve"> </w:t>
      </w:r>
      <w:bookmarkStart w:id="6" w:name="_Hlk80955796"/>
      <w:bookmarkEnd w:id="5"/>
      <w:r w:rsidRPr="008F4E63" w:rsidR="00B7271E">
        <w:rPr>
          <w:szCs w:val="24"/>
        </w:rPr>
        <w:t xml:space="preserve">Eligible </w:t>
      </w:r>
      <w:r w:rsidR="00556371">
        <w:rPr>
          <w:szCs w:val="24"/>
        </w:rPr>
        <w:t>recipients</w:t>
      </w:r>
      <w:r w:rsidRPr="008F4E63" w:rsidR="00556371">
        <w:rPr>
          <w:szCs w:val="24"/>
        </w:rPr>
        <w:t xml:space="preserve"> </w:t>
      </w:r>
      <w:r w:rsidRPr="008F4E63" w:rsidR="00B7271E">
        <w:rPr>
          <w:szCs w:val="24"/>
        </w:rPr>
        <w:t xml:space="preserve">must submit a request for funding in the Treasury Submission Portal to receive their </w:t>
      </w:r>
      <w:r w:rsidR="00556371">
        <w:rPr>
          <w:szCs w:val="24"/>
        </w:rPr>
        <w:t>payments</w:t>
      </w:r>
      <w:r w:rsidR="006E64BE">
        <w:rPr>
          <w:szCs w:val="24"/>
        </w:rPr>
        <w:t>, and f</w:t>
      </w:r>
      <w:r w:rsidR="00467002">
        <w:rPr>
          <w:szCs w:val="24"/>
        </w:rPr>
        <w:t xml:space="preserve">urther </w:t>
      </w:r>
      <w:r w:rsidR="00565EEF">
        <w:rPr>
          <w:szCs w:val="24"/>
        </w:rPr>
        <w:t xml:space="preserve">instructions </w:t>
      </w:r>
      <w:r w:rsidR="00467002">
        <w:rPr>
          <w:szCs w:val="24"/>
        </w:rPr>
        <w:t xml:space="preserve">can be found </w:t>
      </w:r>
      <w:r w:rsidR="00565EEF">
        <w:rPr>
          <w:szCs w:val="24"/>
        </w:rPr>
        <w:t xml:space="preserve">on the Treasury website. </w:t>
      </w:r>
      <w:r w:rsidRPr="008F4E63" w:rsidR="00B7271E">
        <w:rPr>
          <w:szCs w:val="24"/>
        </w:rPr>
        <w:t xml:space="preserve">There is no pre-approval process for </w:t>
      </w:r>
      <w:r w:rsidRPr="008F4E63" w:rsidR="00BE03BF">
        <w:rPr>
          <w:szCs w:val="24"/>
        </w:rPr>
        <w:t xml:space="preserve">projects </w:t>
      </w:r>
      <w:bookmarkEnd w:id="6"/>
      <w:r w:rsidRPr="008F4E63" w:rsidR="00BE03BF">
        <w:rPr>
          <w:szCs w:val="24"/>
        </w:rPr>
        <w:t>funded by the program</w:t>
      </w:r>
      <w:r w:rsidRPr="008F4E63" w:rsidR="0037732E">
        <w:rPr>
          <w:szCs w:val="24"/>
        </w:rPr>
        <w:t>.</w:t>
      </w:r>
      <w:r w:rsidRPr="008F4E63" w:rsidR="00B7271E">
        <w:rPr>
          <w:szCs w:val="24"/>
        </w:rPr>
        <w:t xml:space="preserve"> </w:t>
      </w:r>
      <w:r w:rsidRPr="008F4E63" w:rsidR="0037732E">
        <w:rPr>
          <w:szCs w:val="24"/>
        </w:rPr>
        <w:t>R</w:t>
      </w:r>
      <w:r w:rsidRPr="008F4E63" w:rsidR="00B7271E">
        <w:rPr>
          <w:szCs w:val="24"/>
        </w:rPr>
        <w:t>ecipients must submit periodic reports to Treasury</w:t>
      </w:r>
      <w:r w:rsidRPr="008F4E63" w:rsidR="00BE03BF">
        <w:rPr>
          <w:szCs w:val="24"/>
        </w:rPr>
        <w:t xml:space="preserve"> on their expenditures</w:t>
      </w:r>
      <w:r w:rsidRPr="008F4E63" w:rsidR="00B7271E">
        <w:rPr>
          <w:szCs w:val="24"/>
        </w:rPr>
        <w:t>.</w:t>
      </w:r>
    </w:p>
    <w:p w:rsidR="003727C7" w:rsidRPr="008F4E63" w:rsidP="003727C7" w14:paraId="4C0A287F" w14:textId="77777777">
      <w:pPr>
        <w:rPr>
          <w:szCs w:val="24"/>
        </w:rPr>
      </w:pPr>
    </w:p>
    <w:p w:rsidR="00B7271E" w:rsidRPr="008F4E63" w:rsidP="003727C7" w14:paraId="77F60430" w14:textId="31884AD5">
      <w:pPr>
        <w:rPr>
          <w:szCs w:val="24"/>
        </w:rPr>
      </w:pPr>
      <w:r w:rsidRPr="008F4E63">
        <w:rPr>
          <w:szCs w:val="24"/>
        </w:rPr>
        <w:t>The</w:t>
      </w:r>
      <w:r w:rsidRPr="008F4E63" w:rsidR="00AA5409">
        <w:rPr>
          <w:szCs w:val="24"/>
        </w:rPr>
        <w:t xml:space="preserve"> purpose of the</w:t>
      </w:r>
      <w:r w:rsidRPr="008F4E63">
        <w:rPr>
          <w:szCs w:val="24"/>
        </w:rPr>
        <w:t xml:space="preserve"> </w:t>
      </w:r>
      <w:r w:rsidRPr="008F4E63">
        <w:rPr>
          <w:szCs w:val="24"/>
        </w:rPr>
        <w:t>LATCF</w:t>
      </w:r>
      <w:r w:rsidRPr="008F4E63" w:rsidR="002E2FB2">
        <w:rPr>
          <w:szCs w:val="24"/>
        </w:rPr>
        <w:t xml:space="preserve"> </w:t>
      </w:r>
      <w:r w:rsidRPr="008F4E63" w:rsidR="00AA5409">
        <w:rPr>
          <w:szCs w:val="24"/>
        </w:rPr>
        <w:t xml:space="preserve">program is </w:t>
      </w:r>
      <w:r w:rsidRPr="008F4E63" w:rsidR="00796771">
        <w:rPr>
          <w:szCs w:val="24"/>
        </w:rPr>
        <w:t>to serve as a general revenue enhancement program</w:t>
      </w:r>
      <w:r w:rsidR="0016679F">
        <w:rPr>
          <w:szCs w:val="24"/>
        </w:rPr>
        <w:t>.</w:t>
      </w:r>
      <w:r w:rsidRPr="008F4E63" w:rsidR="00FF0166">
        <w:rPr>
          <w:szCs w:val="24"/>
        </w:rPr>
        <w:t xml:space="preserve"> </w:t>
      </w:r>
      <w:r w:rsidR="0016679F">
        <w:rPr>
          <w:szCs w:val="24"/>
        </w:rPr>
        <w:t>Many eligible revenue sharing coun</w:t>
      </w:r>
      <w:r w:rsidR="007072F4">
        <w:rPr>
          <w:szCs w:val="24"/>
        </w:rPr>
        <w:t>ties</w:t>
      </w:r>
      <w:r w:rsidR="0082176D">
        <w:rPr>
          <w:szCs w:val="24"/>
        </w:rPr>
        <w:t>, eligible revenue sharing consolidated governments,</w:t>
      </w:r>
      <w:r w:rsidR="0016679F">
        <w:rPr>
          <w:szCs w:val="24"/>
        </w:rPr>
        <w:t xml:space="preserve"> and </w:t>
      </w:r>
      <w:r w:rsidR="00F67F82">
        <w:rPr>
          <w:szCs w:val="24"/>
        </w:rPr>
        <w:t xml:space="preserve">eligible </w:t>
      </w:r>
      <w:r w:rsidR="0016679F">
        <w:rPr>
          <w:szCs w:val="24"/>
        </w:rPr>
        <w:t xml:space="preserve">Tribal governments have </w:t>
      </w:r>
      <w:r w:rsidR="004E7A67">
        <w:rPr>
          <w:szCs w:val="24"/>
        </w:rPr>
        <w:t xml:space="preserve">historically </w:t>
      </w:r>
      <w:r w:rsidR="0016679F">
        <w:rPr>
          <w:szCs w:val="24"/>
        </w:rPr>
        <w:t>experienced fluctuations in their revenues, and this program is designed</w:t>
      </w:r>
      <w:r w:rsidR="00F67F82">
        <w:rPr>
          <w:szCs w:val="24"/>
        </w:rPr>
        <w:t>, in part,</w:t>
      </w:r>
      <w:r w:rsidR="0016679F">
        <w:rPr>
          <w:szCs w:val="24"/>
        </w:rPr>
        <w:t xml:space="preserve"> to supplement </w:t>
      </w:r>
      <w:r w:rsidRPr="008F4E63" w:rsidR="00FF0166">
        <w:rPr>
          <w:szCs w:val="24"/>
        </w:rPr>
        <w:t xml:space="preserve">existing federal programs that </w:t>
      </w:r>
      <w:r w:rsidRPr="008F4E63" w:rsidR="0016679F">
        <w:rPr>
          <w:szCs w:val="24"/>
        </w:rPr>
        <w:t>augment</w:t>
      </w:r>
      <w:r w:rsidRPr="008F4E63" w:rsidR="0037732E">
        <w:rPr>
          <w:szCs w:val="24"/>
        </w:rPr>
        <w:t xml:space="preserve"> and </w:t>
      </w:r>
      <w:r w:rsidRPr="008F4E63" w:rsidR="00AA5409">
        <w:rPr>
          <w:szCs w:val="24"/>
        </w:rPr>
        <w:t xml:space="preserve">stabilize revenues for </w:t>
      </w:r>
      <w:r w:rsidRPr="008F4E63" w:rsidR="00FF0166">
        <w:rPr>
          <w:szCs w:val="24"/>
        </w:rPr>
        <w:t>these communities</w:t>
      </w:r>
      <w:r w:rsidRPr="008F4E63" w:rsidR="00AA5409">
        <w:rPr>
          <w:szCs w:val="24"/>
        </w:rPr>
        <w:t xml:space="preserve">. </w:t>
      </w:r>
      <w:r w:rsidR="001D2EA8">
        <w:rPr>
          <w:szCs w:val="24"/>
        </w:rPr>
        <w:t>In providing support to these communities, a</w:t>
      </w:r>
      <w:r w:rsidR="001F2F3F">
        <w:rPr>
          <w:szCs w:val="24"/>
        </w:rPr>
        <w:t>llocations</w:t>
      </w:r>
      <w:r w:rsidRPr="008F4E63" w:rsidR="001F2F3F">
        <w:rPr>
          <w:szCs w:val="24"/>
        </w:rPr>
        <w:t xml:space="preserve"> </w:t>
      </w:r>
      <w:r w:rsidRPr="008F4E63" w:rsidR="00AA5409">
        <w:rPr>
          <w:szCs w:val="24"/>
        </w:rPr>
        <w:t xml:space="preserve">under this program </w:t>
      </w:r>
      <w:r w:rsidRPr="008F4E63" w:rsidR="007C149A">
        <w:rPr>
          <w:szCs w:val="24"/>
        </w:rPr>
        <w:t>consider</w:t>
      </w:r>
      <w:r w:rsidRPr="008F4E63" w:rsidR="00AA5409">
        <w:rPr>
          <w:szCs w:val="24"/>
        </w:rPr>
        <w:t xml:space="preserve"> the economic conditions of recipients</w:t>
      </w:r>
      <w:r w:rsidR="0016679F">
        <w:rPr>
          <w:szCs w:val="24"/>
        </w:rPr>
        <w:t>.</w:t>
      </w:r>
    </w:p>
    <w:p w:rsidR="005D422E" w:rsidRPr="008F4E63" w:rsidP="003727C7" w14:paraId="18F51539" w14:textId="77777777">
      <w:pPr>
        <w:rPr>
          <w:szCs w:val="24"/>
        </w:rPr>
      </w:pPr>
    </w:p>
    <w:p w:rsidR="00B7271E" w:rsidRPr="008F4E63" w:rsidP="003727C7" w14:paraId="3F28E787" w14:textId="6066C325">
      <w:pPr>
        <w:rPr>
          <w:szCs w:val="24"/>
        </w:rPr>
      </w:pPr>
      <w:r w:rsidRPr="008F4E63">
        <w:rPr>
          <w:szCs w:val="24"/>
        </w:rPr>
        <w:t xml:space="preserve">Under this program, recipients have </w:t>
      </w:r>
      <w:r w:rsidRPr="008F4E63" w:rsidR="00896D6A">
        <w:rPr>
          <w:szCs w:val="24"/>
        </w:rPr>
        <w:t xml:space="preserve">broad </w:t>
      </w:r>
      <w:r w:rsidRPr="008F4E63">
        <w:rPr>
          <w:szCs w:val="24"/>
        </w:rPr>
        <w:t>discretion on uses of funds</w:t>
      </w:r>
      <w:r w:rsidRPr="008F4E63" w:rsidR="00896D6A">
        <w:rPr>
          <w:szCs w:val="24"/>
        </w:rPr>
        <w:t xml:space="preserve">, similar to </w:t>
      </w:r>
      <w:r w:rsidR="004E7A67">
        <w:rPr>
          <w:szCs w:val="24"/>
        </w:rPr>
        <w:t xml:space="preserve">the </w:t>
      </w:r>
      <w:r w:rsidR="00471780">
        <w:rPr>
          <w:szCs w:val="24"/>
        </w:rPr>
        <w:t xml:space="preserve">ways in which they may </w:t>
      </w:r>
      <w:r w:rsidRPr="008F4E63" w:rsidR="00896D6A">
        <w:rPr>
          <w:szCs w:val="24"/>
        </w:rPr>
        <w:t xml:space="preserve">use </w:t>
      </w:r>
      <w:r w:rsidR="004E7A67">
        <w:rPr>
          <w:szCs w:val="24"/>
        </w:rPr>
        <w:t xml:space="preserve">funds generated </w:t>
      </w:r>
      <w:r w:rsidRPr="008F4E63" w:rsidR="00896D6A">
        <w:rPr>
          <w:szCs w:val="24"/>
        </w:rPr>
        <w:t xml:space="preserve">from their </w:t>
      </w:r>
      <w:r w:rsidRPr="008F4E63" w:rsidR="004C6974">
        <w:rPr>
          <w:szCs w:val="24"/>
        </w:rPr>
        <w:t xml:space="preserve">own </w:t>
      </w:r>
      <w:r w:rsidRPr="008F4E63" w:rsidR="00896D6A">
        <w:rPr>
          <w:szCs w:val="24"/>
        </w:rPr>
        <w:t>local revenue</w:t>
      </w:r>
      <w:r w:rsidR="00471780">
        <w:rPr>
          <w:szCs w:val="24"/>
        </w:rPr>
        <w:t xml:space="preserve"> sources</w:t>
      </w:r>
      <w:r w:rsidRPr="008F4E63" w:rsidR="00896D6A">
        <w:rPr>
          <w:szCs w:val="24"/>
        </w:rPr>
        <w:t xml:space="preserve">. Specifically, recipients </w:t>
      </w:r>
      <w:r w:rsidRPr="008F4E63">
        <w:rPr>
          <w:szCs w:val="24"/>
        </w:rPr>
        <w:t xml:space="preserve">may use these </w:t>
      </w:r>
      <w:r w:rsidRPr="008F4E63" w:rsidR="0013700C">
        <w:rPr>
          <w:szCs w:val="24"/>
        </w:rPr>
        <w:t xml:space="preserve">funds on any governmental purpose other than a lobbying activity. </w:t>
      </w:r>
      <w:r w:rsidR="004E7A67">
        <w:rPr>
          <w:szCs w:val="24"/>
        </w:rPr>
        <w:t>Recipients may maintain or expand public services – such as health, educational, housing, and public safety services – to their communities with these funds</w:t>
      </w:r>
      <w:r w:rsidRPr="008F4E63" w:rsidR="0013700C">
        <w:rPr>
          <w:szCs w:val="24"/>
        </w:rPr>
        <w:t xml:space="preserve">. </w:t>
      </w:r>
      <w:r w:rsidRPr="008F4E63" w:rsidR="009D2E12">
        <w:rPr>
          <w:szCs w:val="24"/>
        </w:rPr>
        <w:t xml:space="preserve">Recipients </w:t>
      </w:r>
      <w:r w:rsidRPr="008F4E63" w:rsidR="0013700C">
        <w:rPr>
          <w:szCs w:val="24"/>
        </w:rPr>
        <w:t xml:space="preserve">may also </w:t>
      </w:r>
      <w:r w:rsidRPr="008F4E63" w:rsidR="009D2E12">
        <w:rPr>
          <w:szCs w:val="24"/>
        </w:rPr>
        <w:t>invest in infrastructure</w:t>
      </w:r>
      <w:r w:rsidRPr="008F4E63" w:rsidR="003341C9">
        <w:rPr>
          <w:szCs w:val="24"/>
        </w:rPr>
        <w:t xml:space="preserve"> – from roads and bridges to water infrastructure – to </w:t>
      </w:r>
      <w:r w:rsidRPr="008F4E63" w:rsidR="009D2E12">
        <w:rPr>
          <w:szCs w:val="24"/>
        </w:rPr>
        <w:t>facilitate economic development</w:t>
      </w:r>
      <w:r w:rsidRPr="008F4E63" w:rsidR="003341C9">
        <w:rPr>
          <w:szCs w:val="24"/>
        </w:rPr>
        <w:t xml:space="preserve">, improve health outcomes, </w:t>
      </w:r>
      <w:r w:rsidR="00471780">
        <w:rPr>
          <w:szCs w:val="24"/>
        </w:rPr>
        <w:t>or</w:t>
      </w:r>
      <w:r w:rsidRPr="008F4E63" w:rsidR="00471780">
        <w:rPr>
          <w:szCs w:val="24"/>
        </w:rPr>
        <w:t xml:space="preserve"> </w:t>
      </w:r>
      <w:r w:rsidRPr="008F4E63" w:rsidR="00063CAD">
        <w:rPr>
          <w:szCs w:val="24"/>
        </w:rPr>
        <w:t xml:space="preserve">transition </w:t>
      </w:r>
      <w:r w:rsidRPr="008F4E63" w:rsidR="003341C9">
        <w:rPr>
          <w:szCs w:val="24"/>
        </w:rPr>
        <w:t xml:space="preserve">their communities </w:t>
      </w:r>
      <w:r w:rsidRPr="008F4E63" w:rsidR="00063CAD">
        <w:rPr>
          <w:szCs w:val="24"/>
        </w:rPr>
        <w:t>to clean energy</w:t>
      </w:r>
      <w:r w:rsidRPr="008F4E63" w:rsidR="009D2E12">
        <w:rPr>
          <w:szCs w:val="24"/>
        </w:rPr>
        <w:t xml:space="preserve">. Recipients may also invest in </w:t>
      </w:r>
      <w:r w:rsidR="005B4FBA">
        <w:rPr>
          <w:szCs w:val="24"/>
        </w:rPr>
        <w:t>restoring and bolstering government capacity</w:t>
      </w:r>
      <w:r w:rsidRPr="008F4E63" w:rsidR="009D2E12">
        <w:rPr>
          <w:szCs w:val="24"/>
        </w:rPr>
        <w:t xml:space="preserve">, such as increasing the size of their </w:t>
      </w:r>
      <w:r w:rsidRPr="008F4E63" w:rsidR="004C6974">
        <w:rPr>
          <w:szCs w:val="24"/>
        </w:rPr>
        <w:t>government</w:t>
      </w:r>
      <w:r w:rsidRPr="008F4E63" w:rsidR="009D2E12">
        <w:rPr>
          <w:szCs w:val="24"/>
        </w:rPr>
        <w:t xml:space="preserve"> workforce</w:t>
      </w:r>
      <w:r w:rsidRPr="008F4E63" w:rsidR="009C7C5A">
        <w:rPr>
          <w:szCs w:val="24"/>
        </w:rPr>
        <w:t xml:space="preserve"> or investing in </w:t>
      </w:r>
      <w:r w:rsidR="005B4FBA">
        <w:rPr>
          <w:szCs w:val="24"/>
        </w:rPr>
        <w:t xml:space="preserve">improvements in service delivery, like technology infrastructure and data analysis resources, that will </w:t>
      </w:r>
      <w:r w:rsidRPr="008F4E63" w:rsidR="009D2E12">
        <w:rPr>
          <w:szCs w:val="24"/>
        </w:rPr>
        <w:t>improve delivery of services to their communities for years to come.</w:t>
      </w:r>
    </w:p>
    <w:p w:rsidR="004C6974" w:rsidRPr="008F4E63" w:rsidP="00896D6A" w14:paraId="039600DB" w14:textId="144A8F3F">
      <w:pPr>
        <w:rPr>
          <w:b/>
          <w:bCs/>
          <w:szCs w:val="24"/>
        </w:rPr>
      </w:pPr>
    </w:p>
    <w:p w:rsidR="003727C7" w:rsidRPr="008F4E63" w:rsidP="003727C7" w14:paraId="671C8530" w14:textId="44649607">
      <w:pPr>
        <w:pStyle w:val="Heading1"/>
        <w:numPr>
          <w:ilvl w:val="0"/>
          <w:numId w:val="4"/>
        </w:numPr>
        <w:rPr>
          <w:sz w:val="24"/>
        </w:rPr>
      </w:pPr>
      <w:bookmarkStart w:id="7" w:name="_Hlk82428359"/>
      <w:r>
        <w:rPr>
          <w:sz w:val="24"/>
        </w:rPr>
        <w:t xml:space="preserve">PROGRAMMATIC </w:t>
      </w:r>
      <w:r w:rsidRPr="008F4E63" w:rsidR="005A51AA">
        <w:rPr>
          <w:sz w:val="24"/>
        </w:rPr>
        <w:t>TERMS OF THE ASSISTANCE</w:t>
      </w:r>
    </w:p>
    <w:bookmarkEnd w:id="7"/>
    <w:p w:rsidR="003727C7" w:rsidRPr="008F4E63" w:rsidP="003727C7" w14:paraId="4C2E61D2" w14:textId="027E7B35">
      <w:pPr>
        <w:rPr>
          <w:szCs w:val="24"/>
        </w:rPr>
      </w:pPr>
      <w:r w:rsidRPr="008F4E63">
        <w:rPr>
          <w:szCs w:val="24"/>
        </w:rPr>
        <w:t xml:space="preserve">This section describes the </w:t>
      </w:r>
      <w:r w:rsidR="00D34084">
        <w:rPr>
          <w:szCs w:val="24"/>
        </w:rPr>
        <w:t xml:space="preserve">programmatic terms of the </w:t>
      </w:r>
      <w:r w:rsidRPr="008F4E63" w:rsidR="008F6A3C">
        <w:rPr>
          <w:szCs w:val="24"/>
        </w:rPr>
        <w:t>program</w:t>
      </w:r>
      <w:r w:rsidRPr="008F4E63">
        <w:rPr>
          <w:szCs w:val="24"/>
        </w:rPr>
        <w:t xml:space="preserve">, including key information on </w:t>
      </w:r>
      <w:r w:rsidRPr="008F4E63" w:rsidR="002C66B4">
        <w:rPr>
          <w:szCs w:val="24"/>
        </w:rPr>
        <w:t>eligible applicants</w:t>
      </w:r>
      <w:r w:rsidRPr="008F4E63">
        <w:rPr>
          <w:szCs w:val="24"/>
        </w:rPr>
        <w:t xml:space="preserve">, allocations, </w:t>
      </w:r>
      <w:r w:rsidRPr="008F4E63" w:rsidR="00AE19C9">
        <w:rPr>
          <w:szCs w:val="24"/>
        </w:rPr>
        <w:t>eligible</w:t>
      </w:r>
      <w:r w:rsidRPr="008F4E63" w:rsidR="005A51AA">
        <w:rPr>
          <w:szCs w:val="24"/>
        </w:rPr>
        <w:t xml:space="preserve"> and ineligible</w:t>
      </w:r>
      <w:r w:rsidRPr="008F4E63" w:rsidR="00AE19C9">
        <w:rPr>
          <w:szCs w:val="24"/>
        </w:rPr>
        <w:t xml:space="preserve"> uses of funds</w:t>
      </w:r>
      <w:r w:rsidRPr="008F4E63">
        <w:rPr>
          <w:szCs w:val="24"/>
        </w:rPr>
        <w:t xml:space="preserve">, </w:t>
      </w:r>
      <w:r w:rsidRPr="008F4E63" w:rsidR="00AE19C9">
        <w:rPr>
          <w:szCs w:val="24"/>
        </w:rPr>
        <w:t>eligible and ineligible costs</w:t>
      </w:r>
      <w:r w:rsidRPr="008F4E63">
        <w:rPr>
          <w:szCs w:val="24"/>
        </w:rPr>
        <w:t xml:space="preserve">, and </w:t>
      </w:r>
      <w:r w:rsidRPr="008F4E63" w:rsidR="0051677C">
        <w:rPr>
          <w:szCs w:val="24"/>
        </w:rPr>
        <w:t>the availability of funds</w:t>
      </w:r>
      <w:r w:rsidRPr="008F4E63">
        <w:rPr>
          <w:szCs w:val="24"/>
        </w:rPr>
        <w:t xml:space="preserve">.  </w:t>
      </w:r>
      <w:r w:rsidR="002E4830">
        <w:rPr>
          <w:szCs w:val="24"/>
        </w:rPr>
        <w:t xml:space="preserve">Recipients are subject to the terms of the award agreement that they must enter into in order to receive funding.  </w:t>
      </w:r>
    </w:p>
    <w:p w:rsidR="003727C7" w:rsidRPr="008F4E63" w:rsidP="003727C7" w14:paraId="2A6B97E5" w14:textId="77777777">
      <w:pPr>
        <w:pStyle w:val="Heading2"/>
        <w:rPr>
          <w:rFonts w:ascii="Times New Roman" w:hAnsi="Times New Roman" w:cs="Times New Roman"/>
          <w:szCs w:val="24"/>
        </w:rPr>
      </w:pPr>
      <w:bookmarkStart w:id="8" w:name="_Toc79589840"/>
      <w:bookmarkStart w:id="9" w:name="_Toc79598567"/>
      <w:bookmarkStart w:id="10" w:name="_Toc80900042"/>
      <w:bookmarkStart w:id="11" w:name="_Toc82542685"/>
      <w:r w:rsidRPr="008F4E63">
        <w:rPr>
          <w:rFonts w:ascii="Times New Roman" w:hAnsi="Times New Roman" w:cs="Times New Roman"/>
          <w:szCs w:val="24"/>
        </w:rPr>
        <w:t>ELIGIBLE APPLICANTS</w:t>
      </w:r>
      <w:bookmarkEnd w:id="8"/>
      <w:bookmarkEnd w:id="9"/>
      <w:bookmarkEnd w:id="10"/>
      <w:bookmarkEnd w:id="11"/>
    </w:p>
    <w:p w:rsidR="003727C7" w:rsidRPr="008F4E63" w:rsidP="003727C7" w14:paraId="3AD9D0DB" w14:textId="21E8BBE6">
      <w:pPr>
        <w:rPr>
          <w:szCs w:val="24"/>
        </w:rPr>
      </w:pPr>
      <w:bookmarkStart w:id="12" w:name="_Hlk80959535"/>
      <w:r>
        <w:rPr>
          <w:szCs w:val="24"/>
        </w:rPr>
        <w:t xml:space="preserve">The </w:t>
      </w:r>
      <w:r w:rsidR="00E70F04">
        <w:rPr>
          <w:szCs w:val="24"/>
        </w:rPr>
        <w:t>LATCF, as added by the</w:t>
      </w:r>
      <w:r>
        <w:rPr>
          <w:szCs w:val="24"/>
        </w:rPr>
        <w:t xml:space="preserve"> </w:t>
      </w:r>
      <w:r w:rsidR="00EA7E15">
        <w:rPr>
          <w:szCs w:val="24"/>
        </w:rPr>
        <w:t xml:space="preserve">American Rescue Plan </w:t>
      </w:r>
      <w:r w:rsidR="00E70F04">
        <w:rPr>
          <w:szCs w:val="24"/>
        </w:rPr>
        <w:t xml:space="preserve">and </w:t>
      </w:r>
      <w:r w:rsidR="0082176D">
        <w:rPr>
          <w:szCs w:val="24"/>
        </w:rPr>
        <w:t xml:space="preserve">amended by </w:t>
      </w:r>
      <w:r w:rsidR="00B36C12">
        <w:rPr>
          <w:szCs w:val="24"/>
        </w:rPr>
        <w:t>Section 103</w:t>
      </w:r>
      <w:r w:rsidR="003935DF">
        <w:rPr>
          <w:szCs w:val="24"/>
        </w:rPr>
        <w:t xml:space="preserve"> of Division LL of the Consolidated Appropriations Act, 2023</w:t>
      </w:r>
      <w:r w:rsidR="00E70F04">
        <w:rPr>
          <w:szCs w:val="24"/>
        </w:rPr>
        <w:t>,</w:t>
      </w:r>
      <w:r w:rsidR="0082176D">
        <w:rPr>
          <w:szCs w:val="24"/>
        </w:rPr>
        <w:t xml:space="preserve"> </w:t>
      </w:r>
      <w:r w:rsidRPr="008F4E63" w:rsidR="00BE7373">
        <w:rPr>
          <w:szCs w:val="24"/>
        </w:rPr>
        <w:t>identifies eligible revenue sharing counties</w:t>
      </w:r>
      <w:r w:rsidR="0082176D">
        <w:rPr>
          <w:szCs w:val="24"/>
        </w:rPr>
        <w:t>, eligible revenue sharing consolidated governments,</w:t>
      </w:r>
      <w:r w:rsidRPr="008F4E63" w:rsidR="00BE7373">
        <w:rPr>
          <w:szCs w:val="24"/>
        </w:rPr>
        <w:t xml:space="preserve"> and </w:t>
      </w:r>
      <w:r w:rsidR="004B1730">
        <w:rPr>
          <w:szCs w:val="24"/>
        </w:rPr>
        <w:t xml:space="preserve">eligible </w:t>
      </w:r>
      <w:r w:rsidRPr="008F4E63" w:rsidR="00BE7373">
        <w:rPr>
          <w:szCs w:val="24"/>
        </w:rPr>
        <w:t xml:space="preserve">Tribal governments as the </w:t>
      </w:r>
      <w:r>
        <w:rPr>
          <w:szCs w:val="24"/>
        </w:rPr>
        <w:t>governments</w:t>
      </w:r>
      <w:r w:rsidRPr="008F4E63">
        <w:rPr>
          <w:szCs w:val="24"/>
        </w:rPr>
        <w:t xml:space="preserve"> </w:t>
      </w:r>
      <w:r w:rsidRPr="008F4E63" w:rsidR="00BE7373">
        <w:rPr>
          <w:szCs w:val="24"/>
        </w:rPr>
        <w:t>eligible to request</w:t>
      </w:r>
      <w:r>
        <w:rPr>
          <w:szCs w:val="24"/>
        </w:rPr>
        <w:t xml:space="preserve"> payment of</w:t>
      </w:r>
      <w:r w:rsidRPr="008F4E63" w:rsidR="00BE7373">
        <w:rPr>
          <w:szCs w:val="24"/>
        </w:rPr>
        <w:t xml:space="preserve"> their allocation of the program</w:t>
      </w:r>
      <w:r w:rsidR="00EA7E15">
        <w:rPr>
          <w:szCs w:val="24"/>
        </w:rPr>
        <w:t xml:space="preserve"> and defines eligibility as follows:</w:t>
      </w:r>
      <w:r w:rsidRPr="008F4E63" w:rsidR="00BE7373">
        <w:rPr>
          <w:szCs w:val="24"/>
        </w:rPr>
        <w:t xml:space="preserve"> </w:t>
      </w:r>
    </w:p>
    <w:p w:rsidR="00BE7373" w:rsidRPr="008F4E63" w:rsidP="003727C7" w14:paraId="711913E7" w14:textId="6A1D7B27">
      <w:pPr>
        <w:rPr>
          <w:szCs w:val="24"/>
        </w:rPr>
      </w:pPr>
    </w:p>
    <w:p w:rsidR="00BE7373" w:rsidP="00BE7373" w14:paraId="080A794A" w14:textId="70684A68">
      <w:pPr>
        <w:pStyle w:val="ListParagraph"/>
        <w:numPr>
          <w:ilvl w:val="0"/>
          <w:numId w:val="32"/>
        </w:numPr>
        <w:rPr>
          <w:szCs w:val="24"/>
        </w:rPr>
      </w:pPr>
      <w:r>
        <w:rPr>
          <w:szCs w:val="24"/>
        </w:rPr>
        <w:t xml:space="preserve">An </w:t>
      </w:r>
      <w:r>
        <w:rPr>
          <w:i/>
          <w:iCs/>
          <w:szCs w:val="24"/>
        </w:rPr>
        <w:t>e</w:t>
      </w:r>
      <w:r w:rsidRPr="008F4E63">
        <w:rPr>
          <w:i/>
          <w:iCs/>
          <w:szCs w:val="24"/>
        </w:rPr>
        <w:t>ligible revenue sharing count</w:t>
      </w:r>
      <w:r>
        <w:rPr>
          <w:i/>
          <w:iCs/>
          <w:szCs w:val="24"/>
        </w:rPr>
        <w:t xml:space="preserve">y </w:t>
      </w:r>
      <w:r w:rsidRPr="00965726">
        <w:rPr>
          <w:szCs w:val="24"/>
        </w:rPr>
        <w:t>is</w:t>
      </w:r>
      <w:r w:rsidRPr="008F4E63">
        <w:rPr>
          <w:szCs w:val="24"/>
        </w:rPr>
        <w:t xml:space="preserve"> a county, parish, or borough that is independent of any other unit of local government; and that, as determined by the Secretary</w:t>
      </w:r>
      <w:r w:rsidR="00EA7E15">
        <w:rPr>
          <w:szCs w:val="24"/>
        </w:rPr>
        <w:t xml:space="preserve"> of the Treasury</w:t>
      </w:r>
      <w:r w:rsidRPr="008F4E63">
        <w:rPr>
          <w:szCs w:val="24"/>
        </w:rPr>
        <w:t xml:space="preserve">, is the principal provider of government services for the area within its jurisdiction; and for which, as determined by the Secretary, there is a negative revenue impact due to implementation of a </w:t>
      </w:r>
      <w:r w:rsidRPr="008F4E63">
        <w:rPr>
          <w:szCs w:val="24"/>
        </w:rPr>
        <w:t>Federal</w:t>
      </w:r>
      <w:r w:rsidRPr="008F4E63">
        <w:rPr>
          <w:szCs w:val="24"/>
        </w:rPr>
        <w:t xml:space="preserve"> program or changes to such program. In addition, the District of Columbia, the Commonwealth of Puerto Rico, Guam, and the United States Virgin Islands are eligible</w:t>
      </w:r>
      <w:r w:rsidR="00471780">
        <w:rPr>
          <w:szCs w:val="24"/>
        </w:rPr>
        <w:t xml:space="preserve"> revenue sharing counties</w:t>
      </w:r>
      <w:r w:rsidRPr="008F4E63">
        <w:rPr>
          <w:szCs w:val="24"/>
        </w:rPr>
        <w:t>.</w:t>
      </w:r>
    </w:p>
    <w:p w:rsidR="0082176D" w:rsidP="005116EA" w14:paraId="6BFB62C7" w14:textId="77777777">
      <w:pPr>
        <w:pStyle w:val="ListParagraph"/>
        <w:ind w:left="720" w:firstLine="0"/>
        <w:rPr>
          <w:szCs w:val="24"/>
        </w:rPr>
      </w:pPr>
    </w:p>
    <w:p w:rsidR="0082176D" w:rsidRPr="008F4E63" w:rsidP="00BE7373" w14:paraId="460A5036" w14:textId="53A0D1B2">
      <w:pPr>
        <w:pStyle w:val="ListParagraph"/>
        <w:numPr>
          <w:ilvl w:val="0"/>
          <w:numId w:val="32"/>
        </w:numPr>
        <w:rPr>
          <w:szCs w:val="24"/>
        </w:rPr>
      </w:pPr>
      <w:r>
        <w:rPr>
          <w:szCs w:val="24"/>
        </w:rPr>
        <w:t xml:space="preserve">An </w:t>
      </w:r>
      <w:r>
        <w:rPr>
          <w:i/>
          <w:iCs/>
          <w:szCs w:val="24"/>
        </w:rPr>
        <w:t>eligible revenue sharing consolidated government</w:t>
      </w:r>
      <w:r w:rsidR="00DF367D">
        <w:rPr>
          <w:szCs w:val="24"/>
        </w:rPr>
        <w:t xml:space="preserve"> is a county, parish, or borough that has been classified by the Bureau of the Census as an active government consolidated with another government, and for which, as determined by the Secretary, there is a negative revenue impact due to implementation of a </w:t>
      </w:r>
      <w:r w:rsidR="00DF367D">
        <w:rPr>
          <w:szCs w:val="24"/>
        </w:rPr>
        <w:t>Federal</w:t>
      </w:r>
      <w:r w:rsidR="00DF367D">
        <w:rPr>
          <w:szCs w:val="24"/>
        </w:rPr>
        <w:t xml:space="preserve"> program or changes to such a program.</w:t>
      </w:r>
    </w:p>
    <w:p w:rsidR="009B06D7" w:rsidRPr="008F4E63" w:rsidP="009B06D7" w14:paraId="2A49C4D1" w14:textId="0081034D">
      <w:pPr>
        <w:rPr>
          <w:szCs w:val="24"/>
        </w:rPr>
      </w:pPr>
    </w:p>
    <w:p w:rsidR="0082176D" w:rsidP="0082176D" w14:paraId="571B6DF2" w14:textId="51026004">
      <w:pPr>
        <w:pStyle w:val="ListParagraph"/>
        <w:numPr>
          <w:ilvl w:val="0"/>
          <w:numId w:val="32"/>
        </w:numPr>
        <w:rPr>
          <w:szCs w:val="24"/>
        </w:rPr>
      </w:pPr>
      <w:r w:rsidRPr="00965726">
        <w:rPr>
          <w:szCs w:val="24"/>
        </w:rPr>
        <w:t>An</w:t>
      </w:r>
      <w:r>
        <w:rPr>
          <w:i/>
          <w:iCs/>
          <w:szCs w:val="24"/>
        </w:rPr>
        <w:t xml:space="preserve"> eligible Tribal government</w:t>
      </w:r>
      <w:r w:rsidRPr="008F4E63" w:rsidR="009B06D7">
        <w:rPr>
          <w:i/>
          <w:iCs/>
          <w:szCs w:val="24"/>
        </w:rPr>
        <w:t xml:space="preserve"> </w:t>
      </w:r>
      <w:r>
        <w:rPr>
          <w:szCs w:val="24"/>
        </w:rPr>
        <w:t xml:space="preserve">is </w:t>
      </w:r>
      <w:r w:rsidRPr="008F4E63" w:rsidR="009B06D7">
        <w:rPr>
          <w:szCs w:val="24"/>
        </w:rPr>
        <w:t xml:space="preserve">the recognized governing body of any Indian or Alaska Native tribe, band, nation, pueblo, village, community, component band, or component reservation, individually identified (including parenthetically) in the list published most recently as of the date of enactment of </w:t>
      </w:r>
      <w:r w:rsidR="00BD60AF">
        <w:rPr>
          <w:szCs w:val="24"/>
        </w:rPr>
        <w:t>the American Rescue Plan</w:t>
      </w:r>
      <w:r w:rsidRPr="008F4E63" w:rsidR="009B06D7">
        <w:rPr>
          <w:szCs w:val="24"/>
        </w:rPr>
        <w:t xml:space="preserve"> pursuant to section 104 of the Federally Recognized Indian Tribe List Act of 1994 (25 U.S.C. 1531). </w:t>
      </w:r>
    </w:p>
    <w:p w:rsidR="0082176D" w:rsidP="0082176D" w14:paraId="632A5696" w14:textId="3A16435E">
      <w:pPr>
        <w:rPr>
          <w:szCs w:val="24"/>
        </w:rPr>
      </w:pPr>
    </w:p>
    <w:p w:rsidR="003727C7" w:rsidRPr="008F4E63" w:rsidP="003727C7" w14:paraId="30A31BD6" w14:textId="77777777">
      <w:pPr>
        <w:pStyle w:val="Heading2"/>
        <w:rPr>
          <w:rFonts w:ascii="Times New Roman" w:hAnsi="Times New Roman" w:cs="Times New Roman"/>
          <w:szCs w:val="24"/>
        </w:rPr>
      </w:pPr>
      <w:bookmarkStart w:id="13" w:name="_Toc79589841"/>
      <w:bookmarkStart w:id="14" w:name="_Toc79598568"/>
      <w:bookmarkStart w:id="15" w:name="_Ref80900253"/>
      <w:bookmarkStart w:id="16" w:name="_Ref80900263"/>
      <w:bookmarkStart w:id="17" w:name="_Ref80900270"/>
      <w:bookmarkStart w:id="18" w:name="_Ref80900304"/>
      <w:bookmarkStart w:id="19" w:name="_Ref80900324"/>
      <w:bookmarkStart w:id="20" w:name="_Ref80900339"/>
      <w:bookmarkStart w:id="21" w:name="_Ref80900343"/>
      <w:bookmarkStart w:id="22" w:name="_Ref80900364"/>
      <w:bookmarkStart w:id="23" w:name="_Toc80900043"/>
      <w:bookmarkStart w:id="24" w:name="_Toc82542686"/>
      <w:bookmarkEnd w:id="12"/>
      <w:r w:rsidRPr="008F4E63">
        <w:rPr>
          <w:rFonts w:ascii="Times New Roman" w:hAnsi="Times New Roman" w:cs="Times New Roman"/>
          <w:szCs w:val="24"/>
        </w:rPr>
        <w:t>ALLOCATIONS</w:t>
      </w:r>
      <w:bookmarkEnd w:id="13"/>
      <w:bookmarkEnd w:id="14"/>
      <w:bookmarkEnd w:id="15"/>
      <w:bookmarkEnd w:id="16"/>
      <w:bookmarkEnd w:id="17"/>
      <w:bookmarkEnd w:id="18"/>
      <w:bookmarkEnd w:id="19"/>
      <w:bookmarkEnd w:id="20"/>
      <w:bookmarkEnd w:id="21"/>
      <w:bookmarkEnd w:id="22"/>
      <w:bookmarkEnd w:id="23"/>
      <w:bookmarkEnd w:id="24"/>
      <w:r w:rsidRPr="008F4E63">
        <w:rPr>
          <w:rFonts w:ascii="Times New Roman" w:hAnsi="Times New Roman" w:cs="Times New Roman"/>
          <w:szCs w:val="24"/>
        </w:rPr>
        <w:t xml:space="preserve"> </w:t>
      </w:r>
    </w:p>
    <w:p w:rsidR="003727C7" w:rsidP="003727C7" w14:paraId="18934034" w14:textId="568AE8C8">
      <w:pPr>
        <w:rPr>
          <w:szCs w:val="24"/>
        </w:rPr>
      </w:pPr>
      <w:r w:rsidRPr="008F4E63">
        <w:rPr>
          <w:szCs w:val="24"/>
        </w:rPr>
        <w:t>Section 605(</w:t>
      </w:r>
      <w:r w:rsidRPr="008F4E63" w:rsidR="007D0FC2">
        <w:rPr>
          <w:szCs w:val="24"/>
        </w:rPr>
        <w:t xml:space="preserve">b) provides for a total of $2 billion for Treasury to make payments to eligible revenue sharing counties and </w:t>
      </w:r>
      <w:r w:rsidR="00311B73">
        <w:rPr>
          <w:szCs w:val="24"/>
        </w:rPr>
        <w:t xml:space="preserve">eligible </w:t>
      </w:r>
      <w:r w:rsidRPr="008F4E63" w:rsidR="007D0FC2">
        <w:rPr>
          <w:szCs w:val="24"/>
        </w:rPr>
        <w:t xml:space="preserve">Tribal governments </w:t>
      </w:r>
      <w:r w:rsidRPr="008F4E63" w:rsidR="00787BD9">
        <w:rPr>
          <w:szCs w:val="24"/>
        </w:rPr>
        <w:t>over</w:t>
      </w:r>
      <w:r w:rsidRPr="008F4E63" w:rsidR="007D0FC2">
        <w:rPr>
          <w:szCs w:val="24"/>
        </w:rPr>
        <w:t xml:space="preserve"> fiscal years 2022 and </w:t>
      </w:r>
      <w:r w:rsidRPr="008F4E63" w:rsidR="007D0FC2">
        <w:rPr>
          <w:szCs w:val="24"/>
        </w:rPr>
        <w:t>2023</w:t>
      </w:r>
      <w:r w:rsidR="00DF367D">
        <w:rPr>
          <w:szCs w:val="24"/>
        </w:rPr>
        <w:t>.</w:t>
      </w:r>
      <w:r w:rsidRPr="008F4E63" w:rsidR="007D0FC2">
        <w:rPr>
          <w:szCs w:val="24"/>
        </w:rPr>
        <w:t>.</w:t>
      </w:r>
      <w:r w:rsidRPr="008F4E63" w:rsidR="007D0FC2">
        <w:rPr>
          <w:szCs w:val="24"/>
        </w:rPr>
        <w:t xml:space="preserve"> </w:t>
      </w:r>
      <w:r w:rsidRPr="008F4E63" w:rsidR="002966AA">
        <w:rPr>
          <w:szCs w:val="24"/>
        </w:rPr>
        <w:t>The provision direct</w:t>
      </w:r>
      <w:r w:rsidRPr="008F4E63" w:rsidR="002966AA">
        <w:rPr>
          <w:szCs w:val="24"/>
        </w:rPr>
        <w:t>s</w:t>
      </w:r>
      <w:r w:rsidRPr="008F4E63" w:rsidR="002966AA">
        <w:rPr>
          <w:szCs w:val="24"/>
        </w:rPr>
        <w:t xml:space="preserve"> the Secretary to </w:t>
      </w:r>
      <w:r w:rsidR="00E71178">
        <w:rPr>
          <w:szCs w:val="24"/>
        </w:rPr>
        <w:t>reserve</w:t>
      </w:r>
      <w:r w:rsidRPr="008F4E63" w:rsidR="002966AA">
        <w:rPr>
          <w:szCs w:val="24"/>
        </w:rPr>
        <w:t xml:space="preserve"> $750 million to </w:t>
      </w:r>
      <w:r w:rsidR="00E71178">
        <w:rPr>
          <w:szCs w:val="24"/>
        </w:rPr>
        <w:t xml:space="preserve">allocate and </w:t>
      </w:r>
      <w:r w:rsidRPr="008F4E63" w:rsidR="002966AA">
        <w:rPr>
          <w:szCs w:val="24"/>
        </w:rPr>
        <w:t>pay to eligible revenue sharing count</w:t>
      </w:r>
      <w:r w:rsidRPr="008F4E63" w:rsidR="00652DE0">
        <w:rPr>
          <w:szCs w:val="24"/>
        </w:rPr>
        <w:t xml:space="preserve">ies </w:t>
      </w:r>
      <w:r w:rsidR="00E71178">
        <w:rPr>
          <w:szCs w:val="24"/>
        </w:rPr>
        <w:t xml:space="preserve">for each of fiscal years </w:t>
      </w:r>
      <w:r w:rsidRPr="008F4E63" w:rsidR="002966AA">
        <w:rPr>
          <w:szCs w:val="24"/>
        </w:rPr>
        <w:t>2022 and 2023,</w:t>
      </w:r>
      <w:r w:rsidR="00DF367D">
        <w:rPr>
          <w:szCs w:val="24"/>
        </w:rPr>
        <w:t xml:space="preserve"> </w:t>
      </w:r>
      <w:r w:rsidRPr="008F4E63" w:rsidR="002966AA">
        <w:rPr>
          <w:szCs w:val="24"/>
        </w:rPr>
        <w:t xml:space="preserve"> </w:t>
      </w:r>
      <w:r w:rsidRPr="008F4E63" w:rsidR="00652DE0">
        <w:rPr>
          <w:szCs w:val="24"/>
        </w:rPr>
        <w:t xml:space="preserve">taking into account economic conditions of each eligible revenue sharing county, using measurements of poverty rates, household income, land values, and unemployment rates, as well as other economic indicators, over the 20-year period ending with September 30, 2021. Separately, the provision directs the Secretary </w:t>
      </w:r>
      <w:r w:rsidR="00E71178">
        <w:rPr>
          <w:szCs w:val="24"/>
        </w:rPr>
        <w:t xml:space="preserve">to reserve </w:t>
      </w:r>
      <w:r w:rsidRPr="008F4E63" w:rsidR="002966AA">
        <w:rPr>
          <w:szCs w:val="24"/>
        </w:rPr>
        <w:t xml:space="preserve">$250 </w:t>
      </w:r>
      <w:r w:rsidRPr="008F4E63" w:rsidR="00652DE0">
        <w:rPr>
          <w:szCs w:val="24"/>
        </w:rPr>
        <w:t xml:space="preserve">million </w:t>
      </w:r>
      <w:r w:rsidR="00E71178">
        <w:rPr>
          <w:szCs w:val="24"/>
        </w:rPr>
        <w:t xml:space="preserve">to allocate and pay to eligible Tribal governments for each of </w:t>
      </w:r>
      <w:r w:rsidRPr="008F4E63" w:rsidR="00BA3815">
        <w:rPr>
          <w:szCs w:val="24"/>
        </w:rPr>
        <w:t>fiscal years 2022 and 2023</w:t>
      </w:r>
      <w:r w:rsidRPr="008F4E63" w:rsidR="00652DE0">
        <w:rPr>
          <w:szCs w:val="24"/>
        </w:rPr>
        <w:t xml:space="preserve">, </w:t>
      </w:r>
      <w:r w:rsidRPr="008F4E63" w:rsidR="00652DE0">
        <w:rPr>
          <w:szCs w:val="24"/>
        </w:rPr>
        <w:t>taking into account</w:t>
      </w:r>
      <w:r w:rsidRPr="008F4E63" w:rsidR="00652DE0">
        <w:rPr>
          <w:szCs w:val="24"/>
        </w:rPr>
        <w:t xml:space="preserve"> economic conditions of each eligible Tribe.</w:t>
      </w:r>
    </w:p>
    <w:p w:rsidR="003935DF" w:rsidP="003727C7" w14:paraId="09B5E6CC" w14:textId="2263C919">
      <w:pPr>
        <w:rPr>
          <w:szCs w:val="24"/>
        </w:rPr>
      </w:pPr>
    </w:p>
    <w:p w:rsidR="007B4964" w:rsidRPr="008F4E63" w:rsidP="003727C7" w14:paraId="746FD855" w14:textId="5774E544">
      <w:pPr>
        <w:rPr>
          <w:szCs w:val="24"/>
        </w:rPr>
      </w:pPr>
      <w:r>
        <w:rPr>
          <w:szCs w:val="24"/>
        </w:rPr>
        <w:t>Section 605(g)</w:t>
      </w:r>
      <w:r w:rsidR="00F51043">
        <w:rPr>
          <w:szCs w:val="24"/>
        </w:rPr>
        <w:t xml:space="preserve">, as added by Section 103 of Division LL of the Consolidated Appropriations Act, </w:t>
      </w:r>
      <w:r w:rsidR="00F51043">
        <w:rPr>
          <w:szCs w:val="24"/>
        </w:rPr>
        <w:t>2023,</w:t>
      </w:r>
      <w:r>
        <w:rPr>
          <w:szCs w:val="24"/>
        </w:rPr>
        <w:t xml:space="preserve"> </w:t>
      </w:r>
      <w:r w:rsidR="006D52DD">
        <w:rPr>
          <w:szCs w:val="24"/>
        </w:rPr>
        <w:t xml:space="preserve">makes available </w:t>
      </w:r>
      <w:r w:rsidR="00020556">
        <w:rPr>
          <w:szCs w:val="24"/>
        </w:rPr>
        <w:t>additional funding</w:t>
      </w:r>
      <w:r w:rsidR="006D52DD">
        <w:rPr>
          <w:szCs w:val="24"/>
        </w:rPr>
        <w:t xml:space="preserve"> from LATCF funds unclaimed by eligible revenue sharing counties after January 31, 2023 or Treasury administrative funds, </w:t>
      </w:r>
      <w:r>
        <w:rPr>
          <w:szCs w:val="24"/>
        </w:rPr>
        <w:t>to make payments to eligible revenue sharing consolidated governments for each of fiscal years 2023 and 2024 reflecting an amount equal to the amount that the Secretary would have allocated to such eligible revenue sharing consolidated governments for fiscal year 2022 if such governments had been treated as eligible revenue sharing counties under the original Section 605, using the allocation methodology</w:t>
      </w:r>
      <w:r w:rsidR="006D52DD">
        <w:rPr>
          <w:szCs w:val="24"/>
        </w:rPr>
        <w:t xml:space="preserve"> </w:t>
      </w:r>
      <w:r>
        <w:rPr>
          <w:szCs w:val="24"/>
        </w:rPr>
        <w:t xml:space="preserve">adopted by Treasury </w:t>
      </w:r>
      <w:r w:rsidR="00E70F04">
        <w:rPr>
          <w:szCs w:val="24"/>
        </w:rPr>
        <w:t xml:space="preserve">for such eligible revenue sharing counties </w:t>
      </w:r>
      <w:r>
        <w:rPr>
          <w:szCs w:val="24"/>
        </w:rPr>
        <w:t>in 2022</w:t>
      </w:r>
      <w:r w:rsidR="006D52DD">
        <w:rPr>
          <w:szCs w:val="24"/>
        </w:rPr>
        <w:t>.</w:t>
      </w:r>
    </w:p>
    <w:p w:rsidR="00B92445" w:rsidRPr="008F4E63" w:rsidP="00B92445" w14:paraId="6E52EDA7" w14:textId="314FF975">
      <w:pPr>
        <w:rPr>
          <w:szCs w:val="24"/>
        </w:rPr>
      </w:pPr>
      <w:r w:rsidRPr="008F4E63">
        <w:rPr>
          <w:szCs w:val="24"/>
        </w:rPr>
        <w:t xml:space="preserve">Eligible Tribal governments may log in to the Treasury Submission Portal to </w:t>
      </w:r>
      <w:r w:rsidRPr="008F4E63" w:rsidR="00BE1C84">
        <w:rPr>
          <w:szCs w:val="24"/>
        </w:rPr>
        <w:t>review</w:t>
      </w:r>
      <w:r w:rsidRPr="008F4E63">
        <w:rPr>
          <w:szCs w:val="24"/>
        </w:rPr>
        <w:t xml:space="preserve"> their specific allocation</w:t>
      </w:r>
      <w:r w:rsidR="008D0785">
        <w:rPr>
          <w:szCs w:val="24"/>
        </w:rPr>
        <w:t>s</w:t>
      </w:r>
      <w:r w:rsidRPr="008F4E63">
        <w:rPr>
          <w:szCs w:val="24"/>
        </w:rPr>
        <w:t xml:space="preserve"> under the </w:t>
      </w:r>
      <w:r w:rsidRPr="008F4E63" w:rsidR="00BE1C84">
        <w:rPr>
          <w:szCs w:val="24"/>
        </w:rPr>
        <w:t>program</w:t>
      </w:r>
      <w:r w:rsidRPr="008F4E63">
        <w:rPr>
          <w:szCs w:val="24"/>
        </w:rPr>
        <w:t>.</w:t>
      </w:r>
      <w:r w:rsidR="00EF5E08">
        <w:rPr>
          <w:szCs w:val="24"/>
        </w:rPr>
        <w:t xml:space="preserve"> Eligible revenue sharing counties</w:t>
      </w:r>
      <w:r w:rsidR="00DF367D">
        <w:rPr>
          <w:szCs w:val="24"/>
        </w:rPr>
        <w:t xml:space="preserve"> and eligible revenue sharing consolidated governments</w:t>
      </w:r>
      <w:r w:rsidR="00EF5E08">
        <w:rPr>
          <w:szCs w:val="24"/>
        </w:rPr>
        <w:t xml:space="preserve"> may review their allocations on the Treasury website</w:t>
      </w:r>
      <w:r w:rsidR="00DF367D">
        <w:rPr>
          <w:szCs w:val="24"/>
        </w:rPr>
        <w:t>.</w:t>
      </w:r>
    </w:p>
    <w:p w:rsidR="003727C7" w:rsidRPr="008F4E63" w:rsidP="003727C7" w14:paraId="5ABD980F" w14:textId="19CE3598">
      <w:pPr>
        <w:pStyle w:val="Heading2"/>
        <w:rPr>
          <w:rFonts w:ascii="Times New Roman" w:hAnsi="Times New Roman" w:cs="Times New Roman"/>
          <w:szCs w:val="24"/>
        </w:rPr>
      </w:pPr>
      <w:r w:rsidRPr="008F4E63">
        <w:rPr>
          <w:rFonts w:ascii="Times New Roman" w:hAnsi="Times New Roman" w:cs="Times New Roman"/>
          <w:szCs w:val="24"/>
        </w:rPr>
        <w:t>ELIGIBLE</w:t>
      </w:r>
      <w:r w:rsidRPr="008F4E63" w:rsidR="005A51AA">
        <w:rPr>
          <w:rFonts w:ascii="Times New Roman" w:hAnsi="Times New Roman" w:cs="Times New Roman"/>
          <w:szCs w:val="24"/>
        </w:rPr>
        <w:t xml:space="preserve"> AND INELIGIBLE</w:t>
      </w:r>
      <w:r w:rsidRPr="008F4E63">
        <w:rPr>
          <w:rFonts w:ascii="Times New Roman" w:hAnsi="Times New Roman" w:cs="Times New Roman"/>
          <w:szCs w:val="24"/>
        </w:rPr>
        <w:t xml:space="preserve"> </w:t>
      </w:r>
      <w:r w:rsidRPr="008F4E63" w:rsidR="00DE0BD4">
        <w:rPr>
          <w:rFonts w:ascii="Times New Roman" w:hAnsi="Times New Roman" w:cs="Times New Roman"/>
          <w:szCs w:val="24"/>
        </w:rPr>
        <w:t>USES OF FUNDS</w:t>
      </w:r>
    </w:p>
    <w:p w:rsidR="00DE0BD4" w:rsidRPr="008F4E63" w:rsidP="003727C7" w14:paraId="70163EAE" w14:textId="0B64731E">
      <w:pPr>
        <w:pStyle w:val="Heading3"/>
        <w:rPr>
          <w:rFonts w:ascii="Times New Roman" w:hAnsi="Times New Roman" w:cs="Times New Roman"/>
        </w:rPr>
      </w:pPr>
      <w:r w:rsidRPr="008F4E63">
        <w:rPr>
          <w:rFonts w:ascii="Times New Roman" w:hAnsi="Times New Roman" w:cs="Times New Roman"/>
        </w:rPr>
        <w:t xml:space="preserve">Eligible </w:t>
      </w:r>
      <w:r w:rsidRPr="008F4E63" w:rsidR="004A25BD">
        <w:rPr>
          <w:rFonts w:ascii="Times New Roman" w:hAnsi="Times New Roman" w:cs="Times New Roman"/>
        </w:rPr>
        <w:t>U</w:t>
      </w:r>
      <w:r w:rsidRPr="008F4E63">
        <w:rPr>
          <w:rFonts w:ascii="Times New Roman" w:hAnsi="Times New Roman" w:cs="Times New Roman"/>
        </w:rPr>
        <w:t>ses</w:t>
      </w:r>
    </w:p>
    <w:p w:rsidR="008A27A5" w:rsidRPr="008F4E63" w:rsidP="004A25BD" w14:paraId="45BE16D8" w14:textId="4323E48C">
      <w:pPr>
        <w:rPr>
          <w:szCs w:val="24"/>
        </w:rPr>
      </w:pPr>
      <w:r w:rsidRPr="008F4E63">
        <w:rPr>
          <w:szCs w:val="24"/>
        </w:rPr>
        <w:t xml:space="preserve">Section 605(c) provides </w:t>
      </w:r>
      <w:r w:rsidRPr="008F4E63" w:rsidR="00091363">
        <w:rPr>
          <w:szCs w:val="24"/>
        </w:rPr>
        <w:t xml:space="preserve">flexible </w:t>
      </w:r>
      <w:r w:rsidRPr="008F4E63" w:rsidR="00B92445">
        <w:rPr>
          <w:szCs w:val="24"/>
        </w:rPr>
        <w:t>support</w:t>
      </w:r>
      <w:r w:rsidRPr="008F4E63">
        <w:rPr>
          <w:szCs w:val="24"/>
        </w:rPr>
        <w:t xml:space="preserve"> for eligible revenue</w:t>
      </w:r>
      <w:r w:rsidR="00232A63">
        <w:rPr>
          <w:szCs w:val="24"/>
        </w:rPr>
        <w:t xml:space="preserve"> </w:t>
      </w:r>
      <w:r w:rsidRPr="008F4E63">
        <w:rPr>
          <w:szCs w:val="24"/>
        </w:rPr>
        <w:t>sharing counties</w:t>
      </w:r>
      <w:r w:rsidR="00DF367D">
        <w:rPr>
          <w:szCs w:val="24"/>
        </w:rPr>
        <w:t>, eligible revenue sharing consolidated governments,</w:t>
      </w:r>
      <w:r w:rsidRPr="008F4E63">
        <w:rPr>
          <w:szCs w:val="24"/>
        </w:rPr>
        <w:t xml:space="preserve"> and </w:t>
      </w:r>
      <w:r w:rsidR="00311B73">
        <w:rPr>
          <w:szCs w:val="24"/>
        </w:rPr>
        <w:t xml:space="preserve">eligible </w:t>
      </w:r>
      <w:r w:rsidRPr="008F4E63">
        <w:rPr>
          <w:szCs w:val="24"/>
        </w:rPr>
        <w:t>Tribal governments to meet their jurisdiction</w:t>
      </w:r>
      <w:r w:rsidR="00BD60AF">
        <w:rPr>
          <w:szCs w:val="24"/>
        </w:rPr>
        <w:t>s</w:t>
      </w:r>
      <w:r w:rsidRPr="008F4E63">
        <w:rPr>
          <w:szCs w:val="24"/>
        </w:rPr>
        <w:t xml:space="preserve">’ needs. Specifically, </w:t>
      </w:r>
      <w:r w:rsidR="005E5021">
        <w:rPr>
          <w:szCs w:val="24"/>
        </w:rPr>
        <w:t>the statute directs that</w:t>
      </w:r>
      <w:r w:rsidRPr="008F4E63">
        <w:rPr>
          <w:szCs w:val="24"/>
        </w:rPr>
        <w:t xml:space="preserve"> </w:t>
      </w:r>
      <w:r w:rsidR="005E5021">
        <w:rPr>
          <w:szCs w:val="24"/>
        </w:rPr>
        <w:t>r</w:t>
      </w:r>
      <w:r w:rsidRPr="008F4E63">
        <w:rPr>
          <w:szCs w:val="24"/>
        </w:rPr>
        <w:t>ecipients may use funds for any governmental purpose other than a lobbying activity.</w:t>
      </w:r>
      <w:r w:rsidRPr="008F4E63" w:rsidR="004A25BD">
        <w:rPr>
          <w:szCs w:val="24"/>
        </w:rPr>
        <w:t xml:space="preserve"> </w:t>
      </w:r>
    </w:p>
    <w:p w:rsidR="008A27A5" w:rsidRPr="008F4E63" w:rsidP="004A25BD" w14:paraId="33506680" w14:textId="77777777">
      <w:pPr>
        <w:rPr>
          <w:szCs w:val="24"/>
        </w:rPr>
      </w:pPr>
    </w:p>
    <w:p w:rsidR="000D1A4E" w:rsidRPr="008F4E63" w:rsidP="004A25BD" w14:paraId="790BE91F" w14:textId="5F32B9D2">
      <w:pPr>
        <w:rPr>
          <w:szCs w:val="24"/>
        </w:rPr>
      </w:pPr>
      <w:r w:rsidRPr="008F4E63">
        <w:rPr>
          <w:szCs w:val="24"/>
        </w:rPr>
        <w:t xml:space="preserve">As a general matter, </w:t>
      </w:r>
      <w:r w:rsidRPr="008F4E63" w:rsidR="000B1D4E">
        <w:rPr>
          <w:szCs w:val="24"/>
        </w:rPr>
        <w:t xml:space="preserve">recipients may treat these funds </w:t>
      </w:r>
      <w:r w:rsidR="005E5021">
        <w:rPr>
          <w:szCs w:val="24"/>
        </w:rPr>
        <w:t>in a similar manner</w:t>
      </w:r>
      <w:r w:rsidRPr="008F4E63" w:rsidR="000B1D4E">
        <w:rPr>
          <w:szCs w:val="24"/>
        </w:rPr>
        <w:t xml:space="preserve"> to how they treat funds generated from their own local revenue</w:t>
      </w:r>
      <w:r w:rsidRPr="008F4E63" w:rsidR="00F17C36">
        <w:rPr>
          <w:szCs w:val="24"/>
        </w:rPr>
        <w:t xml:space="preserve">. </w:t>
      </w:r>
      <w:r w:rsidRPr="008F4E63" w:rsidR="001C04CE">
        <w:rPr>
          <w:szCs w:val="24"/>
        </w:rPr>
        <w:t>P</w:t>
      </w:r>
      <w:r w:rsidRPr="008F4E63" w:rsidR="000D5312">
        <w:rPr>
          <w:szCs w:val="24"/>
        </w:rPr>
        <w:t xml:space="preserve">rograms, </w:t>
      </w:r>
      <w:r w:rsidRPr="008F4E63">
        <w:rPr>
          <w:szCs w:val="24"/>
        </w:rPr>
        <w:t>services</w:t>
      </w:r>
      <w:r w:rsidRPr="008F4E63" w:rsidR="000D5312">
        <w:rPr>
          <w:szCs w:val="24"/>
        </w:rPr>
        <w:t xml:space="preserve">, and capital expenditures </w:t>
      </w:r>
      <w:r w:rsidRPr="008F4E63">
        <w:rPr>
          <w:szCs w:val="24"/>
        </w:rPr>
        <w:t xml:space="preserve">that are traditionally </w:t>
      </w:r>
      <w:r w:rsidRPr="008F4E63" w:rsidR="000D5312">
        <w:rPr>
          <w:szCs w:val="24"/>
        </w:rPr>
        <w:t xml:space="preserve">undertaken </w:t>
      </w:r>
      <w:r w:rsidRPr="008F4E63">
        <w:rPr>
          <w:szCs w:val="24"/>
        </w:rPr>
        <w:t xml:space="preserve">by </w:t>
      </w:r>
      <w:r w:rsidRPr="008F4E63" w:rsidR="001C04CE">
        <w:rPr>
          <w:szCs w:val="24"/>
        </w:rPr>
        <w:t xml:space="preserve">a </w:t>
      </w:r>
      <w:r w:rsidRPr="008F4E63">
        <w:rPr>
          <w:szCs w:val="24"/>
        </w:rPr>
        <w:t>government</w:t>
      </w:r>
      <w:r w:rsidRPr="008F4E63" w:rsidR="001C04CE">
        <w:rPr>
          <w:szCs w:val="24"/>
        </w:rPr>
        <w:t xml:space="preserve"> </w:t>
      </w:r>
      <w:r w:rsidRPr="008F4E63" w:rsidR="00CD38B2">
        <w:rPr>
          <w:szCs w:val="24"/>
        </w:rPr>
        <w:t xml:space="preserve">are considered </w:t>
      </w:r>
      <w:r w:rsidRPr="008F4E63" w:rsidR="001C04CE">
        <w:rPr>
          <w:szCs w:val="24"/>
        </w:rPr>
        <w:t>to</w:t>
      </w:r>
      <w:r w:rsidRPr="008F4E63" w:rsidR="000B1D4E">
        <w:rPr>
          <w:szCs w:val="24"/>
        </w:rPr>
        <w:t xml:space="preserve"> </w:t>
      </w:r>
      <w:r w:rsidRPr="008F4E63">
        <w:rPr>
          <w:szCs w:val="24"/>
        </w:rPr>
        <w:t xml:space="preserve">fulfill a </w:t>
      </w:r>
      <w:r w:rsidRPr="008F4E63" w:rsidR="000D5312">
        <w:rPr>
          <w:szCs w:val="24"/>
        </w:rPr>
        <w:t>“</w:t>
      </w:r>
      <w:r w:rsidRPr="008F4E63">
        <w:rPr>
          <w:szCs w:val="24"/>
        </w:rPr>
        <w:t>governmental purpose</w:t>
      </w:r>
      <w:r w:rsidRPr="008F4E63" w:rsidR="001C04CE">
        <w:rPr>
          <w:szCs w:val="24"/>
        </w:rPr>
        <w:t>.</w:t>
      </w:r>
      <w:r w:rsidRPr="008F4E63" w:rsidR="000D5312">
        <w:rPr>
          <w:szCs w:val="24"/>
        </w:rPr>
        <w:t>”</w:t>
      </w:r>
      <w:r w:rsidRPr="008F4E63">
        <w:rPr>
          <w:szCs w:val="24"/>
        </w:rPr>
        <w:t xml:space="preserve"> </w:t>
      </w:r>
      <w:r w:rsidRPr="008F4E63" w:rsidR="00EA6918">
        <w:rPr>
          <w:szCs w:val="24"/>
        </w:rPr>
        <w:t xml:space="preserve">For Tribal governments, </w:t>
      </w:r>
      <w:r w:rsidR="00782B73">
        <w:rPr>
          <w:szCs w:val="24"/>
        </w:rPr>
        <w:t xml:space="preserve">investing in </w:t>
      </w:r>
      <w:r w:rsidRPr="008F4E63" w:rsidR="00EA6918">
        <w:rPr>
          <w:szCs w:val="24"/>
        </w:rPr>
        <w:t xml:space="preserve">activities undertaken by Tribal enterprises, such as operating or capital expenditures for </w:t>
      </w:r>
      <w:r w:rsidRPr="008F4E63" w:rsidR="006B1D0D">
        <w:rPr>
          <w:szCs w:val="24"/>
        </w:rPr>
        <w:t xml:space="preserve">businesses that are </w:t>
      </w:r>
      <w:r w:rsidRPr="008F4E63" w:rsidR="00EA6918">
        <w:rPr>
          <w:szCs w:val="24"/>
        </w:rPr>
        <w:t>owned or controlled by a Tribal government</w:t>
      </w:r>
      <w:r w:rsidR="00782B73">
        <w:rPr>
          <w:szCs w:val="24"/>
        </w:rPr>
        <w:t>, are considered a governmental purpose</w:t>
      </w:r>
      <w:r w:rsidRPr="008F4E63" w:rsidR="00EA6918">
        <w:rPr>
          <w:szCs w:val="24"/>
        </w:rPr>
        <w:t xml:space="preserve">. </w:t>
      </w:r>
      <w:r w:rsidRPr="008F4E63" w:rsidR="001C04CE">
        <w:rPr>
          <w:szCs w:val="24"/>
        </w:rPr>
        <w:t xml:space="preserve">However, the </w:t>
      </w:r>
      <w:r w:rsidR="00BD60AF">
        <w:rPr>
          <w:szCs w:val="24"/>
        </w:rPr>
        <w:t>LATCF funds may not be used for lobbying activities</w:t>
      </w:r>
      <w:r w:rsidRPr="008F4E63" w:rsidR="001C04CE">
        <w:rPr>
          <w:szCs w:val="24"/>
        </w:rPr>
        <w:t>.</w:t>
      </w:r>
    </w:p>
    <w:p w:rsidR="000D1A4E" w:rsidRPr="008F4E63" w:rsidP="004A25BD" w14:paraId="37FAB04B" w14:textId="77777777">
      <w:pPr>
        <w:rPr>
          <w:szCs w:val="24"/>
        </w:rPr>
      </w:pPr>
    </w:p>
    <w:p w:rsidR="004A25BD" w:rsidRPr="008F4E63" w:rsidP="004A25BD" w14:paraId="3278A055" w14:textId="10D4E415">
      <w:pPr>
        <w:rPr>
          <w:szCs w:val="24"/>
        </w:rPr>
      </w:pPr>
      <w:r w:rsidRPr="008F4E63">
        <w:rPr>
          <w:szCs w:val="24"/>
        </w:rPr>
        <w:t xml:space="preserve">A non-exhaustive list of </w:t>
      </w:r>
      <w:r w:rsidRPr="008F4E63" w:rsidR="0055038B">
        <w:rPr>
          <w:szCs w:val="24"/>
        </w:rPr>
        <w:t xml:space="preserve">example </w:t>
      </w:r>
      <w:r w:rsidRPr="008F4E63">
        <w:rPr>
          <w:szCs w:val="24"/>
        </w:rPr>
        <w:t xml:space="preserve">activities </w:t>
      </w:r>
      <w:r w:rsidRPr="008F4E63" w:rsidR="0024444A">
        <w:rPr>
          <w:szCs w:val="24"/>
        </w:rPr>
        <w:t>that fulfill a governmental purpose include</w:t>
      </w:r>
      <w:r w:rsidR="00311B73">
        <w:rPr>
          <w:szCs w:val="24"/>
        </w:rPr>
        <w:t>, but are not limited to</w:t>
      </w:r>
      <w:r w:rsidRPr="008F4E63" w:rsidR="0024444A">
        <w:rPr>
          <w:szCs w:val="24"/>
        </w:rPr>
        <w:t>:</w:t>
      </w:r>
      <w:r w:rsidRPr="008F4E63" w:rsidR="00882117">
        <w:rPr>
          <w:szCs w:val="24"/>
        </w:rPr>
        <w:t xml:space="preserve"> </w:t>
      </w:r>
      <w:r w:rsidRPr="008F4E63" w:rsidR="00AA0614">
        <w:rPr>
          <w:szCs w:val="24"/>
        </w:rPr>
        <w:br/>
      </w:r>
    </w:p>
    <w:p w:rsidR="00536B83" w:rsidRPr="008F4E63" w:rsidP="00536B83" w14:paraId="72C6A671" w14:textId="3D965923">
      <w:pPr>
        <w:pStyle w:val="ListParagraph"/>
        <w:numPr>
          <w:ilvl w:val="0"/>
          <w:numId w:val="27"/>
        </w:numPr>
        <w:rPr>
          <w:szCs w:val="24"/>
        </w:rPr>
      </w:pPr>
      <w:r w:rsidRPr="008F4E63">
        <w:rPr>
          <w:szCs w:val="24"/>
        </w:rPr>
        <w:t>Provision of health</w:t>
      </w:r>
      <w:r w:rsidRPr="008F4E63" w:rsidR="00DB47C5">
        <w:rPr>
          <w:szCs w:val="24"/>
        </w:rPr>
        <w:t xml:space="preserve"> services</w:t>
      </w:r>
      <w:r w:rsidR="00444F3E">
        <w:rPr>
          <w:szCs w:val="24"/>
        </w:rPr>
        <w:t>,</w:t>
      </w:r>
      <w:r w:rsidRPr="008F4E63">
        <w:rPr>
          <w:szCs w:val="24"/>
        </w:rPr>
        <w:t xml:space="preserve"> education</w:t>
      </w:r>
      <w:r w:rsidRPr="008F4E63" w:rsidR="00DB47C5">
        <w:rPr>
          <w:szCs w:val="24"/>
        </w:rPr>
        <w:t>al services</w:t>
      </w:r>
      <w:r w:rsidR="00444F3E">
        <w:rPr>
          <w:szCs w:val="24"/>
        </w:rPr>
        <w:t>,</w:t>
      </w:r>
      <w:r w:rsidRPr="008F4E63" w:rsidR="00311B73">
        <w:rPr>
          <w:szCs w:val="24"/>
        </w:rPr>
        <w:t xml:space="preserve"> </w:t>
      </w:r>
      <w:r w:rsidR="00782B73">
        <w:rPr>
          <w:szCs w:val="24"/>
        </w:rPr>
        <w:t>court services</w:t>
      </w:r>
      <w:r w:rsidR="00444F3E">
        <w:rPr>
          <w:szCs w:val="24"/>
        </w:rPr>
        <w:t>,</w:t>
      </w:r>
      <w:r w:rsidR="00311B73">
        <w:rPr>
          <w:szCs w:val="24"/>
        </w:rPr>
        <w:t xml:space="preserve"> </w:t>
      </w:r>
      <w:r w:rsidRPr="008F4E63">
        <w:rPr>
          <w:szCs w:val="24"/>
        </w:rPr>
        <w:t>police, fire</w:t>
      </w:r>
      <w:r w:rsidR="00782B73">
        <w:rPr>
          <w:szCs w:val="24"/>
        </w:rPr>
        <w:t xml:space="preserve">, </w:t>
      </w:r>
      <w:r w:rsidRPr="008F4E63" w:rsidR="00184927">
        <w:rPr>
          <w:szCs w:val="24"/>
        </w:rPr>
        <w:t>emergency medical</w:t>
      </w:r>
      <w:r w:rsidR="00782B73">
        <w:rPr>
          <w:szCs w:val="24"/>
        </w:rPr>
        <w:t>, and other public safety services</w:t>
      </w:r>
      <w:r w:rsidR="00444F3E">
        <w:rPr>
          <w:szCs w:val="24"/>
        </w:rPr>
        <w:t>,</w:t>
      </w:r>
      <w:r w:rsidR="00311B73">
        <w:rPr>
          <w:szCs w:val="24"/>
        </w:rPr>
        <w:t xml:space="preserve"> </w:t>
      </w:r>
      <w:r w:rsidRPr="008F4E63" w:rsidR="00184927">
        <w:rPr>
          <w:szCs w:val="24"/>
        </w:rPr>
        <w:t>utilities or sanitation services</w:t>
      </w:r>
      <w:r w:rsidR="00444F3E">
        <w:rPr>
          <w:szCs w:val="24"/>
        </w:rPr>
        <w:t>,</w:t>
      </w:r>
      <w:r w:rsidR="004B1730">
        <w:rPr>
          <w:szCs w:val="24"/>
        </w:rPr>
        <w:t xml:space="preserve"> </w:t>
      </w:r>
      <w:r w:rsidR="00311B73">
        <w:rPr>
          <w:szCs w:val="24"/>
        </w:rPr>
        <w:t xml:space="preserve">and </w:t>
      </w:r>
      <w:r w:rsidR="004B1730">
        <w:rPr>
          <w:szCs w:val="24"/>
        </w:rPr>
        <w:t>direct assistance to households (including cash assistance</w:t>
      </w:r>
      <w:r w:rsidR="004B1730">
        <w:rPr>
          <w:szCs w:val="24"/>
        </w:rPr>
        <w:t>)</w:t>
      </w:r>
      <w:r w:rsidR="00782B73">
        <w:rPr>
          <w:szCs w:val="24"/>
        </w:rPr>
        <w:t>;</w:t>
      </w:r>
      <w:r w:rsidRPr="008F4E63" w:rsidR="00184927">
        <w:rPr>
          <w:szCs w:val="24"/>
        </w:rPr>
        <w:t xml:space="preserve"> </w:t>
      </w:r>
    </w:p>
    <w:p w:rsidR="000D1A4E" w:rsidP="00305369" w14:paraId="2B67DDCA" w14:textId="23D27DD8">
      <w:pPr>
        <w:pStyle w:val="ListParagraph"/>
        <w:numPr>
          <w:ilvl w:val="0"/>
          <w:numId w:val="27"/>
        </w:numPr>
        <w:rPr>
          <w:szCs w:val="24"/>
        </w:rPr>
      </w:pPr>
      <w:r w:rsidRPr="008F4E63">
        <w:rPr>
          <w:szCs w:val="24"/>
        </w:rPr>
        <w:t>Capital expenditures</w:t>
      </w:r>
      <w:r w:rsidR="00782B73">
        <w:rPr>
          <w:szCs w:val="24"/>
        </w:rPr>
        <w:t xml:space="preserve"> </w:t>
      </w:r>
      <w:r w:rsidR="00673066">
        <w:rPr>
          <w:szCs w:val="24"/>
        </w:rPr>
        <w:t>o</w:t>
      </w:r>
      <w:r w:rsidR="00782B73">
        <w:rPr>
          <w:szCs w:val="24"/>
        </w:rPr>
        <w:t>n core facilities and equipment</w:t>
      </w:r>
      <w:r w:rsidRPr="008F4E63">
        <w:rPr>
          <w:szCs w:val="24"/>
        </w:rPr>
        <w:t xml:space="preserve">, </w:t>
      </w:r>
      <w:r w:rsidRPr="008F4E63" w:rsidR="006E5562">
        <w:rPr>
          <w:szCs w:val="24"/>
        </w:rPr>
        <w:t xml:space="preserve">including </w:t>
      </w:r>
      <w:r w:rsidR="00782B73">
        <w:rPr>
          <w:szCs w:val="24"/>
        </w:rPr>
        <w:t>in housing and community development</w:t>
      </w:r>
      <w:r w:rsidR="00955869">
        <w:rPr>
          <w:szCs w:val="24"/>
        </w:rPr>
        <w:t xml:space="preserve"> (e.g., schools, hospitals, childcare facilities, and </w:t>
      </w:r>
      <w:r w:rsidR="00782B73">
        <w:rPr>
          <w:szCs w:val="24"/>
        </w:rPr>
        <w:t>parks and recreation</w:t>
      </w:r>
      <w:r w:rsidR="00955869">
        <w:rPr>
          <w:szCs w:val="24"/>
        </w:rPr>
        <w:t xml:space="preserve"> facilities), public safety facilities and equipment (e.g., police vehicles), and </w:t>
      </w:r>
      <w:r w:rsidRPr="008F4E63" w:rsidR="00184927">
        <w:rPr>
          <w:szCs w:val="24"/>
        </w:rPr>
        <w:t xml:space="preserve">government administration </w:t>
      </w:r>
      <w:r w:rsidRPr="008F4E63" w:rsidR="00184927">
        <w:rPr>
          <w:szCs w:val="24"/>
        </w:rPr>
        <w:t>buildings</w:t>
      </w:r>
      <w:r w:rsidR="00955869">
        <w:rPr>
          <w:szCs w:val="24"/>
        </w:rPr>
        <w:t>;</w:t>
      </w:r>
    </w:p>
    <w:p w:rsidR="00184927" w:rsidP="00305369" w14:paraId="02205156" w14:textId="039EEAEF">
      <w:pPr>
        <w:pStyle w:val="ListParagraph"/>
        <w:numPr>
          <w:ilvl w:val="0"/>
          <w:numId w:val="27"/>
        </w:numPr>
        <w:rPr>
          <w:szCs w:val="24"/>
        </w:rPr>
      </w:pPr>
      <w:r>
        <w:rPr>
          <w:szCs w:val="24"/>
        </w:rPr>
        <w:t>Infrastructure investments</w:t>
      </w:r>
      <w:r w:rsidR="00782B73">
        <w:rPr>
          <w:szCs w:val="24"/>
        </w:rPr>
        <w:t xml:space="preserve">, </w:t>
      </w:r>
      <w:r w:rsidRPr="008F4E63">
        <w:rPr>
          <w:szCs w:val="24"/>
        </w:rPr>
        <w:t>including roads, bridges, water and sewer</w:t>
      </w:r>
      <w:r w:rsidR="00782B73">
        <w:rPr>
          <w:szCs w:val="24"/>
        </w:rPr>
        <w:t xml:space="preserve"> systems</w:t>
      </w:r>
      <w:r w:rsidRPr="008F4E63">
        <w:rPr>
          <w:szCs w:val="24"/>
        </w:rPr>
        <w:t>, utility</w:t>
      </w:r>
      <w:r w:rsidR="00782B73">
        <w:rPr>
          <w:szCs w:val="24"/>
        </w:rPr>
        <w:t xml:space="preserve"> systems</w:t>
      </w:r>
      <w:r w:rsidRPr="008F4E63">
        <w:rPr>
          <w:szCs w:val="24"/>
        </w:rPr>
        <w:t>, airports, public transit</w:t>
      </w:r>
      <w:r w:rsidR="00782B73">
        <w:rPr>
          <w:szCs w:val="24"/>
        </w:rPr>
        <w:t xml:space="preserve">, and technology </w:t>
      </w:r>
      <w:r w:rsidR="00782B73">
        <w:rPr>
          <w:szCs w:val="24"/>
        </w:rPr>
        <w:t>infrastructure</w:t>
      </w:r>
      <w:r w:rsidRPr="008F4E63" w:rsidR="00CD38B2">
        <w:rPr>
          <w:szCs w:val="24"/>
        </w:rPr>
        <w:t>;</w:t>
      </w:r>
    </w:p>
    <w:p w:rsidR="00536B83" w:rsidRPr="008F4E63" w:rsidP="00305369" w14:paraId="55B621CB" w14:textId="0AC449BC">
      <w:pPr>
        <w:pStyle w:val="ListParagraph"/>
        <w:numPr>
          <w:ilvl w:val="0"/>
          <w:numId w:val="27"/>
        </w:numPr>
        <w:rPr>
          <w:szCs w:val="24"/>
        </w:rPr>
      </w:pPr>
      <w:r w:rsidRPr="008F4E63">
        <w:rPr>
          <w:szCs w:val="24"/>
        </w:rPr>
        <w:t xml:space="preserve">Long-term economic development activities, </w:t>
      </w:r>
      <w:r w:rsidRPr="008F4E63" w:rsidR="00184927">
        <w:rPr>
          <w:szCs w:val="24"/>
        </w:rPr>
        <w:t>including</w:t>
      </w:r>
      <w:r w:rsidRPr="008F4E63" w:rsidR="00B92445">
        <w:rPr>
          <w:szCs w:val="24"/>
        </w:rPr>
        <w:t xml:space="preserve"> </w:t>
      </w:r>
      <w:r w:rsidR="00723B84">
        <w:rPr>
          <w:szCs w:val="24"/>
        </w:rPr>
        <w:t xml:space="preserve">affordable housing development, </w:t>
      </w:r>
      <w:r w:rsidRPr="008F4E63" w:rsidR="00B92445">
        <w:rPr>
          <w:szCs w:val="24"/>
        </w:rPr>
        <w:t xml:space="preserve">workforce development and other programs to strengthen local communities undergoing economic </w:t>
      </w:r>
      <w:r w:rsidRPr="008F4E63" w:rsidR="00B92445">
        <w:rPr>
          <w:szCs w:val="24"/>
        </w:rPr>
        <w:t>transitions</w:t>
      </w:r>
      <w:r w:rsidRPr="008F4E63" w:rsidR="00080060">
        <w:rPr>
          <w:szCs w:val="24"/>
        </w:rPr>
        <w:t>;</w:t>
      </w:r>
      <w:r w:rsidRPr="008F4E63" w:rsidR="00080060">
        <w:rPr>
          <w:szCs w:val="24"/>
        </w:rPr>
        <w:t xml:space="preserve"> </w:t>
      </w:r>
    </w:p>
    <w:p w:rsidR="00013563" w:rsidRPr="008F4E63" w:rsidP="00305369" w14:paraId="22E1F502" w14:textId="40C6AF1D">
      <w:pPr>
        <w:pStyle w:val="ListParagraph"/>
        <w:numPr>
          <w:ilvl w:val="0"/>
          <w:numId w:val="27"/>
        </w:numPr>
        <w:rPr>
          <w:szCs w:val="24"/>
        </w:rPr>
      </w:pPr>
      <w:r w:rsidRPr="008F4E63">
        <w:rPr>
          <w:szCs w:val="24"/>
        </w:rPr>
        <w:t xml:space="preserve">General government </w:t>
      </w:r>
      <w:r w:rsidR="00782B73">
        <w:rPr>
          <w:szCs w:val="24"/>
        </w:rPr>
        <w:t>operations</w:t>
      </w:r>
      <w:r w:rsidRPr="008F4E63" w:rsidR="00CF3EF0">
        <w:rPr>
          <w:szCs w:val="24"/>
        </w:rPr>
        <w:t xml:space="preserve">, such as general government administration, </w:t>
      </w:r>
      <w:r w:rsidRPr="008F4E63" w:rsidR="00184927">
        <w:rPr>
          <w:szCs w:val="24"/>
        </w:rPr>
        <w:t>personnel costs</w:t>
      </w:r>
      <w:r w:rsidRPr="008F4E63" w:rsidR="00CF3EF0">
        <w:rPr>
          <w:szCs w:val="24"/>
        </w:rPr>
        <w:t>, administrative facilities</w:t>
      </w:r>
      <w:r w:rsidRPr="008F4E63" w:rsidR="00184927">
        <w:rPr>
          <w:szCs w:val="24"/>
        </w:rPr>
        <w:t>, record keeping, tax assessments, or election administration</w:t>
      </w:r>
      <w:r w:rsidRPr="008F4E63">
        <w:rPr>
          <w:szCs w:val="24"/>
        </w:rPr>
        <w:t xml:space="preserve">; and </w:t>
      </w:r>
    </w:p>
    <w:p w:rsidR="00536B83" w:rsidRPr="008F4E63" w:rsidP="00305369" w14:paraId="653E6112" w14:textId="3BAED4CD">
      <w:pPr>
        <w:pStyle w:val="ListParagraph"/>
        <w:numPr>
          <w:ilvl w:val="0"/>
          <w:numId w:val="27"/>
        </w:numPr>
        <w:rPr>
          <w:szCs w:val="24"/>
        </w:rPr>
      </w:pPr>
      <w:r>
        <w:rPr>
          <w:szCs w:val="24"/>
        </w:rPr>
        <w:t>M</w:t>
      </w:r>
      <w:r w:rsidRPr="008F4E63" w:rsidR="00013563">
        <w:rPr>
          <w:szCs w:val="24"/>
        </w:rPr>
        <w:t>eet</w:t>
      </w:r>
      <w:r>
        <w:rPr>
          <w:szCs w:val="24"/>
        </w:rPr>
        <w:t>ing</w:t>
      </w:r>
      <w:r w:rsidRPr="008F4E63" w:rsidR="00013563">
        <w:rPr>
          <w:szCs w:val="24"/>
        </w:rPr>
        <w:t xml:space="preserve"> another federal program’s non-federal match or cost-sharing requirements</w:t>
      </w:r>
      <w:r w:rsidRPr="008F4E63" w:rsidR="00CF4592">
        <w:rPr>
          <w:szCs w:val="24"/>
        </w:rPr>
        <w:t xml:space="preserve">, unless </w:t>
      </w:r>
      <w:r w:rsidRPr="008F4E63" w:rsidR="00CF4592">
        <w:rPr>
          <w:szCs w:val="24"/>
        </w:rPr>
        <w:t>barred by statute or other applicable law</w:t>
      </w:r>
      <w:r w:rsidR="00A01906">
        <w:rPr>
          <w:szCs w:val="24"/>
        </w:rPr>
        <w:t xml:space="preserve"> (as detailed further in this guidance)</w:t>
      </w:r>
      <w:r w:rsidRPr="008F4E63" w:rsidR="00013563">
        <w:rPr>
          <w:szCs w:val="24"/>
        </w:rPr>
        <w:t>.</w:t>
      </w:r>
    </w:p>
    <w:p w:rsidR="0015436A" w:rsidRPr="008F4E63" w:rsidP="005A51AA" w14:paraId="65952951" w14:textId="7BA2F610">
      <w:pPr>
        <w:rPr>
          <w:szCs w:val="24"/>
        </w:rPr>
      </w:pPr>
    </w:p>
    <w:p w:rsidR="001A4A82" w:rsidRPr="008F4E63" w:rsidP="005A51AA" w14:paraId="35C6C2E4" w14:textId="38A0973D">
      <w:pPr>
        <w:rPr>
          <w:szCs w:val="24"/>
        </w:rPr>
      </w:pPr>
      <w:r w:rsidRPr="008F4E63">
        <w:rPr>
          <w:szCs w:val="24"/>
        </w:rPr>
        <w:t>F</w:t>
      </w:r>
      <w:r w:rsidRPr="008F4E63">
        <w:rPr>
          <w:szCs w:val="24"/>
        </w:rPr>
        <w:t>ederal Davis-Bacon Act prevailing wage rate requirements do not apply to projects funded solely by the LATCF</w:t>
      </w:r>
      <w:r w:rsidRPr="008F4E63">
        <w:rPr>
          <w:szCs w:val="24"/>
        </w:rPr>
        <w:t xml:space="preserve"> except for LATCF-funded construction projects undertaken by the District of Columbia.</w:t>
      </w:r>
      <w:r>
        <w:rPr>
          <w:rStyle w:val="FootnoteReference"/>
          <w:szCs w:val="24"/>
        </w:rPr>
        <w:footnoteReference w:id="3"/>
      </w:r>
      <w:r w:rsidRPr="008F4E63" w:rsidR="00B92445">
        <w:rPr>
          <w:szCs w:val="24"/>
        </w:rPr>
        <w:t xml:space="preserve"> </w:t>
      </w:r>
      <w:r w:rsidRPr="008F4E63" w:rsidR="008C4547">
        <w:rPr>
          <w:szCs w:val="24"/>
        </w:rPr>
        <w:t xml:space="preserve">Further, </w:t>
      </w:r>
      <w:r w:rsidRPr="008F4E63" w:rsidR="00815FBD">
        <w:rPr>
          <w:szCs w:val="24"/>
        </w:rPr>
        <w:t xml:space="preserve">generally, </w:t>
      </w:r>
      <w:r w:rsidR="00E26AC6">
        <w:rPr>
          <w:szCs w:val="24"/>
        </w:rPr>
        <w:t xml:space="preserve">receipt of LATCF funding does not trigger the </w:t>
      </w:r>
      <w:r w:rsidRPr="008F4E63" w:rsidR="00815FBD">
        <w:rPr>
          <w:szCs w:val="24"/>
        </w:rPr>
        <w:t>National Environmental Policy Act</w:t>
      </w:r>
      <w:r w:rsidR="0055769D">
        <w:rPr>
          <w:szCs w:val="24"/>
        </w:rPr>
        <w:t xml:space="preserve"> (NEPA)</w:t>
      </w:r>
      <w:r w:rsidRPr="008F4E63" w:rsidR="000C77F5">
        <w:rPr>
          <w:szCs w:val="24"/>
        </w:rPr>
        <w:t>,</w:t>
      </w:r>
      <w:r>
        <w:rPr>
          <w:rStyle w:val="FootnoteReference"/>
          <w:szCs w:val="24"/>
        </w:rPr>
        <w:footnoteReference w:id="4"/>
      </w:r>
      <w:r w:rsidRPr="008F4E63" w:rsidR="000C77F5">
        <w:rPr>
          <w:szCs w:val="24"/>
        </w:rPr>
        <w:t xml:space="preserve"> although recipients must ensure compliance with all applicable federal environmental laws. </w:t>
      </w:r>
    </w:p>
    <w:p w:rsidR="001A4A82" w:rsidRPr="008F4E63" w:rsidP="005A51AA" w14:paraId="2A7733A8" w14:textId="77777777">
      <w:pPr>
        <w:rPr>
          <w:szCs w:val="24"/>
        </w:rPr>
      </w:pPr>
    </w:p>
    <w:p w:rsidR="003727C7" w:rsidRPr="008F4E63" w:rsidP="003727C7" w14:paraId="367F4AEC" w14:textId="4977BEC0">
      <w:pPr>
        <w:pStyle w:val="Heading3"/>
        <w:rPr>
          <w:rFonts w:ascii="Times New Roman" w:hAnsi="Times New Roman" w:cs="Times New Roman"/>
        </w:rPr>
      </w:pPr>
      <w:r w:rsidRPr="008F4E63">
        <w:rPr>
          <w:rFonts w:ascii="Times New Roman" w:hAnsi="Times New Roman" w:cs="Times New Roman"/>
        </w:rPr>
        <w:t>Ineligible Uses</w:t>
      </w:r>
    </w:p>
    <w:p w:rsidR="000C4B93" w:rsidRPr="008F4E63" w:rsidP="003727C7" w14:paraId="6EADF4FB" w14:textId="4C532EAB">
      <w:pPr>
        <w:rPr>
          <w:szCs w:val="24"/>
        </w:rPr>
      </w:pPr>
      <w:r>
        <w:rPr>
          <w:szCs w:val="24"/>
        </w:rPr>
        <w:t xml:space="preserve">Recipients may not use </w:t>
      </w:r>
      <w:r w:rsidR="00AE4D48">
        <w:rPr>
          <w:szCs w:val="24"/>
        </w:rPr>
        <w:t>f</w:t>
      </w:r>
      <w:r w:rsidRPr="008F4E63" w:rsidR="007F032F">
        <w:rPr>
          <w:szCs w:val="24"/>
        </w:rPr>
        <w:t xml:space="preserve">ederal funds </w:t>
      </w:r>
      <w:r>
        <w:rPr>
          <w:szCs w:val="24"/>
        </w:rPr>
        <w:t xml:space="preserve">to </w:t>
      </w:r>
      <w:r w:rsidRPr="00F05043" w:rsidR="00F05043">
        <w:rPr>
          <w:szCs w:val="24"/>
        </w:rPr>
        <w:t>directly or indirectly pay for any personal service, advertisement, telegram, telephone, letter, printed or written matter, or other device, intended or designed to influence in any manner a Member of Congress, a jurisdiction, or an official of any government, to favor, adopt, or oppose, by vote or otherwise, any legislation, law, ratification, policy, or appropriation, whether before or after the introduction of any bill, measure, or resolution proposing such legislation, law, ratification, policy, or appropriation</w:t>
      </w:r>
      <w:r w:rsidR="00F845CC">
        <w:rPr>
          <w:szCs w:val="24"/>
        </w:rPr>
        <w:t>.</w:t>
      </w:r>
      <w:r w:rsidRPr="008F4E63" w:rsidR="007F032F">
        <w:rPr>
          <w:szCs w:val="24"/>
        </w:rPr>
        <w:t xml:space="preserve"> </w:t>
      </w:r>
      <w:r w:rsidRPr="008F4E63" w:rsidR="00A2377C">
        <w:rPr>
          <w:szCs w:val="24"/>
        </w:rPr>
        <w:t xml:space="preserve">Amounts that are used in violation of </w:t>
      </w:r>
      <w:r w:rsidR="003D550E">
        <w:rPr>
          <w:szCs w:val="24"/>
        </w:rPr>
        <w:t xml:space="preserve">the </w:t>
      </w:r>
      <w:r w:rsidRPr="008F4E63" w:rsidR="00A2377C">
        <w:rPr>
          <w:szCs w:val="24"/>
        </w:rPr>
        <w:t xml:space="preserve">lobbying </w:t>
      </w:r>
      <w:r w:rsidR="003D550E">
        <w:rPr>
          <w:szCs w:val="24"/>
        </w:rPr>
        <w:t xml:space="preserve">restriction set forth in this guidance </w:t>
      </w:r>
      <w:r w:rsidRPr="008F4E63" w:rsidR="00A2377C">
        <w:rPr>
          <w:szCs w:val="24"/>
        </w:rPr>
        <w:t>may be subject to recoupment.</w:t>
      </w:r>
    </w:p>
    <w:p w:rsidR="00D361A6" w:rsidP="003727C7" w14:paraId="6F7DE9BA" w14:textId="77777777">
      <w:pPr>
        <w:rPr>
          <w:szCs w:val="24"/>
        </w:rPr>
      </w:pPr>
    </w:p>
    <w:p w:rsidR="00BD60AF" w:rsidRPr="00BD60AF" w:rsidP="00BD60AF" w14:paraId="287AAE52" w14:textId="3F7E49C7">
      <w:pPr>
        <w:pStyle w:val="Heading3"/>
        <w:rPr>
          <w:rFonts w:ascii="Times New Roman" w:hAnsi="Times New Roman" w:cs="Times New Roman"/>
        </w:rPr>
      </w:pPr>
      <w:r>
        <w:rPr>
          <w:rFonts w:ascii="Times New Roman" w:hAnsi="Times New Roman" w:cs="Times New Roman"/>
        </w:rPr>
        <w:t xml:space="preserve">Compliance with </w:t>
      </w:r>
      <w:r w:rsidRPr="003C737B">
        <w:rPr>
          <w:rFonts w:ascii="Times New Roman" w:hAnsi="Times New Roman" w:cs="Times New Roman"/>
        </w:rPr>
        <w:t>financial management, procurement, and conflicts of interest</w:t>
      </w:r>
      <w:r>
        <w:rPr>
          <w:rFonts w:ascii="Times New Roman" w:hAnsi="Times New Roman" w:cs="Times New Roman"/>
        </w:rPr>
        <w:t xml:space="preserve"> standards</w:t>
      </w:r>
    </w:p>
    <w:p w:rsidR="009E398E" w:rsidRPr="00BD60AF" w:rsidP="00BD60AF" w14:paraId="0F4070C6" w14:textId="3F3BAE9D">
      <w:pPr>
        <w:widowControl/>
        <w:autoSpaceDE/>
        <w:autoSpaceDN/>
        <w:spacing w:after="160" w:line="259" w:lineRule="auto"/>
        <w:contextualSpacing/>
        <w:rPr>
          <w:bCs/>
          <w:szCs w:val="24"/>
        </w:rPr>
      </w:pPr>
      <w:r w:rsidRPr="00BD60AF">
        <w:rPr>
          <w:bCs/>
          <w:szCs w:val="24"/>
        </w:rPr>
        <w:t xml:space="preserve">Recipients must expend and account for the LATCF funds in accordance with the </w:t>
      </w:r>
      <w:r w:rsidRPr="00BD60AF">
        <w:rPr>
          <w:szCs w:val="24"/>
        </w:rPr>
        <w:t>financial management, procurement, and conflicts of interest standards</w:t>
      </w:r>
      <w:r w:rsidR="00BD60AF">
        <w:rPr>
          <w:szCs w:val="24"/>
        </w:rPr>
        <w:t>,</w:t>
      </w:r>
      <w:r w:rsidRPr="00BD60AF">
        <w:rPr>
          <w:bCs/>
          <w:szCs w:val="24"/>
        </w:rPr>
        <w:t xml:space="preserve"> laws, policies, and procedures applicable to their expenditure of and accounting for their own funds. </w:t>
      </w:r>
      <w:r w:rsidRPr="008F4E63" w:rsidR="004275F2">
        <w:rPr>
          <w:szCs w:val="24"/>
        </w:rPr>
        <w:t xml:space="preserve"> </w:t>
      </w:r>
      <w:r w:rsidR="00BE5A68">
        <w:rPr>
          <w:szCs w:val="24"/>
        </w:rPr>
        <w:t xml:space="preserve">Treasury will monitor violations of </w:t>
      </w:r>
      <w:r w:rsidRPr="00BD60AF" w:rsidR="00BE5A68">
        <w:rPr>
          <w:szCs w:val="24"/>
        </w:rPr>
        <w:t>th</w:t>
      </w:r>
      <w:r w:rsidRPr="00BD60AF">
        <w:rPr>
          <w:szCs w:val="24"/>
        </w:rPr>
        <w:t>is</w:t>
      </w:r>
      <w:r w:rsidR="00BE5A68">
        <w:rPr>
          <w:szCs w:val="24"/>
        </w:rPr>
        <w:t xml:space="preserve"> </w:t>
      </w:r>
      <w:r w:rsidRPr="00BD60AF">
        <w:rPr>
          <w:szCs w:val="24"/>
        </w:rPr>
        <w:t xml:space="preserve">requirement </w:t>
      </w:r>
      <w:r w:rsidR="00BE5A68">
        <w:rPr>
          <w:szCs w:val="24"/>
        </w:rPr>
        <w:t>through reporting and other sources.</w:t>
      </w:r>
      <w:r w:rsidRPr="008F4E63" w:rsidR="00BE5A68">
        <w:rPr>
          <w:szCs w:val="24"/>
        </w:rPr>
        <w:t xml:space="preserve"> </w:t>
      </w:r>
      <w:r w:rsidRPr="00BD60AF">
        <w:rPr>
          <w:szCs w:val="24"/>
        </w:rPr>
        <w:t xml:space="preserve"> </w:t>
      </w:r>
      <w:r w:rsidR="008E46B1">
        <w:rPr>
          <w:szCs w:val="24"/>
        </w:rPr>
        <w:t xml:space="preserve">Recipients should also review the </w:t>
      </w:r>
      <w:r w:rsidRPr="008E46B1" w:rsidR="008E46B1">
        <w:rPr>
          <w:szCs w:val="24"/>
        </w:rPr>
        <w:t xml:space="preserve">Buy America </w:t>
      </w:r>
      <w:r w:rsidR="008E46B1">
        <w:rPr>
          <w:szCs w:val="24"/>
        </w:rPr>
        <w:t>d</w:t>
      </w:r>
      <w:r w:rsidRPr="008E46B1" w:rsidR="008E46B1">
        <w:rPr>
          <w:szCs w:val="24"/>
        </w:rPr>
        <w:t xml:space="preserve">omestic </w:t>
      </w:r>
      <w:r w:rsidR="008E46B1">
        <w:rPr>
          <w:szCs w:val="24"/>
        </w:rPr>
        <w:t>c</w:t>
      </w:r>
      <w:r w:rsidRPr="008E46B1" w:rsidR="008E46B1">
        <w:rPr>
          <w:szCs w:val="24"/>
        </w:rPr>
        <w:t xml:space="preserve">ontent </w:t>
      </w:r>
      <w:r w:rsidR="008E46B1">
        <w:rPr>
          <w:szCs w:val="24"/>
        </w:rPr>
        <w:t>p</w:t>
      </w:r>
      <w:r w:rsidRPr="008E46B1" w:rsidR="008E46B1">
        <w:rPr>
          <w:szCs w:val="24"/>
        </w:rPr>
        <w:t xml:space="preserve">rocurement </w:t>
      </w:r>
      <w:r w:rsidR="008E46B1">
        <w:rPr>
          <w:szCs w:val="24"/>
        </w:rPr>
        <w:t>p</w:t>
      </w:r>
      <w:r w:rsidRPr="008E46B1" w:rsidR="008E46B1">
        <w:rPr>
          <w:szCs w:val="24"/>
        </w:rPr>
        <w:t>reference</w:t>
      </w:r>
      <w:r w:rsidR="008E46B1">
        <w:rPr>
          <w:szCs w:val="24"/>
        </w:rPr>
        <w:t xml:space="preserve"> requirements, below.</w:t>
      </w:r>
    </w:p>
    <w:p w:rsidR="003727C7" w:rsidRPr="008F4E63" w:rsidP="00BE5A68" w14:paraId="19A3D946" w14:textId="3633261C">
      <w:pPr>
        <w:rPr>
          <w:szCs w:val="24"/>
        </w:rPr>
      </w:pPr>
    </w:p>
    <w:p w:rsidR="003727C7" w:rsidRPr="000B7984" w:rsidP="003727C7" w14:paraId="36FF9E0B" w14:textId="3ADC3FAD">
      <w:pPr>
        <w:pStyle w:val="Heading2"/>
        <w:rPr>
          <w:rFonts w:ascii="Times New Roman" w:hAnsi="Times New Roman" w:cs="Times New Roman"/>
          <w:szCs w:val="24"/>
        </w:rPr>
      </w:pPr>
      <w:bookmarkStart w:id="25" w:name="_Toc79589844"/>
      <w:bookmarkStart w:id="26" w:name="_Toc79598572"/>
      <w:bookmarkStart w:id="27" w:name="_Toc80900048"/>
      <w:bookmarkStart w:id="28" w:name="_Toc82542691"/>
      <w:r w:rsidRPr="000B7984">
        <w:rPr>
          <w:rFonts w:ascii="Times New Roman" w:hAnsi="Times New Roman" w:cs="Times New Roman"/>
          <w:szCs w:val="24"/>
        </w:rPr>
        <w:t>ELIGIBLE AND INELIGIBLE COSTS</w:t>
      </w:r>
      <w:bookmarkEnd w:id="25"/>
      <w:bookmarkEnd w:id="26"/>
      <w:bookmarkEnd w:id="27"/>
      <w:bookmarkEnd w:id="28"/>
    </w:p>
    <w:p w:rsidR="00D34084" w:rsidRPr="000B7984" w:rsidP="005D4BBD" w14:paraId="7E48D0E9" w14:textId="66A48C48">
      <w:pPr>
        <w:rPr>
          <w:szCs w:val="24"/>
        </w:rPr>
      </w:pPr>
      <w:r w:rsidRPr="000B7984">
        <w:rPr>
          <w:szCs w:val="24"/>
        </w:rPr>
        <w:t xml:space="preserve">As a general matter, recipients may use funds to cover costs incurred on </w:t>
      </w:r>
      <w:r w:rsidRPr="000B7984" w:rsidR="00517BA5">
        <w:rPr>
          <w:szCs w:val="24"/>
        </w:rPr>
        <w:t>any eligible</w:t>
      </w:r>
      <w:r w:rsidRPr="000B7984">
        <w:rPr>
          <w:szCs w:val="24"/>
        </w:rPr>
        <w:t xml:space="preserve"> use</w:t>
      </w:r>
      <w:r w:rsidRPr="000B7984" w:rsidR="00191053">
        <w:rPr>
          <w:szCs w:val="24"/>
        </w:rPr>
        <w:t>, including costs incurred from March 15, 2021</w:t>
      </w:r>
      <w:r w:rsidRPr="000B7984">
        <w:rPr>
          <w:szCs w:val="24"/>
        </w:rPr>
        <w:t xml:space="preserve">. </w:t>
      </w:r>
      <w:r w:rsidRPr="000B7984" w:rsidR="00FD548F">
        <w:rPr>
          <w:szCs w:val="24"/>
        </w:rPr>
        <w:t xml:space="preserve">Recipients may use funds </w:t>
      </w:r>
      <w:r w:rsidRPr="000B7984" w:rsidR="00727F31">
        <w:rPr>
          <w:szCs w:val="24"/>
        </w:rPr>
        <w:t>to cover costs of</w:t>
      </w:r>
      <w:r w:rsidRPr="000B7984" w:rsidR="00FD548F">
        <w:rPr>
          <w:szCs w:val="24"/>
        </w:rPr>
        <w:t xml:space="preserve"> administering the LATCF program, including costs of consultants to support effective management and oversight</w:t>
      </w:r>
      <w:r w:rsidRPr="000B7984" w:rsidR="00517BA5">
        <w:rPr>
          <w:szCs w:val="24"/>
        </w:rPr>
        <w:t xml:space="preserve"> as well as </w:t>
      </w:r>
      <w:r w:rsidRPr="000B7984" w:rsidR="00FD548F">
        <w:rPr>
          <w:szCs w:val="24"/>
        </w:rPr>
        <w:t xml:space="preserve">compliance with legal, regulatory, and other requirements. </w:t>
      </w:r>
    </w:p>
    <w:p w:rsidR="00D34084" w:rsidRPr="000B7984" w:rsidP="000B7984" w14:paraId="559A4080" w14:textId="175D8032">
      <w:pPr>
        <w:pStyle w:val="Heading2"/>
        <w:rPr>
          <w:rFonts w:ascii="Times New Roman" w:hAnsi="Times New Roman" w:cs="Times New Roman"/>
          <w:szCs w:val="24"/>
        </w:rPr>
      </w:pPr>
      <w:r w:rsidRPr="000B7984">
        <w:rPr>
          <w:rFonts w:ascii="Times New Roman" w:hAnsi="Times New Roman" w:cs="Times New Roman"/>
          <w:szCs w:val="24"/>
        </w:rPr>
        <w:t xml:space="preserve">TRANSFERS </w:t>
      </w:r>
    </w:p>
    <w:p w:rsidR="00D34084" w:rsidRPr="008F4E63" w:rsidP="00D34084" w14:paraId="19A95A1A" w14:textId="5B1A6B48">
      <w:pPr>
        <w:rPr>
          <w:szCs w:val="24"/>
        </w:rPr>
      </w:pPr>
      <w:r w:rsidRPr="000B7984">
        <w:rPr>
          <w:szCs w:val="24"/>
        </w:rPr>
        <w:t xml:space="preserve">Recipients may </w:t>
      </w:r>
      <w:r w:rsidRPr="000B7984" w:rsidR="005E4BE7">
        <w:rPr>
          <w:szCs w:val="24"/>
        </w:rPr>
        <w:t xml:space="preserve">transfer to and </w:t>
      </w:r>
      <w:r w:rsidRPr="000B7984">
        <w:rPr>
          <w:szCs w:val="24"/>
        </w:rPr>
        <w:t xml:space="preserve">pool LATCF funds </w:t>
      </w:r>
      <w:r w:rsidRPr="000B7984" w:rsidR="005E4BE7">
        <w:rPr>
          <w:szCs w:val="24"/>
        </w:rPr>
        <w:t xml:space="preserve">with other entities </w:t>
      </w:r>
      <w:r w:rsidRPr="000B7984">
        <w:rPr>
          <w:szCs w:val="24"/>
        </w:rPr>
        <w:t xml:space="preserve">for projects, provided that recipients are able to track use of the funds in line with the reporting and compliance requirements of the LATCF. As an example, neighboring counties </w:t>
      </w:r>
      <w:r w:rsidRPr="000B7984" w:rsidR="00FA6B4B">
        <w:rPr>
          <w:szCs w:val="24"/>
        </w:rPr>
        <w:t xml:space="preserve">may </w:t>
      </w:r>
      <w:r w:rsidRPr="000B7984">
        <w:rPr>
          <w:szCs w:val="24"/>
        </w:rPr>
        <w:t>pool funds in order to invest in a regional infrastructure project. Further, recipients</w:t>
      </w:r>
      <w:r w:rsidRPr="008F4E63">
        <w:rPr>
          <w:szCs w:val="24"/>
        </w:rPr>
        <w:t xml:space="preserve"> may fund a project with both LATCF funds and other sources of funding, provided that the project is an eligible use under each source program and </w:t>
      </w:r>
      <w:r w:rsidR="00F2270A">
        <w:rPr>
          <w:szCs w:val="24"/>
        </w:rPr>
        <w:t xml:space="preserve">recipients </w:t>
      </w:r>
      <w:r w:rsidRPr="008F4E63">
        <w:rPr>
          <w:szCs w:val="24"/>
        </w:rPr>
        <w:t>are compliant with all other related statutory and regulatory requirements and policies</w:t>
      </w:r>
      <w:r>
        <w:rPr>
          <w:szCs w:val="24"/>
        </w:rPr>
        <w:t>.</w:t>
      </w:r>
    </w:p>
    <w:p w:rsidR="00D34084" w:rsidRPr="008F4E63" w:rsidP="00D34084" w14:paraId="10F244A1" w14:textId="77777777">
      <w:pPr>
        <w:rPr>
          <w:szCs w:val="24"/>
        </w:rPr>
      </w:pPr>
    </w:p>
    <w:p w:rsidR="00D34084" w:rsidRPr="008F4E63" w:rsidP="005D4BBD" w14:paraId="3BB6D252" w14:textId="1C4F1067">
      <w:pPr>
        <w:rPr>
          <w:szCs w:val="24"/>
        </w:rPr>
      </w:pPr>
      <w:r w:rsidRPr="008F4E63">
        <w:rPr>
          <w:szCs w:val="24"/>
        </w:rPr>
        <w:t xml:space="preserve">Transfers under this program do not give rise to </w:t>
      </w:r>
      <w:r w:rsidR="00506204">
        <w:rPr>
          <w:szCs w:val="24"/>
        </w:rPr>
        <w:t xml:space="preserve">subrecipient </w:t>
      </w:r>
      <w:r w:rsidRPr="008F4E63">
        <w:rPr>
          <w:szCs w:val="24"/>
        </w:rPr>
        <w:t>relationship</w:t>
      </w:r>
      <w:r w:rsidR="00506204">
        <w:rPr>
          <w:szCs w:val="24"/>
        </w:rPr>
        <w:t>s</w:t>
      </w:r>
      <w:r w:rsidRPr="008F4E63">
        <w:rPr>
          <w:szCs w:val="24"/>
        </w:rPr>
        <w:t xml:space="preserve"> given the purpose of the award. As a result, recipients do not need to comply with subrecipient monitoring </w:t>
      </w:r>
      <w:r w:rsidR="00EC59F7">
        <w:rPr>
          <w:szCs w:val="24"/>
        </w:rPr>
        <w:t>or</w:t>
      </w:r>
      <w:r w:rsidRPr="008F4E63" w:rsidR="00EC59F7">
        <w:rPr>
          <w:szCs w:val="24"/>
        </w:rPr>
        <w:t xml:space="preserve"> </w:t>
      </w:r>
      <w:r w:rsidRPr="008F4E63">
        <w:rPr>
          <w:szCs w:val="24"/>
        </w:rPr>
        <w:t>oversight requirements outlined in the Uniform Guidance at 2 C</w:t>
      </w:r>
      <w:r w:rsidR="004B1730">
        <w:rPr>
          <w:szCs w:val="24"/>
        </w:rPr>
        <w:t>.</w:t>
      </w:r>
      <w:r w:rsidR="00506204">
        <w:rPr>
          <w:szCs w:val="24"/>
        </w:rPr>
        <w:t>F</w:t>
      </w:r>
      <w:r w:rsidR="004B1730">
        <w:rPr>
          <w:szCs w:val="24"/>
        </w:rPr>
        <w:t>.</w:t>
      </w:r>
      <w:r w:rsidR="00506204">
        <w:rPr>
          <w:szCs w:val="24"/>
        </w:rPr>
        <w:t>R</w:t>
      </w:r>
      <w:r w:rsidR="004B1730">
        <w:rPr>
          <w:szCs w:val="24"/>
        </w:rPr>
        <w:t>.</w:t>
      </w:r>
      <w:r w:rsidRPr="008F4E63">
        <w:rPr>
          <w:szCs w:val="24"/>
        </w:rPr>
        <w:t xml:space="preserve"> </w:t>
      </w:r>
      <w:r w:rsidR="00EC59F7">
        <w:rPr>
          <w:szCs w:val="24"/>
        </w:rPr>
        <w:t xml:space="preserve">§ </w:t>
      </w:r>
      <w:r w:rsidRPr="008F4E63">
        <w:rPr>
          <w:szCs w:val="24"/>
        </w:rPr>
        <w:t>200.33</w:t>
      </w:r>
      <w:r w:rsidR="00506218">
        <w:rPr>
          <w:szCs w:val="24"/>
        </w:rPr>
        <w:t>1</w:t>
      </w:r>
      <w:r w:rsidRPr="008F4E63">
        <w:rPr>
          <w:szCs w:val="24"/>
        </w:rPr>
        <w:t xml:space="preserve"> through </w:t>
      </w:r>
      <w:r w:rsidR="00EC59F7">
        <w:rPr>
          <w:szCs w:val="24"/>
        </w:rPr>
        <w:t xml:space="preserve">§ </w:t>
      </w:r>
      <w:r w:rsidRPr="008F4E63">
        <w:rPr>
          <w:szCs w:val="24"/>
        </w:rPr>
        <w:t>200.332.</w:t>
      </w:r>
      <w:r w:rsidR="00506204">
        <w:rPr>
          <w:szCs w:val="24"/>
        </w:rPr>
        <w:t xml:space="preserve"> Further, no subrecipient reporting under 2 C</w:t>
      </w:r>
      <w:r w:rsidR="004B1730">
        <w:rPr>
          <w:szCs w:val="24"/>
        </w:rPr>
        <w:t>.</w:t>
      </w:r>
      <w:r w:rsidR="00506204">
        <w:rPr>
          <w:szCs w:val="24"/>
        </w:rPr>
        <w:t>F</w:t>
      </w:r>
      <w:r w:rsidR="004B1730">
        <w:rPr>
          <w:szCs w:val="24"/>
        </w:rPr>
        <w:t>.</w:t>
      </w:r>
      <w:r w:rsidR="00506204">
        <w:rPr>
          <w:szCs w:val="24"/>
        </w:rPr>
        <w:t>R</w:t>
      </w:r>
      <w:r w:rsidR="004B1730">
        <w:rPr>
          <w:szCs w:val="24"/>
        </w:rPr>
        <w:t>.</w:t>
      </w:r>
      <w:r w:rsidR="00506204">
        <w:rPr>
          <w:szCs w:val="24"/>
        </w:rPr>
        <w:t xml:space="preserve"> Part 170 will be required for this program, although recipients meeting </w:t>
      </w:r>
      <w:r w:rsidR="00F2270A">
        <w:rPr>
          <w:szCs w:val="24"/>
        </w:rPr>
        <w:t xml:space="preserve">the </w:t>
      </w:r>
      <w:r w:rsidR="00506204">
        <w:rPr>
          <w:szCs w:val="24"/>
        </w:rPr>
        <w:t>applicable threshold</w:t>
      </w:r>
      <w:r w:rsidR="004B1730">
        <w:rPr>
          <w:szCs w:val="24"/>
        </w:rPr>
        <w:t>s</w:t>
      </w:r>
      <w:r w:rsidR="00506204">
        <w:rPr>
          <w:szCs w:val="24"/>
        </w:rPr>
        <w:t xml:space="preserve"> will still be required to report on executive compensation pursuant to 2 C</w:t>
      </w:r>
      <w:r w:rsidR="004B1730">
        <w:rPr>
          <w:szCs w:val="24"/>
        </w:rPr>
        <w:t>.</w:t>
      </w:r>
      <w:r w:rsidR="00506204">
        <w:rPr>
          <w:szCs w:val="24"/>
        </w:rPr>
        <w:t>F</w:t>
      </w:r>
      <w:r w:rsidR="004B1730">
        <w:rPr>
          <w:szCs w:val="24"/>
        </w:rPr>
        <w:t>.</w:t>
      </w:r>
      <w:r w:rsidR="00506204">
        <w:rPr>
          <w:szCs w:val="24"/>
        </w:rPr>
        <w:t>R</w:t>
      </w:r>
      <w:r w:rsidR="004B1730">
        <w:rPr>
          <w:szCs w:val="24"/>
        </w:rPr>
        <w:t>.</w:t>
      </w:r>
      <w:r w:rsidR="00506204">
        <w:rPr>
          <w:szCs w:val="24"/>
        </w:rPr>
        <w:t xml:space="preserve"> Part 170.</w:t>
      </w:r>
    </w:p>
    <w:p w:rsidR="005D4BBD" w:rsidRPr="008F4E63" w:rsidP="005D4BBD" w14:paraId="07FF1C10" w14:textId="77777777">
      <w:pPr>
        <w:pStyle w:val="Heading2"/>
        <w:rPr>
          <w:rFonts w:ascii="Times New Roman" w:hAnsi="Times New Roman" w:cs="Times New Roman"/>
          <w:szCs w:val="24"/>
        </w:rPr>
      </w:pPr>
      <w:bookmarkStart w:id="29" w:name="_Toc79589845"/>
      <w:bookmarkStart w:id="30" w:name="_Toc79598575"/>
      <w:bookmarkStart w:id="31" w:name="_Toc80900051"/>
      <w:bookmarkStart w:id="32" w:name="_Toc82542696"/>
      <w:r w:rsidRPr="008F4E63">
        <w:rPr>
          <w:rFonts w:ascii="Times New Roman" w:hAnsi="Times New Roman" w:cs="Times New Roman"/>
          <w:szCs w:val="24"/>
        </w:rPr>
        <w:t>NON-FEDERAL MATCH OR COST-SHARE REQUIREMENTS</w:t>
      </w:r>
    </w:p>
    <w:p w:rsidR="005D4BBD" w:rsidRPr="008F4E63" w:rsidP="005D4BBD" w14:paraId="60E44729" w14:textId="65727D89">
      <w:pPr>
        <w:rPr>
          <w:rFonts w:eastAsia="Calibri"/>
          <w:szCs w:val="24"/>
        </w:rPr>
      </w:pPr>
      <w:r w:rsidRPr="008F4E63">
        <w:rPr>
          <w:rFonts w:eastAsia="Calibri"/>
          <w:szCs w:val="24"/>
        </w:rPr>
        <w:t>As a general principle, federal funds that constitute revenue sharing to state and local governments may generally be used to meet</w:t>
      </w:r>
      <w:r w:rsidR="00E91A43">
        <w:rPr>
          <w:rFonts w:eastAsia="Calibri"/>
          <w:szCs w:val="24"/>
        </w:rPr>
        <w:t xml:space="preserve"> the</w:t>
      </w:r>
      <w:r w:rsidRPr="008F4E63">
        <w:rPr>
          <w:rFonts w:eastAsia="Calibri"/>
          <w:szCs w:val="24"/>
        </w:rPr>
        <w:t xml:space="preserve"> non-federal match </w:t>
      </w:r>
      <w:r w:rsidR="00E91A43">
        <w:rPr>
          <w:rFonts w:eastAsia="Calibri"/>
          <w:szCs w:val="24"/>
        </w:rPr>
        <w:t xml:space="preserve">or cost-share </w:t>
      </w:r>
      <w:r w:rsidRPr="008F4E63">
        <w:rPr>
          <w:rFonts w:eastAsia="Calibri"/>
          <w:szCs w:val="24"/>
        </w:rPr>
        <w:t>requirements</w:t>
      </w:r>
      <w:r w:rsidR="00E91A43">
        <w:rPr>
          <w:rFonts w:eastAsia="Calibri"/>
          <w:szCs w:val="24"/>
        </w:rPr>
        <w:t xml:space="preserve"> of another program</w:t>
      </w:r>
      <w:r w:rsidRPr="008F4E63">
        <w:rPr>
          <w:rFonts w:eastAsia="Calibri"/>
          <w:szCs w:val="24"/>
        </w:rPr>
        <w:t>.</w:t>
      </w:r>
      <w:r>
        <w:rPr>
          <w:rStyle w:val="FootnoteReference"/>
          <w:rFonts w:eastAsia="Calibri"/>
          <w:szCs w:val="24"/>
        </w:rPr>
        <w:footnoteReference w:id="5"/>
      </w:r>
    </w:p>
    <w:p w:rsidR="005D4BBD" w:rsidRPr="008F4E63" w:rsidP="005D4BBD" w14:paraId="308AD653" w14:textId="77777777">
      <w:pPr>
        <w:rPr>
          <w:rFonts w:eastAsia="Calibri"/>
          <w:szCs w:val="24"/>
        </w:rPr>
      </w:pPr>
    </w:p>
    <w:p w:rsidR="005D4BBD" w:rsidP="00E91A43" w14:paraId="2A2FD4B0" w14:textId="4DB30579">
      <w:pPr>
        <w:rPr>
          <w:rFonts w:eastAsia="Calibri"/>
          <w:szCs w:val="24"/>
        </w:rPr>
      </w:pPr>
      <w:r w:rsidRPr="008F4E63">
        <w:rPr>
          <w:rFonts w:eastAsia="Calibri"/>
          <w:szCs w:val="24"/>
        </w:rPr>
        <w:t xml:space="preserve">Given </w:t>
      </w:r>
      <w:r w:rsidR="00B70E93">
        <w:rPr>
          <w:rFonts w:eastAsia="Calibri"/>
          <w:szCs w:val="24"/>
        </w:rPr>
        <w:t>the LATCF’s</w:t>
      </w:r>
      <w:r w:rsidRPr="008F4E63" w:rsidR="00B70E93">
        <w:rPr>
          <w:rFonts w:eastAsia="Calibri"/>
          <w:szCs w:val="24"/>
        </w:rPr>
        <w:t xml:space="preserve"> </w:t>
      </w:r>
      <w:r w:rsidRPr="008F4E63">
        <w:rPr>
          <w:rFonts w:eastAsia="Calibri"/>
          <w:szCs w:val="24"/>
        </w:rPr>
        <w:t>purpose as a general revenue enhancement program</w:t>
      </w:r>
      <w:r w:rsidR="00B70E93">
        <w:rPr>
          <w:rFonts w:eastAsia="Calibri"/>
          <w:szCs w:val="24"/>
        </w:rPr>
        <w:t xml:space="preserve"> and the broad eligible uses of LATCF funds</w:t>
      </w:r>
      <w:r w:rsidRPr="008F4E63">
        <w:rPr>
          <w:rFonts w:eastAsia="Calibri"/>
          <w:szCs w:val="24"/>
        </w:rPr>
        <w:t xml:space="preserve">, Treasury has determined that funds available under the LATCF program </w:t>
      </w:r>
      <w:r w:rsidR="00B70E93">
        <w:rPr>
          <w:rFonts w:eastAsia="Calibri"/>
          <w:szCs w:val="24"/>
        </w:rPr>
        <w:t>constitute</w:t>
      </w:r>
      <w:r w:rsidRPr="008F4E63" w:rsidR="00B70E93">
        <w:rPr>
          <w:rFonts w:eastAsia="Calibri"/>
          <w:szCs w:val="24"/>
        </w:rPr>
        <w:t xml:space="preserve"> </w:t>
      </w:r>
      <w:r w:rsidRPr="008F4E63">
        <w:rPr>
          <w:rFonts w:eastAsia="Calibri"/>
          <w:szCs w:val="24"/>
        </w:rPr>
        <w:t xml:space="preserve">revenue sharing. Therefore, funds under the program may be used to meet the non-federal cost-share or matching requirements of other federal programs. </w:t>
      </w:r>
      <w:r w:rsidR="00E91A43">
        <w:rPr>
          <w:rFonts w:eastAsia="Calibri"/>
          <w:szCs w:val="24"/>
        </w:rPr>
        <w:t>Pursuant to 2 C</w:t>
      </w:r>
      <w:r w:rsidR="00B70E93">
        <w:rPr>
          <w:rFonts w:eastAsia="Calibri"/>
          <w:szCs w:val="24"/>
        </w:rPr>
        <w:t>.</w:t>
      </w:r>
      <w:r w:rsidR="00E91A43">
        <w:rPr>
          <w:rFonts w:eastAsia="Calibri"/>
          <w:szCs w:val="24"/>
        </w:rPr>
        <w:t>F</w:t>
      </w:r>
      <w:r w:rsidR="00B70E93">
        <w:rPr>
          <w:rFonts w:eastAsia="Calibri"/>
          <w:szCs w:val="24"/>
        </w:rPr>
        <w:t>.</w:t>
      </w:r>
      <w:r w:rsidR="00E91A43">
        <w:rPr>
          <w:rFonts w:eastAsia="Calibri"/>
          <w:szCs w:val="24"/>
        </w:rPr>
        <w:t>R</w:t>
      </w:r>
      <w:r w:rsidR="00B70E93">
        <w:rPr>
          <w:rFonts w:eastAsia="Calibri"/>
          <w:szCs w:val="24"/>
        </w:rPr>
        <w:t>. §</w:t>
      </w:r>
      <w:r w:rsidR="00E91A43">
        <w:rPr>
          <w:rFonts w:eastAsia="Calibri"/>
          <w:szCs w:val="24"/>
        </w:rPr>
        <w:t xml:space="preserve"> 200.306(b), i</w:t>
      </w:r>
      <w:r w:rsidR="00E32715">
        <w:rPr>
          <w:rFonts w:eastAsia="Calibri"/>
          <w:szCs w:val="24"/>
        </w:rPr>
        <w:t>f</w:t>
      </w:r>
      <w:r w:rsidRPr="008F4E63">
        <w:rPr>
          <w:rFonts w:eastAsia="Calibri"/>
          <w:szCs w:val="24"/>
        </w:rPr>
        <w:t xml:space="preserve"> funds are legally available to meet the match or cost-share requirements of an agency’s federal program, such awarding agency is required to accept such funds for the purpose of that program’s match or cost-share requirements</w:t>
      </w:r>
      <w:r w:rsidR="00E91A43">
        <w:rPr>
          <w:rFonts w:eastAsia="Calibri"/>
          <w:szCs w:val="24"/>
        </w:rPr>
        <w:t xml:space="preserve"> except in the circumstances enumerated in that section</w:t>
      </w:r>
      <w:r w:rsidRPr="008F4E63">
        <w:rPr>
          <w:rFonts w:eastAsia="Calibri"/>
          <w:szCs w:val="24"/>
        </w:rPr>
        <w:t>.</w:t>
      </w:r>
      <w:r w:rsidR="00E91A43">
        <w:rPr>
          <w:rFonts w:eastAsia="Calibri"/>
          <w:szCs w:val="24"/>
        </w:rPr>
        <w:t xml:space="preserve"> </w:t>
      </w:r>
      <w:bookmarkEnd w:id="29"/>
      <w:bookmarkEnd w:id="30"/>
      <w:bookmarkEnd w:id="31"/>
      <w:bookmarkEnd w:id="32"/>
      <w:r w:rsidRPr="00E91A43" w:rsidR="00E91A43">
        <w:rPr>
          <w:rFonts w:eastAsia="Calibri"/>
          <w:szCs w:val="24"/>
        </w:rPr>
        <w:t>If a recipient seeks to use</w:t>
      </w:r>
      <w:r w:rsidR="00E91A43">
        <w:rPr>
          <w:rFonts w:eastAsia="Calibri"/>
          <w:szCs w:val="24"/>
        </w:rPr>
        <w:t xml:space="preserve"> LATCF </w:t>
      </w:r>
      <w:r w:rsidRPr="00E91A43" w:rsidR="00E91A43">
        <w:rPr>
          <w:rFonts w:eastAsia="Calibri"/>
          <w:szCs w:val="24"/>
        </w:rPr>
        <w:t>funds to satisfy match or cost</w:t>
      </w:r>
      <w:r w:rsidR="00E91A43">
        <w:rPr>
          <w:rFonts w:eastAsia="Calibri"/>
          <w:szCs w:val="24"/>
        </w:rPr>
        <w:t>-</w:t>
      </w:r>
      <w:r w:rsidRPr="00E91A43" w:rsidR="00E91A43">
        <w:rPr>
          <w:rFonts w:eastAsia="Calibri"/>
          <w:szCs w:val="24"/>
        </w:rPr>
        <w:t>share requirements for a federal grant</w:t>
      </w:r>
      <w:r w:rsidR="00E91A43">
        <w:rPr>
          <w:rFonts w:eastAsia="Calibri"/>
          <w:szCs w:val="24"/>
        </w:rPr>
        <w:t xml:space="preserve"> </w:t>
      </w:r>
      <w:r w:rsidRPr="00E91A43" w:rsidR="00E91A43">
        <w:rPr>
          <w:rFonts w:eastAsia="Calibri"/>
          <w:szCs w:val="24"/>
        </w:rPr>
        <w:t>program, it should first confirm with the</w:t>
      </w:r>
      <w:r w:rsidR="00E91A43">
        <w:rPr>
          <w:rFonts w:eastAsia="Calibri"/>
          <w:szCs w:val="24"/>
        </w:rPr>
        <w:t xml:space="preserve"> </w:t>
      </w:r>
      <w:r w:rsidRPr="00E91A43" w:rsidR="00E91A43">
        <w:rPr>
          <w:rFonts w:eastAsia="Calibri"/>
          <w:szCs w:val="24"/>
        </w:rPr>
        <w:t>relevant awarding agency that no waiver</w:t>
      </w:r>
      <w:r w:rsidR="00E91A43">
        <w:rPr>
          <w:rFonts w:eastAsia="Calibri"/>
          <w:szCs w:val="24"/>
        </w:rPr>
        <w:t xml:space="preserve"> </w:t>
      </w:r>
      <w:r w:rsidRPr="00E91A43" w:rsidR="00E91A43">
        <w:rPr>
          <w:rFonts w:eastAsia="Calibri"/>
          <w:szCs w:val="24"/>
        </w:rPr>
        <w:t>has been granted for that program, that</w:t>
      </w:r>
      <w:r w:rsidR="00E91A43">
        <w:rPr>
          <w:rFonts w:eastAsia="Calibri"/>
          <w:szCs w:val="24"/>
        </w:rPr>
        <w:t xml:space="preserve"> </w:t>
      </w:r>
      <w:r w:rsidRPr="00E91A43" w:rsidR="00E91A43">
        <w:rPr>
          <w:rFonts w:eastAsia="Calibri"/>
          <w:szCs w:val="24"/>
        </w:rPr>
        <w:t>no other circumstances enumerated</w:t>
      </w:r>
      <w:r w:rsidR="00E91A43">
        <w:rPr>
          <w:rFonts w:eastAsia="Calibri"/>
          <w:szCs w:val="24"/>
        </w:rPr>
        <w:t xml:space="preserve"> </w:t>
      </w:r>
      <w:r w:rsidRPr="00E91A43" w:rsidR="00E91A43">
        <w:rPr>
          <w:rFonts w:eastAsia="Calibri"/>
          <w:szCs w:val="24"/>
        </w:rPr>
        <w:t>under 2 C</w:t>
      </w:r>
      <w:r w:rsidR="00B70E93">
        <w:rPr>
          <w:rFonts w:eastAsia="Calibri"/>
          <w:szCs w:val="24"/>
        </w:rPr>
        <w:t>.</w:t>
      </w:r>
      <w:r w:rsidRPr="00E91A43" w:rsidR="00E91A43">
        <w:rPr>
          <w:rFonts w:eastAsia="Calibri"/>
          <w:szCs w:val="24"/>
        </w:rPr>
        <w:t>F</w:t>
      </w:r>
      <w:r w:rsidR="00B70E93">
        <w:rPr>
          <w:rFonts w:eastAsia="Calibri"/>
          <w:szCs w:val="24"/>
        </w:rPr>
        <w:t>.</w:t>
      </w:r>
      <w:r w:rsidRPr="00E91A43" w:rsidR="00E91A43">
        <w:rPr>
          <w:rFonts w:eastAsia="Calibri"/>
          <w:szCs w:val="24"/>
        </w:rPr>
        <w:t>R</w:t>
      </w:r>
      <w:r w:rsidR="00B70E93">
        <w:rPr>
          <w:rFonts w:eastAsia="Calibri"/>
          <w:szCs w:val="24"/>
        </w:rPr>
        <w:t>. §</w:t>
      </w:r>
      <w:r w:rsidRPr="00E91A43" w:rsidR="00E91A43">
        <w:rPr>
          <w:rFonts w:eastAsia="Calibri"/>
          <w:szCs w:val="24"/>
        </w:rPr>
        <w:t xml:space="preserve"> 200.306(b) would limit the</w:t>
      </w:r>
      <w:r w:rsidR="00E91A43">
        <w:rPr>
          <w:rFonts w:eastAsia="Calibri"/>
          <w:szCs w:val="24"/>
        </w:rPr>
        <w:t xml:space="preserve"> </w:t>
      </w:r>
      <w:r w:rsidRPr="00E91A43" w:rsidR="00E91A43">
        <w:rPr>
          <w:rFonts w:eastAsia="Calibri"/>
          <w:szCs w:val="24"/>
        </w:rPr>
        <w:t xml:space="preserve">use of </w:t>
      </w:r>
      <w:r w:rsidR="00E91A43">
        <w:rPr>
          <w:rFonts w:eastAsia="Calibri"/>
          <w:szCs w:val="24"/>
        </w:rPr>
        <w:t xml:space="preserve">LATCF </w:t>
      </w:r>
      <w:r w:rsidRPr="00E91A43" w:rsidR="00E91A43">
        <w:rPr>
          <w:rFonts w:eastAsia="Calibri"/>
          <w:szCs w:val="24"/>
        </w:rPr>
        <w:t>funds to meet the match</w:t>
      </w:r>
      <w:r w:rsidR="00E91A43">
        <w:rPr>
          <w:rFonts w:eastAsia="Calibri"/>
          <w:szCs w:val="24"/>
        </w:rPr>
        <w:t xml:space="preserve"> </w:t>
      </w:r>
      <w:r w:rsidRPr="00E91A43" w:rsidR="00E91A43">
        <w:rPr>
          <w:rFonts w:eastAsia="Calibri"/>
          <w:szCs w:val="24"/>
        </w:rPr>
        <w:t>or cost-share requirement, and that there</w:t>
      </w:r>
      <w:r w:rsidR="00E91A43">
        <w:rPr>
          <w:rFonts w:eastAsia="Calibri"/>
          <w:szCs w:val="24"/>
        </w:rPr>
        <w:t xml:space="preserve"> </w:t>
      </w:r>
      <w:r w:rsidRPr="00E91A43" w:rsidR="00E91A43">
        <w:rPr>
          <w:rFonts w:eastAsia="Calibri"/>
          <w:szCs w:val="24"/>
        </w:rPr>
        <w:t>is no other statutory or regulatory</w:t>
      </w:r>
      <w:r w:rsidR="00C50456">
        <w:rPr>
          <w:rFonts w:eastAsia="Calibri"/>
          <w:szCs w:val="24"/>
        </w:rPr>
        <w:t xml:space="preserve"> </w:t>
      </w:r>
      <w:r w:rsidRPr="00E91A43" w:rsidR="00E91A43">
        <w:rPr>
          <w:rFonts w:eastAsia="Calibri"/>
          <w:szCs w:val="24"/>
        </w:rPr>
        <w:t xml:space="preserve">impediment to using the </w:t>
      </w:r>
      <w:r w:rsidR="00E91A43">
        <w:rPr>
          <w:rFonts w:eastAsia="Calibri"/>
          <w:szCs w:val="24"/>
        </w:rPr>
        <w:t xml:space="preserve">LATCF </w:t>
      </w:r>
      <w:r w:rsidRPr="00E91A43" w:rsidR="00E91A43">
        <w:rPr>
          <w:rFonts w:eastAsia="Calibri"/>
          <w:szCs w:val="24"/>
        </w:rPr>
        <w:t>funds</w:t>
      </w:r>
      <w:r w:rsidR="00E91A43">
        <w:rPr>
          <w:rFonts w:eastAsia="Calibri"/>
          <w:szCs w:val="24"/>
        </w:rPr>
        <w:t xml:space="preserve"> </w:t>
      </w:r>
      <w:r w:rsidRPr="00E91A43" w:rsidR="00E91A43">
        <w:rPr>
          <w:rFonts w:eastAsia="Calibri"/>
          <w:szCs w:val="24"/>
        </w:rPr>
        <w:t>for the match or cost-share requirement.</w:t>
      </w:r>
      <w:r w:rsidR="00EB58A7">
        <w:rPr>
          <w:rFonts w:eastAsia="Calibri"/>
          <w:szCs w:val="24"/>
        </w:rPr>
        <w:t xml:space="preserve"> Additional guidance specific to Medicaid and CHIP is forthcoming.</w:t>
      </w:r>
    </w:p>
    <w:p w:rsidR="00A8348C" w:rsidP="00E91A43" w14:paraId="5FBF6232" w14:textId="20B33758">
      <w:pPr>
        <w:rPr>
          <w:rFonts w:eastAsia="Calibri"/>
          <w:szCs w:val="24"/>
        </w:rPr>
      </w:pPr>
    </w:p>
    <w:p w:rsidR="00A8348C" w:rsidRPr="00AC7952" w:rsidP="00E91A43" w14:paraId="165EE365" w14:textId="42714B5B">
      <w:pPr>
        <w:rPr>
          <w:rFonts w:eastAsia="Calibri"/>
          <w:szCs w:val="24"/>
        </w:rPr>
      </w:pPr>
      <w:r>
        <w:rPr>
          <w:rFonts w:eastAsia="Calibri"/>
          <w:szCs w:val="24"/>
        </w:rPr>
        <w:t xml:space="preserve">Recipients using </w:t>
      </w:r>
      <w:r>
        <w:rPr>
          <w:rFonts w:eastAsia="Calibri"/>
          <w:szCs w:val="24"/>
        </w:rPr>
        <w:t xml:space="preserve">LATCF funds </w:t>
      </w:r>
      <w:r w:rsidR="0096659C">
        <w:rPr>
          <w:rFonts w:eastAsia="Calibri"/>
          <w:szCs w:val="24"/>
        </w:rPr>
        <w:t>to meet</w:t>
      </w:r>
      <w:r>
        <w:rPr>
          <w:rFonts w:eastAsia="Calibri"/>
          <w:szCs w:val="24"/>
        </w:rPr>
        <w:t xml:space="preserve"> non-federal match </w:t>
      </w:r>
      <w:r w:rsidR="00FE5D1E">
        <w:rPr>
          <w:rFonts w:eastAsia="Calibri"/>
          <w:szCs w:val="24"/>
        </w:rPr>
        <w:t>or</w:t>
      </w:r>
      <w:r w:rsidR="0096659C">
        <w:rPr>
          <w:rFonts w:eastAsia="Calibri"/>
          <w:szCs w:val="24"/>
        </w:rPr>
        <w:t xml:space="preserve"> cost-share requirements </w:t>
      </w:r>
      <w:r w:rsidR="00A519C4">
        <w:rPr>
          <w:rFonts w:eastAsia="Calibri"/>
          <w:szCs w:val="24"/>
        </w:rPr>
        <w:t xml:space="preserve">of another </w:t>
      </w:r>
      <w:r w:rsidR="00FE5D1E">
        <w:rPr>
          <w:rFonts w:eastAsia="Calibri"/>
          <w:szCs w:val="24"/>
        </w:rPr>
        <w:t xml:space="preserve">federal </w:t>
      </w:r>
      <w:r w:rsidR="00A519C4">
        <w:rPr>
          <w:rFonts w:eastAsia="Calibri"/>
          <w:szCs w:val="24"/>
        </w:rPr>
        <w:t>program</w:t>
      </w:r>
      <w:r>
        <w:rPr>
          <w:rFonts w:eastAsia="Calibri"/>
          <w:szCs w:val="24"/>
        </w:rPr>
        <w:t xml:space="preserve"> must ensure </w:t>
      </w:r>
      <w:r w:rsidR="00FE5D1E">
        <w:rPr>
          <w:rFonts w:eastAsia="Calibri"/>
          <w:szCs w:val="24"/>
        </w:rPr>
        <w:t>that the costs are eligible costs under the other federal program and are</w:t>
      </w:r>
      <w:r w:rsidR="00A519C4">
        <w:rPr>
          <w:rFonts w:eastAsia="Calibri"/>
          <w:szCs w:val="24"/>
        </w:rPr>
        <w:t xml:space="preserve"> </w:t>
      </w:r>
      <w:r>
        <w:rPr>
          <w:rFonts w:eastAsia="Calibri"/>
          <w:szCs w:val="24"/>
        </w:rPr>
        <w:t xml:space="preserve">compliant with the statutory, regulatory, and program requirements of </w:t>
      </w:r>
      <w:r w:rsidR="00FE5D1E">
        <w:rPr>
          <w:rFonts w:eastAsia="Calibri"/>
          <w:szCs w:val="24"/>
        </w:rPr>
        <w:t xml:space="preserve">the LATCF and the other federal </w:t>
      </w:r>
      <w:r w:rsidR="00A519C4">
        <w:rPr>
          <w:rFonts w:eastAsia="Calibri"/>
          <w:szCs w:val="24"/>
        </w:rPr>
        <w:t>program</w:t>
      </w:r>
      <w:r>
        <w:rPr>
          <w:rFonts w:eastAsia="Calibri"/>
          <w:szCs w:val="24"/>
        </w:rPr>
        <w:t>.</w:t>
      </w:r>
    </w:p>
    <w:p w:rsidR="005A51AA" w:rsidRPr="008F4E63" w:rsidP="005A51AA" w14:paraId="4340DFA0" w14:textId="2829C6E9">
      <w:pPr>
        <w:pStyle w:val="Heading2"/>
        <w:rPr>
          <w:rFonts w:ascii="Times New Roman" w:hAnsi="Times New Roman" w:cs="Times New Roman"/>
          <w:szCs w:val="24"/>
        </w:rPr>
      </w:pPr>
      <w:r w:rsidRPr="008F4E63">
        <w:rPr>
          <w:rFonts w:ascii="Times New Roman" w:hAnsi="Times New Roman" w:cs="Times New Roman"/>
          <w:szCs w:val="24"/>
        </w:rPr>
        <w:t>AVAILABILITY OF FUNDS</w:t>
      </w:r>
    </w:p>
    <w:p w:rsidR="003727C7" w:rsidRPr="008F4E63" w:rsidP="003727C7" w14:paraId="13C90652" w14:textId="57F80CD2">
      <w:pPr>
        <w:rPr>
          <w:szCs w:val="24"/>
        </w:rPr>
      </w:pPr>
      <w:r w:rsidRPr="008F4E63">
        <w:rPr>
          <w:szCs w:val="24"/>
        </w:rPr>
        <w:t xml:space="preserve">All funds </w:t>
      </w:r>
      <w:r w:rsidRPr="008F4E63" w:rsidR="00CC6B84">
        <w:rPr>
          <w:szCs w:val="24"/>
        </w:rPr>
        <w:t xml:space="preserve">are available </w:t>
      </w:r>
      <w:r w:rsidRPr="008F4E63" w:rsidR="002C0D2B">
        <w:rPr>
          <w:szCs w:val="24"/>
        </w:rPr>
        <w:t>to</w:t>
      </w:r>
      <w:r w:rsidRPr="008F4E63" w:rsidR="00CC6B84">
        <w:rPr>
          <w:szCs w:val="24"/>
        </w:rPr>
        <w:t xml:space="preserve"> recipients until </w:t>
      </w:r>
      <w:r w:rsidRPr="008F4E63">
        <w:rPr>
          <w:szCs w:val="24"/>
        </w:rPr>
        <w:t>expended</w:t>
      </w:r>
      <w:r w:rsidR="00BE5A68">
        <w:rPr>
          <w:szCs w:val="24"/>
        </w:rPr>
        <w:t xml:space="preserve"> or returned to Treasury</w:t>
      </w:r>
      <w:r w:rsidRPr="008F4E63" w:rsidR="00334D63">
        <w:rPr>
          <w:szCs w:val="24"/>
        </w:rPr>
        <w:t xml:space="preserve">. </w:t>
      </w:r>
    </w:p>
    <w:p w:rsidR="003727C7" w:rsidRPr="008F4E63" w:rsidP="003727C7" w14:paraId="22042C9E" w14:textId="439EC6EB">
      <w:pPr>
        <w:pStyle w:val="Heading1"/>
        <w:rPr>
          <w:sz w:val="24"/>
        </w:rPr>
      </w:pPr>
      <w:r>
        <w:rPr>
          <w:sz w:val="24"/>
        </w:rPr>
        <w:t xml:space="preserve">OPERATIONAL TERMS </w:t>
      </w:r>
      <w:r w:rsidR="00C029FA">
        <w:rPr>
          <w:sz w:val="24"/>
        </w:rPr>
        <w:t>OF THE ASSISTANCE</w:t>
      </w:r>
      <w:r w:rsidRPr="008F4E63" w:rsidR="005A51AA">
        <w:rPr>
          <w:sz w:val="24"/>
        </w:rPr>
        <w:t xml:space="preserve"> </w:t>
      </w:r>
    </w:p>
    <w:p w:rsidR="003727C7" w:rsidRPr="008F4E63" w:rsidP="00DA47C9" w14:paraId="15305F0D" w14:textId="73E8C26A">
      <w:pPr>
        <w:pStyle w:val="BodyText"/>
        <w:ind w:right="302"/>
      </w:pPr>
      <w:r w:rsidRPr="008F4E63">
        <w:t xml:space="preserve">This section provides a summary of </w:t>
      </w:r>
      <w:r w:rsidR="00D34084">
        <w:t xml:space="preserve">operational </w:t>
      </w:r>
      <w:r w:rsidR="00C029FA">
        <w:t>terms of the program</w:t>
      </w:r>
      <w:r w:rsidRPr="008F4E63">
        <w:t xml:space="preserve">, including </w:t>
      </w:r>
      <w:r w:rsidRPr="008F4E63" w:rsidR="00CF4592">
        <w:t xml:space="preserve">payments, </w:t>
      </w:r>
      <w:r w:rsidRPr="008F4E63">
        <w:t xml:space="preserve">reporting, and compliance. Treasury </w:t>
      </w:r>
      <w:r w:rsidR="004F08E6">
        <w:t>expects to</w:t>
      </w:r>
      <w:r w:rsidRPr="008F4E63" w:rsidR="004F08E6">
        <w:t xml:space="preserve"> </w:t>
      </w:r>
      <w:r w:rsidRPr="008F4E63">
        <w:t xml:space="preserve">release reporting and compliance </w:t>
      </w:r>
      <w:r w:rsidR="00256E02">
        <w:t>guidance</w:t>
      </w:r>
      <w:r w:rsidRPr="008F4E63">
        <w:t xml:space="preserve"> </w:t>
      </w:r>
      <w:r w:rsidRPr="008F4E63" w:rsidR="00B914B0">
        <w:t xml:space="preserve">for the LATCF </w:t>
      </w:r>
      <w:r w:rsidRPr="008F4E63" w:rsidR="009C7385">
        <w:t xml:space="preserve">program </w:t>
      </w:r>
      <w:r w:rsidR="00C029FA">
        <w:t>at a later date</w:t>
      </w:r>
      <w:r w:rsidRPr="008F4E63">
        <w:t xml:space="preserve">.  </w:t>
      </w:r>
      <w:r w:rsidRPr="008F4E63">
        <w:rPr>
          <w:rStyle w:val="CommentReference"/>
          <w:sz w:val="24"/>
          <w:szCs w:val="24"/>
        </w:rPr>
        <w:t xml:space="preserve"> </w:t>
      </w:r>
    </w:p>
    <w:p w:rsidR="00CD512C" w:rsidRPr="008F4E63" w:rsidP="005A51AA" w14:paraId="5A3256EF" w14:textId="396EFAB4">
      <w:pPr>
        <w:pStyle w:val="Heading2"/>
        <w:numPr>
          <w:ilvl w:val="0"/>
          <w:numId w:val="25"/>
        </w:numPr>
        <w:rPr>
          <w:rFonts w:ascii="Times New Roman" w:hAnsi="Times New Roman" w:cs="Times New Roman"/>
          <w:szCs w:val="24"/>
        </w:rPr>
      </w:pPr>
      <w:bookmarkStart w:id="33" w:name="_Toc79589865"/>
      <w:bookmarkStart w:id="34" w:name="_Toc79598595"/>
      <w:bookmarkStart w:id="35" w:name="_Toc80900070"/>
      <w:bookmarkStart w:id="36" w:name="_Toc82542725"/>
      <w:r w:rsidRPr="008F4E63">
        <w:rPr>
          <w:rFonts w:ascii="Times New Roman" w:hAnsi="Times New Roman" w:cs="Times New Roman"/>
          <w:szCs w:val="24"/>
        </w:rPr>
        <w:t>PAYMENTS</w:t>
      </w:r>
    </w:p>
    <w:p w:rsidR="00E75085" w:rsidRPr="008F4E63" w:rsidP="00EE01B5" w14:paraId="3261142B" w14:textId="3BB796C4">
      <w:pPr>
        <w:rPr>
          <w:szCs w:val="24"/>
        </w:rPr>
      </w:pPr>
      <w:r w:rsidRPr="008F4E63">
        <w:rPr>
          <w:szCs w:val="24"/>
        </w:rPr>
        <w:t xml:space="preserve">Recipients may request </w:t>
      </w:r>
      <w:r w:rsidR="00633815">
        <w:rPr>
          <w:szCs w:val="24"/>
        </w:rPr>
        <w:t xml:space="preserve">payment of </w:t>
      </w:r>
      <w:r w:rsidRPr="008F4E63">
        <w:rPr>
          <w:szCs w:val="24"/>
        </w:rPr>
        <w:t xml:space="preserve">their allocation through the Treasury Submission Portal by following the instructions </w:t>
      </w:r>
      <w:r w:rsidRPr="008F4E63">
        <w:rPr>
          <w:szCs w:val="24"/>
        </w:rPr>
        <w:t xml:space="preserve">on Treasury’s website. </w:t>
      </w:r>
      <w:r w:rsidR="002E73F1">
        <w:rPr>
          <w:szCs w:val="24"/>
        </w:rPr>
        <w:t xml:space="preserve">Eligible applicants will be required to complete payment information and sign an </w:t>
      </w:r>
      <w:r w:rsidR="00BD60AF">
        <w:rPr>
          <w:szCs w:val="24"/>
        </w:rPr>
        <w:t xml:space="preserve">award </w:t>
      </w:r>
      <w:r w:rsidR="002E73F1">
        <w:rPr>
          <w:szCs w:val="24"/>
        </w:rPr>
        <w:t>agreement. Tribal governments will be required to complete a certification regarding economic conditions.</w:t>
      </w:r>
    </w:p>
    <w:p w:rsidR="003727C7" w:rsidRPr="008F4E63" w:rsidP="003727C7" w14:paraId="3E260512" w14:textId="77777777">
      <w:pPr>
        <w:pStyle w:val="Heading2"/>
        <w:rPr>
          <w:rFonts w:ascii="Times New Roman" w:hAnsi="Times New Roman" w:cs="Times New Roman"/>
          <w:szCs w:val="24"/>
        </w:rPr>
      </w:pPr>
      <w:bookmarkStart w:id="37" w:name="_Toc82032218"/>
      <w:bookmarkStart w:id="38" w:name="_Toc82437241"/>
      <w:bookmarkStart w:id="39" w:name="_Toc82542726"/>
      <w:bookmarkStart w:id="40" w:name="_Toc82437242"/>
      <w:bookmarkStart w:id="41" w:name="_Toc82542727"/>
      <w:bookmarkStart w:id="42" w:name="_Toc82437243"/>
      <w:bookmarkStart w:id="43" w:name="_Toc82542728"/>
      <w:bookmarkStart w:id="44" w:name="_Toc82437244"/>
      <w:bookmarkStart w:id="45" w:name="_Toc82542729"/>
      <w:bookmarkStart w:id="46" w:name="_Toc82437246"/>
      <w:bookmarkStart w:id="47" w:name="_Toc82542731"/>
      <w:bookmarkStart w:id="48" w:name="_Toc82437247"/>
      <w:bookmarkStart w:id="49" w:name="_Toc82542732"/>
      <w:bookmarkStart w:id="50" w:name="_Toc82437248"/>
      <w:bookmarkStart w:id="51" w:name="_Toc82542733"/>
      <w:bookmarkStart w:id="52" w:name="_Toc82437249"/>
      <w:bookmarkStart w:id="53" w:name="_Toc82542734"/>
      <w:bookmarkStart w:id="54" w:name="_Toc82032219"/>
      <w:bookmarkStart w:id="55" w:name="_Toc82437250"/>
      <w:bookmarkStart w:id="56" w:name="_Toc82542735"/>
      <w:bookmarkStart w:id="57" w:name="_Toc82032220"/>
      <w:bookmarkStart w:id="58" w:name="_Toc82437251"/>
      <w:bookmarkStart w:id="59" w:name="_Toc82542736"/>
      <w:bookmarkStart w:id="60" w:name="_Toc82032221"/>
      <w:bookmarkStart w:id="61" w:name="_Toc82437252"/>
      <w:bookmarkStart w:id="62" w:name="_Toc82542737"/>
      <w:bookmarkStart w:id="63" w:name="_Toc82032222"/>
      <w:bookmarkStart w:id="64" w:name="_Toc82437253"/>
      <w:bookmarkStart w:id="65" w:name="_Toc82542738"/>
      <w:bookmarkStart w:id="66" w:name="_Toc82032223"/>
      <w:bookmarkStart w:id="67" w:name="_Toc82437254"/>
      <w:bookmarkStart w:id="68" w:name="_Toc82542739"/>
      <w:bookmarkStart w:id="69" w:name="_Toc82032224"/>
      <w:bookmarkStart w:id="70" w:name="_Toc82437255"/>
      <w:bookmarkStart w:id="71" w:name="_Toc82542740"/>
      <w:bookmarkStart w:id="72" w:name="_Toc82032225"/>
      <w:bookmarkStart w:id="73" w:name="_Toc82437256"/>
      <w:bookmarkStart w:id="74" w:name="_Toc82542741"/>
      <w:bookmarkStart w:id="75" w:name="_Toc82032226"/>
      <w:bookmarkStart w:id="76" w:name="_Toc82437257"/>
      <w:bookmarkStart w:id="77" w:name="_Toc82542742"/>
      <w:bookmarkStart w:id="78" w:name="_Toc82032227"/>
      <w:bookmarkStart w:id="79" w:name="_Toc82437258"/>
      <w:bookmarkStart w:id="80" w:name="_Toc82542743"/>
      <w:bookmarkStart w:id="81" w:name="_Toc82032228"/>
      <w:bookmarkStart w:id="82" w:name="_Toc82437259"/>
      <w:bookmarkStart w:id="83" w:name="_Toc82542744"/>
      <w:bookmarkStart w:id="84" w:name="_Toc82032229"/>
      <w:bookmarkStart w:id="85" w:name="_Toc82437260"/>
      <w:bookmarkStart w:id="86" w:name="_Toc82542745"/>
      <w:bookmarkStart w:id="87" w:name="_Toc82032230"/>
      <w:bookmarkStart w:id="88" w:name="_Toc82437261"/>
      <w:bookmarkStart w:id="89" w:name="_Toc82542746"/>
      <w:bookmarkStart w:id="90" w:name="_Toc82032231"/>
      <w:bookmarkStart w:id="91" w:name="_Toc82437262"/>
      <w:bookmarkStart w:id="92" w:name="_Toc82542747"/>
      <w:bookmarkStart w:id="93" w:name="_Toc82032232"/>
      <w:bookmarkStart w:id="94" w:name="_Toc82437263"/>
      <w:bookmarkStart w:id="95" w:name="_Toc82542748"/>
      <w:bookmarkStart w:id="96" w:name="_Toc82032233"/>
      <w:bookmarkStart w:id="97" w:name="_Toc82437264"/>
      <w:bookmarkStart w:id="98" w:name="_Toc82542749"/>
      <w:bookmarkStart w:id="99" w:name="_Toc82032234"/>
      <w:bookmarkStart w:id="100" w:name="_Toc82437265"/>
      <w:bookmarkStart w:id="101" w:name="_Toc82542750"/>
      <w:bookmarkStart w:id="102" w:name="_Toc82032235"/>
      <w:bookmarkStart w:id="103" w:name="_Toc82437266"/>
      <w:bookmarkStart w:id="104" w:name="_Toc82542751"/>
      <w:bookmarkStart w:id="105" w:name="_Toc82032236"/>
      <w:bookmarkStart w:id="106" w:name="_Toc82437267"/>
      <w:bookmarkStart w:id="107" w:name="_Toc82542752"/>
      <w:bookmarkStart w:id="108" w:name="_Toc79589867"/>
      <w:bookmarkStart w:id="109" w:name="_Toc79598597"/>
      <w:bookmarkStart w:id="110" w:name="_Toc80900073"/>
      <w:bookmarkStart w:id="111" w:name="_Toc82542754"/>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F4E63">
        <w:rPr>
          <w:rFonts w:ascii="Times New Roman" w:hAnsi="Times New Roman" w:cs="Times New Roman"/>
          <w:szCs w:val="24"/>
        </w:rPr>
        <w:t>REPORTING</w:t>
      </w:r>
      <w:bookmarkEnd w:id="108"/>
      <w:bookmarkEnd w:id="109"/>
      <w:bookmarkEnd w:id="110"/>
      <w:bookmarkEnd w:id="111"/>
    </w:p>
    <w:p w:rsidR="001B09FB" w:rsidRPr="008F4E63" w:rsidP="002E2634" w14:paraId="2CF1F6B7" w14:textId="0F64BC6D">
      <w:pPr>
        <w:rPr>
          <w:rFonts w:eastAsiaTheme="majorEastAsia"/>
          <w:szCs w:val="24"/>
        </w:rPr>
      </w:pPr>
      <w:r>
        <w:rPr>
          <w:szCs w:val="24"/>
        </w:rPr>
        <w:t>All recipients</w:t>
      </w:r>
      <w:r w:rsidRPr="008F4E63">
        <w:rPr>
          <w:szCs w:val="24"/>
        </w:rPr>
        <w:t xml:space="preserve"> </w:t>
      </w:r>
      <w:r w:rsidRPr="008F4E63" w:rsidR="003727C7">
        <w:rPr>
          <w:szCs w:val="24"/>
        </w:rPr>
        <w:t xml:space="preserve">will be responsible for </w:t>
      </w:r>
      <w:r w:rsidRPr="008F4E63" w:rsidR="002E2634">
        <w:rPr>
          <w:szCs w:val="24"/>
        </w:rPr>
        <w:t>submitting an annual Project and Expenditure report to Treasury</w:t>
      </w:r>
      <w:r w:rsidRPr="008F4E63">
        <w:rPr>
          <w:szCs w:val="24"/>
        </w:rPr>
        <w:t xml:space="preserve">, which </w:t>
      </w:r>
      <w:r w:rsidR="005D784C">
        <w:rPr>
          <w:szCs w:val="24"/>
        </w:rPr>
        <w:t>is expected to</w:t>
      </w:r>
      <w:r w:rsidRPr="008F4E63">
        <w:rPr>
          <w:szCs w:val="24"/>
        </w:rPr>
        <w:t xml:space="preserve"> </w:t>
      </w:r>
      <w:r w:rsidR="005D784C">
        <w:rPr>
          <w:szCs w:val="24"/>
        </w:rPr>
        <w:t>require</w:t>
      </w:r>
      <w:r w:rsidRPr="008F4E63">
        <w:rPr>
          <w:szCs w:val="24"/>
        </w:rPr>
        <w:t xml:space="preserve"> data on </w:t>
      </w:r>
      <w:r w:rsidR="000F7E1C">
        <w:rPr>
          <w:szCs w:val="24"/>
        </w:rPr>
        <w:t xml:space="preserve">obligations and </w:t>
      </w:r>
      <w:r w:rsidRPr="008F4E63">
        <w:rPr>
          <w:szCs w:val="24"/>
        </w:rPr>
        <w:t xml:space="preserve">expenditures </w:t>
      </w:r>
      <w:r w:rsidR="005E4BE7">
        <w:rPr>
          <w:szCs w:val="24"/>
        </w:rPr>
        <w:t xml:space="preserve">by category of use </w:t>
      </w:r>
      <w:r w:rsidR="005D784C">
        <w:rPr>
          <w:szCs w:val="24"/>
        </w:rPr>
        <w:t>and certification that funds have not been used to fund lobbying activities</w:t>
      </w:r>
      <w:r w:rsidRPr="008F4E63">
        <w:rPr>
          <w:szCs w:val="24"/>
        </w:rPr>
        <w:t xml:space="preserve">. </w:t>
      </w:r>
      <w:r w:rsidRPr="008F4E63">
        <w:rPr>
          <w:rFonts w:eastAsiaTheme="majorEastAsia"/>
          <w:szCs w:val="24"/>
        </w:rPr>
        <w:t xml:space="preserve">Treasury will release detailed reporting guidance soon. </w:t>
      </w:r>
    </w:p>
    <w:p w:rsidR="001B09FB" w:rsidRPr="008F4E63" w:rsidP="002E2634" w14:paraId="64EB46AE" w14:textId="77777777">
      <w:pPr>
        <w:rPr>
          <w:szCs w:val="24"/>
        </w:rPr>
      </w:pPr>
    </w:p>
    <w:p w:rsidR="00D748E0" w:rsidRPr="008F4E63" w:rsidP="0096437E" w14:paraId="5846CA46" w14:textId="6D64A773">
      <w:pPr>
        <w:rPr>
          <w:rFonts w:eastAsiaTheme="majorEastAsia"/>
          <w:szCs w:val="24"/>
        </w:rPr>
      </w:pPr>
      <w:r w:rsidRPr="008F4E63">
        <w:rPr>
          <w:szCs w:val="24"/>
        </w:rPr>
        <w:t>I</w:t>
      </w:r>
      <w:r w:rsidRPr="008F4E63" w:rsidR="001B09FB">
        <w:rPr>
          <w:szCs w:val="24"/>
        </w:rPr>
        <w:t xml:space="preserve">nformation provided </w:t>
      </w:r>
      <w:r w:rsidRPr="008F4E63">
        <w:rPr>
          <w:szCs w:val="24"/>
        </w:rPr>
        <w:t xml:space="preserve">through </w:t>
      </w:r>
      <w:r w:rsidRPr="008F4E63" w:rsidR="000466B4">
        <w:rPr>
          <w:szCs w:val="24"/>
        </w:rPr>
        <w:t xml:space="preserve">annual reporting </w:t>
      </w:r>
      <w:r w:rsidRPr="008F4E63" w:rsidR="001B09FB">
        <w:rPr>
          <w:szCs w:val="24"/>
        </w:rPr>
        <w:t>will be used to facilitate Treasury’s compliance review for uses of funds that do not comply with program requirements, as well as to reduce the risk of waste, fraud, and abuse.</w:t>
      </w:r>
      <w:r w:rsidRPr="008F4E63" w:rsidR="000B4C57">
        <w:rPr>
          <w:rFonts w:eastAsiaTheme="majorEastAsia"/>
          <w:szCs w:val="24"/>
        </w:rPr>
        <w:t xml:space="preserve"> Any eligible revenue</w:t>
      </w:r>
      <w:r w:rsidR="00232A63">
        <w:rPr>
          <w:rFonts w:eastAsiaTheme="majorEastAsia"/>
          <w:szCs w:val="24"/>
        </w:rPr>
        <w:t xml:space="preserve"> </w:t>
      </w:r>
      <w:r w:rsidRPr="008F4E63" w:rsidR="000B4C57">
        <w:rPr>
          <w:rFonts w:eastAsiaTheme="majorEastAsia"/>
          <w:szCs w:val="24"/>
        </w:rPr>
        <w:t xml:space="preserve">sharing county </w:t>
      </w:r>
      <w:r w:rsidR="00B36C12">
        <w:rPr>
          <w:rFonts w:eastAsiaTheme="majorEastAsia"/>
          <w:szCs w:val="24"/>
        </w:rPr>
        <w:t xml:space="preserve">or eligible revenue sharing consolidated government </w:t>
      </w:r>
      <w:r w:rsidRPr="008F4E63" w:rsidR="000B4C57">
        <w:rPr>
          <w:rFonts w:eastAsiaTheme="majorEastAsia"/>
          <w:szCs w:val="24"/>
        </w:rPr>
        <w:t xml:space="preserve">that </w:t>
      </w:r>
      <w:r w:rsidRPr="008F4E63" w:rsidR="00F32956">
        <w:rPr>
          <w:rFonts w:eastAsiaTheme="majorEastAsia"/>
          <w:szCs w:val="24"/>
        </w:rPr>
        <w:t xml:space="preserve">is determined to have failed to </w:t>
      </w:r>
      <w:r w:rsidRPr="008F4E63" w:rsidR="00F13EAF">
        <w:rPr>
          <w:rFonts w:eastAsiaTheme="majorEastAsia"/>
          <w:szCs w:val="24"/>
        </w:rPr>
        <w:t>submit a report</w:t>
      </w:r>
      <w:r w:rsidRPr="008F4E63" w:rsidR="00F32956">
        <w:rPr>
          <w:rFonts w:eastAsiaTheme="majorEastAsia"/>
          <w:szCs w:val="24"/>
        </w:rPr>
        <w:t xml:space="preserve"> </w:t>
      </w:r>
      <w:r w:rsidRPr="008F4E63" w:rsidR="00F13EAF">
        <w:rPr>
          <w:rFonts w:eastAsiaTheme="majorEastAsia"/>
          <w:szCs w:val="24"/>
        </w:rPr>
        <w:t xml:space="preserve">may be required to repay to Treasury an amount </w:t>
      </w:r>
      <w:r w:rsidRPr="008F4E63" w:rsidR="00F32956">
        <w:rPr>
          <w:rFonts w:eastAsiaTheme="majorEastAsia"/>
          <w:szCs w:val="24"/>
        </w:rPr>
        <w:t>up to 5 percent of its total allocation</w:t>
      </w:r>
      <w:r w:rsidRPr="008F4E63" w:rsidR="009C269A">
        <w:rPr>
          <w:rFonts w:eastAsiaTheme="majorEastAsia"/>
          <w:szCs w:val="24"/>
        </w:rPr>
        <w:t>, as authorized by Section</w:t>
      </w:r>
      <w:r w:rsidR="00633815">
        <w:rPr>
          <w:rFonts w:eastAsiaTheme="majorEastAsia"/>
          <w:szCs w:val="24"/>
        </w:rPr>
        <w:t>s</w:t>
      </w:r>
      <w:r w:rsidRPr="008F4E63" w:rsidR="009C269A">
        <w:rPr>
          <w:rFonts w:eastAsiaTheme="majorEastAsia"/>
          <w:szCs w:val="24"/>
        </w:rPr>
        <w:t xml:space="preserve"> 605(d</w:t>
      </w:r>
      <w:r w:rsidRPr="008F4E63" w:rsidR="00633815">
        <w:rPr>
          <w:rFonts w:eastAsiaTheme="majorEastAsia"/>
          <w:szCs w:val="24"/>
        </w:rPr>
        <w:t>)</w:t>
      </w:r>
      <w:r w:rsidR="00633815">
        <w:rPr>
          <w:rFonts w:eastAsiaTheme="majorEastAsia"/>
          <w:szCs w:val="24"/>
        </w:rPr>
        <w:t xml:space="preserve"> and </w:t>
      </w:r>
      <w:r w:rsidRPr="008F4E63" w:rsidR="00633815">
        <w:rPr>
          <w:rFonts w:eastAsiaTheme="majorEastAsia"/>
          <w:szCs w:val="24"/>
        </w:rPr>
        <w:t>(</w:t>
      </w:r>
      <w:r w:rsidRPr="008F4E63" w:rsidR="009C269A">
        <w:rPr>
          <w:rFonts w:eastAsiaTheme="majorEastAsia"/>
          <w:szCs w:val="24"/>
        </w:rPr>
        <w:t>e).</w:t>
      </w:r>
    </w:p>
    <w:p w:rsidR="00D748E0" w:rsidRPr="008F4E63" w:rsidP="00D748E0" w14:paraId="7C7CD5A3" w14:textId="2E935F09">
      <w:pPr>
        <w:pStyle w:val="Heading2"/>
        <w:rPr>
          <w:rFonts w:ascii="Times New Roman" w:hAnsi="Times New Roman" w:cs="Times New Roman"/>
          <w:szCs w:val="24"/>
        </w:rPr>
      </w:pPr>
      <w:bookmarkStart w:id="112" w:name="_Toc79589868"/>
      <w:bookmarkStart w:id="113" w:name="_Toc79598598"/>
      <w:bookmarkStart w:id="114" w:name="_Toc80900074"/>
      <w:bookmarkStart w:id="115" w:name="_Toc82542755"/>
      <w:r w:rsidRPr="008F4E63">
        <w:rPr>
          <w:rFonts w:ascii="Times New Roman" w:hAnsi="Times New Roman" w:cs="Times New Roman"/>
          <w:szCs w:val="24"/>
        </w:rPr>
        <w:t>OVERSIGHT</w:t>
      </w:r>
      <w:bookmarkEnd w:id="112"/>
      <w:bookmarkEnd w:id="113"/>
      <w:bookmarkEnd w:id="114"/>
      <w:bookmarkEnd w:id="115"/>
    </w:p>
    <w:p w:rsidR="00D748E0" w:rsidRPr="00ED30FD" w:rsidP="00ED30FD" w14:paraId="78DE1FF4" w14:textId="265B18C9">
      <w:pPr>
        <w:pStyle w:val="BodyText"/>
        <w:ind w:right="497"/>
      </w:pPr>
      <w:r w:rsidRPr="008F4E63">
        <w:t xml:space="preserve">Recipients </w:t>
      </w:r>
      <w:r w:rsidR="00633815">
        <w:t>will</w:t>
      </w:r>
      <w:r w:rsidRPr="008F4E63" w:rsidR="00633815">
        <w:t xml:space="preserve"> </w:t>
      </w:r>
      <w:r w:rsidRPr="008F4E63">
        <w:t>be subject to audit or review by the Treasury Inspector General and Government Accountability Office.</w:t>
      </w:r>
      <w:r w:rsidR="001F61B0">
        <w:t xml:space="preserve"> Recipients are subject to the </w:t>
      </w:r>
      <w:r w:rsidRPr="001F61B0" w:rsidR="001F61B0">
        <w:t>Single Audit Act and its implementing regulations at 2 C.F.R. Part 200 Subpart F.</w:t>
      </w:r>
    </w:p>
    <w:p w:rsidR="003727C7" w:rsidRPr="008F4E63" w:rsidP="003727C7" w14:paraId="3FABB5C7" w14:textId="51A69B0B">
      <w:pPr>
        <w:pStyle w:val="Heading2"/>
        <w:rPr>
          <w:rFonts w:ascii="Times New Roman" w:hAnsi="Times New Roman" w:cs="Times New Roman"/>
          <w:szCs w:val="24"/>
        </w:rPr>
      </w:pPr>
      <w:r w:rsidRPr="008F4E63">
        <w:rPr>
          <w:rFonts w:ascii="Times New Roman" w:hAnsi="Times New Roman" w:cs="Times New Roman"/>
          <w:szCs w:val="24"/>
        </w:rPr>
        <w:t>COMPLIANCE</w:t>
      </w:r>
    </w:p>
    <w:p w:rsidR="00D24C39" w:rsidRPr="008F4E63" w:rsidP="001470D4" w14:paraId="1B7F4205" w14:textId="7F96DC9E">
      <w:pPr>
        <w:pStyle w:val="ListParagraph"/>
        <w:numPr>
          <w:ilvl w:val="0"/>
          <w:numId w:val="33"/>
        </w:numPr>
        <w:rPr>
          <w:b/>
          <w:bCs/>
          <w:szCs w:val="24"/>
        </w:rPr>
      </w:pPr>
      <w:r>
        <w:rPr>
          <w:b/>
          <w:bCs/>
          <w:szCs w:val="24"/>
        </w:rPr>
        <w:t>General</w:t>
      </w:r>
    </w:p>
    <w:p w:rsidR="00280502" w:rsidRPr="008F4E63" w:rsidP="003727C7" w14:paraId="7059C146" w14:textId="77777777">
      <w:pPr>
        <w:rPr>
          <w:szCs w:val="24"/>
        </w:rPr>
      </w:pPr>
    </w:p>
    <w:p w:rsidR="001709CD" w:rsidP="003727C7" w14:paraId="3780D9B4" w14:textId="2BEECC72">
      <w:pPr>
        <w:rPr>
          <w:szCs w:val="24"/>
        </w:rPr>
      </w:pPr>
      <w:bookmarkStart w:id="116" w:name="_Hlk105769974"/>
      <w:r w:rsidRPr="00D66E35">
        <w:t xml:space="preserve">Treasury may </w:t>
      </w:r>
      <w:r w:rsidRPr="00D66E35" w:rsidR="009A6E53">
        <w:t xml:space="preserve">recoup funds </w:t>
      </w:r>
      <w:r w:rsidRPr="00100BC7" w:rsidR="00954ABE">
        <w:t xml:space="preserve">from </w:t>
      </w:r>
      <w:r w:rsidR="002A33DE">
        <w:t xml:space="preserve">any </w:t>
      </w:r>
      <w:r w:rsidRPr="00D66E35">
        <w:t>recipient</w:t>
      </w:r>
      <w:r w:rsidRPr="00100BC7" w:rsidR="00954ABE">
        <w:t xml:space="preserve"> </w:t>
      </w:r>
      <w:r w:rsidRPr="00BE2E28" w:rsidR="009A6E53">
        <w:t>in</w:t>
      </w:r>
      <w:r w:rsidRPr="00FB4CE5" w:rsidR="009C42EF">
        <w:t xml:space="preserve"> cases of </w:t>
      </w:r>
      <w:r w:rsidRPr="00C0438E">
        <w:t>misuse of LATCF funds</w:t>
      </w:r>
      <w:r w:rsidRPr="00D66E35" w:rsidR="009C42EF">
        <w:t xml:space="preserve">. </w:t>
      </w:r>
      <w:r w:rsidR="00DB0B5A">
        <w:t xml:space="preserve">Separately, in case of a failure to report, </w:t>
      </w:r>
      <w:r w:rsidRPr="00D66E35" w:rsidR="009A6E53">
        <w:t>Section 605(c)</w:t>
      </w:r>
      <w:r w:rsidRPr="00D66E35" w:rsidR="009C42EF">
        <w:t xml:space="preserve"> </w:t>
      </w:r>
      <w:r w:rsidRPr="00D66E35">
        <w:t xml:space="preserve">provides </w:t>
      </w:r>
      <w:r w:rsidRPr="00100BC7">
        <w:t>specifically that</w:t>
      </w:r>
      <w:r w:rsidRPr="00BE2E28" w:rsidR="009A6E53">
        <w:t xml:space="preserve"> </w:t>
      </w:r>
      <w:r w:rsidRPr="00FB4CE5">
        <w:t>Treasury may</w:t>
      </w:r>
      <w:r w:rsidRPr="00C0438E" w:rsidR="007B1755">
        <w:t xml:space="preserve"> also</w:t>
      </w:r>
      <w:r w:rsidRPr="00C0438E">
        <w:t xml:space="preserve"> recoup</w:t>
      </w:r>
      <w:r w:rsidRPr="00C0438E" w:rsidR="009A6E53">
        <w:t xml:space="preserve"> funds from an eligible revenue</w:t>
      </w:r>
      <w:r w:rsidRPr="00822071" w:rsidR="00232A63">
        <w:t xml:space="preserve"> </w:t>
      </w:r>
      <w:r w:rsidRPr="00822071" w:rsidR="009A6E53">
        <w:t xml:space="preserve">sharing county </w:t>
      </w:r>
      <w:r w:rsidR="00B36C12">
        <w:t xml:space="preserve">or an eligible revenue sharing consolidated government </w:t>
      </w:r>
      <w:r w:rsidRPr="003C737B" w:rsidR="00EE3579">
        <w:t xml:space="preserve">of an amount that the Secretary determines appropriate but </w:t>
      </w:r>
      <w:r w:rsidRPr="003C737B" w:rsidR="00BD60AF">
        <w:t xml:space="preserve">that </w:t>
      </w:r>
      <w:r w:rsidRPr="003C737B" w:rsidR="00EE3579">
        <w:t xml:space="preserve">does not exceed 5 percent of the </w:t>
      </w:r>
      <w:r w:rsidRPr="003C737B" w:rsidR="0020508F">
        <w:t>r</w:t>
      </w:r>
      <w:r w:rsidRPr="003C737B" w:rsidR="00EE3579">
        <w:t>ecipient’s total allocation</w:t>
      </w:r>
      <w:r w:rsidRPr="00D66E35" w:rsidR="00EE3579">
        <w:t>.</w:t>
      </w:r>
      <w:bookmarkEnd w:id="116"/>
      <w:r w:rsidRPr="00100BC7" w:rsidR="009C42EF">
        <w:t xml:space="preserve"> </w:t>
      </w:r>
    </w:p>
    <w:p w:rsidR="00361954" w:rsidP="003727C7" w14:paraId="1E9B0D2A" w14:textId="75F13AC7">
      <w:pPr>
        <w:rPr>
          <w:szCs w:val="24"/>
        </w:rPr>
      </w:pPr>
    </w:p>
    <w:p w:rsidR="00361954" w:rsidRPr="008F4E63" w:rsidP="003727C7" w14:paraId="4268D104" w14:textId="35B2097F">
      <w:pPr>
        <w:rPr>
          <w:szCs w:val="24"/>
        </w:rPr>
      </w:pPr>
      <w:bookmarkStart w:id="117" w:name="_Hlk105769915"/>
      <w:r>
        <w:rPr>
          <w:szCs w:val="24"/>
        </w:rPr>
        <w:t xml:space="preserve">Any </w:t>
      </w:r>
      <w:r w:rsidR="00680B2C">
        <w:rPr>
          <w:szCs w:val="24"/>
        </w:rPr>
        <w:t>amounts</w:t>
      </w:r>
      <w:r w:rsidR="0075626E">
        <w:rPr>
          <w:szCs w:val="24"/>
        </w:rPr>
        <w:t xml:space="preserve"> that Treasury has determined to recoup would</w:t>
      </w:r>
      <w:r>
        <w:rPr>
          <w:szCs w:val="24"/>
        </w:rPr>
        <w:t xml:space="preserve"> be subject to generally applicable federal debt collection laws and procedures, including the provisions set forth in Chapter 37 of title 31 of the United States Code and the Federal Claims Collection Standards at 31 C.F.R. Part</w:t>
      </w:r>
      <w:r w:rsidR="00926F5D">
        <w:rPr>
          <w:szCs w:val="24"/>
        </w:rPr>
        <w:t>s</w:t>
      </w:r>
      <w:r>
        <w:rPr>
          <w:szCs w:val="24"/>
        </w:rPr>
        <w:t xml:space="preserve"> 900</w:t>
      </w:r>
      <w:r w:rsidR="00926F5D">
        <w:rPr>
          <w:szCs w:val="24"/>
        </w:rPr>
        <w:t xml:space="preserve"> through 904</w:t>
      </w:r>
      <w:r>
        <w:rPr>
          <w:szCs w:val="24"/>
        </w:rPr>
        <w:t xml:space="preserve">.  </w:t>
      </w:r>
    </w:p>
    <w:bookmarkEnd w:id="117"/>
    <w:p w:rsidR="001709CD" w:rsidRPr="008F4E63" w:rsidP="003727C7" w14:paraId="7D782E84" w14:textId="0272E0AF">
      <w:pPr>
        <w:rPr>
          <w:szCs w:val="24"/>
        </w:rPr>
      </w:pPr>
    </w:p>
    <w:p w:rsidR="003727C7" w:rsidRPr="008F4E63" w:rsidP="003727C7" w14:paraId="39696604" w14:textId="7AF867BF">
      <w:pPr>
        <w:rPr>
          <w:szCs w:val="24"/>
        </w:rPr>
      </w:pPr>
      <w:r w:rsidRPr="008F4E63">
        <w:rPr>
          <w:szCs w:val="24"/>
        </w:rPr>
        <w:t xml:space="preserve">Treasury expects to work with </w:t>
      </w:r>
      <w:r w:rsidR="0020508F">
        <w:rPr>
          <w:szCs w:val="24"/>
        </w:rPr>
        <w:t>r</w:t>
      </w:r>
      <w:r w:rsidRPr="008F4E63">
        <w:rPr>
          <w:szCs w:val="24"/>
        </w:rPr>
        <w:t>ecipients to support the use of LATCF funds and the</w:t>
      </w:r>
      <w:r w:rsidRPr="008F4E63" w:rsidR="00C37547">
        <w:rPr>
          <w:szCs w:val="24"/>
        </w:rPr>
        <w:t xml:space="preserve"> timely</w:t>
      </w:r>
      <w:r w:rsidRPr="008F4E63">
        <w:rPr>
          <w:szCs w:val="24"/>
        </w:rPr>
        <w:t xml:space="preserve"> filing of annual reports to Treasury. Treasury may, for example, request additional information </w:t>
      </w:r>
      <w:r w:rsidRPr="008F4E63" w:rsidR="00C37547">
        <w:rPr>
          <w:szCs w:val="24"/>
        </w:rPr>
        <w:t>and work with recipients to remedy the failure to timely file a report</w:t>
      </w:r>
      <w:r w:rsidRPr="008F4E63">
        <w:rPr>
          <w:szCs w:val="24"/>
        </w:rPr>
        <w:t xml:space="preserve"> before initiating the recoupment process. </w:t>
      </w:r>
      <w:r w:rsidRPr="008F4E63" w:rsidR="009C42EF">
        <w:rPr>
          <w:szCs w:val="24"/>
        </w:rPr>
        <w:t xml:space="preserve">Treasury may pursue additional remedies for noncompliance with applicable law or program requirements </w:t>
      </w:r>
      <w:r w:rsidRPr="008F4E63" w:rsidR="00886C02">
        <w:rPr>
          <w:szCs w:val="24"/>
        </w:rPr>
        <w:t>in conjunction with, or as an alternative to,</w:t>
      </w:r>
      <w:r w:rsidRPr="008F4E63" w:rsidR="009C42EF">
        <w:rPr>
          <w:szCs w:val="24"/>
        </w:rPr>
        <w:t xml:space="preserve"> recoupment, including imposing </w:t>
      </w:r>
      <w:r w:rsidRPr="008F4E63">
        <w:rPr>
          <w:szCs w:val="24"/>
        </w:rPr>
        <w:t xml:space="preserve">conditions on the receipt of additional </w:t>
      </w:r>
      <w:r w:rsidRPr="008F4E63" w:rsidR="002514C0">
        <w:rPr>
          <w:szCs w:val="24"/>
        </w:rPr>
        <w:t>LATCF</w:t>
      </w:r>
      <w:r w:rsidRPr="008F4E63">
        <w:rPr>
          <w:szCs w:val="24"/>
        </w:rPr>
        <w:t xml:space="preserve"> funds by the </w:t>
      </w:r>
      <w:r w:rsidR="0020508F">
        <w:rPr>
          <w:szCs w:val="24"/>
        </w:rPr>
        <w:t>r</w:t>
      </w:r>
      <w:r w:rsidRPr="008F4E63">
        <w:rPr>
          <w:szCs w:val="24"/>
        </w:rPr>
        <w:t>ecipient</w:t>
      </w:r>
      <w:r w:rsidRPr="008F4E63" w:rsidR="00423427">
        <w:rPr>
          <w:szCs w:val="24"/>
        </w:rPr>
        <w:t xml:space="preserve"> </w:t>
      </w:r>
      <w:r w:rsidR="0020508F">
        <w:rPr>
          <w:szCs w:val="24"/>
        </w:rPr>
        <w:t xml:space="preserve">and/or </w:t>
      </w:r>
      <w:r w:rsidRPr="008F4E63" w:rsidR="00886C02">
        <w:rPr>
          <w:szCs w:val="24"/>
        </w:rPr>
        <w:t>terminating</w:t>
      </w:r>
      <w:r w:rsidRPr="008F4E63">
        <w:rPr>
          <w:szCs w:val="24"/>
        </w:rPr>
        <w:t xml:space="preserve"> further payments from the </w:t>
      </w:r>
      <w:r w:rsidRPr="008F4E63" w:rsidR="002514C0">
        <w:rPr>
          <w:szCs w:val="24"/>
        </w:rPr>
        <w:t>LATCF</w:t>
      </w:r>
      <w:r w:rsidRPr="008F4E63">
        <w:rPr>
          <w:szCs w:val="24"/>
        </w:rPr>
        <w:t>.</w:t>
      </w:r>
      <w:r w:rsidRPr="008F4E63" w:rsidR="00886C02">
        <w:rPr>
          <w:szCs w:val="24"/>
        </w:rPr>
        <w:t xml:space="preserve"> </w:t>
      </w:r>
    </w:p>
    <w:p w:rsidR="00280502" w:rsidRPr="008F4E63" w:rsidP="003727C7" w14:paraId="65442140" w14:textId="01BC78BC">
      <w:pPr>
        <w:rPr>
          <w:szCs w:val="24"/>
        </w:rPr>
      </w:pPr>
    </w:p>
    <w:p w:rsidR="00280502" w:rsidRPr="008F4E63" w:rsidP="001470D4" w14:paraId="367067AA" w14:textId="31B4EDF0">
      <w:pPr>
        <w:pStyle w:val="ListParagraph"/>
        <w:numPr>
          <w:ilvl w:val="0"/>
          <w:numId w:val="33"/>
        </w:numPr>
        <w:rPr>
          <w:b/>
          <w:bCs/>
          <w:szCs w:val="24"/>
        </w:rPr>
      </w:pPr>
      <w:r w:rsidRPr="008F4E63">
        <w:rPr>
          <w:b/>
          <w:bCs/>
          <w:szCs w:val="24"/>
        </w:rPr>
        <w:t xml:space="preserve">Recoupment </w:t>
      </w:r>
      <w:r w:rsidRPr="008F4E63">
        <w:rPr>
          <w:b/>
          <w:bCs/>
          <w:szCs w:val="24"/>
        </w:rPr>
        <w:t>Process</w:t>
      </w:r>
    </w:p>
    <w:p w:rsidR="00280502" w:rsidRPr="008F4E63" w:rsidP="003727C7" w14:paraId="7F987DBC" w14:textId="181C9128">
      <w:pPr>
        <w:rPr>
          <w:i/>
          <w:iCs/>
          <w:szCs w:val="24"/>
        </w:rPr>
      </w:pPr>
    </w:p>
    <w:p w:rsidR="00886C02" w:rsidRPr="008F4E63" w:rsidP="00886C02" w14:paraId="5A0FC65A" w14:textId="279FCA96">
      <w:pPr>
        <w:rPr>
          <w:szCs w:val="24"/>
        </w:rPr>
      </w:pPr>
      <w:r w:rsidRPr="008F4E63">
        <w:rPr>
          <w:szCs w:val="24"/>
        </w:rPr>
        <w:t xml:space="preserve">Treasury will monitor recipients’ compliance with </w:t>
      </w:r>
      <w:r w:rsidR="00887ED6">
        <w:rPr>
          <w:szCs w:val="24"/>
        </w:rPr>
        <w:t xml:space="preserve">legislative and </w:t>
      </w:r>
      <w:r w:rsidRPr="008F4E63">
        <w:rPr>
          <w:szCs w:val="24"/>
        </w:rPr>
        <w:t xml:space="preserve">program requirements </w:t>
      </w:r>
      <w:r w:rsidRPr="008F4E63">
        <w:rPr>
          <w:szCs w:val="24"/>
        </w:rPr>
        <w:t>through</w:t>
      </w:r>
      <w:r w:rsidRPr="008F4E63">
        <w:rPr>
          <w:szCs w:val="24"/>
        </w:rPr>
        <w:t xml:space="preserve"> </w:t>
      </w:r>
      <w:r w:rsidR="00887ED6">
        <w:rPr>
          <w:szCs w:val="24"/>
        </w:rPr>
        <w:t xml:space="preserve">evaluation of </w:t>
      </w:r>
      <w:r w:rsidRPr="008F4E63">
        <w:rPr>
          <w:szCs w:val="24"/>
        </w:rPr>
        <w:t xml:space="preserve">information submitted by recipients through </w:t>
      </w:r>
      <w:r w:rsidRPr="008F4E63" w:rsidR="00B16F6D">
        <w:rPr>
          <w:szCs w:val="24"/>
        </w:rPr>
        <w:t>annual</w:t>
      </w:r>
      <w:r w:rsidRPr="008F4E63">
        <w:rPr>
          <w:szCs w:val="24"/>
        </w:rPr>
        <w:t xml:space="preserve"> reporting as well as other sources. </w:t>
      </w:r>
      <w:r w:rsidRPr="00887ED6">
        <w:t xml:space="preserve">If </w:t>
      </w:r>
      <w:r w:rsidR="00AB34C6">
        <w:t>Treasury identifies</w:t>
      </w:r>
      <w:r w:rsidRPr="00887ED6">
        <w:t xml:space="preserve"> a</w:t>
      </w:r>
      <w:r w:rsidR="00DB0B5A">
        <w:t xml:space="preserve">n instance of </w:t>
      </w:r>
      <w:r w:rsidRPr="00887ED6">
        <w:t xml:space="preserve">potential </w:t>
      </w:r>
      <w:r w:rsidR="00887ED6">
        <w:t>non-compliance</w:t>
      </w:r>
      <w:r w:rsidRPr="00887ED6">
        <w:t xml:space="preserve">, Treasury </w:t>
      </w:r>
      <w:r w:rsidRPr="00887ED6" w:rsidR="00F0518C">
        <w:t xml:space="preserve">expects to </w:t>
      </w:r>
      <w:r w:rsidRPr="00887ED6">
        <w:t xml:space="preserve">provide </w:t>
      </w:r>
      <w:r w:rsidR="00DB0B5A">
        <w:t xml:space="preserve">the recipient with a notice of </w:t>
      </w:r>
      <w:r w:rsidR="00BE2E28">
        <w:t xml:space="preserve">the proposed </w:t>
      </w:r>
      <w:r w:rsidR="00DB0B5A">
        <w:t>non-compliance</w:t>
      </w:r>
      <w:r w:rsidR="00D66E35">
        <w:t xml:space="preserve">. Treasury expects </w:t>
      </w:r>
      <w:r w:rsidR="00BE2E28">
        <w:t>the notice of proposed non-compliance to set forth a process consistent with the award terms and conditions and applicable law</w:t>
      </w:r>
      <w:r w:rsidR="00D66E35">
        <w:t xml:space="preserve">. Recipients that receive a final determination of non-compliance </w:t>
      </w:r>
      <w:r w:rsidR="00BE2E28">
        <w:t xml:space="preserve">from Treasury </w:t>
      </w:r>
      <w:r w:rsidR="00D66E35">
        <w:t xml:space="preserve">will be required to repay any amounts </w:t>
      </w:r>
      <w:r w:rsidR="00BE2E28">
        <w:t>in accordance with the process set forth in the final determination of non-compliance</w:t>
      </w:r>
      <w:r w:rsidR="00D66E35">
        <w:t xml:space="preserve">. </w:t>
      </w:r>
    </w:p>
    <w:p w:rsidR="00FB4CE5" w:rsidP="003727C7" w14:paraId="4CDC8E32" w14:textId="77777777"/>
    <w:p w:rsidR="00D748E0" w:rsidRPr="008F4E63" w:rsidP="003727C7" w14:paraId="0B2FFE55" w14:textId="027A5568">
      <w:pPr>
        <w:rPr>
          <w:szCs w:val="24"/>
        </w:rPr>
      </w:pPr>
      <w:r w:rsidRPr="00887ED6">
        <w:t xml:space="preserve">Treasury retains the </w:t>
      </w:r>
      <w:r w:rsidRPr="00887ED6" w:rsidR="007268E4">
        <w:t xml:space="preserve">discretion </w:t>
      </w:r>
      <w:r w:rsidRPr="00887ED6">
        <w:t xml:space="preserve">to </w:t>
      </w:r>
      <w:r w:rsidR="00BE2E28">
        <w:t>provide additional guidance on the process set forth above</w:t>
      </w:r>
      <w:r w:rsidRPr="00BE2E28" w:rsidR="007268E4">
        <w:t xml:space="preserve"> in accordance with and as permitted by Chapter 37 of title 31 of the United States Code and the Federal Claims Collection Standards at 31 C.F.R. Part 900</w:t>
      </w:r>
      <w:r w:rsidRPr="00BE2E28">
        <w:t>.</w:t>
      </w:r>
    </w:p>
    <w:p w:rsidR="007A0507" w:rsidRPr="008F4E63" w:rsidP="007A0507" w14:paraId="28755A85" w14:textId="6ECEEFCE">
      <w:pPr>
        <w:pStyle w:val="Heading2"/>
        <w:rPr>
          <w:rFonts w:ascii="Times New Roman" w:hAnsi="Times New Roman" w:cs="Times New Roman"/>
          <w:szCs w:val="24"/>
        </w:rPr>
      </w:pPr>
      <w:bookmarkStart w:id="118" w:name="_Toc82542760"/>
      <w:bookmarkStart w:id="119" w:name="_Toc79589869"/>
      <w:bookmarkStart w:id="120" w:name="_Toc79598599"/>
      <w:bookmarkStart w:id="121" w:name="_Toc80900075"/>
      <w:bookmarkStart w:id="122" w:name="_Toc82542756"/>
      <w:bookmarkStart w:id="123" w:name="_Toc79589872"/>
      <w:bookmarkStart w:id="124" w:name="_Toc79598602"/>
      <w:bookmarkStart w:id="125" w:name="_Toc80900079"/>
      <w:bookmarkStart w:id="126" w:name="_Toc82542761"/>
      <w:bookmarkEnd w:id="118"/>
      <w:r w:rsidRPr="008F4E63">
        <w:rPr>
          <w:rFonts w:ascii="Times New Roman" w:hAnsi="Times New Roman" w:cs="Times New Roman"/>
          <w:szCs w:val="24"/>
        </w:rPr>
        <w:t xml:space="preserve">APPLICATION OF </w:t>
      </w:r>
      <w:bookmarkEnd w:id="119"/>
      <w:bookmarkEnd w:id="120"/>
      <w:bookmarkEnd w:id="121"/>
      <w:bookmarkEnd w:id="122"/>
      <w:r w:rsidRPr="008F4E63" w:rsidR="00D748E0">
        <w:rPr>
          <w:rFonts w:ascii="Times New Roman" w:hAnsi="Times New Roman" w:cs="Times New Roman"/>
          <w:szCs w:val="24"/>
        </w:rPr>
        <w:t xml:space="preserve">FEDERAL FINANCIAL ASSISTANCE </w:t>
      </w:r>
      <w:r w:rsidR="0075626E">
        <w:rPr>
          <w:rFonts w:ascii="Times New Roman" w:hAnsi="Times New Roman" w:cs="Times New Roman"/>
          <w:szCs w:val="24"/>
        </w:rPr>
        <w:t>REQUIREMENTS</w:t>
      </w:r>
    </w:p>
    <w:p w:rsidR="00D11F44" w:rsidP="007A0507" w14:paraId="5ABAFE46" w14:textId="77777777">
      <w:pPr>
        <w:rPr>
          <w:szCs w:val="24"/>
        </w:rPr>
      </w:pPr>
      <w:r>
        <w:rPr>
          <w:szCs w:val="24"/>
        </w:rPr>
        <w:t xml:space="preserve">The LATCF is considered federal financial assistance and recipients are generally subject to laws and regulations applicable to federal financial assistance. </w:t>
      </w:r>
    </w:p>
    <w:p w:rsidR="00D11F44" w:rsidP="007A0507" w14:paraId="381AB77C" w14:textId="77777777">
      <w:pPr>
        <w:rPr>
          <w:szCs w:val="24"/>
        </w:rPr>
      </w:pPr>
    </w:p>
    <w:p w:rsidR="00D11F44" w:rsidRPr="008123F8" w:rsidP="008123F8" w14:paraId="700DCF1B" w14:textId="21421CCE">
      <w:pPr>
        <w:pStyle w:val="ListParagraph"/>
        <w:numPr>
          <w:ilvl w:val="0"/>
          <w:numId w:val="48"/>
        </w:numPr>
        <w:rPr>
          <w:b/>
          <w:bCs/>
          <w:szCs w:val="24"/>
        </w:rPr>
      </w:pPr>
      <w:r>
        <w:rPr>
          <w:b/>
          <w:bCs/>
          <w:szCs w:val="24"/>
        </w:rPr>
        <w:t xml:space="preserve">Financial Assistance Award </w:t>
      </w:r>
      <w:r w:rsidRPr="008123F8">
        <w:rPr>
          <w:b/>
          <w:bCs/>
          <w:szCs w:val="24"/>
        </w:rPr>
        <w:t>Management Requirements</w:t>
      </w:r>
    </w:p>
    <w:p w:rsidR="00D11F44" w:rsidP="008123F8" w14:paraId="15B127D7" w14:textId="77777777">
      <w:pPr>
        <w:pStyle w:val="ListParagraph"/>
        <w:ind w:left="360" w:firstLine="0"/>
        <w:rPr>
          <w:szCs w:val="24"/>
        </w:rPr>
      </w:pPr>
    </w:p>
    <w:p w:rsidR="00616C51" w:rsidRPr="008F4E63" w:rsidP="007A0507" w14:paraId="258ADCA7" w14:textId="73FDF0DA">
      <w:pPr>
        <w:rPr>
          <w:szCs w:val="24"/>
        </w:rPr>
      </w:pPr>
      <w:r w:rsidRPr="008F4E63">
        <w:rPr>
          <w:szCs w:val="24"/>
        </w:rPr>
        <w:t xml:space="preserve">LATCF recipients are </w:t>
      </w:r>
      <w:r w:rsidRPr="008F4E63">
        <w:rPr>
          <w:szCs w:val="24"/>
        </w:rPr>
        <w:t xml:space="preserve">subject to the following provisions of </w:t>
      </w:r>
      <w:r w:rsidR="00C16552">
        <w:rPr>
          <w:szCs w:val="24"/>
        </w:rPr>
        <w:t>2 C.F.R. Part 200 (</w:t>
      </w:r>
      <w:r w:rsidRPr="008F4E63">
        <w:rPr>
          <w:szCs w:val="24"/>
        </w:rPr>
        <w:t>the Uniform Guidance</w:t>
      </w:r>
      <w:r w:rsidR="00C16552">
        <w:rPr>
          <w:szCs w:val="24"/>
        </w:rPr>
        <w:t>)</w:t>
      </w:r>
      <w:r w:rsidRPr="008F4E63" w:rsidR="00411953">
        <w:rPr>
          <w:szCs w:val="24"/>
        </w:rPr>
        <w:t>:</w:t>
      </w:r>
      <w:r w:rsidR="005F28A6">
        <w:rPr>
          <w:szCs w:val="24"/>
        </w:rPr>
        <w:br/>
      </w:r>
      <w:r w:rsidRPr="008F4E63" w:rsidR="00411953">
        <w:rPr>
          <w:szCs w:val="24"/>
        </w:rPr>
        <w:t xml:space="preserve"> </w:t>
      </w:r>
    </w:p>
    <w:p w:rsidR="00616C51" w:rsidRPr="008F4E63" w:rsidP="00616C51" w14:paraId="6DCD1B8A" w14:textId="2E110219">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Subpart A (Acronyms</w:t>
      </w:r>
      <w:r w:rsidRPr="008F4E63">
        <w:rPr>
          <w:szCs w:val="24"/>
        </w:rPr>
        <w:t>);</w:t>
      </w:r>
      <w:r w:rsidRPr="008F4E63">
        <w:rPr>
          <w:szCs w:val="24"/>
        </w:rPr>
        <w:t xml:space="preserve"> </w:t>
      </w:r>
    </w:p>
    <w:p w:rsidR="00616C51" w:rsidRPr="008F4E63" w:rsidP="00616C51" w14:paraId="09DA9DD8" w14:textId="7B29107F">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200.100-110 (certain General Provisions</w:t>
      </w:r>
      <w:r w:rsidRPr="008F4E63">
        <w:rPr>
          <w:szCs w:val="24"/>
        </w:rPr>
        <w:t>);</w:t>
      </w:r>
      <w:r w:rsidRPr="008F4E63">
        <w:rPr>
          <w:szCs w:val="24"/>
        </w:rPr>
        <w:t xml:space="preserve"> </w:t>
      </w:r>
    </w:p>
    <w:p w:rsidR="00616C51" w:rsidRPr="008F4E63" w:rsidP="00616C51" w14:paraId="5591362D" w14:textId="532E44A8">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200.203 (public notice of Federal financial assistance programs</w:t>
      </w:r>
      <w:r w:rsidRPr="008F4E63">
        <w:rPr>
          <w:szCs w:val="24"/>
        </w:rPr>
        <w:t>);</w:t>
      </w:r>
      <w:r w:rsidRPr="008F4E63">
        <w:rPr>
          <w:szCs w:val="24"/>
        </w:rPr>
        <w:t xml:space="preserve"> </w:t>
      </w:r>
    </w:p>
    <w:p w:rsidR="00616C51" w:rsidRPr="008F4E63" w:rsidP="00616C51" w14:paraId="60B467FF" w14:textId="60354725">
      <w:pPr>
        <w:pStyle w:val="ListParagraph"/>
        <w:numPr>
          <w:ilvl w:val="0"/>
          <w:numId w:val="39"/>
        </w:numPr>
        <w:rPr>
          <w:szCs w:val="24"/>
        </w:rPr>
      </w:pPr>
      <w:r w:rsidRPr="008F4E63">
        <w:rPr>
          <w:szCs w:val="24"/>
        </w:rPr>
        <w:t>2 C</w:t>
      </w:r>
      <w:r w:rsidR="009C07E8">
        <w:rPr>
          <w:szCs w:val="24"/>
        </w:rPr>
        <w:t>.</w:t>
      </w:r>
      <w:r w:rsidRPr="008F4E63">
        <w:rPr>
          <w:szCs w:val="24"/>
        </w:rPr>
        <w:t>F</w:t>
      </w:r>
      <w:r w:rsidR="009C07E8">
        <w:rPr>
          <w:szCs w:val="24"/>
        </w:rPr>
        <w:t>.</w:t>
      </w:r>
      <w:r w:rsidRPr="008F4E63">
        <w:rPr>
          <w:szCs w:val="24"/>
        </w:rPr>
        <w:t>R</w:t>
      </w:r>
      <w:r w:rsidR="009C07E8">
        <w:rPr>
          <w:szCs w:val="24"/>
        </w:rPr>
        <w:t>.</w:t>
      </w:r>
      <w:r w:rsidRPr="008F4E63">
        <w:rPr>
          <w:szCs w:val="24"/>
        </w:rPr>
        <w:t xml:space="preserve"> 200.303 (internal controls); and </w:t>
      </w:r>
    </w:p>
    <w:p w:rsidR="00616C51" w:rsidRPr="008F4E63" w:rsidP="00616C51" w14:paraId="1CC799CE" w14:textId="5A51B881">
      <w:pPr>
        <w:pStyle w:val="ListParagraph"/>
        <w:numPr>
          <w:ilvl w:val="0"/>
          <w:numId w:val="39"/>
        </w:numPr>
        <w:rPr>
          <w:szCs w:val="24"/>
        </w:rPr>
      </w:pPr>
      <w:r w:rsidRPr="008F4E63">
        <w:rPr>
          <w:szCs w:val="24"/>
        </w:rPr>
        <w:t>Single Audit Act and its implementing regulations at 2 C</w:t>
      </w:r>
      <w:r w:rsidR="00390FF8">
        <w:rPr>
          <w:szCs w:val="24"/>
        </w:rPr>
        <w:t>.</w:t>
      </w:r>
      <w:r w:rsidRPr="008F4E63">
        <w:rPr>
          <w:szCs w:val="24"/>
        </w:rPr>
        <w:t>F</w:t>
      </w:r>
      <w:r w:rsidR="00390FF8">
        <w:rPr>
          <w:szCs w:val="24"/>
        </w:rPr>
        <w:t>.</w:t>
      </w:r>
      <w:r w:rsidRPr="008F4E63">
        <w:rPr>
          <w:szCs w:val="24"/>
        </w:rPr>
        <w:t>R</w:t>
      </w:r>
      <w:r w:rsidR="00390FF8">
        <w:rPr>
          <w:szCs w:val="24"/>
        </w:rPr>
        <w:t>.</w:t>
      </w:r>
      <w:r w:rsidRPr="008F4E63">
        <w:rPr>
          <w:szCs w:val="24"/>
        </w:rPr>
        <w:t xml:space="preserve"> Part 200 Subpart F. </w:t>
      </w:r>
    </w:p>
    <w:p w:rsidR="00616C51" w:rsidRPr="008F4E63" w:rsidP="00616C51" w14:paraId="73EFA353" w14:textId="77777777">
      <w:pPr>
        <w:rPr>
          <w:szCs w:val="24"/>
        </w:rPr>
      </w:pPr>
    </w:p>
    <w:p w:rsidR="00D748E0" w:rsidRPr="008F4E63" w:rsidP="00616C51" w14:paraId="1ACD6152" w14:textId="0057DC96">
      <w:pPr>
        <w:rPr>
          <w:szCs w:val="24"/>
        </w:rPr>
      </w:pPr>
      <w:r w:rsidRPr="008F4E63">
        <w:rPr>
          <w:szCs w:val="24"/>
        </w:rPr>
        <w:t>Per 2 C</w:t>
      </w:r>
      <w:r w:rsidR="00390FF8">
        <w:rPr>
          <w:szCs w:val="24"/>
        </w:rPr>
        <w:t>.</w:t>
      </w:r>
      <w:r w:rsidRPr="008F4E63">
        <w:rPr>
          <w:szCs w:val="24"/>
        </w:rPr>
        <w:t>F</w:t>
      </w:r>
      <w:r w:rsidR="00390FF8">
        <w:rPr>
          <w:szCs w:val="24"/>
        </w:rPr>
        <w:t>.</w:t>
      </w:r>
      <w:r w:rsidRPr="008F4E63">
        <w:rPr>
          <w:szCs w:val="24"/>
        </w:rPr>
        <w:t>R</w:t>
      </w:r>
      <w:r w:rsidR="00390FF8">
        <w:rPr>
          <w:szCs w:val="24"/>
        </w:rPr>
        <w:t>.</w:t>
      </w:r>
      <w:r w:rsidRPr="008F4E63">
        <w:rPr>
          <w:szCs w:val="24"/>
        </w:rPr>
        <w:t xml:space="preserve"> </w:t>
      </w:r>
      <w:r w:rsidR="00C16552">
        <w:rPr>
          <w:szCs w:val="24"/>
        </w:rPr>
        <w:t xml:space="preserve">§ </w:t>
      </w:r>
      <w:r w:rsidRPr="008F4E63">
        <w:rPr>
          <w:szCs w:val="24"/>
        </w:rPr>
        <w:t xml:space="preserve">200.101(b), the program is not subject to other </w:t>
      </w:r>
      <w:r w:rsidR="00C16552">
        <w:rPr>
          <w:szCs w:val="24"/>
        </w:rPr>
        <w:t xml:space="preserve">Uniform Guidance </w:t>
      </w:r>
      <w:r w:rsidRPr="008F4E63">
        <w:rPr>
          <w:szCs w:val="24"/>
        </w:rPr>
        <w:t xml:space="preserve">provisions beyond those detailed </w:t>
      </w:r>
      <w:r w:rsidR="009C07E8">
        <w:rPr>
          <w:szCs w:val="24"/>
        </w:rPr>
        <w:t>above</w:t>
      </w:r>
      <w:r w:rsidRPr="008F4E63" w:rsidR="00381AAB">
        <w:rPr>
          <w:szCs w:val="24"/>
        </w:rPr>
        <w:t xml:space="preserve">, such as </w:t>
      </w:r>
      <w:r w:rsidR="008E46B1">
        <w:rPr>
          <w:szCs w:val="24"/>
        </w:rPr>
        <w:t>the provisions regarding</w:t>
      </w:r>
      <w:r w:rsidRPr="008F4E63" w:rsidR="008E46B1">
        <w:rPr>
          <w:szCs w:val="24"/>
        </w:rPr>
        <w:t xml:space="preserve"> </w:t>
      </w:r>
      <w:r w:rsidRPr="008F4E63" w:rsidR="00381AAB">
        <w:rPr>
          <w:szCs w:val="24"/>
        </w:rPr>
        <w:t>program income, interest advances, equipment and real property management, procurement requirements, or subrecipient monitoring and reporting requirements.</w:t>
      </w:r>
      <w:r w:rsidR="00F77C7A">
        <w:rPr>
          <w:szCs w:val="24"/>
        </w:rPr>
        <w:t xml:space="preserve"> </w:t>
      </w:r>
      <w:r w:rsidR="00191053">
        <w:rPr>
          <w:szCs w:val="24"/>
        </w:rPr>
        <w:t xml:space="preserve">Therefore, </w:t>
      </w:r>
      <w:r w:rsidR="005010F1">
        <w:rPr>
          <w:szCs w:val="24"/>
        </w:rPr>
        <w:t xml:space="preserve">capital assets acquired using LATCF funds are </w:t>
      </w:r>
      <w:r w:rsidR="00BC7517">
        <w:rPr>
          <w:szCs w:val="24"/>
        </w:rPr>
        <w:t>not subject to</w:t>
      </w:r>
      <w:r w:rsidR="005010F1">
        <w:rPr>
          <w:szCs w:val="24"/>
        </w:rPr>
        <w:t xml:space="preserve"> </w:t>
      </w:r>
      <w:r w:rsidR="00FE279A">
        <w:rPr>
          <w:szCs w:val="24"/>
        </w:rPr>
        <w:t xml:space="preserve">the Uniform Guidance’s use and </w:t>
      </w:r>
      <w:r w:rsidR="0066094C">
        <w:rPr>
          <w:szCs w:val="24"/>
        </w:rPr>
        <w:t>disposition instructions</w:t>
      </w:r>
      <w:r w:rsidR="004440FD">
        <w:rPr>
          <w:szCs w:val="24"/>
        </w:rPr>
        <w:t>,</w:t>
      </w:r>
      <w:r w:rsidR="0066094C">
        <w:rPr>
          <w:szCs w:val="24"/>
        </w:rPr>
        <w:t xml:space="preserve"> and program income is income to the recipient government and not subject to program restrictions.</w:t>
      </w:r>
    </w:p>
    <w:p w:rsidR="006F3AC3" w:rsidP="007A0507" w14:paraId="666F7B13" w14:textId="5DD166D6">
      <w:pPr>
        <w:rPr>
          <w:szCs w:val="24"/>
        </w:rPr>
      </w:pPr>
    </w:p>
    <w:p w:rsidR="00301064" w:rsidP="00301064" w14:paraId="7513F482" w14:textId="78EAE28F">
      <w:r>
        <w:rPr>
          <w:szCs w:val="24"/>
        </w:rPr>
        <w:t>N</w:t>
      </w:r>
      <w:r>
        <w:rPr>
          <w:szCs w:val="24"/>
        </w:rPr>
        <w:t>o subrecipient reporting under 2 C</w:t>
      </w:r>
      <w:r w:rsidR="004B1730">
        <w:rPr>
          <w:szCs w:val="24"/>
        </w:rPr>
        <w:t>.</w:t>
      </w:r>
      <w:r>
        <w:rPr>
          <w:szCs w:val="24"/>
        </w:rPr>
        <w:t>F</w:t>
      </w:r>
      <w:r w:rsidR="004B1730">
        <w:rPr>
          <w:szCs w:val="24"/>
        </w:rPr>
        <w:t>.</w:t>
      </w:r>
      <w:r>
        <w:rPr>
          <w:szCs w:val="24"/>
        </w:rPr>
        <w:t>R</w:t>
      </w:r>
      <w:r w:rsidR="004B1730">
        <w:rPr>
          <w:szCs w:val="24"/>
        </w:rPr>
        <w:t>.</w:t>
      </w:r>
      <w:r>
        <w:rPr>
          <w:szCs w:val="24"/>
        </w:rPr>
        <w:t xml:space="preserve"> Part 170</w:t>
      </w:r>
      <w:r w:rsidR="00D754A0">
        <w:rPr>
          <w:szCs w:val="24"/>
        </w:rPr>
        <w:t xml:space="preserve"> (implementing the </w:t>
      </w:r>
      <w:r w:rsidRPr="00D754A0" w:rsidR="00D754A0">
        <w:rPr>
          <w:szCs w:val="24"/>
        </w:rPr>
        <w:t xml:space="preserve">Federal Funding </w:t>
      </w:r>
      <w:r w:rsidRPr="00D754A0" w:rsidR="00D754A0">
        <w:rPr>
          <w:szCs w:val="24"/>
        </w:rPr>
        <w:t>Accountability and Transparency Act of 200</w:t>
      </w:r>
      <w:r w:rsidR="00D754A0">
        <w:rPr>
          <w:szCs w:val="24"/>
        </w:rPr>
        <w:t xml:space="preserve">6) </w:t>
      </w:r>
      <w:r>
        <w:rPr>
          <w:szCs w:val="24"/>
        </w:rPr>
        <w:t xml:space="preserve">will be required for this program, although recipients meeting </w:t>
      </w:r>
      <w:r w:rsidR="004B1730">
        <w:rPr>
          <w:szCs w:val="24"/>
        </w:rPr>
        <w:t xml:space="preserve">the </w:t>
      </w:r>
      <w:r>
        <w:rPr>
          <w:szCs w:val="24"/>
        </w:rPr>
        <w:t>applicable threshold</w:t>
      </w:r>
      <w:r w:rsidR="004B1730">
        <w:rPr>
          <w:szCs w:val="24"/>
        </w:rPr>
        <w:t>s</w:t>
      </w:r>
      <w:r>
        <w:rPr>
          <w:szCs w:val="24"/>
        </w:rPr>
        <w:t xml:space="preserve"> will still be required to report on executive compensation pursuant to 2 C</w:t>
      </w:r>
      <w:r w:rsidR="004B1730">
        <w:rPr>
          <w:szCs w:val="24"/>
        </w:rPr>
        <w:t>.</w:t>
      </w:r>
      <w:r>
        <w:rPr>
          <w:szCs w:val="24"/>
        </w:rPr>
        <w:t>F</w:t>
      </w:r>
      <w:r w:rsidR="004B1730">
        <w:rPr>
          <w:szCs w:val="24"/>
        </w:rPr>
        <w:t>.</w:t>
      </w:r>
      <w:r>
        <w:rPr>
          <w:szCs w:val="24"/>
        </w:rPr>
        <w:t>R</w:t>
      </w:r>
      <w:r w:rsidR="004B1730">
        <w:rPr>
          <w:szCs w:val="24"/>
        </w:rPr>
        <w:t>.</w:t>
      </w:r>
      <w:r>
        <w:rPr>
          <w:szCs w:val="24"/>
        </w:rPr>
        <w:t xml:space="preserve"> Part 170.</w:t>
      </w:r>
      <w:r w:rsidR="004B1730">
        <w:rPr>
          <w:szCs w:val="24"/>
        </w:rPr>
        <w:t xml:space="preserve"> </w:t>
      </w:r>
      <w:r w:rsidR="004B1730">
        <w:t>Treasury’s regulations at 31</w:t>
      </w:r>
      <w:r w:rsidRPr="00361DCC" w:rsidR="004B1730">
        <w:t xml:space="preserve"> </w:t>
      </w:r>
      <w:r w:rsidR="004B1730">
        <w:t>C.F.R. Part 19 (implementing OMB’s Guidelines to Agencies on Governmentwide Debarment and Suspension at 2 C.F.R. Part 180) are applicable to the program. Recipients are required to comply with the System for Award Management (SAM) requirements in 2 C.F.R. Part 25.</w:t>
      </w:r>
      <w:r>
        <w:rPr>
          <w:rStyle w:val="FootnoteReference"/>
        </w:rPr>
        <w:footnoteReference w:id="6"/>
      </w:r>
    </w:p>
    <w:p w:rsidR="001E35AB" w:rsidP="00301064" w14:paraId="7C0EED90" w14:textId="4996AEC7"/>
    <w:p w:rsidR="00D11F44" w:rsidP="00D11F44" w14:paraId="620FE8CA" w14:textId="53BAA26F">
      <w:pPr>
        <w:rPr>
          <w:szCs w:val="24"/>
        </w:rPr>
      </w:pPr>
      <w:r w:rsidRPr="008F4E63">
        <w:rPr>
          <w:szCs w:val="24"/>
        </w:rPr>
        <w:t xml:space="preserve">There are no matching, level of effort, or earmarking compliance responsibilities associated with the LATCF program. </w:t>
      </w:r>
      <w:r>
        <w:rPr>
          <w:szCs w:val="24"/>
        </w:rPr>
        <w:t xml:space="preserve"> </w:t>
      </w:r>
    </w:p>
    <w:p w:rsidR="003A2E3A" w:rsidP="003A2E3A" w14:paraId="64B12CE7" w14:textId="77777777">
      <w:pPr>
        <w:rPr>
          <w:szCs w:val="24"/>
        </w:rPr>
      </w:pPr>
    </w:p>
    <w:p w:rsidR="003A2E3A" w:rsidRPr="00604752" w:rsidP="003A2E3A" w14:paraId="7C1490C0" w14:textId="77777777">
      <w:pPr>
        <w:pStyle w:val="ListParagraph"/>
        <w:numPr>
          <w:ilvl w:val="0"/>
          <w:numId w:val="48"/>
        </w:numPr>
        <w:rPr>
          <w:b/>
          <w:bCs/>
          <w:szCs w:val="24"/>
        </w:rPr>
      </w:pPr>
      <w:r w:rsidRPr="00604752">
        <w:rPr>
          <w:b/>
          <w:bCs/>
          <w:szCs w:val="24"/>
        </w:rPr>
        <w:t>Buy America</w:t>
      </w:r>
      <w:r>
        <w:rPr>
          <w:b/>
          <w:bCs/>
          <w:szCs w:val="24"/>
        </w:rPr>
        <w:t xml:space="preserve"> Domestic Content Procurement</w:t>
      </w:r>
      <w:r w:rsidRPr="00604752">
        <w:rPr>
          <w:b/>
          <w:bCs/>
          <w:szCs w:val="24"/>
        </w:rPr>
        <w:t xml:space="preserve"> Preference</w:t>
      </w:r>
    </w:p>
    <w:p w:rsidR="003A2E3A" w:rsidRPr="008F4E63" w:rsidP="003A2E3A" w14:paraId="3C02191A" w14:textId="77777777">
      <w:pPr>
        <w:rPr>
          <w:szCs w:val="24"/>
        </w:rPr>
      </w:pPr>
    </w:p>
    <w:p w:rsidR="003A2E3A" w:rsidP="003A2E3A" w14:paraId="3789BDF5" w14:textId="3EEAE647">
      <w:pPr>
        <w:rPr>
          <w:szCs w:val="24"/>
        </w:rPr>
      </w:pPr>
      <w:r w:rsidRPr="001B7ACE">
        <w:rPr>
          <w:szCs w:val="24"/>
        </w:rPr>
        <w:t>The Build America, Buy America Act</w:t>
      </w:r>
      <w:r>
        <w:rPr>
          <w:szCs w:val="24"/>
        </w:rPr>
        <w:t xml:space="preserve"> </w:t>
      </w:r>
      <w:r w:rsidRPr="001B7ACE">
        <w:rPr>
          <w:szCs w:val="24"/>
        </w:rPr>
        <w:t>establishes</w:t>
      </w:r>
      <w:r>
        <w:rPr>
          <w:szCs w:val="24"/>
        </w:rPr>
        <w:t xml:space="preserve"> </w:t>
      </w:r>
      <w:r w:rsidRPr="001B7ACE">
        <w:rPr>
          <w:szCs w:val="24"/>
        </w:rPr>
        <w:t>domestic content procurement preference</w:t>
      </w:r>
      <w:r>
        <w:rPr>
          <w:szCs w:val="24"/>
        </w:rPr>
        <w:t xml:space="preserve"> requirements </w:t>
      </w:r>
      <w:r w:rsidRPr="001B7ACE">
        <w:rPr>
          <w:szCs w:val="24"/>
        </w:rPr>
        <w:t xml:space="preserve">for </w:t>
      </w:r>
      <w:r>
        <w:rPr>
          <w:szCs w:val="24"/>
        </w:rPr>
        <w:t>f</w:t>
      </w:r>
      <w:r w:rsidRPr="001B7ACE">
        <w:rPr>
          <w:szCs w:val="24"/>
        </w:rPr>
        <w:t xml:space="preserve">ederal </w:t>
      </w:r>
      <w:r>
        <w:rPr>
          <w:szCs w:val="24"/>
        </w:rPr>
        <w:t xml:space="preserve">financial assistance programs for </w:t>
      </w:r>
      <w:r w:rsidRPr="001B7ACE">
        <w:rPr>
          <w:szCs w:val="24"/>
        </w:rPr>
        <w:t>infrastructure</w:t>
      </w:r>
      <w:r w:rsidRPr="004C2BD3">
        <w:rPr>
          <w:szCs w:val="24"/>
        </w:rPr>
        <w:t>.</w:t>
      </w:r>
      <w:r>
        <w:rPr>
          <w:rStyle w:val="FootnoteReference"/>
          <w:szCs w:val="24"/>
        </w:rPr>
        <w:footnoteReference w:id="7"/>
      </w:r>
      <w:r w:rsidRPr="004C2BD3">
        <w:rPr>
          <w:szCs w:val="24"/>
        </w:rPr>
        <w:t xml:space="preserve"> </w:t>
      </w:r>
      <w:r>
        <w:rPr>
          <w:szCs w:val="24"/>
        </w:rPr>
        <w:t xml:space="preserve"> These requirements apply to the LATCF.  As such</w:t>
      </w:r>
      <w:r w:rsidRPr="001B7ACE">
        <w:rPr>
          <w:szCs w:val="24"/>
        </w:rPr>
        <w:t xml:space="preserve">, </w:t>
      </w:r>
      <w:r>
        <w:rPr>
          <w:szCs w:val="24"/>
        </w:rPr>
        <w:t xml:space="preserve">expenditures for </w:t>
      </w:r>
      <w:r w:rsidRPr="001B7ACE">
        <w:rPr>
          <w:szCs w:val="24"/>
        </w:rPr>
        <w:t>iron, steel,</w:t>
      </w:r>
      <w:r>
        <w:rPr>
          <w:szCs w:val="24"/>
        </w:rPr>
        <w:t xml:space="preserve"> </w:t>
      </w:r>
      <w:r w:rsidRPr="001B7ACE">
        <w:rPr>
          <w:szCs w:val="24"/>
        </w:rPr>
        <w:t xml:space="preserve">manufactured products, and construction materials used in an infrastructure project </w:t>
      </w:r>
      <w:r>
        <w:rPr>
          <w:szCs w:val="24"/>
        </w:rPr>
        <w:t xml:space="preserve">funded using </w:t>
      </w:r>
      <w:r w:rsidRPr="001B7ACE">
        <w:rPr>
          <w:szCs w:val="24"/>
        </w:rPr>
        <w:t xml:space="preserve">a LATCF award </w:t>
      </w:r>
      <w:r>
        <w:rPr>
          <w:szCs w:val="24"/>
        </w:rPr>
        <w:t xml:space="preserve">generally </w:t>
      </w:r>
      <w:r w:rsidRPr="001B7ACE">
        <w:rPr>
          <w:szCs w:val="24"/>
        </w:rPr>
        <w:t>must be produced in the United States</w:t>
      </w:r>
      <w:r>
        <w:rPr>
          <w:szCs w:val="24"/>
        </w:rPr>
        <w:t>.</w:t>
      </w:r>
      <w:r w:rsidRPr="009A4C2F">
        <w:t xml:space="preserve"> </w:t>
      </w:r>
      <w:r>
        <w:t xml:space="preserve"> These requirements do not apply to non-infrastructure projects or to infrastructure projects undertaken in response to the COVID-19 public health emergency.  </w:t>
      </w:r>
    </w:p>
    <w:p w:rsidR="003A2E3A" w:rsidRPr="009838B4" w:rsidP="003A2E3A" w14:paraId="3A492CBB" w14:textId="77777777">
      <w:pPr>
        <w:rPr>
          <w:szCs w:val="24"/>
        </w:rPr>
      </w:pPr>
    </w:p>
    <w:p w:rsidR="003A2E3A" w:rsidP="003A2E3A" w14:paraId="2445DBC6" w14:textId="31153411">
      <w:r>
        <w:t xml:space="preserve">Recipients should review the details of these domestic content procurement requirements as provided in the terms and conditions of the LATCF award, which follow the guidance provided by </w:t>
      </w:r>
      <w:r w:rsidR="00332358">
        <w:t>the Office of Management and Budget (</w:t>
      </w:r>
      <w:r>
        <w:t>OMB</w:t>
      </w:r>
      <w:r w:rsidR="00332358">
        <w:t>)</w:t>
      </w:r>
      <w:r>
        <w:t>.</w:t>
      </w:r>
      <w:r>
        <w:rPr>
          <w:rStyle w:val="FootnoteReference"/>
        </w:rPr>
        <w:footnoteReference w:id="8"/>
      </w:r>
      <w:r>
        <w:t xml:space="preserve">  The definition of infrastructure as provided by the </w:t>
      </w:r>
      <w:r w:rsidRPr="001B7ACE">
        <w:rPr>
          <w:szCs w:val="24"/>
        </w:rPr>
        <w:t>Build America, Buy America Act</w:t>
      </w:r>
      <w:r>
        <w:rPr>
          <w:szCs w:val="24"/>
        </w:rPr>
        <w:t xml:space="preserve"> and OMB guidance is broad and includes </w:t>
      </w:r>
      <w:r w:rsidRPr="005F00B8">
        <w:rPr>
          <w:szCs w:val="24"/>
        </w:rPr>
        <w:t>the structures, facilities, and equipment for roads, highways, and bridges; public transportation; dams, ports, harbors, and other maritime facilities; intercity passenger and freight railroads; freight and intermodal facilities; airports; water systems, including drinking water and wastewater systems; electrical transmission facilities and systems; utilities; broadband infrastructure; and buildings and real property</w:t>
      </w:r>
      <w:r>
        <w:t xml:space="preserve">.  An infrastructure project includes </w:t>
      </w:r>
      <w:r w:rsidRPr="005F00B8">
        <w:t>the construction, alteration, maintenance, or repair of infrastructure.</w:t>
      </w:r>
    </w:p>
    <w:p w:rsidR="003A2E3A" w:rsidP="003A2E3A" w14:paraId="270D0C9A" w14:textId="77777777"/>
    <w:p w:rsidR="00C53B0B" w:rsidP="003A2E3A" w14:paraId="26EA19F2" w14:textId="4B5C21FB">
      <w:r>
        <w:t>Treasury has issued a six-month public interest adjustment period general applicability waiver from the Buy America Domestic Content Procurement Preference</w:t>
      </w:r>
      <w:r w:rsidR="00E7389B">
        <w:t xml:space="preserve"> (BAP)</w:t>
      </w:r>
      <w:r>
        <w:t xml:space="preserve"> as applied to federal financial assistance provided to non-Tribal government recipients of LATCF</w:t>
      </w:r>
      <w:r w:rsidR="00AB0FB1">
        <w:t xml:space="preserve">. </w:t>
      </w:r>
      <w:r w:rsidRPr="00B36C12">
        <w:t xml:space="preserve">Under this waiver, the application of </w:t>
      </w:r>
      <w:r w:rsidR="00784683">
        <w:t>BAP</w:t>
      </w:r>
      <w:r w:rsidRPr="00B36C12">
        <w:t xml:space="preserve"> requirements do</w:t>
      </w:r>
      <w:r>
        <w:t>es</w:t>
      </w:r>
      <w:r w:rsidRPr="00B36C12">
        <w:t xml:space="preserve"> not apply to LATCF award agreements entered into by these recipients during the waiver period.</w:t>
      </w:r>
      <w:r>
        <w:t xml:space="preserve"> </w:t>
      </w:r>
    </w:p>
    <w:p w:rsidR="00C53B0B" w:rsidP="003A2E3A" w14:paraId="4EE84F6A" w14:textId="77777777"/>
    <w:p w:rsidR="003A2E3A" w:rsidP="003A2E3A" w14:paraId="44896559" w14:textId="6C58E9D5">
      <w:r>
        <w:t xml:space="preserve">Treasury has </w:t>
      </w:r>
      <w:r w:rsidR="00E7389B">
        <w:t>also issued</w:t>
      </w:r>
      <w:r>
        <w:t xml:space="preserve"> a </w:t>
      </w:r>
      <w:r w:rsidR="00E7389B">
        <w:t xml:space="preserve">one-year </w:t>
      </w:r>
      <w:r w:rsidRPr="005B0BA4" w:rsidR="005B0BA4">
        <w:t>general applicability</w:t>
      </w:r>
      <w:r w:rsidR="005B0BA4">
        <w:t xml:space="preserve"> </w:t>
      </w:r>
      <w:r>
        <w:t xml:space="preserve">waiver from the </w:t>
      </w:r>
      <w:r w:rsidR="00E7389B">
        <w:t>BAP as applied to Tribal</w:t>
      </w:r>
      <w:r>
        <w:t xml:space="preserve"> government recipients of LATCF</w:t>
      </w:r>
      <w:r w:rsidR="00B36C12">
        <w:t xml:space="preserve">. </w:t>
      </w:r>
      <w:r w:rsidR="00D05FDC">
        <w:t xml:space="preserve">This waiver only applies if there is no other federal assistance </w:t>
      </w:r>
      <w:r w:rsidR="00D05FDC">
        <w:t xml:space="preserve">used for such project that is subject to </w:t>
      </w:r>
      <w:r w:rsidR="00784683">
        <w:t>BAP</w:t>
      </w:r>
      <w:r w:rsidR="00D05FDC">
        <w:t xml:space="preserve">. </w:t>
      </w:r>
      <w:r w:rsidR="00E7389B">
        <w:t>T</w:t>
      </w:r>
      <w:r w:rsidRPr="005B0BA4" w:rsidR="005B0BA4">
        <w:t>his one-year Tribal consultations waiver</w:t>
      </w:r>
      <w:r w:rsidR="005B0BA4">
        <w:t xml:space="preserve"> </w:t>
      </w:r>
      <w:r w:rsidRPr="005B0BA4" w:rsidR="005B0BA4">
        <w:t>app</w:t>
      </w:r>
      <w:r w:rsidR="005B0BA4">
        <w:t>lies</w:t>
      </w:r>
      <w:r w:rsidRPr="005B0BA4" w:rsidR="005B0BA4">
        <w:t xml:space="preserve"> to all award agreements entered into with Tribal governments during the one-year period beginning on the effective date of the waiver. In addition, in the case of award agreements entered into with Tribal governments prior to the date of the final waiver, the waiver</w:t>
      </w:r>
      <w:r w:rsidR="005B0BA4">
        <w:t xml:space="preserve"> </w:t>
      </w:r>
      <w:r w:rsidRPr="005B0BA4" w:rsidR="005B0BA4">
        <w:t>appl</w:t>
      </w:r>
      <w:r w:rsidR="005B0BA4">
        <w:t>ies</w:t>
      </w:r>
      <w:r w:rsidRPr="005B0BA4" w:rsidR="005B0BA4">
        <w:t xml:space="preserve"> to all expenditures incurred after the date of the final waiver on an infrastructure project.</w:t>
      </w:r>
      <w:r>
        <w:t xml:space="preserve"> Tribal government</w:t>
      </w:r>
      <w:r w:rsidR="00E7389B">
        <w:t>s</w:t>
      </w:r>
      <w:r>
        <w:t xml:space="preserve"> </w:t>
      </w:r>
      <w:r w:rsidR="00E7389B">
        <w:t xml:space="preserve">that have </w:t>
      </w:r>
      <w:r>
        <w:t>receive</w:t>
      </w:r>
      <w:r w:rsidR="00E7389B">
        <w:t>d</w:t>
      </w:r>
      <w:r>
        <w:t xml:space="preserve"> an award prior to the date </w:t>
      </w:r>
      <w:r w:rsidR="00C53B0B">
        <w:t>that</w:t>
      </w:r>
      <w:r w:rsidR="00E7389B">
        <w:t xml:space="preserve"> the Tribal Consultation waiver from the BAP</w:t>
      </w:r>
      <w:r>
        <w:t xml:space="preserve"> </w:t>
      </w:r>
      <w:r w:rsidR="009428CA">
        <w:t>bec</w:t>
      </w:r>
      <w:r w:rsidR="00E7389B">
        <w:t>a</w:t>
      </w:r>
      <w:r w:rsidR="009428CA">
        <w:t>me effective</w:t>
      </w:r>
      <w:r w:rsidR="005B0BA4">
        <w:t xml:space="preserve"> and expended the funds on infrastructure projects</w:t>
      </w:r>
      <w:r>
        <w:t xml:space="preserve"> may still be subject to the requirements of the Buy America, Build America Act. Treasury </w:t>
      </w:r>
      <w:r w:rsidR="00E7389B">
        <w:t xml:space="preserve">has </w:t>
      </w:r>
      <w:r>
        <w:t>provide</w:t>
      </w:r>
      <w:r w:rsidR="00E7389B">
        <w:t>d</w:t>
      </w:r>
      <w:r>
        <w:t xml:space="preserve"> more details on its website.  </w:t>
      </w:r>
    </w:p>
    <w:p w:rsidR="003A2E3A" w:rsidP="003A2E3A" w14:paraId="6601D34F" w14:textId="77777777"/>
    <w:p w:rsidR="00301064" w:rsidRPr="008F4E63" w:rsidP="00F40F1D" w14:paraId="7ABA4664" w14:textId="2A0F765C">
      <w:pPr>
        <w:rPr>
          <w:szCs w:val="24"/>
        </w:rPr>
      </w:pPr>
      <w:r>
        <w:t>In addition, the</w:t>
      </w:r>
      <w:r w:rsidR="003A2E3A">
        <w:t xml:space="preserve"> Buy America, Build America Act requirements do not apply to expenditures using LATCF funds for infrastructure projects undertaken in response to the COVID-19 public health emergency or </w:t>
      </w:r>
      <w:r w:rsidRPr="008E46B1" w:rsidR="003A2E3A">
        <w:t>in response to or anticipation of</w:t>
      </w:r>
      <w:r w:rsidR="003A2E3A">
        <w:t xml:space="preserve"> other major disasters or emergencies declared by the President under the Stafford Act.</w:t>
      </w:r>
      <w:r>
        <w:rPr>
          <w:rStyle w:val="FootnoteReference"/>
        </w:rPr>
        <w:footnoteReference w:id="9"/>
      </w:r>
      <w:r w:rsidR="003A2E3A">
        <w:t xml:space="preserve"> Treasury recognizes that the public health emergency is impacting recipients in different ways and that recipients are impacted by a broad range of other types of major disasters and emergencies declared under the Stafford Act. Accordingly, recipients should make their own determinations as to what infrastructure projects they need to undertake to respond to the COVID-19 public health emergency or other Stafford Act disaster or emergency.</w:t>
      </w:r>
      <w:r w:rsidR="0037772E">
        <w:t xml:space="preserve"> </w:t>
      </w:r>
    </w:p>
    <w:p w:rsidR="003727C7" w:rsidRPr="008F4E63" w:rsidP="003727C7" w14:paraId="40727380" w14:textId="421CB796">
      <w:pPr>
        <w:pStyle w:val="Heading2"/>
        <w:rPr>
          <w:rFonts w:ascii="Times New Roman" w:hAnsi="Times New Roman" w:cs="Times New Roman"/>
          <w:szCs w:val="24"/>
        </w:rPr>
      </w:pPr>
      <w:r w:rsidRPr="008F4E63">
        <w:rPr>
          <w:rFonts w:ascii="Times New Roman" w:hAnsi="Times New Roman" w:cs="Times New Roman"/>
          <w:szCs w:val="24"/>
        </w:rPr>
        <w:t xml:space="preserve">COMPLIANCE WITH </w:t>
      </w:r>
      <w:r w:rsidR="00270AB8">
        <w:rPr>
          <w:rFonts w:ascii="Times New Roman" w:hAnsi="Times New Roman" w:cs="Times New Roman"/>
          <w:szCs w:val="24"/>
        </w:rPr>
        <w:t xml:space="preserve">OTHER </w:t>
      </w:r>
      <w:r w:rsidRPr="008F4E63">
        <w:rPr>
          <w:rFonts w:ascii="Times New Roman" w:hAnsi="Times New Roman" w:cs="Times New Roman"/>
          <w:szCs w:val="24"/>
        </w:rPr>
        <w:t>APPLICABLE LAWS</w:t>
      </w:r>
      <w:bookmarkEnd w:id="123"/>
      <w:bookmarkEnd w:id="124"/>
      <w:bookmarkEnd w:id="125"/>
      <w:bookmarkEnd w:id="126"/>
    </w:p>
    <w:p w:rsidR="003727C7" w:rsidP="003727C7" w14:paraId="01C5D004" w14:textId="41006478">
      <w:pPr>
        <w:rPr>
          <w:szCs w:val="24"/>
        </w:rPr>
      </w:pPr>
      <w:r w:rsidRPr="008F4E63">
        <w:rPr>
          <w:szCs w:val="24"/>
        </w:rPr>
        <w:t>Recipients are responsible for complying with all</w:t>
      </w:r>
      <w:r w:rsidR="00270AB8">
        <w:rPr>
          <w:szCs w:val="24"/>
        </w:rPr>
        <w:t xml:space="preserve"> other</w:t>
      </w:r>
      <w:r w:rsidRPr="008F4E63">
        <w:rPr>
          <w:szCs w:val="24"/>
        </w:rPr>
        <w:t xml:space="preserve"> applicable laws</w:t>
      </w:r>
      <w:r w:rsidR="002E4830">
        <w:rPr>
          <w:szCs w:val="24"/>
        </w:rPr>
        <w:t xml:space="preserve"> in the course of using the funds from their award</w:t>
      </w:r>
      <w:r w:rsidR="00B001E5">
        <w:rPr>
          <w:szCs w:val="24"/>
        </w:rPr>
        <w:t xml:space="preserve">, including </w:t>
      </w:r>
      <w:r w:rsidR="0075626E">
        <w:rPr>
          <w:szCs w:val="24"/>
        </w:rPr>
        <w:t>all applicable environmental laws</w:t>
      </w:r>
      <w:r w:rsidR="007C1DB4">
        <w:rPr>
          <w:szCs w:val="24"/>
        </w:rPr>
        <w:t xml:space="preserve"> and all laws applicable to federal financial assistance</w:t>
      </w:r>
      <w:r w:rsidR="00952C4C">
        <w:rPr>
          <w:szCs w:val="24"/>
        </w:rPr>
        <w:t xml:space="preserve"> (unless stated otherwise</w:t>
      </w:r>
      <w:r w:rsidR="005D5AB7">
        <w:rPr>
          <w:szCs w:val="24"/>
        </w:rPr>
        <w:t xml:space="preserve"> in this guidance or the award agreement</w:t>
      </w:r>
      <w:r w:rsidR="00952C4C">
        <w:rPr>
          <w:szCs w:val="24"/>
        </w:rPr>
        <w:t>)</w:t>
      </w:r>
      <w:r w:rsidR="0075626E">
        <w:rPr>
          <w:szCs w:val="24"/>
        </w:rPr>
        <w:t xml:space="preserve">.  </w:t>
      </w:r>
      <w:r w:rsidR="002E4830">
        <w:rPr>
          <w:szCs w:val="24"/>
        </w:rPr>
        <w:t>Applicable laws include but are not limited to those listed in the award agreement.</w:t>
      </w:r>
    </w:p>
    <w:p w:rsidR="007A755D" w:rsidP="003727C7" w14:paraId="003B1938" w14:textId="76433249">
      <w:pPr>
        <w:rPr>
          <w:szCs w:val="24"/>
        </w:rPr>
      </w:pPr>
    </w:p>
    <w:p w:rsidR="0050265C" w:rsidRPr="0050265C" w:rsidP="0075626E" w14:paraId="37E4EAEF" w14:textId="4A60CE6E">
      <w:pPr>
        <w:widowControl/>
        <w:autoSpaceDE/>
        <w:autoSpaceDN/>
        <w:spacing w:after="160" w:line="259" w:lineRule="auto"/>
        <w:contextualSpacing/>
        <w:rPr>
          <w:rFonts w:eastAsia="Calibri"/>
          <w:szCs w:val="24"/>
        </w:rPr>
      </w:pPr>
      <w:r w:rsidRPr="0050265C">
        <w:rPr>
          <w:rFonts w:eastAsia="Calibri"/>
          <w:szCs w:val="24"/>
        </w:rPr>
        <w:t xml:space="preserve">Pursuant to Executive Order 13043, 62 FR 19217 (Apr. 8, 1997) re: </w:t>
      </w:r>
      <w:r w:rsidRPr="0065183E">
        <w:rPr>
          <w:rFonts w:eastAsia="Calibri"/>
          <w:szCs w:val="24"/>
        </w:rPr>
        <w:t>Increasing Seat Belt Use</w:t>
      </w:r>
      <w:r>
        <w:rPr>
          <w:rFonts w:eastAsia="Calibri"/>
          <w:szCs w:val="24"/>
        </w:rPr>
        <w:t>,</w:t>
      </w:r>
      <w:r w:rsidRPr="0087415B">
        <w:rPr>
          <w:rFonts w:eastAsia="Calibri"/>
          <w:szCs w:val="24"/>
        </w:rPr>
        <w:t xml:space="preserve"> Treasury encourages recipients to adopt and enforce on-the-job seat belt policies and programs for their employees when operating company-owned, rented or personally owned vehicles. Recipients should also encourage their contractors to adopt and enforce such policies. </w:t>
      </w:r>
    </w:p>
    <w:p w:rsidR="0075626E" w:rsidRPr="0075626E" w:rsidP="0075626E" w14:paraId="7EDC33BD" w14:textId="77777777">
      <w:pPr>
        <w:widowControl/>
        <w:autoSpaceDE/>
        <w:autoSpaceDN/>
        <w:spacing w:after="160" w:line="259" w:lineRule="auto"/>
        <w:contextualSpacing/>
        <w:rPr>
          <w:rFonts w:eastAsia="Calibri"/>
          <w:szCs w:val="24"/>
        </w:rPr>
      </w:pPr>
    </w:p>
    <w:p w:rsidR="007A755D" w:rsidRPr="00926F5D" w:rsidP="0075626E" w14:paraId="16FECBB3" w14:textId="2FF2CD6A">
      <w:pPr>
        <w:widowControl/>
        <w:autoSpaceDE/>
        <w:autoSpaceDN/>
        <w:spacing w:after="160" w:line="259" w:lineRule="auto"/>
        <w:contextualSpacing/>
        <w:rPr>
          <w:rFonts w:eastAsia="Calibri"/>
          <w:szCs w:val="24"/>
        </w:rPr>
      </w:pPr>
      <w:r w:rsidRPr="0065183E">
        <w:rPr>
          <w:rFonts w:eastAsia="Calibri"/>
          <w:szCs w:val="24"/>
        </w:rPr>
        <w:t>Pursuant to Executive Or</w:t>
      </w:r>
      <w:r w:rsidRPr="00F97BD9">
        <w:rPr>
          <w:rFonts w:eastAsia="Calibri"/>
          <w:szCs w:val="24"/>
        </w:rPr>
        <w:t xml:space="preserve">der 13513, 74 FR 51225 (Oct. 1, 2009), re: </w:t>
      </w:r>
      <w:r w:rsidRPr="00AE4D48">
        <w:rPr>
          <w:rFonts w:eastAsia="Calibri"/>
          <w:szCs w:val="24"/>
        </w:rPr>
        <w:t>Reducing Text Messaging While Driving</w:t>
      </w:r>
      <w:r w:rsidRPr="00B424C1">
        <w:rPr>
          <w:rFonts w:eastAsia="Calibri"/>
          <w:szCs w:val="24"/>
        </w:rPr>
        <w:t xml:space="preserve">, </w:t>
      </w:r>
      <w:r w:rsidRPr="001F776D">
        <w:rPr>
          <w:rFonts w:eastAsia="Calibri"/>
          <w:szCs w:val="24"/>
        </w:rPr>
        <w:t>Treasury encourages recipients to</w:t>
      </w:r>
      <w:r w:rsidRPr="00286433">
        <w:rPr>
          <w:rFonts w:eastAsia="Calibri"/>
          <w:szCs w:val="24"/>
        </w:rPr>
        <w:t xml:space="preserve"> encourage their employees and contractors to adopt and enforce policies that ban text messaging while driving, and </w:t>
      </w:r>
      <w:r w:rsidRPr="00954ABE">
        <w:rPr>
          <w:rFonts w:eastAsia="Calibri"/>
          <w:szCs w:val="24"/>
        </w:rPr>
        <w:t>recipient should establish workplace safety policies to decrease accidents caused by distracted drivers.</w:t>
      </w:r>
    </w:p>
    <w:p w:rsidR="007A755D" w:rsidRPr="008F4E63" w:rsidP="003727C7" w14:paraId="0AED1C86" w14:textId="77777777">
      <w:pPr>
        <w:rPr>
          <w:i/>
          <w:szCs w:val="24"/>
        </w:rPr>
      </w:pPr>
    </w:p>
    <w:p w:rsidR="003727C7" w:rsidRPr="008F4E63" w:rsidP="003727C7" w14:paraId="0E38AA09" w14:textId="77777777">
      <w:pPr>
        <w:pStyle w:val="Heading1"/>
        <w:ind w:right="497"/>
        <w:rPr>
          <w:sz w:val="24"/>
        </w:rPr>
      </w:pPr>
      <w:bookmarkStart w:id="127" w:name="_Toc79589873"/>
      <w:bookmarkStart w:id="128" w:name="_Toc79598603"/>
      <w:bookmarkStart w:id="129" w:name="_Ref80900082"/>
      <w:bookmarkStart w:id="130" w:name="_Ref80900931"/>
      <w:bookmarkStart w:id="131" w:name="_Ref80902197"/>
      <w:bookmarkStart w:id="132" w:name="_Ref80902814"/>
      <w:bookmarkStart w:id="133" w:name="_Ref80906197"/>
      <w:bookmarkStart w:id="134" w:name="_Toc80900081"/>
      <w:bookmarkStart w:id="135" w:name="_Toc82542763"/>
      <w:r w:rsidRPr="008F4E63">
        <w:rPr>
          <w:sz w:val="24"/>
        </w:rPr>
        <w:t>CONTACT INFORMATION</w:t>
      </w:r>
      <w:bookmarkEnd w:id="127"/>
      <w:bookmarkEnd w:id="128"/>
      <w:bookmarkEnd w:id="129"/>
      <w:bookmarkEnd w:id="130"/>
      <w:bookmarkEnd w:id="131"/>
      <w:bookmarkEnd w:id="132"/>
      <w:bookmarkEnd w:id="133"/>
      <w:bookmarkEnd w:id="134"/>
      <w:bookmarkEnd w:id="135"/>
    </w:p>
    <w:p w:rsidR="003727C7" w:rsidRPr="008F4E63" w:rsidP="003727C7" w14:paraId="2EDFC335" w14:textId="77777777">
      <w:pPr>
        <w:rPr>
          <w:b/>
          <w:bCs/>
          <w:szCs w:val="24"/>
        </w:rPr>
      </w:pPr>
      <w:r w:rsidRPr="008F4E63">
        <w:rPr>
          <w:szCs w:val="24"/>
        </w:rPr>
        <w:t>E-mail correspondence is preferred.  Correspondence by mail may be subject to significant delays</w:t>
      </w:r>
      <w:r w:rsidRPr="008F4E63">
        <w:rPr>
          <w:b/>
          <w:bCs/>
          <w:szCs w:val="24"/>
        </w:rPr>
        <w:t>.</w:t>
      </w:r>
    </w:p>
    <w:p w:rsidR="003727C7" w:rsidRPr="008F4E63" w:rsidP="003727C7" w14:paraId="59509AF9" w14:textId="77777777">
      <w:pPr>
        <w:rPr>
          <w:szCs w:val="24"/>
        </w:rPr>
      </w:pPr>
    </w:p>
    <w:p w:rsidR="003727C7" w:rsidRPr="008F4E63" w:rsidP="003727C7" w14:paraId="045630AE" w14:textId="18C0F4B8">
      <w:pPr>
        <w:rPr>
          <w:szCs w:val="24"/>
        </w:rPr>
      </w:pPr>
      <w:r w:rsidRPr="008F4E63">
        <w:rPr>
          <w:szCs w:val="24"/>
        </w:rPr>
        <w:t>LATCF</w:t>
      </w:r>
      <w:r w:rsidRPr="008F4E63" w:rsidR="006F3AC3">
        <w:rPr>
          <w:szCs w:val="24"/>
        </w:rPr>
        <w:t>@treasury.gov</w:t>
      </w:r>
    </w:p>
    <w:p w:rsidR="003727C7" w:rsidRPr="008F4E63" w:rsidP="003727C7" w14:paraId="79963E1A" w14:textId="77777777">
      <w:pPr>
        <w:rPr>
          <w:b/>
          <w:szCs w:val="24"/>
        </w:rPr>
      </w:pPr>
    </w:p>
    <w:p w:rsidR="008503CA" w:rsidP="003727C7" w14:paraId="5328C7ED" w14:textId="77777777">
      <w:pPr>
        <w:rPr>
          <w:szCs w:val="24"/>
        </w:rPr>
      </w:pPr>
      <w:r w:rsidRPr="008F4E63">
        <w:rPr>
          <w:szCs w:val="24"/>
        </w:rPr>
        <w:t xml:space="preserve">U.S. Department of the Treasury </w:t>
      </w:r>
    </w:p>
    <w:p w:rsidR="003727C7" w:rsidRPr="008F4E63" w:rsidP="003727C7" w14:paraId="13D962CF" w14:textId="13AF9D0D">
      <w:pPr>
        <w:rPr>
          <w:b/>
          <w:szCs w:val="24"/>
        </w:rPr>
      </w:pPr>
      <w:r w:rsidRPr="008F4E63">
        <w:rPr>
          <w:szCs w:val="24"/>
        </w:rPr>
        <w:t xml:space="preserve">Attn: </w:t>
      </w:r>
      <w:r w:rsidRPr="008F4E63" w:rsidR="00347EF3">
        <w:rPr>
          <w:b/>
          <w:bCs/>
          <w:szCs w:val="24"/>
        </w:rPr>
        <w:t>Local Assistance and Tribal Consistency Fund</w:t>
      </w:r>
    </w:p>
    <w:p w:rsidR="003727C7" w:rsidRPr="008F4E63" w:rsidP="003727C7" w14:paraId="15B06051" w14:textId="77777777">
      <w:pPr>
        <w:rPr>
          <w:b/>
          <w:bCs/>
          <w:szCs w:val="24"/>
        </w:rPr>
      </w:pPr>
      <w:r w:rsidRPr="008F4E63">
        <w:rPr>
          <w:szCs w:val="24"/>
        </w:rPr>
        <w:t>1500 Pennsylvania Ave NW</w:t>
      </w:r>
    </w:p>
    <w:p w:rsidR="00347EF3" w:rsidRPr="008F4E63" w14:paraId="4D931234" w14:textId="061FF6FC">
      <w:pPr>
        <w:rPr>
          <w:szCs w:val="24"/>
        </w:rPr>
      </w:pPr>
      <w:r w:rsidRPr="008F4E63">
        <w:rPr>
          <w:szCs w:val="24"/>
        </w:rPr>
        <w:t>Washington, DC 20220</w:t>
      </w:r>
    </w:p>
    <w:p w:rsidR="00347EF3" w:rsidRPr="008F4E63" w14:paraId="1352D46D" w14:textId="6BAC19E2">
      <w:pPr>
        <w:rPr>
          <w:szCs w:val="24"/>
        </w:rPr>
      </w:pPr>
    </w:p>
    <w:p w:rsidR="006F50E5" w14:paraId="1F65F4CD" w14:textId="2AA821B3">
      <w:pPr>
        <w:rPr>
          <w:szCs w:val="24"/>
        </w:rPr>
      </w:pPr>
      <w:r>
        <w:rPr>
          <w:szCs w:val="24"/>
        </w:rPr>
        <w:t>treasury.gov/LATCF</w:t>
      </w:r>
    </w:p>
    <w:p w:rsidR="006F50E5" w:rsidRPr="008F4E63" w:rsidP="006F50E5" w14:paraId="306300F9" w14:textId="6ECCFE7E">
      <w:pPr>
        <w:pStyle w:val="Heading1"/>
        <w:ind w:right="497"/>
        <w:rPr>
          <w:sz w:val="24"/>
        </w:rPr>
      </w:pPr>
      <w:r>
        <w:rPr>
          <w:sz w:val="24"/>
        </w:rPr>
        <w:t>UPDATE LOG</w:t>
      </w:r>
    </w:p>
    <w:tbl>
      <w:tblPr>
        <w:tblStyle w:val="TableGrid"/>
        <w:tblW w:w="0" w:type="auto"/>
        <w:tblLook w:val="04A0"/>
      </w:tblPr>
      <w:tblGrid>
        <w:gridCol w:w="1885"/>
        <w:gridCol w:w="7685"/>
      </w:tblGrid>
      <w:tr w14:paraId="6B045706" w14:textId="77777777" w:rsidTr="00DF38CD">
        <w:tblPrEx>
          <w:tblW w:w="0" w:type="auto"/>
          <w:tblLook w:val="04A0"/>
        </w:tblPrEx>
        <w:tc>
          <w:tcPr>
            <w:tcW w:w="1885" w:type="dxa"/>
            <w:shd w:val="clear" w:color="auto" w:fill="D9D9D9" w:themeFill="background1" w:themeFillShade="D9"/>
          </w:tcPr>
          <w:p w:rsidR="006F50E5" w:rsidRPr="00DF38CD" w:rsidP="006F50E5" w14:paraId="78DADFD1" w14:textId="75BC4A63">
            <w:pPr>
              <w:rPr>
                <w:b/>
                <w:bCs/>
                <w:szCs w:val="24"/>
              </w:rPr>
            </w:pPr>
            <w:r w:rsidRPr="00DF38CD">
              <w:rPr>
                <w:b/>
                <w:bCs/>
                <w:szCs w:val="24"/>
              </w:rPr>
              <w:t>Date</w:t>
            </w:r>
          </w:p>
        </w:tc>
        <w:tc>
          <w:tcPr>
            <w:tcW w:w="7685" w:type="dxa"/>
            <w:shd w:val="clear" w:color="auto" w:fill="D9D9D9" w:themeFill="background1" w:themeFillShade="D9"/>
          </w:tcPr>
          <w:p w:rsidR="006F50E5" w:rsidRPr="00DF38CD" w:rsidP="006F50E5" w14:paraId="7FC95D11" w14:textId="564F1B02">
            <w:pPr>
              <w:rPr>
                <w:b/>
                <w:bCs/>
                <w:szCs w:val="24"/>
              </w:rPr>
            </w:pPr>
            <w:r w:rsidRPr="00DF38CD">
              <w:rPr>
                <w:b/>
                <w:bCs/>
                <w:szCs w:val="24"/>
              </w:rPr>
              <w:t>Action</w:t>
            </w:r>
          </w:p>
        </w:tc>
      </w:tr>
      <w:tr w14:paraId="71C1DCB7" w14:textId="77777777" w:rsidTr="00DF38CD">
        <w:tblPrEx>
          <w:tblW w:w="0" w:type="auto"/>
          <w:tblLook w:val="04A0"/>
        </w:tblPrEx>
        <w:tc>
          <w:tcPr>
            <w:tcW w:w="1885" w:type="dxa"/>
          </w:tcPr>
          <w:p w:rsidR="006F50E5" w:rsidP="006F50E5" w14:paraId="208B7924" w14:textId="2E04A70C">
            <w:pPr>
              <w:rPr>
                <w:szCs w:val="24"/>
              </w:rPr>
            </w:pPr>
            <w:r>
              <w:rPr>
                <w:szCs w:val="24"/>
              </w:rPr>
              <w:t>July 2022</w:t>
            </w:r>
          </w:p>
        </w:tc>
        <w:tc>
          <w:tcPr>
            <w:tcW w:w="7685" w:type="dxa"/>
          </w:tcPr>
          <w:p w:rsidR="006F50E5" w:rsidP="006F50E5" w14:paraId="21B32C94" w14:textId="6AE0C308">
            <w:pPr>
              <w:rPr>
                <w:szCs w:val="24"/>
              </w:rPr>
            </w:pPr>
            <w:r>
              <w:rPr>
                <w:szCs w:val="24"/>
              </w:rPr>
              <w:t>Treasury issues Guidance</w:t>
            </w:r>
          </w:p>
        </w:tc>
      </w:tr>
      <w:tr w14:paraId="2ED5AC44" w14:textId="77777777" w:rsidTr="00DF38CD">
        <w:tblPrEx>
          <w:tblW w:w="0" w:type="auto"/>
          <w:tblLook w:val="04A0"/>
        </w:tblPrEx>
        <w:tc>
          <w:tcPr>
            <w:tcW w:w="1885" w:type="dxa"/>
          </w:tcPr>
          <w:p w:rsidR="006F50E5" w:rsidP="006F50E5" w14:paraId="353D461A" w14:textId="3C89EE80">
            <w:pPr>
              <w:rPr>
                <w:szCs w:val="24"/>
              </w:rPr>
            </w:pPr>
            <w:r>
              <w:rPr>
                <w:szCs w:val="24"/>
              </w:rPr>
              <w:t>February 2023</w:t>
            </w:r>
          </w:p>
        </w:tc>
        <w:tc>
          <w:tcPr>
            <w:tcW w:w="7685" w:type="dxa"/>
          </w:tcPr>
          <w:p w:rsidR="006F50E5" w:rsidP="006F50E5" w14:paraId="0AB72366" w14:textId="70A004A6">
            <w:pPr>
              <w:rPr>
                <w:szCs w:val="24"/>
              </w:rPr>
            </w:pPr>
            <w:r>
              <w:rPr>
                <w:szCs w:val="24"/>
              </w:rPr>
              <w:t xml:space="preserve">Treasury updates Guidance to reflect </w:t>
            </w:r>
            <w:r w:rsidR="00E70F04">
              <w:rPr>
                <w:szCs w:val="24"/>
              </w:rPr>
              <w:t xml:space="preserve">amendment to LATCF by </w:t>
            </w:r>
            <w:r>
              <w:rPr>
                <w:szCs w:val="24"/>
              </w:rPr>
              <w:t>Section 103 of Division LL of the Consolidated Appropriations Act, 2023</w:t>
            </w:r>
            <w:r w:rsidR="005C7320">
              <w:rPr>
                <w:szCs w:val="24"/>
              </w:rPr>
              <w:t xml:space="preserve"> and to reflect Buy America Domestic Content Procurement </w:t>
            </w:r>
            <w:r w:rsidR="00545756">
              <w:rPr>
                <w:szCs w:val="24"/>
              </w:rPr>
              <w:t>Preference</w:t>
            </w:r>
            <w:r w:rsidR="005C7320">
              <w:rPr>
                <w:szCs w:val="24"/>
              </w:rPr>
              <w:t xml:space="preserve"> waivers issued by Treasury.</w:t>
            </w:r>
          </w:p>
        </w:tc>
      </w:tr>
      <w:tr w14:paraId="4DC99996" w14:textId="77777777" w:rsidTr="00DF38CD">
        <w:tblPrEx>
          <w:tblW w:w="0" w:type="auto"/>
          <w:tblLook w:val="04A0"/>
        </w:tblPrEx>
        <w:tc>
          <w:tcPr>
            <w:tcW w:w="1885" w:type="dxa"/>
          </w:tcPr>
          <w:p w:rsidR="006F50E5" w:rsidP="006F50E5" w14:paraId="563E669F" w14:textId="77777777">
            <w:pPr>
              <w:rPr>
                <w:szCs w:val="24"/>
              </w:rPr>
            </w:pPr>
          </w:p>
        </w:tc>
        <w:tc>
          <w:tcPr>
            <w:tcW w:w="7685" w:type="dxa"/>
          </w:tcPr>
          <w:p w:rsidR="006F50E5" w:rsidP="006F50E5" w14:paraId="32F3CB43" w14:textId="77777777">
            <w:pPr>
              <w:rPr>
                <w:szCs w:val="24"/>
              </w:rPr>
            </w:pPr>
          </w:p>
        </w:tc>
      </w:tr>
      <w:tr w14:paraId="635B418B" w14:textId="77777777" w:rsidTr="00DF38CD">
        <w:tblPrEx>
          <w:tblW w:w="0" w:type="auto"/>
          <w:tblLook w:val="04A0"/>
        </w:tblPrEx>
        <w:tc>
          <w:tcPr>
            <w:tcW w:w="1885" w:type="dxa"/>
          </w:tcPr>
          <w:p w:rsidR="006F50E5" w:rsidP="006F50E5" w14:paraId="4A15FDF0" w14:textId="77777777">
            <w:pPr>
              <w:rPr>
                <w:szCs w:val="24"/>
              </w:rPr>
            </w:pPr>
          </w:p>
        </w:tc>
        <w:tc>
          <w:tcPr>
            <w:tcW w:w="7685" w:type="dxa"/>
          </w:tcPr>
          <w:p w:rsidR="006F50E5" w:rsidP="006F50E5" w14:paraId="48BBAFFC" w14:textId="77777777">
            <w:pPr>
              <w:rPr>
                <w:szCs w:val="24"/>
              </w:rPr>
            </w:pPr>
          </w:p>
        </w:tc>
      </w:tr>
      <w:tr w14:paraId="45EF48BF" w14:textId="77777777" w:rsidTr="006F50E5">
        <w:tblPrEx>
          <w:tblW w:w="0" w:type="auto"/>
          <w:tblLook w:val="04A0"/>
        </w:tblPrEx>
        <w:tc>
          <w:tcPr>
            <w:tcW w:w="1885" w:type="dxa"/>
          </w:tcPr>
          <w:p w:rsidR="006F50E5" w:rsidP="006F50E5" w14:paraId="374E7D3A" w14:textId="77777777">
            <w:pPr>
              <w:rPr>
                <w:szCs w:val="24"/>
              </w:rPr>
            </w:pPr>
          </w:p>
        </w:tc>
        <w:tc>
          <w:tcPr>
            <w:tcW w:w="7685" w:type="dxa"/>
          </w:tcPr>
          <w:p w:rsidR="006F50E5" w:rsidP="006F50E5" w14:paraId="5926F0C3" w14:textId="77777777">
            <w:pPr>
              <w:rPr>
                <w:szCs w:val="24"/>
              </w:rPr>
            </w:pPr>
          </w:p>
        </w:tc>
      </w:tr>
      <w:tr w14:paraId="4880D96C" w14:textId="77777777" w:rsidTr="006F50E5">
        <w:tblPrEx>
          <w:tblW w:w="0" w:type="auto"/>
          <w:tblLook w:val="04A0"/>
        </w:tblPrEx>
        <w:tc>
          <w:tcPr>
            <w:tcW w:w="1885" w:type="dxa"/>
          </w:tcPr>
          <w:p w:rsidR="006F50E5" w:rsidP="006F50E5" w14:paraId="07C6B469" w14:textId="77777777">
            <w:pPr>
              <w:rPr>
                <w:szCs w:val="24"/>
              </w:rPr>
            </w:pPr>
          </w:p>
        </w:tc>
        <w:tc>
          <w:tcPr>
            <w:tcW w:w="7685" w:type="dxa"/>
          </w:tcPr>
          <w:p w:rsidR="006F50E5" w:rsidP="006F50E5" w14:paraId="6D03DEA2" w14:textId="77777777">
            <w:pPr>
              <w:rPr>
                <w:szCs w:val="24"/>
              </w:rPr>
            </w:pPr>
          </w:p>
        </w:tc>
      </w:tr>
    </w:tbl>
    <w:p w:rsidR="006F50E5" w:rsidP="006F50E5" w14:paraId="0A670AFB" w14:textId="77777777">
      <w:pPr>
        <w:rPr>
          <w:szCs w:val="24"/>
        </w:rPr>
      </w:pPr>
    </w:p>
    <w:p w:rsidR="006F50E5" w:rsidP="006F50E5" w14:paraId="287924DA" w14:textId="77777777">
      <w:pPr>
        <w:rPr>
          <w:szCs w:val="24"/>
        </w:rPr>
      </w:pPr>
    </w:p>
    <w:p w:rsidR="00347EF3" w:rsidRPr="008F4E63" w14:paraId="73C9D4D2" w14:textId="77777777">
      <w:pPr>
        <w:rPr>
          <w:szCs w:val="24"/>
        </w:rPr>
      </w:pPr>
    </w:p>
    <w:sectPr w:rsidSect="00015072">
      <w:headerReference w:type="even" r:id="rId10"/>
      <w:headerReference w:type="default" r:id="rId11"/>
      <w:footerReference w:type="even" r:id="rId12"/>
      <w:footerReference w:type="default" r:id="rId13"/>
      <w:headerReference w:type="first" r:id="rId14"/>
      <w:footerReference w:type="first" r:id="rId15"/>
      <w:pgSz w:w="12240" w:h="15840"/>
      <w:pgMar w:top="1360" w:right="1340" w:bottom="1260" w:left="1320" w:header="0" w:footer="10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6EA" w14:paraId="29AE5E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D6F46" w14:paraId="21A45CFB" w14:textId="77777777">
    <w:pPr>
      <w:pStyle w:val="Footer"/>
    </w:pPr>
    <w:r>
      <w:rPr>
        <w:noProof/>
      </w:rPr>
      <mc:AlternateContent>
        <mc:Choice Requires="wps">
          <w:drawing>
            <wp:anchor distT="0" distB="0" distL="114300" distR="114300" simplePos="0" relativeHeight="251658240" behindDoc="1" locked="0" layoutInCell="1" allowOverlap="1">
              <wp:simplePos x="0" y="0"/>
              <wp:positionH relativeFrom="page">
                <wp:posOffset>6667500</wp:posOffset>
              </wp:positionH>
              <wp:positionV relativeFrom="page">
                <wp:posOffset>9244965</wp:posOffset>
              </wp:positionV>
              <wp:extent cx="2286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6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F46" w14:textId="77777777">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pt;height:15.3pt;margin-top:727.95pt;margin-left:5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F46" w14:paraId="37F7A99C" w14:textId="77777777">
                    <w:pPr>
                      <w:pStyle w:val="BodyText"/>
                      <w:spacing w:before="10"/>
                      <w:ind w:left="60"/>
                    </w:pPr>
                    <w:r>
                      <w:fldChar w:fldCharType="begin"/>
                    </w:r>
                    <w: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6EA" w14:paraId="1E6B7F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116EA" w:rsidP="003727C7" w14:paraId="1AA31426" w14:textId="77777777">
      <w:r>
        <w:separator/>
      </w:r>
    </w:p>
  </w:footnote>
  <w:footnote w:type="continuationSeparator" w:id="1">
    <w:p w:rsidR="005116EA" w:rsidP="003727C7" w14:paraId="6C3BEB28" w14:textId="77777777">
      <w:r>
        <w:continuationSeparator/>
      </w:r>
    </w:p>
  </w:footnote>
  <w:footnote w:type="continuationNotice" w:id="2">
    <w:p w:rsidR="005116EA" w14:paraId="4BE9AE1A" w14:textId="77777777"/>
  </w:footnote>
  <w:footnote w:id="3">
    <w:p w:rsidR="00F62DA4" w:rsidP="009A7515" w14:paraId="178CE6AD" w14:textId="77777777">
      <w:pPr>
        <w:pStyle w:val="FootnoteText"/>
        <w:spacing w:after="120" w:line="247" w:lineRule="auto"/>
      </w:pPr>
      <w:r>
        <w:rPr>
          <w:rStyle w:val="FootnoteReference"/>
        </w:rPr>
        <w:footnoteRef/>
      </w:r>
      <w:r>
        <w:t xml:space="preserve"> Neither the Davis-Bacon Act nor Davis-Bacon Act related provisions requirements apply to projects funded solely with award funds from the LATCF, except for LATCF-funded construction projects undertaken by the District of Columbia. The Davis-Bacon Act specifically applies to the District of Columbia when it uses federal funds to enter into contracts over $2,000 for the construction, alteration, or repair (including painting and decorating) of public buildings or public works. Recipients may be subject to the requirements of the Davis-Bacon Act, when LATCF funds are used on a construction project in conjunction with funds from another federal program that requires enforcement of the Davis-Bacon Act. Additionally, corollary state prevailing-wage-in-construction laws (commonly known as “baby Davis-Bacon Acts”) may apply to projects.</w:t>
      </w:r>
    </w:p>
  </w:footnote>
  <w:footnote w:id="4">
    <w:p w:rsidR="0054140B" w:rsidP="009A7515" w14:paraId="797181B9" w14:textId="170EEDA6">
      <w:pPr>
        <w:pStyle w:val="FootnoteText"/>
        <w:spacing w:after="120" w:line="247" w:lineRule="auto"/>
      </w:pPr>
      <w:r>
        <w:rPr>
          <w:rStyle w:val="FootnoteReference"/>
        </w:rPr>
        <w:footnoteRef/>
      </w:r>
      <w:r>
        <w:t xml:space="preserve"> Projects supported with payments from LATCF may still be subject to NEPA review if they are also funded by or otherwise involve actions from other federal programs or agencies.</w:t>
      </w:r>
    </w:p>
  </w:footnote>
  <w:footnote w:id="5">
    <w:p w:rsidR="005D4BBD" w:rsidRPr="00D76E38" w:rsidP="009A7515" w14:paraId="1196756D" w14:textId="77777777">
      <w:pPr>
        <w:pStyle w:val="FootnoteText"/>
        <w:spacing w:after="120" w:line="247" w:lineRule="auto"/>
      </w:pPr>
      <w:r w:rsidRPr="00D76E38">
        <w:rPr>
          <w:rStyle w:val="FootnoteReference"/>
        </w:rPr>
        <w:footnoteRef/>
      </w:r>
      <w:r w:rsidRPr="00D76E38">
        <w:t xml:space="preserve"> </w:t>
      </w:r>
      <w:r w:rsidRPr="003B4148">
        <w:t xml:space="preserve">See </w:t>
      </w:r>
      <w:r w:rsidRPr="000342AD">
        <w:rPr>
          <w:iCs/>
        </w:rPr>
        <w:t>U.S. Government Accountability Office,</w:t>
      </w:r>
      <w:r w:rsidRPr="003B4148">
        <w:rPr>
          <w:i/>
        </w:rPr>
        <w:t xml:space="preserve"> Principles of Federal Appropriations Law, Third Edition, Volume II, </w:t>
      </w:r>
      <w:r w:rsidRPr="000342AD">
        <w:rPr>
          <w:iCs/>
        </w:rPr>
        <w:t>p. 10-99, GAO-06-382SP (February 2006), https://www.gao.gov/assets/gao-06-382sp.pdf</w:t>
      </w:r>
    </w:p>
  </w:footnote>
  <w:footnote w:id="6">
    <w:p w:rsidR="004B1730" w:rsidP="009A7515" w14:paraId="4152074F" w14:textId="48A0E972">
      <w:pPr>
        <w:pStyle w:val="FootnoteText"/>
        <w:spacing w:after="120" w:line="247" w:lineRule="auto"/>
      </w:pPr>
      <w:r>
        <w:rPr>
          <w:rStyle w:val="FootnoteReference"/>
        </w:rPr>
        <w:footnoteRef/>
      </w:r>
      <w:r>
        <w:t xml:space="preserve"> 2 C.F.R. Part 25, Subpart C, is inapplicable to this program as transfers under this program do not give rise to subrecipient relationships.</w:t>
      </w:r>
    </w:p>
  </w:footnote>
  <w:footnote w:id="7">
    <w:p w:rsidR="003A2E3A" w:rsidP="003A2E3A" w14:paraId="338C9372" w14:textId="77777777">
      <w:pPr>
        <w:pStyle w:val="FootnoteText"/>
        <w:spacing w:after="120" w:line="247" w:lineRule="auto"/>
      </w:pPr>
      <w:r>
        <w:rPr>
          <w:rStyle w:val="FootnoteReference"/>
        </w:rPr>
        <w:footnoteRef/>
      </w:r>
      <w:r>
        <w:t xml:space="preserve"> </w:t>
      </w:r>
      <w:r>
        <w:rPr>
          <w:i/>
          <w:iCs/>
        </w:rPr>
        <w:t>See</w:t>
      </w:r>
      <w:r w:rsidRPr="00574211">
        <w:rPr>
          <w:i/>
          <w:iCs/>
        </w:rPr>
        <w:t xml:space="preserve"> </w:t>
      </w:r>
      <w:r>
        <w:t>section</w:t>
      </w:r>
      <w:r w:rsidRPr="00574211">
        <w:t xml:space="preserve"> 70914(a) </w:t>
      </w:r>
      <w:r>
        <w:t xml:space="preserve">of the </w:t>
      </w:r>
      <w:r w:rsidRPr="004C2BD3">
        <w:t>Infrastructure Investment and Jobs Act</w:t>
      </w:r>
      <w:r>
        <w:t xml:space="preserve">, </w:t>
      </w:r>
      <w:r w:rsidRPr="00574211">
        <w:t>Pub. L. No. 117-58</w:t>
      </w:r>
      <w:r>
        <w:t xml:space="preserve"> (IIJA).  The Buy America, Build America Act was included as sections </w:t>
      </w:r>
      <w:r w:rsidRPr="00574211">
        <w:t>70901-</w:t>
      </w:r>
      <w:r>
        <w:t>27 of the IIJA.</w:t>
      </w:r>
    </w:p>
  </w:footnote>
  <w:footnote w:id="8">
    <w:p w:rsidR="003A2E3A" w:rsidP="003A2E3A" w14:paraId="330147DE" w14:textId="77777777">
      <w:pPr>
        <w:pStyle w:val="FootnoteText"/>
        <w:spacing w:after="120" w:line="247" w:lineRule="auto"/>
      </w:pPr>
      <w:r>
        <w:rPr>
          <w:rStyle w:val="FootnoteReference"/>
        </w:rPr>
        <w:footnoteRef/>
      </w:r>
      <w:r>
        <w:t xml:space="preserve"> OMB’s guidance is provided in OMB Memorandum M-22-11, “</w:t>
      </w:r>
      <w:r w:rsidRPr="00604752">
        <w:t>Initial Implementation Guidance on Application of Buy America Preference in Federal Financial Assistance Programs for Infrastructure</w:t>
      </w:r>
      <w:r>
        <w:t xml:space="preserve">” (April 18, 2022), </w:t>
      </w:r>
      <w:r w:rsidRPr="00604752">
        <w:rPr>
          <w:i/>
          <w:iCs/>
        </w:rPr>
        <w:t xml:space="preserve">available at </w:t>
      </w:r>
      <w:hyperlink r:id="rId1" w:history="1">
        <w:r w:rsidRPr="00062667">
          <w:rPr>
            <w:rStyle w:val="Hyperlink"/>
          </w:rPr>
          <w:t>https://www.whitehouse.gov/wp-content/uploads/2022/04/M-22-11.pdf</w:t>
        </w:r>
      </w:hyperlink>
      <w:r>
        <w:t>.</w:t>
      </w:r>
    </w:p>
  </w:footnote>
  <w:footnote w:id="9">
    <w:p w:rsidR="003A2E3A" w:rsidRPr="004C2BD3" w:rsidP="003A2E3A" w14:paraId="532EE61D" w14:textId="77777777">
      <w:pPr>
        <w:pStyle w:val="FootnoteText"/>
        <w:spacing w:after="120" w:line="247" w:lineRule="auto"/>
      </w:pPr>
      <w:r>
        <w:rPr>
          <w:rStyle w:val="FootnoteReference"/>
        </w:rPr>
        <w:footnoteRef/>
      </w:r>
      <w:r>
        <w:t xml:space="preserve"> More specifically, as provided in OMB’s guidance, the requirements of the Buy America, Build America Act do not apply to expenditures made in anticipation of or in response to an event or events that qualify as an “emergency” or “major disaster” within the meaning of the Stafford Act, 42 U.S.C. § 5122(1), (2).  </w:t>
      </w:r>
      <w:r>
        <w:rPr>
          <w:i/>
          <w:iCs/>
        </w:rPr>
        <w:t xml:space="preserve">See </w:t>
      </w:r>
      <w:r>
        <w:t xml:space="preserve">OMB Memorandum M-22-11 at 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6EA" w14:paraId="7A14DB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6EA" w14:paraId="333856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116EA" w14:paraId="5653DD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123FD9"/>
    <w:multiLevelType w:val="hybridMultilevel"/>
    <w:tmpl w:val="FD70432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5D6775"/>
    <w:multiLevelType w:val="hybridMultilevel"/>
    <w:tmpl w:val="812279A0"/>
    <w:lvl w:ilvl="0">
      <w:start w:val="1"/>
      <w:numFmt w:val="upperRoman"/>
      <w:pStyle w:val="Heading1"/>
      <w:lvlText w:val="%1."/>
      <w:lvlJc w:val="right"/>
      <w:pPr>
        <w:ind w:left="839" w:hanging="360"/>
      </w:p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2">
    <w:nsid w:val="0F137133"/>
    <w:multiLevelType w:val="hybridMultilevel"/>
    <w:tmpl w:val="A15856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B4B34"/>
    <w:multiLevelType w:val="hybridMultilevel"/>
    <w:tmpl w:val="A92EC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EB6A9E"/>
    <w:multiLevelType w:val="hybridMultilevel"/>
    <w:tmpl w:val="F19C7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954EC0"/>
    <w:multiLevelType w:val="hybridMultilevel"/>
    <w:tmpl w:val="A9EE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0D1959"/>
    <w:multiLevelType w:val="hybridMultilevel"/>
    <w:tmpl w:val="241EF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0C01E7"/>
    <w:multiLevelType w:val="hybridMultilevel"/>
    <w:tmpl w:val="51AA74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
    <w:nsid w:val="2CEF7860"/>
    <w:multiLevelType w:val="hybridMultilevel"/>
    <w:tmpl w:val="78B07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9502E6"/>
    <w:multiLevelType w:val="hybridMultilevel"/>
    <w:tmpl w:val="3B687934"/>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265F41"/>
    <w:multiLevelType w:val="hybridMultilevel"/>
    <w:tmpl w:val="5DA02EB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DC6B2C"/>
    <w:multiLevelType w:val="hybridMultilevel"/>
    <w:tmpl w:val="0CFEBC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CB435B"/>
    <w:multiLevelType w:val="hybridMultilevel"/>
    <w:tmpl w:val="16D8C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4F7F83"/>
    <w:multiLevelType w:val="hybridMultilevel"/>
    <w:tmpl w:val="2D2C7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947C4A"/>
    <w:multiLevelType w:val="hybridMultilevel"/>
    <w:tmpl w:val="9D929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903984"/>
    <w:multiLevelType w:val="hybridMultilevel"/>
    <w:tmpl w:val="FDCE4A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8F34AF"/>
    <w:multiLevelType w:val="hybridMultilevel"/>
    <w:tmpl w:val="0540B8D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75AEA"/>
    <w:multiLevelType w:val="hybridMultilevel"/>
    <w:tmpl w:val="A7ACEA8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C0A408C"/>
    <w:multiLevelType w:val="hybridMultilevel"/>
    <w:tmpl w:val="E020E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E45006"/>
    <w:multiLevelType w:val="hybridMultilevel"/>
    <w:tmpl w:val="BA7A9032"/>
    <w:lvl w:ilvl="0">
      <w:start w:val="1"/>
      <w:numFmt w:val="lowerLetter"/>
      <w:lvlText w:val="%1."/>
      <w:lvlJc w:val="left"/>
      <w:pPr>
        <w:ind w:left="720" w:hanging="360"/>
      </w:pPr>
      <w:rPr>
        <w:rFonts w:ascii="Times New Roman" w:eastAsia="Calibri" w:hAnsi="Times New Roman" w:cs="Times New Roman" w:hint="default"/>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643B62"/>
    <w:multiLevelType w:val="hybridMultilevel"/>
    <w:tmpl w:val="FD4E2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A70ADE"/>
    <w:multiLevelType w:val="hybridMultilevel"/>
    <w:tmpl w:val="3BD60E9E"/>
    <w:lvl w:ilvl="0">
      <w:start w:val="0"/>
      <w:numFmt w:val="bullet"/>
      <w:lvlText w:val=""/>
      <w:lvlJc w:val="left"/>
      <w:pPr>
        <w:ind w:left="480" w:hanging="360"/>
      </w:pPr>
      <w:rPr>
        <w:rFonts w:ascii="Symbol" w:eastAsia="Symbol" w:hAnsi="Symbol" w:cs="Symbol" w:hint="default"/>
        <w:w w:val="100"/>
        <w:sz w:val="24"/>
        <w:szCs w:val="24"/>
      </w:rPr>
    </w:lvl>
    <w:lvl w:ilvl="1">
      <w:start w:val="0"/>
      <w:numFmt w:val="bullet"/>
      <w:lvlText w:val="o"/>
      <w:lvlJc w:val="left"/>
      <w:pPr>
        <w:ind w:left="1200" w:hanging="360"/>
      </w:pPr>
      <w:rPr>
        <w:rFonts w:ascii="Courier New" w:eastAsia="Courier New" w:hAnsi="Courier New" w:cs="Courier New" w:hint="default"/>
        <w:w w:val="100"/>
        <w:sz w:val="24"/>
        <w:szCs w:val="24"/>
      </w:rPr>
    </w:lvl>
    <w:lvl w:ilvl="2">
      <w:start w:val="0"/>
      <w:numFmt w:val="bullet"/>
      <w:lvlText w:val="•"/>
      <w:lvlJc w:val="left"/>
      <w:pPr>
        <w:ind w:left="2131" w:hanging="360"/>
      </w:pPr>
      <w:rPr>
        <w:rFonts w:hint="default"/>
      </w:rPr>
    </w:lvl>
    <w:lvl w:ilvl="3">
      <w:start w:val="0"/>
      <w:numFmt w:val="bullet"/>
      <w:lvlText w:val="•"/>
      <w:lvlJc w:val="left"/>
      <w:pPr>
        <w:ind w:left="3062" w:hanging="360"/>
      </w:pPr>
      <w:rPr>
        <w:rFonts w:hint="default"/>
      </w:rPr>
    </w:lvl>
    <w:lvl w:ilvl="4">
      <w:start w:val="0"/>
      <w:numFmt w:val="bullet"/>
      <w:lvlText w:val="•"/>
      <w:lvlJc w:val="left"/>
      <w:pPr>
        <w:ind w:left="3993" w:hanging="360"/>
      </w:pPr>
      <w:rPr>
        <w:rFonts w:hint="default"/>
      </w:rPr>
    </w:lvl>
    <w:lvl w:ilvl="5">
      <w:start w:val="0"/>
      <w:numFmt w:val="bullet"/>
      <w:lvlText w:val="•"/>
      <w:lvlJc w:val="left"/>
      <w:pPr>
        <w:ind w:left="4924" w:hanging="360"/>
      </w:pPr>
      <w:rPr>
        <w:rFonts w:hint="default"/>
      </w:rPr>
    </w:lvl>
    <w:lvl w:ilvl="6">
      <w:start w:val="0"/>
      <w:numFmt w:val="bullet"/>
      <w:lvlText w:val="•"/>
      <w:lvlJc w:val="left"/>
      <w:pPr>
        <w:ind w:left="5855" w:hanging="360"/>
      </w:pPr>
      <w:rPr>
        <w:rFonts w:hint="default"/>
      </w:rPr>
    </w:lvl>
    <w:lvl w:ilvl="7">
      <w:start w:val="0"/>
      <w:numFmt w:val="bullet"/>
      <w:lvlText w:val="•"/>
      <w:lvlJc w:val="left"/>
      <w:pPr>
        <w:ind w:left="6786" w:hanging="360"/>
      </w:pPr>
      <w:rPr>
        <w:rFonts w:hint="default"/>
      </w:rPr>
    </w:lvl>
    <w:lvl w:ilvl="8">
      <w:start w:val="0"/>
      <w:numFmt w:val="bullet"/>
      <w:lvlText w:val="•"/>
      <w:lvlJc w:val="left"/>
      <w:pPr>
        <w:ind w:left="7717" w:hanging="360"/>
      </w:pPr>
      <w:rPr>
        <w:rFonts w:hint="default"/>
      </w:rPr>
    </w:lvl>
  </w:abstractNum>
  <w:abstractNum w:abstractNumId="22">
    <w:nsid w:val="64D21E63"/>
    <w:multiLevelType w:val="hybridMultilevel"/>
    <w:tmpl w:val="78220D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F03FD1"/>
    <w:multiLevelType w:val="hybridMultilevel"/>
    <w:tmpl w:val="B62EA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C4643C"/>
    <w:multiLevelType w:val="hybridMultilevel"/>
    <w:tmpl w:val="91B2D9B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9C62914"/>
    <w:multiLevelType w:val="hybridMultilevel"/>
    <w:tmpl w:val="3F68F114"/>
    <w:lvl w:ilvl="0">
      <w:start w:val="1"/>
      <w:numFmt w:val="lowerLetter"/>
      <w:pStyle w:val="Heading3"/>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C415227"/>
    <w:multiLevelType w:val="hybridMultilevel"/>
    <w:tmpl w:val="411425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15A51DF"/>
    <w:multiLevelType w:val="hybridMultilevel"/>
    <w:tmpl w:val="C6229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9C464A"/>
    <w:multiLevelType w:val="hybridMultilevel"/>
    <w:tmpl w:val="E72C0D3C"/>
    <w:lvl w:ilvl="0">
      <w:start w:val="1"/>
      <w:numFmt w:val="upperLetter"/>
      <w:pStyle w:val="Heading2"/>
      <w:lvlText w:val="%1."/>
      <w:lvlJc w:val="left"/>
      <w:pPr>
        <w:ind w:left="1199" w:hanging="360"/>
      </w:pPr>
      <w:rPr>
        <w:rFonts w:hint="default"/>
      </w:rPr>
    </w:lvl>
    <w:lvl w:ilvl="1" w:tentative="1">
      <w:start w:val="1"/>
      <w:numFmt w:val="lowerLetter"/>
      <w:lvlText w:val="%2."/>
      <w:lvlJc w:val="left"/>
      <w:pPr>
        <w:ind w:left="1919" w:hanging="360"/>
      </w:pPr>
    </w:lvl>
    <w:lvl w:ilvl="2" w:tentative="1">
      <w:start w:val="1"/>
      <w:numFmt w:val="lowerRoman"/>
      <w:lvlText w:val="%3."/>
      <w:lvlJc w:val="right"/>
      <w:pPr>
        <w:ind w:left="2639" w:hanging="180"/>
      </w:pPr>
    </w:lvl>
    <w:lvl w:ilvl="3" w:tentative="1">
      <w:start w:val="1"/>
      <w:numFmt w:val="decimal"/>
      <w:lvlText w:val="%4."/>
      <w:lvlJc w:val="left"/>
      <w:pPr>
        <w:ind w:left="3359" w:hanging="360"/>
      </w:pPr>
    </w:lvl>
    <w:lvl w:ilvl="4" w:tentative="1">
      <w:start w:val="1"/>
      <w:numFmt w:val="lowerLetter"/>
      <w:lvlText w:val="%5."/>
      <w:lvlJc w:val="left"/>
      <w:pPr>
        <w:ind w:left="4079" w:hanging="360"/>
      </w:pPr>
    </w:lvl>
    <w:lvl w:ilvl="5" w:tentative="1">
      <w:start w:val="1"/>
      <w:numFmt w:val="lowerRoman"/>
      <w:lvlText w:val="%6."/>
      <w:lvlJc w:val="right"/>
      <w:pPr>
        <w:ind w:left="4799" w:hanging="180"/>
      </w:pPr>
    </w:lvl>
    <w:lvl w:ilvl="6" w:tentative="1">
      <w:start w:val="1"/>
      <w:numFmt w:val="decimal"/>
      <w:lvlText w:val="%7."/>
      <w:lvlJc w:val="left"/>
      <w:pPr>
        <w:ind w:left="5519" w:hanging="360"/>
      </w:pPr>
    </w:lvl>
    <w:lvl w:ilvl="7" w:tentative="1">
      <w:start w:val="1"/>
      <w:numFmt w:val="lowerLetter"/>
      <w:lvlText w:val="%8."/>
      <w:lvlJc w:val="left"/>
      <w:pPr>
        <w:ind w:left="6239" w:hanging="360"/>
      </w:pPr>
    </w:lvl>
    <w:lvl w:ilvl="8" w:tentative="1">
      <w:start w:val="1"/>
      <w:numFmt w:val="lowerRoman"/>
      <w:lvlText w:val="%9."/>
      <w:lvlJc w:val="right"/>
      <w:pPr>
        <w:ind w:left="6959" w:hanging="180"/>
      </w:pPr>
    </w:lvl>
  </w:abstractNum>
  <w:abstractNum w:abstractNumId="29">
    <w:nsid w:val="77EF4F4B"/>
    <w:multiLevelType w:val="hybridMultilevel"/>
    <w:tmpl w:val="6D10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BE14D9"/>
    <w:multiLevelType w:val="hybridMultilevel"/>
    <w:tmpl w:val="C1D00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D8702C3"/>
    <w:multiLevelType w:val="hybridMultilevel"/>
    <w:tmpl w:val="DBDE89F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1306161">
    <w:abstractNumId w:val="21"/>
  </w:num>
  <w:num w:numId="2" w16cid:durableId="1282230496">
    <w:abstractNumId w:val="1"/>
  </w:num>
  <w:num w:numId="3" w16cid:durableId="1201551135">
    <w:abstractNumId w:val="28"/>
  </w:num>
  <w:num w:numId="4" w16cid:durableId="450781966">
    <w:abstractNumId w:val="1"/>
    <w:lvlOverride w:ilvl="0">
      <w:startOverride w:val="1"/>
    </w:lvlOverride>
  </w:num>
  <w:num w:numId="5" w16cid:durableId="1914579425">
    <w:abstractNumId w:val="25"/>
  </w:num>
  <w:num w:numId="6" w16cid:durableId="463818720">
    <w:abstractNumId w:val="20"/>
  </w:num>
  <w:num w:numId="7" w16cid:durableId="789203394">
    <w:abstractNumId w:val="25"/>
    <w:lvlOverride w:ilvl="0">
      <w:startOverride w:val="1"/>
    </w:lvlOverride>
  </w:num>
  <w:num w:numId="8" w16cid:durableId="6793128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549429">
    <w:abstractNumId w:val="24"/>
  </w:num>
  <w:num w:numId="10" w16cid:durableId="563029678">
    <w:abstractNumId w:val="13"/>
  </w:num>
  <w:num w:numId="11" w16cid:durableId="274286783">
    <w:abstractNumId w:val="0"/>
  </w:num>
  <w:num w:numId="12" w16cid:durableId="417823162">
    <w:abstractNumId w:val="18"/>
  </w:num>
  <w:num w:numId="13" w16cid:durableId="701053448">
    <w:abstractNumId w:val="14"/>
  </w:num>
  <w:num w:numId="14" w16cid:durableId="652873365">
    <w:abstractNumId w:val="5"/>
  </w:num>
  <w:num w:numId="15" w16cid:durableId="106042598">
    <w:abstractNumId w:val="23"/>
  </w:num>
  <w:num w:numId="16" w16cid:durableId="160005448">
    <w:abstractNumId w:val="25"/>
    <w:lvlOverride w:ilvl="0">
      <w:startOverride w:val="1"/>
    </w:lvlOverride>
  </w:num>
  <w:num w:numId="17" w16cid:durableId="863707792">
    <w:abstractNumId w:val="25"/>
    <w:lvlOverride w:ilvl="0">
      <w:startOverride w:val="1"/>
    </w:lvlOverride>
  </w:num>
  <w:num w:numId="18" w16cid:durableId="2043170452">
    <w:abstractNumId w:val="7"/>
  </w:num>
  <w:num w:numId="19" w16cid:durableId="479074964">
    <w:abstractNumId w:val="28"/>
    <w:lvlOverride w:ilvl="0">
      <w:startOverride w:val="1"/>
    </w:lvlOverride>
  </w:num>
  <w:num w:numId="20" w16cid:durableId="117648871">
    <w:abstractNumId w:val="28"/>
    <w:lvlOverride w:ilvl="0">
      <w:startOverride w:val="1"/>
    </w:lvlOverride>
  </w:num>
  <w:num w:numId="21" w16cid:durableId="189412646">
    <w:abstractNumId w:val="28"/>
    <w:lvlOverride w:ilvl="0">
      <w:startOverride w:val="1"/>
    </w:lvlOverride>
  </w:num>
  <w:num w:numId="22" w16cid:durableId="1553224951">
    <w:abstractNumId w:val="28"/>
  </w:num>
  <w:num w:numId="23" w16cid:durableId="264504625">
    <w:abstractNumId w:val="28"/>
    <w:lvlOverride w:ilvl="0">
      <w:startOverride w:val="1"/>
    </w:lvlOverride>
  </w:num>
  <w:num w:numId="24" w16cid:durableId="1497107671">
    <w:abstractNumId w:val="31"/>
  </w:num>
  <w:num w:numId="25" w16cid:durableId="1449274757">
    <w:abstractNumId w:val="28"/>
    <w:lvlOverride w:ilvl="0">
      <w:startOverride w:val="1"/>
    </w:lvlOverride>
  </w:num>
  <w:num w:numId="26" w16cid:durableId="1015306677">
    <w:abstractNumId w:val="8"/>
  </w:num>
  <w:num w:numId="27" w16cid:durableId="1663462472">
    <w:abstractNumId w:val="4"/>
  </w:num>
  <w:num w:numId="28" w16cid:durableId="530143719">
    <w:abstractNumId w:val="9"/>
  </w:num>
  <w:num w:numId="29" w16cid:durableId="1354186480">
    <w:abstractNumId w:val="28"/>
    <w:lvlOverride w:ilvl="0">
      <w:startOverride w:val="1"/>
    </w:lvlOverride>
  </w:num>
  <w:num w:numId="30" w16cid:durableId="373621250">
    <w:abstractNumId w:val="22"/>
  </w:num>
  <w:num w:numId="31" w16cid:durableId="216626655">
    <w:abstractNumId w:val="11"/>
  </w:num>
  <w:num w:numId="32" w16cid:durableId="799151071">
    <w:abstractNumId w:val="3"/>
  </w:num>
  <w:num w:numId="33" w16cid:durableId="1160075427">
    <w:abstractNumId w:val="2"/>
  </w:num>
  <w:num w:numId="34" w16cid:durableId="1125586692">
    <w:abstractNumId w:val="16"/>
  </w:num>
  <w:num w:numId="35" w16cid:durableId="1501656832">
    <w:abstractNumId w:val="28"/>
    <w:lvlOverride w:ilvl="0">
      <w:startOverride w:val="1"/>
    </w:lvlOverride>
  </w:num>
  <w:num w:numId="36" w16cid:durableId="1898929062">
    <w:abstractNumId w:val="28"/>
    <w:lvlOverride w:ilvl="0">
      <w:startOverride w:val="1"/>
    </w:lvlOverride>
  </w:num>
  <w:num w:numId="37" w16cid:durableId="1746685021">
    <w:abstractNumId w:val="28"/>
    <w:lvlOverride w:ilvl="0">
      <w:startOverride w:val="1"/>
    </w:lvlOverride>
  </w:num>
  <w:num w:numId="38" w16cid:durableId="1678577964">
    <w:abstractNumId w:val="27"/>
  </w:num>
  <w:num w:numId="39" w16cid:durableId="894707118">
    <w:abstractNumId w:val="29"/>
  </w:num>
  <w:num w:numId="40" w16cid:durableId="11249308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43209232">
    <w:abstractNumId w:val="26"/>
  </w:num>
  <w:num w:numId="42" w16cid:durableId="677194990">
    <w:abstractNumId w:val="28"/>
    <w:lvlOverride w:ilvl="0">
      <w:startOverride w:val="1"/>
    </w:lvlOverride>
  </w:num>
  <w:num w:numId="43" w16cid:durableId="561139190">
    <w:abstractNumId w:val="12"/>
  </w:num>
  <w:num w:numId="44" w16cid:durableId="1046831815">
    <w:abstractNumId w:val="15"/>
  </w:num>
  <w:num w:numId="45" w16cid:durableId="1062022551">
    <w:abstractNumId w:val="6"/>
  </w:num>
  <w:num w:numId="46" w16cid:durableId="1726949003">
    <w:abstractNumId w:val="10"/>
  </w:num>
  <w:num w:numId="47" w16cid:durableId="49113378">
    <w:abstractNumId w:val="19"/>
  </w:num>
  <w:num w:numId="48" w16cid:durableId="366567375">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icholas Wu">
    <w15:presenceInfo w15:providerId="AD" w15:userId="S::Nicholas.Wu@treasury.gov::2b0bb362-9d6b-4ed9-b1fa-df5b4710f1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C7"/>
    <w:rsid w:val="000011FC"/>
    <w:rsid w:val="00002EFF"/>
    <w:rsid w:val="00011DD8"/>
    <w:rsid w:val="00013563"/>
    <w:rsid w:val="00013D20"/>
    <w:rsid w:val="00015072"/>
    <w:rsid w:val="00020556"/>
    <w:rsid w:val="00024043"/>
    <w:rsid w:val="00025CAF"/>
    <w:rsid w:val="00031FE5"/>
    <w:rsid w:val="0003312C"/>
    <w:rsid w:val="000342AD"/>
    <w:rsid w:val="000466B4"/>
    <w:rsid w:val="00061163"/>
    <w:rsid w:val="00061432"/>
    <w:rsid w:val="00062667"/>
    <w:rsid w:val="00063361"/>
    <w:rsid w:val="00063CAD"/>
    <w:rsid w:val="0006633B"/>
    <w:rsid w:val="00066B34"/>
    <w:rsid w:val="0007063E"/>
    <w:rsid w:val="00080060"/>
    <w:rsid w:val="00091363"/>
    <w:rsid w:val="00093F95"/>
    <w:rsid w:val="00095F06"/>
    <w:rsid w:val="000A0AC7"/>
    <w:rsid w:val="000A0CE6"/>
    <w:rsid w:val="000A6CF5"/>
    <w:rsid w:val="000B099A"/>
    <w:rsid w:val="000B0AFD"/>
    <w:rsid w:val="000B0CD4"/>
    <w:rsid w:val="000B1D4E"/>
    <w:rsid w:val="000B2616"/>
    <w:rsid w:val="000B2638"/>
    <w:rsid w:val="000B4C57"/>
    <w:rsid w:val="000B7984"/>
    <w:rsid w:val="000C0B77"/>
    <w:rsid w:val="000C32B9"/>
    <w:rsid w:val="000C32C8"/>
    <w:rsid w:val="000C4B93"/>
    <w:rsid w:val="000C5885"/>
    <w:rsid w:val="000C77F5"/>
    <w:rsid w:val="000D1A4E"/>
    <w:rsid w:val="000D435C"/>
    <w:rsid w:val="000D5312"/>
    <w:rsid w:val="000D6E87"/>
    <w:rsid w:val="000D73B4"/>
    <w:rsid w:val="000E28C9"/>
    <w:rsid w:val="000E2ACE"/>
    <w:rsid w:val="000F5B53"/>
    <w:rsid w:val="000F6F9C"/>
    <w:rsid w:val="000F795C"/>
    <w:rsid w:val="000F7E1C"/>
    <w:rsid w:val="00100921"/>
    <w:rsid w:val="00100BC7"/>
    <w:rsid w:val="00114B28"/>
    <w:rsid w:val="00125A65"/>
    <w:rsid w:val="00127EAF"/>
    <w:rsid w:val="00131758"/>
    <w:rsid w:val="001331E5"/>
    <w:rsid w:val="0013332A"/>
    <w:rsid w:val="0013700C"/>
    <w:rsid w:val="00141116"/>
    <w:rsid w:val="001426C6"/>
    <w:rsid w:val="00142E4C"/>
    <w:rsid w:val="001470D4"/>
    <w:rsid w:val="0015033B"/>
    <w:rsid w:val="0015436A"/>
    <w:rsid w:val="00164306"/>
    <w:rsid w:val="0016679F"/>
    <w:rsid w:val="001709CD"/>
    <w:rsid w:val="001735E9"/>
    <w:rsid w:val="00174629"/>
    <w:rsid w:val="00174686"/>
    <w:rsid w:val="001837F6"/>
    <w:rsid w:val="00183A2B"/>
    <w:rsid w:val="00184927"/>
    <w:rsid w:val="00191053"/>
    <w:rsid w:val="001940B3"/>
    <w:rsid w:val="00196A77"/>
    <w:rsid w:val="001A01C7"/>
    <w:rsid w:val="001A4A82"/>
    <w:rsid w:val="001B09FB"/>
    <w:rsid w:val="001B0C8B"/>
    <w:rsid w:val="001B6835"/>
    <w:rsid w:val="001B699B"/>
    <w:rsid w:val="001B6E8D"/>
    <w:rsid w:val="001B7ACE"/>
    <w:rsid w:val="001C04CE"/>
    <w:rsid w:val="001C1298"/>
    <w:rsid w:val="001D2EA8"/>
    <w:rsid w:val="001D628D"/>
    <w:rsid w:val="001E35AB"/>
    <w:rsid w:val="001F2F3F"/>
    <w:rsid w:val="001F4DF7"/>
    <w:rsid w:val="001F61B0"/>
    <w:rsid w:val="001F776D"/>
    <w:rsid w:val="0020508F"/>
    <w:rsid w:val="00226F13"/>
    <w:rsid w:val="00232A63"/>
    <w:rsid w:val="00237416"/>
    <w:rsid w:val="00243D43"/>
    <w:rsid w:val="00243F07"/>
    <w:rsid w:val="0024444A"/>
    <w:rsid w:val="0024460B"/>
    <w:rsid w:val="00245185"/>
    <w:rsid w:val="00245C45"/>
    <w:rsid w:val="00246726"/>
    <w:rsid w:val="002514C0"/>
    <w:rsid w:val="00256E02"/>
    <w:rsid w:val="00260E58"/>
    <w:rsid w:val="00270AB8"/>
    <w:rsid w:val="00270BA4"/>
    <w:rsid w:val="002726AE"/>
    <w:rsid w:val="002773E0"/>
    <w:rsid w:val="00280502"/>
    <w:rsid w:val="00280826"/>
    <w:rsid w:val="00283215"/>
    <w:rsid w:val="00286433"/>
    <w:rsid w:val="00287CB2"/>
    <w:rsid w:val="002966AA"/>
    <w:rsid w:val="00296746"/>
    <w:rsid w:val="002A33DE"/>
    <w:rsid w:val="002A3CFC"/>
    <w:rsid w:val="002A6187"/>
    <w:rsid w:val="002B0993"/>
    <w:rsid w:val="002B3010"/>
    <w:rsid w:val="002B3336"/>
    <w:rsid w:val="002B6BFF"/>
    <w:rsid w:val="002C0D2B"/>
    <w:rsid w:val="002C1A51"/>
    <w:rsid w:val="002C66B4"/>
    <w:rsid w:val="002D1F06"/>
    <w:rsid w:val="002D7E62"/>
    <w:rsid w:val="002E2634"/>
    <w:rsid w:val="002E2FB2"/>
    <w:rsid w:val="002E4830"/>
    <w:rsid w:val="002E73F1"/>
    <w:rsid w:val="002F11FD"/>
    <w:rsid w:val="002F4909"/>
    <w:rsid w:val="00301064"/>
    <w:rsid w:val="003043E0"/>
    <w:rsid w:val="00305369"/>
    <w:rsid w:val="00311B73"/>
    <w:rsid w:val="00313574"/>
    <w:rsid w:val="00316C90"/>
    <w:rsid w:val="00317D79"/>
    <w:rsid w:val="003245D1"/>
    <w:rsid w:val="00331225"/>
    <w:rsid w:val="00332358"/>
    <w:rsid w:val="00333116"/>
    <w:rsid w:val="003336A6"/>
    <w:rsid w:val="00333EFA"/>
    <w:rsid w:val="003341C9"/>
    <w:rsid w:val="003342FF"/>
    <w:rsid w:val="003344C4"/>
    <w:rsid w:val="00334655"/>
    <w:rsid w:val="0033497B"/>
    <w:rsid w:val="00334D63"/>
    <w:rsid w:val="00336CD4"/>
    <w:rsid w:val="00337C6B"/>
    <w:rsid w:val="003412C8"/>
    <w:rsid w:val="00343C9B"/>
    <w:rsid w:val="00347EF3"/>
    <w:rsid w:val="00351462"/>
    <w:rsid w:val="003533D5"/>
    <w:rsid w:val="00361954"/>
    <w:rsid w:val="00361DCC"/>
    <w:rsid w:val="00364921"/>
    <w:rsid w:val="003727C7"/>
    <w:rsid w:val="00376408"/>
    <w:rsid w:val="0037732E"/>
    <w:rsid w:val="0037772E"/>
    <w:rsid w:val="00381104"/>
    <w:rsid w:val="00381AAB"/>
    <w:rsid w:val="0038222A"/>
    <w:rsid w:val="00390FF8"/>
    <w:rsid w:val="003935DF"/>
    <w:rsid w:val="00397E55"/>
    <w:rsid w:val="003A2E3A"/>
    <w:rsid w:val="003A6F9A"/>
    <w:rsid w:val="003B189F"/>
    <w:rsid w:val="003B4148"/>
    <w:rsid w:val="003B44B4"/>
    <w:rsid w:val="003C10A6"/>
    <w:rsid w:val="003C5944"/>
    <w:rsid w:val="003C698C"/>
    <w:rsid w:val="003C737B"/>
    <w:rsid w:val="003C73B9"/>
    <w:rsid w:val="003C7C8F"/>
    <w:rsid w:val="003D17F2"/>
    <w:rsid w:val="003D3F6C"/>
    <w:rsid w:val="003D550E"/>
    <w:rsid w:val="003D6F4D"/>
    <w:rsid w:val="003E1879"/>
    <w:rsid w:val="003E3B31"/>
    <w:rsid w:val="003E4922"/>
    <w:rsid w:val="003E4E72"/>
    <w:rsid w:val="003E53B9"/>
    <w:rsid w:val="003E7CED"/>
    <w:rsid w:val="003F37AD"/>
    <w:rsid w:val="003F5FE9"/>
    <w:rsid w:val="0040217A"/>
    <w:rsid w:val="00404D7B"/>
    <w:rsid w:val="00411953"/>
    <w:rsid w:val="00416C3F"/>
    <w:rsid w:val="00422340"/>
    <w:rsid w:val="00423211"/>
    <w:rsid w:val="00423427"/>
    <w:rsid w:val="00425196"/>
    <w:rsid w:val="0042664A"/>
    <w:rsid w:val="00426B2A"/>
    <w:rsid w:val="004275F2"/>
    <w:rsid w:val="0043078E"/>
    <w:rsid w:val="0043115A"/>
    <w:rsid w:val="00434A62"/>
    <w:rsid w:val="00440EB4"/>
    <w:rsid w:val="00442E2A"/>
    <w:rsid w:val="004440FD"/>
    <w:rsid w:val="00444F3E"/>
    <w:rsid w:val="00455BAC"/>
    <w:rsid w:val="00464621"/>
    <w:rsid w:val="00467002"/>
    <w:rsid w:val="00471780"/>
    <w:rsid w:val="00476307"/>
    <w:rsid w:val="00482CE7"/>
    <w:rsid w:val="004871E5"/>
    <w:rsid w:val="00487447"/>
    <w:rsid w:val="0049168C"/>
    <w:rsid w:val="004923F6"/>
    <w:rsid w:val="004A1D49"/>
    <w:rsid w:val="004A25BD"/>
    <w:rsid w:val="004A5A4E"/>
    <w:rsid w:val="004B1730"/>
    <w:rsid w:val="004C2A6F"/>
    <w:rsid w:val="004C2BD3"/>
    <w:rsid w:val="004C4699"/>
    <w:rsid w:val="004C6974"/>
    <w:rsid w:val="004D090C"/>
    <w:rsid w:val="004E2A2B"/>
    <w:rsid w:val="004E7A67"/>
    <w:rsid w:val="004F08E6"/>
    <w:rsid w:val="004F38E2"/>
    <w:rsid w:val="004F5BA8"/>
    <w:rsid w:val="004F675E"/>
    <w:rsid w:val="004F6BD3"/>
    <w:rsid w:val="004F72BF"/>
    <w:rsid w:val="005010F1"/>
    <w:rsid w:val="0050265C"/>
    <w:rsid w:val="00504D4C"/>
    <w:rsid w:val="00506204"/>
    <w:rsid w:val="00506218"/>
    <w:rsid w:val="005116EA"/>
    <w:rsid w:val="00511E3B"/>
    <w:rsid w:val="00513014"/>
    <w:rsid w:val="00513238"/>
    <w:rsid w:val="00514997"/>
    <w:rsid w:val="00515217"/>
    <w:rsid w:val="00515FA9"/>
    <w:rsid w:val="0051677C"/>
    <w:rsid w:val="00516FCA"/>
    <w:rsid w:val="00517BA5"/>
    <w:rsid w:val="00523CEE"/>
    <w:rsid w:val="00525342"/>
    <w:rsid w:val="0053147F"/>
    <w:rsid w:val="00536B83"/>
    <w:rsid w:val="0054140B"/>
    <w:rsid w:val="00545756"/>
    <w:rsid w:val="00547A3A"/>
    <w:rsid w:val="0055038B"/>
    <w:rsid w:val="00552751"/>
    <w:rsid w:val="00554258"/>
    <w:rsid w:val="0055443E"/>
    <w:rsid w:val="00556371"/>
    <w:rsid w:val="0055687E"/>
    <w:rsid w:val="0055769D"/>
    <w:rsid w:val="00557A90"/>
    <w:rsid w:val="00565EEF"/>
    <w:rsid w:val="00566FE6"/>
    <w:rsid w:val="00574211"/>
    <w:rsid w:val="00582165"/>
    <w:rsid w:val="00585F4D"/>
    <w:rsid w:val="00592947"/>
    <w:rsid w:val="00597614"/>
    <w:rsid w:val="005A5122"/>
    <w:rsid w:val="005A51AA"/>
    <w:rsid w:val="005B0BA4"/>
    <w:rsid w:val="005B4FBA"/>
    <w:rsid w:val="005B5105"/>
    <w:rsid w:val="005B7674"/>
    <w:rsid w:val="005C4317"/>
    <w:rsid w:val="005C7320"/>
    <w:rsid w:val="005D1E8D"/>
    <w:rsid w:val="005D422E"/>
    <w:rsid w:val="005D4BBD"/>
    <w:rsid w:val="005D5AB7"/>
    <w:rsid w:val="005D784C"/>
    <w:rsid w:val="005E1BA1"/>
    <w:rsid w:val="005E2843"/>
    <w:rsid w:val="005E3F33"/>
    <w:rsid w:val="005E4BE7"/>
    <w:rsid w:val="005E5021"/>
    <w:rsid w:val="005E5547"/>
    <w:rsid w:val="005F00B8"/>
    <w:rsid w:val="005F036B"/>
    <w:rsid w:val="005F1BD4"/>
    <w:rsid w:val="005F28A6"/>
    <w:rsid w:val="005F28E3"/>
    <w:rsid w:val="00600052"/>
    <w:rsid w:val="006045F4"/>
    <w:rsid w:val="00604752"/>
    <w:rsid w:val="00606580"/>
    <w:rsid w:val="00610079"/>
    <w:rsid w:val="00611304"/>
    <w:rsid w:val="00612475"/>
    <w:rsid w:val="00616C51"/>
    <w:rsid w:val="006176C1"/>
    <w:rsid w:val="00623CE1"/>
    <w:rsid w:val="00633201"/>
    <w:rsid w:val="00633815"/>
    <w:rsid w:val="00635944"/>
    <w:rsid w:val="00640837"/>
    <w:rsid w:val="0064211D"/>
    <w:rsid w:val="00644FCB"/>
    <w:rsid w:val="0065183E"/>
    <w:rsid w:val="00652DE0"/>
    <w:rsid w:val="00653092"/>
    <w:rsid w:val="00654F34"/>
    <w:rsid w:val="00655D04"/>
    <w:rsid w:val="00655D35"/>
    <w:rsid w:val="00656EBB"/>
    <w:rsid w:val="006578B2"/>
    <w:rsid w:val="0066094C"/>
    <w:rsid w:val="0066713F"/>
    <w:rsid w:val="00673066"/>
    <w:rsid w:val="00676B8A"/>
    <w:rsid w:val="00680B2C"/>
    <w:rsid w:val="00682B09"/>
    <w:rsid w:val="00683CB3"/>
    <w:rsid w:val="0068580B"/>
    <w:rsid w:val="00686685"/>
    <w:rsid w:val="00687434"/>
    <w:rsid w:val="006924B6"/>
    <w:rsid w:val="00695056"/>
    <w:rsid w:val="006A21D2"/>
    <w:rsid w:val="006B1D0D"/>
    <w:rsid w:val="006B4189"/>
    <w:rsid w:val="006B558B"/>
    <w:rsid w:val="006B65CA"/>
    <w:rsid w:val="006B68DD"/>
    <w:rsid w:val="006C31EC"/>
    <w:rsid w:val="006C3C25"/>
    <w:rsid w:val="006C543A"/>
    <w:rsid w:val="006C6D1C"/>
    <w:rsid w:val="006D3B64"/>
    <w:rsid w:val="006D52DD"/>
    <w:rsid w:val="006D7051"/>
    <w:rsid w:val="006D74E1"/>
    <w:rsid w:val="006E1A60"/>
    <w:rsid w:val="006E5562"/>
    <w:rsid w:val="006E60D6"/>
    <w:rsid w:val="006E64BE"/>
    <w:rsid w:val="006F3AC3"/>
    <w:rsid w:val="006F5077"/>
    <w:rsid w:val="006F50E5"/>
    <w:rsid w:val="00705958"/>
    <w:rsid w:val="007072F4"/>
    <w:rsid w:val="007149B8"/>
    <w:rsid w:val="00714BA6"/>
    <w:rsid w:val="0072042E"/>
    <w:rsid w:val="007231A4"/>
    <w:rsid w:val="00723B84"/>
    <w:rsid w:val="007268E4"/>
    <w:rsid w:val="00726BF2"/>
    <w:rsid w:val="00727F31"/>
    <w:rsid w:val="007426FA"/>
    <w:rsid w:val="007445F1"/>
    <w:rsid w:val="00746184"/>
    <w:rsid w:val="007479B9"/>
    <w:rsid w:val="00750A39"/>
    <w:rsid w:val="007548B0"/>
    <w:rsid w:val="0075626E"/>
    <w:rsid w:val="00761239"/>
    <w:rsid w:val="00761FED"/>
    <w:rsid w:val="007662DC"/>
    <w:rsid w:val="0076645A"/>
    <w:rsid w:val="00766B6A"/>
    <w:rsid w:val="00773640"/>
    <w:rsid w:val="007738BB"/>
    <w:rsid w:val="00775D9E"/>
    <w:rsid w:val="007779A5"/>
    <w:rsid w:val="00780B56"/>
    <w:rsid w:val="0078181B"/>
    <w:rsid w:val="00781A34"/>
    <w:rsid w:val="00782B73"/>
    <w:rsid w:val="00784683"/>
    <w:rsid w:val="00787BD9"/>
    <w:rsid w:val="0079133D"/>
    <w:rsid w:val="00796771"/>
    <w:rsid w:val="007A0507"/>
    <w:rsid w:val="007A164C"/>
    <w:rsid w:val="007A52CC"/>
    <w:rsid w:val="007A755D"/>
    <w:rsid w:val="007B1755"/>
    <w:rsid w:val="007B4964"/>
    <w:rsid w:val="007B67E1"/>
    <w:rsid w:val="007C149A"/>
    <w:rsid w:val="007C1DB4"/>
    <w:rsid w:val="007C2BC8"/>
    <w:rsid w:val="007C78CB"/>
    <w:rsid w:val="007D0FC2"/>
    <w:rsid w:val="007D1226"/>
    <w:rsid w:val="007D2CAF"/>
    <w:rsid w:val="007D4F1B"/>
    <w:rsid w:val="007D5213"/>
    <w:rsid w:val="007E5FE8"/>
    <w:rsid w:val="007F032F"/>
    <w:rsid w:val="007F5E40"/>
    <w:rsid w:val="007F661A"/>
    <w:rsid w:val="00803A46"/>
    <w:rsid w:val="00810550"/>
    <w:rsid w:val="008123F8"/>
    <w:rsid w:val="00815FBD"/>
    <w:rsid w:val="00820E18"/>
    <w:rsid w:val="00820E39"/>
    <w:rsid w:val="0082176D"/>
    <w:rsid w:val="00822071"/>
    <w:rsid w:val="0082369A"/>
    <w:rsid w:val="00835C00"/>
    <w:rsid w:val="0084471F"/>
    <w:rsid w:val="008454E7"/>
    <w:rsid w:val="008503CA"/>
    <w:rsid w:val="00854C52"/>
    <w:rsid w:val="00857395"/>
    <w:rsid w:val="0086318C"/>
    <w:rsid w:val="00872311"/>
    <w:rsid w:val="00873BB6"/>
    <w:rsid w:val="0087415B"/>
    <w:rsid w:val="00882117"/>
    <w:rsid w:val="008861AF"/>
    <w:rsid w:val="00886C02"/>
    <w:rsid w:val="00887ED6"/>
    <w:rsid w:val="00890B5C"/>
    <w:rsid w:val="00894A12"/>
    <w:rsid w:val="00896D6A"/>
    <w:rsid w:val="008A27A5"/>
    <w:rsid w:val="008B062D"/>
    <w:rsid w:val="008B235C"/>
    <w:rsid w:val="008B5990"/>
    <w:rsid w:val="008B6057"/>
    <w:rsid w:val="008B6B02"/>
    <w:rsid w:val="008C4547"/>
    <w:rsid w:val="008C7DA6"/>
    <w:rsid w:val="008D0785"/>
    <w:rsid w:val="008D4B02"/>
    <w:rsid w:val="008D5231"/>
    <w:rsid w:val="008E10F9"/>
    <w:rsid w:val="008E459B"/>
    <w:rsid w:val="008E46B1"/>
    <w:rsid w:val="008E5B6B"/>
    <w:rsid w:val="008F142E"/>
    <w:rsid w:val="008F3303"/>
    <w:rsid w:val="008F4E63"/>
    <w:rsid w:val="008F6A3C"/>
    <w:rsid w:val="008F6E9B"/>
    <w:rsid w:val="008F755B"/>
    <w:rsid w:val="008F7CBC"/>
    <w:rsid w:val="0090059C"/>
    <w:rsid w:val="009014FB"/>
    <w:rsid w:val="009120B1"/>
    <w:rsid w:val="00915417"/>
    <w:rsid w:val="0091608F"/>
    <w:rsid w:val="009202AD"/>
    <w:rsid w:val="009260EE"/>
    <w:rsid w:val="00926EE5"/>
    <w:rsid w:val="00926F5D"/>
    <w:rsid w:val="00932E27"/>
    <w:rsid w:val="0093364E"/>
    <w:rsid w:val="00940628"/>
    <w:rsid w:val="00941BCA"/>
    <w:rsid w:val="009428CA"/>
    <w:rsid w:val="00945310"/>
    <w:rsid w:val="00952C4C"/>
    <w:rsid w:val="00954ABE"/>
    <w:rsid w:val="00955869"/>
    <w:rsid w:val="00957B35"/>
    <w:rsid w:val="0096437E"/>
    <w:rsid w:val="00965726"/>
    <w:rsid w:val="0096659C"/>
    <w:rsid w:val="00966A11"/>
    <w:rsid w:val="00966CDB"/>
    <w:rsid w:val="00972951"/>
    <w:rsid w:val="009750B2"/>
    <w:rsid w:val="00975E0E"/>
    <w:rsid w:val="009838B4"/>
    <w:rsid w:val="009853AF"/>
    <w:rsid w:val="009857C2"/>
    <w:rsid w:val="009860B2"/>
    <w:rsid w:val="009A3388"/>
    <w:rsid w:val="009A4C2F"/>
    <w:rsid w:val="009A6E53"/>
    <w:rsid w:val="009A7515"/>
    <w:rsid w:val="009B06D7"/>
    <w:rsid w:val="009B2D77"/>
    <w:rsid w:val="009C03C5"/>
    <w:rsid w:val="009C07E8"/>
    <w:rsid w:val="009C128A"/>
    <w:rsid w:val="009C269A"/>
    <w:rsid w:val="009C2A89"/>
    <w:rsid w:val="009C3473"/>
    <w:rsid w:val="009C4241"/>
    <w:rsid w:val="009C42EF"/>
    <w:rsid w:val="009C72B4"/>
    <w:rsid w:val="009C7385"/>
    <w:rsid w:val="009C7C5A"/>
    <w:rsid w:val="009D2E12"/>
    <w:rsid w:val="009D53FF"/>
    <w:rsid w:val="009E2E23"/>
    <w:rsid w:val="009E398E"/>
    <w:rsid w:val="009E4213"/>
    <w:rsid w:val="009E4E6C"/>
    <w:rsid w:val="009F5519"/>
    <w:rsid w:val="009F7A84"/>
    <w:rsid w:val="00A01906"/>
    <w:rsid w:val="00A072EF"/>
    <w:rsid w:val="00A152B8"/>
    <w:rsid w:val="00A15B4C"/>
    <w:rsid w:val="00A2377C"/>
    <w:rsid w:val="00A264D0"/>
    <w:rsid w:val="00A312DF"/>
    <w:rsid w:val="00A3244B"/>
    <w:rsid w:val="00A3333D"/>
    <w:rsid w:val="00A375AB"/>
    <w:rsid w:val="00A4011E"/>
    <w:rsid w:val="00A405CD"/>
    <w:rsid w:val="00A40C94"/>
    <w:rsid w:val="00A42544"/>
    <w:rsid w:val="00A519C4"/>
    <w:rsid w:val="00A60289"/>
    <w:rsid w:val="00A62768"/>
    <w:rsid w:val="00A65DF8"/>
    <w:rsid w:val="00A70420"/>
    <w:rsid w:val="00A707C9"/>
    <w:rsid w:val="00A734A7"/>
    <w:rsid w:val="00A73BAF"/>
    <w:rsid w:val="00A74201"/>
    <w:rsid w:val="00A75A89"/>
    <w:rsid w:val="00A82AA5"/>
    <w:rsid w:val="00A8348C"/>
    <w:rsid w:val="00A85656"/>
    <w:rsid w:val="00A91081"/>
    <w:rsid w:val="00A92F4A"/>
    <w:rsid w:val="00A972D2"/>
    <w:rsid w:val="00AA0614"/>
    <w:rsid w:val="00AA169D"/>
    <w:rsid w:val="00AA237E"/>
    <w:rsid w:val="00AA5409"/>
    <w:rsid w:val="00AB0C58"/>
    <w:rsid w:val="00AB0FB1"/>
    <w:rsid w:val="00AB34C6"/>
    <w:rsid w:val="00AB3A66"/>
    <w:rsid w:val="00AB6C11"/>
    <w:rsid w:val="00AB79B2"/>
    <w:rsid w:val="00AC7952"/>
    <w:rsid w:val="00AD6FDC"/>
    <w:rsid w:val="00AD77C4"/>
    <w:rsid w:val="00AE19C9"/>
    <w:rsid w:val="00AE2413"/>
    <w:rsid w:val="00AE3343"/>
    <w:rsid w:val="00AE3475"/>
    <w:rsid w:val="00AE4D48"/>
    <w:rsid w:val="00AF15F2"/>
    <w:rsid w:val="00AF326F"/>
    <w:rsid w:val="00AF4C25"/>
    <w:rsid w:val="00AF54E2"/>
    <w:rsid w:val="00AF5E3D"/>
    <w:rsid w:val="00AF6582"/>
    <w:rsid w:val="00B001E5"/>
    <w:rsid w:val="00B00A2B"/>
    <w:rsid w:val="00B010C3"/>
    <w:rsid w:val="00B03099"/>
    <w:rsid w:val="00B0447C"/>
    <w:rsid w:val="00B05FF0"/>
    <w:rsid w:val="00B06793"/>
    <w:rsid w:val="00B105C1"/>
    <w:rsid w:val="00B10DEB"/>
    <w:rsid w:val="00B11966"/>
    <w:rsid w:val="00B12E49"/>
    <w:rsid w:val="00B16F6D"/>
    <w:rsid w:val="00B17E12"/>
    <w:rsid w:val="00B21D73"/>
    <w:rsid w:val="00B25D3D"/>
    <w:rsid w:val="00B2610B"/>
    <w:rsid w:val="00B315E2"/>
    <w:rsid w:val="00B33E19"/>
    <w:rsid w:val="00B36C12"/>
    <w:rsid w:val="00B424C1"/>
    <w:rsid w:val="00B43D0D"/>
    <w:rsid w:val="00B60D31"/>
    <w:rsid w:val="00B65A5A"/>
    <w:rsid w:val="00B70E93"/>
    <w:rsid w:val="00B7271E"/>
    <w:rsid w:val="00B72FD9"/>
    <w:rsid w:val="00B75E8D"/>
    <w:rsid w:val="00B800AB"/>
    <w:rsid w:val="00B806C9"/>
    <w:rsid w:val="00B8212A"/>
    <w:rsid w:val="00B84577"/>
    <w:rsid w:val="00B856B6"/>
    <w:rsid w:val="00B91336"/>
    <w:rsid w:val="00B914B0"/>
    <w:rsid w:val="00B92445"/>
    <w:rsid w:val="00B958A5"/>
    <w:rsid w:val="00BA0875"/>
    <w:rsid w:val="00BA29B6"/>
    <w:rsid w:val="00BA3815"/>
    <w:rsid w:val="00BA39F0"/>
    <w:rsid w:val="00BB35EA"/>
    <w:rsid w:val="00BC39CA"/>
    <w:rsid w:val="00BC3B6E"/>
    <w:rsid w:val="00BC7517"/>
    <w:rsid w:val="00BD60AF"/>
    <w:rsid w:val="00BE03BF"/>
    <w:rsid w:val="00BE1C84"/>
    <w:rsid w:val="00BE2E28"/>
    <w:rsid w:val="00BE530E"/>
    <w:rsid w:val="00BE5A68"/>
    <w:rsid w:val="00BE66C2"/>
    <w:rsid w:val="00BE7373"/>
    <w:rsid w:val="00BF1874"/>
    <w:rsid w:val="00C00C26"/>
    <w:rsid w:val="00C02409"/>
    <w:rsid w:val="00C029FA"/>
    <w:rsid w:val="00C0378E"/>
    <w:rsid w:val="00C0438E"/>
    <w:rsid w:val="00C054D3"/>
    <w:rsid w:val="00C06301"/>
    <w:rsid w:val="00C07893"/>
    <w:rsid w:val="00C07D23"/>
    <w:rsid w:val="00C10B99"/>
    <w:rsid w:val="00C16552"/>
    <w:rsid w:val="00C25EFD"/>
    <w:rsid w:val="00C26854"/>
    <w:rsid w:val="00C37547"/>
    <w:rsid w:val="00C4015B"/>
    <w:rsid w:val="00C43E6A"/>
    <w:rsid w:val="00C45CF4"/>
    <w:rsid w:val="00C50456"/>
    <w:rsid w:val="00C53B0B"/>
    <w:rsid w:val="00C619CF"/>
    <w:rsid w:val="00C8242A"/>
    <w:rsid w:val="00C872FE"/>
    <w:rsid w:val="00C905A2"/>
    <w:rsid w:val="00C91BFA"/>
    <w:rsid w:val="00C9252C"/>
    <w:rsid w:val="00C966D6"/>
    <w:rsid w:val="00CA13DC"/>
    <w:rsid w:val="00CA4403"/>
    <w:rsid w:val="00CA4994"/>
    <w:rsid w:val="00CB03F8"/>
    <w:rsid w:val="00CB507A"/>
    <w:rsid w:val="00CB692B"/>
    <w:rsid w:val="00CC0CE1"/>
    <w:rsid w:val="00CC1365"/>
    <w:rsid w:val="00CC6B84"/>
    <w:rsid w:val="00CD0CC8"/>
    <w:rsid w:val="00CD38B2"/>
    <w:rsid w:val="00CD396B"/>
    <w:rsid w:val="00CD3D63"/>
    <w:rsid w:val="00CD512C"/>
    <w:rsid w:val="00CD748C"/>
    <w:rsid w:val="00CE0779"/>
    <w:rsid w:val="00CE2A45"/>
    <w:rsid w:val="00CE5118"/>
    <w:rsid w:val="00CE5855"/>
    <w:rsid w:val="00CF09F0"/>
    <w:rsid w:val="00CF135E"/>
    <w:rsid w:val="00CF2CE6"/>
    <w:rsid w:val="00CF2FE8"/>
    <w:rsid w:val="00CF3EF0"/>
    <w:rsid w:val="00CF4592"/>
    <w:rsid w:val="00CF4956"/>
    <w:rsid w:val="00D026AB"/>
    <w:rsid w:val="00D0270B"/>
    <w:rsid w:val="00D02D4C"/>
    <w:rsid w:val="00D03430"/>
    <w:rsid w:val="00D05FDC"/>
    <w:rsid w:val="00D105B3"/>
    <w:rsid w:val="00D11F44"/>
    <w:rsid w:val="00D123B9"/>
    <w:rsid w:val="00D14D92"/>
    <w:rsid w:val="00D178BB"/>
    <w:rsid w:val="00D232AD"/>
    <w:rsid w:val="00D249C0"/>
    <w:rsid w:val="00D24C39"/>
    <w:rsid w:val="00D250FC"/>
    <w:rsid w:val="00D31DBC"/>
    <w:rsid w:val="00D34084"/>
    <w:rsid w:val="00D35C19"/>
    <w:rsid w:val="00D361A6"/>
    <w:rsid w:val="00D366A3"/>
    <w:rsid w:val="00D36994"/>
    <w:rsid w:val="00D41075"/>
    <w:rsid w:val="00D43869"/>
    <w:rsid w:val="00D51FB5"/>
    <w:rsid w:val="00D54834"/>
    <w:rsid w:val="00D64E5E"/>
    <w:rsid w:val="00D66E35"/>
    <w:rsid w:val="00D66EBC"/>
    <w:rsid w:val="00D748E0"/>
    <w:rsid w:val="00D74C4F"/>
    <w:rsid w:val="00D754A0"/>
    <w:rsid w:val="00D76E38"/>
    <w:rsid w:val="00D816FD"/>
    <w:rsid w:val="00D8237C"/>
    <w:rsid w:val="00D84DCC"/>
    <w:rsid w:val="00D8504C"/>
    <w:rsid w:val="00D8530A"/>
    <w:rsid w:val="00D85CA6"/>
    <w:rsid w:val="00D925BC"/>
    <w:rsid w:val="00D9387F"/>
    <w:rsid w:val="00DA2468"/>
    <w:rsid w:val="00DA47C9"/>
    <w:rsid w:val="00DA4BEA"/>
    <w:rsid w:val="00DA64B8"/>
    <w:rsid w:val="00DA68AC"/>
    <w:rsid w:val="00DA6CE5"/>
    <w:rsid w:val="00DB0B5A"/>
    <w:rsid w:val="00DB3E05"/>
    <w:rsid w:val="00DB47C5"/>
    <w:rsid w:val="00DC4909"/>
    <w:rsid w:val="00DC7316"/>
    <w:rsid w:val="00DD4BC2"/>
    <w:rsid w:val="00DD7C39"/>
    <w:rsid w:val="00DD7E6F"/>
    <w:rsid w:val="00DE0BD4"/>
    <w:rsid w:val="00DE4933"/>
    <w:rsid w:val="00DE63C8"/>
    <w:rsid w:val="00DF367D"/>
    <w:rsid w:val="00DF38CD"/>
    <w:rsid w:val="00DF55D7"/>
    <w:rsid w:val="00E00AD5"/>
    <w:rsid w:val="00E00FE8"/>
    <w:rsid w:val="00E02CD9"/>
    <w:rsid w:val="00E0371A"/>
    <w:rsid w:val="00E12742"/>
    <w:rsid w:val="00E2106D"/>
    <w:rsid w:val="00E2275A"/>
    <w:rsid w:val="00E2462F"/>
    <w:rsid w:val="00E26AC6"/>
    <w:rsid w:val="00E31AE7"/>
    <w:rsid w:val="00E32715"/>
    <w:rsid w:val="00E3734F"/>
    <w:rsid w:val="00E407DC"/>
    <w:rsid w:val="00E52E94"/>
    <w:rsid w:val="00E532EE"/>
    <w:rsid w:val="00E70CE8"/>
    <w:rsid w:val="00E70F04"/>
    <w:rsid w:val="00E71178"/>
    <w:rsid w:val="00E72886"/>
    <w:rsid w:val="00E7389B"/>
    <w:rsid w:val="00E73F6A"/>
    <w:rsid w:val="00E75085"/>
    <w:rsid w:val="00E8599B"/>
    <w:rsid w:val="00E91A43"/>
    <w:rsid w:val="00E94C6F"/>
    <w:rsid w:val="00EA234D"/>
    <w:rsid w:val="00EA6918"/>
    <w:rsid w:val="00EA70C0"/>
    <w:rsid w:val="00EA7E15"/>
    <w:rsid w:val="00EB58A7"/>
    <w:rsid w:val="00EB6707"/>
    <w:rsid w:val="00EB6D91"/>
    <w:rsid w:val="00EC362C"/>
    <w:rsid w:val="00EC59F7"/>
    <w:rsid w:val="00EC6E44"/>
    <w:rsid w:val="00ED262C"/>
    <w:rsid w:val="00ED30FD"/>
    <w:rsid w:val="00ED412A"/>
    <w:rsid w:val="00EE01B5"/>
    <w:rsid w:val="00EE3579"/>
    <w:rsid w:val="00EE3732"/>
    <w:rsid w:val="00EE7569"/>
    <w:rsid w:val="00EE78B5"/>
    <w:rsid w:val="00EF2689"/>
    <w:rsid w:val="00EF5E08"/>
    <w:rsid w:val="00EF7DFA"/>
    <w:rsid w:val="00F01249"/>
    <w:rsid w:val="00F02F99"/>
    <w:rsid w:val="00F03213"/>
    <w:rsid w:val="00F0349F"/>
    <w:rsid w:val="00F05043"/>
    <w:rsid w:val="00F0518C"/>
    <w:rsid w:val="00F05509"/>
    <w:rsid w:val="00F13EAF"/>
    <w:rsid w:val="00F14E82"/>
    <w:rsid w:val="00F17C36"/>
    <w:rsid w:val="00F21EB8"/>
    <w:rsid w:val="00F21F22"/>
    <w:rsid w:val="00F2270A"/>
    <w:rsid w:val="00F26FE1"/>
    <w:rsid w:val="00F32956"/>
    <w:rsid w:val="00F40F1D"/>
    <w:rsid w:val="00F44873"/>
    <w:rsid w:val="00F51043"/>
    <w:rsid w:val="00F62DA4"/>
    <w:rsid w:val="00F6367A"/>
    <w:rsid w:val="00F63A4B"/>
    <w:rsid w:val="00F66336"/>
    <w:rsid w:val="00F67F82"/>
    <w:rsid w:val="00F758D9"/>
    <w:rsid w:val="00F7762B"/>
    <w:rsid w:val="00F77C7A"/>
    <w:rsid w:val="00F845CC"/>
    <w:rsid w:val="00F87611"/>
    <w:rsid w:val="00F971B2"/>
    <w:rsid w:val="00F97BD9"/>
    <w:rsid w:val="00FA5FF8"/>
    <w:rsid w:val="00FA6B4B"/>
    <w:rsid w:val="00FB17CF"/>
    <w:rsid w:val="00FB4CE5"/>
    <w:rsid w:val="00FB74A2"/>
    <w:rsid w:val="00FC4D81"/>
    <w:rsid w:val="00FD1A17"/>
    <w:rsid w:val="00FD30C5"/>
    <w:rsid w:val="00FD548F"/>
    <w:rsid w:val="00FD6F46"/>
    <w:rsid w:val="00FD7285"/>
    <w:rsid w:val="00FE14F5"/>
    <w:rsid w:val="00FE279A"/>
    <w:rsid w:val="00FE5D1E"/>
    <w:rsid w:val="00FF0166"/>
    <w:rsid w:val="00FF36B3"/>
    <w:rsid w:val="00FF5DEE"/>
    <w:rsid w:val="3620D68D"/>
    <w:rsid w:val="400A79BF"/>
    <w:rsid w:val="4E3297CD"/>
    <w:rsid w:val="6FA284C3"/>
    <w:rsid w:val="7F2289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09C446"/>
  <w15:chartTrackingRefBased/>
  <w15:docId w15:val="{AF6F7B8B-18FA-43FF-8D6B-D34FAB56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974"/>
    <w:pPr>
      <w:widowControl w:val="0"/>
      <w:autoSpaceDE w:val="0"/>
      <w:autoSpaceDN w:val="0"/>
      <w:spacing w:after="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3727C7"/>
    <w:pPr>
      <w:keepNext/>
      <w:pageBreakBefore/>
      <w:numPr>
        <w:numId w:val="2"/>
      </w:numPr>
      <w:spacing w:before="240" w:after="240"/>
      <w:ind w:left="360"/>
      <w:outlineLvl w:val="0"/>
    </w:pPr>
    <w:rPr>
      <w:b/>
      <w:bCs/>
      <w:sz w:val="26"/>
      <w:szCs w:val="24"/>
    </w:rPr>
  </w:style>
  <w:style w:type="paragraph" w:styleId="Heading2">
    <w:name w:val="heading 2"/>
    <w:basedOn w:val="Heading1"/>
    <w:next w:val="Normal"/>
    <w:link w:val="Heading2Char"/>
    <w:uiPriority w:val="9"/>
    <w:unhideWhenUsed/>
    <w:qFormat/>
    <w:rsid w:val="003727C7"/>
    <w:pPr>
      <w:keepLines/>
      <w:pageBreakBefore w:val="0"/>
      <w:numPr>
        <w:numId w:val="3"/>
      </w:numPr>
      <w:spacing w:before="280"/>
      <w:outlineLvl w:val="1"/>
    </w:pPr>
    <w:rPr>
      <w:rFonts w:asciiTheme="majorHAnsi" w:eastAsiaTheme="majorEastAsia" w:hAnsiTheme="majorHAnsi" w:cstheme="majorBidi"/>
      <w:sz w:val="24"/>
      <w:szCs w:val="26"/>
    </w:rPr>
  </w:style>
  <w:style w:type="paragraph" w:styleId="Heading3">
    <w:name w:val="heading 3"/>
    <w:basedOn w:val="Heading1"/>
    <w:next w:val="Normal"/>
    <w:link w:val="Heading3Char"/>
    <w:uiPriority w:val="9"/>
    <w:unhideWhenUsed/>
    <w:qFormat/>
    <w:rsid w:val="003727C7"/>
    <w:pPr>
      <w:keepLines/>
      <w:pageBreakBefore w:val="0"/>
      <w:numPr>
        <w:numId w:val="5"/>
      </w:numPr>
      <w:spacing w:before="40"/>
      <w:outlineLvl w:val="2"/>
    </w:pPr>
    <w:rPr>
      <w:rFonts w:asciiTheme="majorHAnsi" w:eastAsiaTheme="majorEastAsia" w:hAnsiTheme="majorHAnsi" w:cstheme="majorBidi"/>
      <w:sz w:val="24"/>
    </w:rPr>
  </w:style>
  <w:style w:type="paragraph" w:styleId="Heading4">
    <w:name w:val="heading 4"/>
    <w:basedOn w:val="Normal"/>
    <w:next w:val="Normal"/>
    <w:link w:val="Heading4Char"/>
    <w:uiPriority w:val="9"/>
    <w:unhideWhenUsed/>
    <w:qFormat/>
    <w:rsid w:val="003727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7C7"/>
    <w:rPr>
      <w:rFonts w:ascii="Times New Roman" w:eastAsia="Times New Roman" w:hAnsi="Times New Roman" w:cs="Times New Roman"/>
      <w:b/>
      <w:bCs/>
      <w:sz w:val="26"/>
      <w:szCs w:val="24"/>
    </w:rPr>
  </w:style>
  <w:style w:type="character" w:customStyle="1" w:styleId="Heading2Char">
    <w:name w:val="Heading 2 Char"/>
    <w:basedOn w:val="DefaultParagraphFont"/>
    <w:link w:val="Heading2"/>
    <w:uiPriority w:val="9"/>
    <w:rsid w:val="003727C7"/>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3727C7"/>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3727C7"/>
    <w:rPr>
      <w:rFonts w:asciiTheme="majorHAnsi" w:eastAsiaTheme="majorEastAsia" w:hAnsiTheme="majorHAnsi" w:cstheme="majorBidi"/>
      <w:i/>
      <w:iCs/>
      <w:color w:val="2F5496" w:themeColor="accent1" w:themeShade="BF"/>
      <w:sz w:val="24"/>
    </w:rPr>
  </w:style>
  <w:style w:type="paragraph" w:styleId="BodyText">
    <w:name w:val="Body Text"/>
    <w:basedOn w:val="Normal"/>
    <w:link w:val="BodyTextChar"/>
    <w:uiPriority w:val="1"/>
    <w:qFormat/>
    <w:rsid w:val="003727C7"/>
    <w:rPr>
      <w:szCs w:val="24"/>
    </w:rPr>
  </w:style>
  <w:style w:type="character" w:customStyle="1" w:styleId="BodyTextChar">
    <w:name w:val="Body Text Char"/>
    <w:basedOn w:val="DefaultParagraphFont"/>
    <w:link w:val="BodyText"/>
    <w:uiPriority w:val="1"/>
    <w:rsid w:val="003727C7"/>
    <w:rPr>
      <w:rFonts w:ascii="Times New Roman" w:eastAsia="Times New Roman" w:hAnsi="Times New Roman" w:cs="Times New Roman"/>
      <w:sz w:val="24"/>
      <w:szCs w:val="24"/>
    </w:rPr>
  </w:style>
  <w:style w:type="paragraph" w:styleId="ListParagraph">
    <w:name w:val="List Paragraph"/>
    <w:basedOn w:val="Normal"/>
    <w:uiPriority w:val="34"/>
    <w:qFormat/>
    <w:rsid w:val="003727C7"/>
    <w:pPr>
      <w:ind w:left="480" w:hanging="360"/>
    </w:pPr>
  </w:style>
  <w:style w:type="paragraph" w:customStyle="1" w:styleId="TableParagraph">
    <w:name w:val="Table Paragraph"/>
    <w:basedOn w:val="Normal"/>
    <w:uiPriority w:val="1"/>
    <w:qFormat/>
    <w:rsid w:val="003727C7"/>
  </w:style>
  <w:style w:type="paragraph" w:styleId="Header">
    <w:name w:val="header"/>
    <w:basedOn w:val="Normal"/>
    <w:link w:val="HeaderChar"/>
    <w:uiPriority w:val="99"/>
    <w:unhideWhenUsed/>
    <w:rsid w:val="003727C7"/>
    <w:pPr>
      <w:tabs>
        <w:tab w:val="center" w:pos="4680"/>
        <w:tab w:val="right" w:pos="9360"/>
      </w:tabs>
    </w:pPr>
  </w:style>
  <w:style w:type="character" w:customStyle="1" w:styleId="HeaderChar">
    <w:name w:val="Header Char"/>
    <w:basedOn w:val="DefaultParagraphFont"/>
    <w:link w:val="Header"/>
    <w:uiPriority w:val="99"/>
    <w:rsid w:val="003727C7"/>
    <w:rPr>
      <w:rFonts w:ascii="Times New Roman" w:eastAsia="Times New Roman" w:hAnsi="Times New Roman" w:cs="Times New Roman"/>
      <w:sz w:val="24"/>
    </w:rPr>
  </w:style>
  <w:style w:type="paragraph" w:styleId="Footer">
    <w:name w:val="footer"/>
    <w:basedOn w:val="Normal"/>
    <w:link w:val="FooterChar"/>
    <w:uiPriority w:val="99"/>
    <w:unhideWhenUsed/>
    <w:rsid w:val="003727C7"/>
    <w:pPr>
      <w:tabs>
        <w:tab w:val="center" w:pos="4680"/>
        <w:tab w:val="right" w:pos="9360"/>
      </w:tabs>
    </w:pPr>
  </w:style>
  <w:style w:type="character" w:customStyle="1" w:styleId="FooterChar">
    <w:name w:val="Footer Char"/>
    <w:basedOn w:val="DefaultParagraphFont"/>
    <w:link w:val="Footer"/>
    <w:uiPriority w:val="99"/>
    <w:rsid w:val="003727C7"/>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727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C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727C7"/>
    <w:rPr>
      <w:sz w:val="16"/>
      <w:szCs w:val="16"/>
    </w:rPr>
  </w:style>
  <w:style w:type="paragraph" w:styleId="CommentText">
    <w:name w:val="annotation text"/>
    <w:basedOn w:val="Normal"/>
    <w:link w:val="CommentTextChar"/>
    <w:uiPriority w:val="99"/>
    <w:unhideWhenUsed/>
    <w:rsid w:val="003727C7"/>
    <w:rPr>
      <w:sz w:val="20"/>
      <w:szCs w:val="20"/>
    </w:rPr>
  </w:style>
  <w:style w:type="character" w:customStyle="1" w:styleId="CommentTextChar">
    <w:name w:val="Comment Text Char"/>
    <w:basedOn w:val="DefaultParagraphFont"/>
    <w:link w:val="CommentText"/>
    <w:uiPriority w:val="99"/>
    <w:rsid w:val="003727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27C7"/>
    <w:rPr>
      <w:b/>
      <w:bCs/>
    </w:rPr>
  </w:style>
  <w:style w:type="character" w:customStyle="1" w:styleId="CommentSubjectChar">
    <w:name w:val="Comment Subject Char"/>
    <w:basedOn w:val="CommentTextChar"/>
    <w:link w:val="CommentSubject"/>
    <w:uiPriority w:val="99"/>
    <w:semiHidden/>
    <w:rsid w:val="003727C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3727C7"/>
    <w:pPr>
      <w:keepLines/>
      <w:widowControl/>
      <w:autoSpaceDE/>
      <w:autoSpaceDN/>
      <w:spacing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727C7"/>
    <w:pPr>
      <w:tabs>
        <w:tab w:val="right" w:leader="dot" w:pos="9570"/>
      </w:tabs>
      <w:spacing w:after="100"/>
    </w:pPr>
  </w:style>
  <w:style w:type="character" w:styleId="Hyperlink">
    <w:name w:val="Hyperlink"/>
    <w:basedOn w:val="DefaultParagraphFont"/>
    <w:uiPriority w:val="99"/>
    <w:unhideWhenUsed/>
    <w:rsid w:val="003727C7"/>
    <w:rPr>
      <w:color w:val="0563C1" w:themeColor="hyperlink"/>
      <w:u w:val="single"/>
    </w:rPr>
  </w:style>
  <w:style w:type="paragraph" w:styleId="TOC2">
    <w:name w:val="toc 2"/>
    <w:basedOn w:val="Normal"/>
    <w:next w:val="Normal"/>
    <w:autoRedefine/>
    <w:uiPriority w:val="39"/>
    <w:unhideWhenUsed/>
    <w:rsid w:val="003727C7"/>
    <w:pPr>
      <w:tabs>
        <w:tab w:val="left" w:pos="900"/>
        <w:tab w:val="right" w:leader="dot" w:pos="9570"/>
      </w:tabs>
      <w:spacing w:after="100"/>
      <w:ind w:left="220"/>
    </w:pPr>
  </w:style>
  <w:style w:type="character" w:styleId="UnresolvedMention">
    <w:name w:val="Unresolved Mention"/>
    <w:basedOn w:val="DefaultParagraphFont"/>
    <w:uiPriority w:val="99"/>
    <w:semiHidden/>
    <w:unhideWhenUsed/>
    <w:rsid w:val="003727C7"/>
    <w:rPr>
      <w:color w:val="605E5C"/>
      <w:shd w:val="clear" w:color="auto" w:fill="E1DFDD"/>
    </w:rPr>
  </w:style>
  <w:style w:type="paragraph" w:styleId="Revision">
    <w:name w:val="Revision"/>
    <w:hidden/>
    <w:uiPriority w:val="99"/>
    <w:semiHidden/>
    <w:rsid w:val="003727C7"/>
    <w:pPr>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3727C7"/>
    <w:rPr>
      <w:sz w:val="20"/>
      <w:szCs w:val="20"/>
    </w:rPr>
  </w:style>
  <w:style w:type="character" w:customStyle="1" w:styleId="FootnoteTextChar">
    <w:name w:val="Footnote Text Char"/>
    <w:basedOn w:val="DefaultParagraphFont"/>
    <w:link w:val="FootnoteText"/>
    <w:uiPriority w:val="99"/>
    <w:rsid w:val="003727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27C7"/>
    <w:rPr>
      <w:vertAlign w:val="superscript"/>
    </w:rPr>
  </w:style>
  <w:style w:type="paragraph" w:customStyle="1" w:styleId="Default">
    <w:name w:val="Default"/>
    <w:rsid w:val="003727C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unhideWhenUsed/>
    <w:rsid w:val="003727C7"/>
    <w:pPr>
      <w:spacing w:after="100"/>
      <w:ind w:left="480"/>
    </w:pPr>
  </w:style>
  <w:style w:type="table" w:styleId="TableGrid">
    <w:name w:val="Table Grid"/>
    <w:basedOn w:val="TableNormal"/>
    <w:uiPriority w:val="39"/>
    <w:rsid w:val="003727C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27C7"/>
    <w:pPr>
      <w:widowControl w:val="0"/>
      <w:autoSpaceDE w:val="0"/>
      <w:autoSpaceDN w:val="0"/>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3727C7"/>
    <w:rPr>
      <w:color w:val="954F72" w:themeColor="followedHyperlink"/>
      <w:u w:val="single"/>
    </w:rPr>
  </w:style>
  <w:style w:type="character" w:customStyle="1" w:styleId="UnresolvedMention1">
    <w:name w:val="Unresolved Mention1"/>
    <w:basedOn w:val="DefaultParagraphFont"/>
    <w:uiPriority w:val="99"/>
    <w:semiHidden/>
    <w:unhideWhenUsed/>
    <w:rsid w:val="003727C7"/>
    <w:rPr>
      <w:color w:val="605E5C"/>
      <w:shd w:val="clear" w:color="auto" w:fill="E1DFDD"/>
    </w:rPr>
  </w:style>
  <w:style w:type="paragraph" w:styleId="EndnoteText">
    <w:name w:val="endnote text"/>
    <w:basedOn w:val="Normal"/>
    <w:link w:val="EndnoteTextChar"/>
    <w:uiPriority w:val="99"/>
    <w:semiHidden/>
    <w:unhideWhenUsed/>
    <w:rsid w:val="003727C7"/>
    <w:rPr>
      <w:sz w:val="20"/>
      <w:szCs w:val="20"/>
    </w:rPr>
  </w:style>
  <w:style w:type="character" w:customStyle="1" w:styleId="EndnoteTextChar">
    <w:name w:val="Endnote Text Char"/>
    <w:basedOn w:val="DefaultParagraphFont"/>
    <w:link w:val="EndnoteText"/>
    <w:uiPriority w:val="99"/>
    <w:semiHidden/>
    <w:rsid w:val="003727C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727C7"/>
    <w:rPr>
      <w:vertAlign w:val="superscript"/>
    </w:rPr>
  </w:style>
  <w:style w:type="character" w:customStyle="1" w:styleId="num">
    <w:name w:val="num"/>
    <w:basedOn w:val="DefaultParagraphFont"/>
    <w:rsid w:val="00C872FE"/>
  </w:style>
  <w:style w:type="character" w:customStyle="1" w:styleId="heading">
    <w:name w:val="heading"/>
    <w:basedOn w:val="DefaultParagraphFont"/>
    <w:rsid w:val="00C872FE"/>
  </w:style>
  <w:style w:type="paragraph" w:styleId="NormalWeb">
    <w:name w:val="Normal (Web)"/>
    <w:basedOn w:val="Normal"/>
    <w:uiPriority w:val="99"/>
    <w:semiHidden/>
    <w:unhideWhenUsed/>
    <w:rsid w:val="00C872FE"/>
    <w:pPr>
      <w:widowControl/>
      <w:autoSpaceDE/>
      <w:autoSpaceDN/>
      <w:spacing w:before="100" w:beforeAutospacing="1" w:after="100" w:afterAutospacing="1"/>
    </w:pPr>
    <w:rPr>
      <w:szCs w:val="24"/>
    </w:rPr>
  </w:style>
  <w:style w:type="character" w:customStyle="1" w:styleId="chapeau">
    <w:name w:val="chapeau"/>
    <w:basedOn w:val="DefaultParagraphFont"/>
    <w:rsid w:val="00C87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2/04/M-22-1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Props1.xml><?xml version="1.0" encoding="utf-8"?>
<ds:datastoreItem xmlns:ds="http://schemas.openxmlformats.org/officeDocument/2006/customXml" ds:itemID="{FBD1F8E9-C8F3-440D-A9DA-B09F78C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3BF08-AD33-46CF-9D1C-B2017E7BA42E}">
  <ds:schemaRefs>
    <ds:schemaRef ds:uri="http://schemas.microsoft.com/sharepoint/events"/>
  </ds:schemaRefs>
</ds:datastoreItem>
</file>

<file path=customXml/itemProps3.xml><?xml version="1.0" encoding="utf-8"?>
<ds:datastoreItem xmlns:ds="http://schemas.openxmlformats.org/officeDocument/2006/customXml" ds:itemID="{DA22F454-C906-43BC-B241-DF7FD79A4CC7}">
  <ds:schemaRefs>
    <ds:schemaRef ds:uri="http://schemas.microsoft.com/sharepoint/v3/contenttype/forms"/>
  </ds:schemaRefs>
</ds:datastoreItem>
</file>

<file path=customXml/itemProps4.xml><?xml version="1.0" encoding="utf-8"?>
<ds:datastoreItem xmlns:ds="http://schemas.openxmlformats.org/officeDocument/2006/customXml" ds:itemID="{D72BB24E-36DB-4FAF-8FF4-ED523A1B9E2B}">
  <ds:schemaRefs>
    <ds:schemaRef ds:uri="http://schemas.openxmlformats.org/officeDocument/2006/bibliography"/>
  </ds:schemaRefs>
</ds:datastoreItem>
</file>

<file path=customXml/itemProps5.xml><?xml version="1.0" encoding="utf-8"?>
<ds:datastoreItem xmlns:ds="http://schemas.openxmlformats.org/officeDocument/2006/customXml" ds:itemID="{AF781F45-2F7E-4CA3-B72A-0714E2790E7D}">
  <ds:schemaRefs>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54ab5d5-3917-4d2c-a72e-c43f200ca589"/>
    <ds:schemaRef ds:uri="478b807d-6a4d-4e8c-be22-08dab40d7d86"/>
    <ds:schemaRef ds:uri="f70e41de-0fe8-47d8-bae5-96f488b1d7a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3882</Words>
  <Characters>22133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Milligan, Stephen</dc:creator>
  <cp:lastModifiedBy>Braswell, Melody</cp:lastModifiedBy>
  <cp:revision>2</cp:revision>
  <dcterms:created xsi:type="dcterms:W3CDTF">2023-02-03T21:10:00Z</dcterms:created>
  <dcterms:modified xsi:type="dcterms:W3CDTF">2023-02-03T21:10:00Z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ies>
</file>