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20387" w:rsidP="000A7669" w14:paraId="438B45AB" w14:textId="77777777">
      <w:pPr>
        <w:pStyle w:val="Title"/>
        <w:keepNext w:val="0"/>
        <w:keepLines w:val="0"/>
        <w:pBdr>
          <w:top w:val="none" w:sz="0" w:space="0" w:color="auto"/>
        </w:pBdr>
        <w:spacing w:before="0" w:after="0" w:line="240" w:lineRule="auto"/>
        <w:rPr>
          <w:rFonts w:ascii="Times New Roman" w:hAnsi="Times New Roman"/>
          <w:spacing w:val="0"/>
          <w:sz w:val="24"/>
        </w:rPr>
      </w:pPr>
    </w:p>
    <w:p w:rsidR="00320387" w:rsidP="000A7669" w14:paraId="50FC86D7" w14:textId="77777777">
      <w:pPr>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2C0587" w:rsidP="000A7669" w14:paraId="02CDB828" w14:textId="77777777">
      <w:pPr>
        <w:numPr>
          <w:ilvl w:val="12"/>
          <w:numId w:val="0"/>
        </w:numPr>
        <w:ind w:left="360"/>
      </w:pPr>
    </w:p>
    <w:p w:rsidR="00241F14" w:rsidP="00241F14" w14:paraId="248EEBDE" w14:textId="6C666CCA">
      <w:pPr>
        <w:ind w:left="360"/>
      </w:pPr>
      <w:r>
        <w:t xml:space="preserve">The Transportation Security </w:t>
      </w:r>
      <w:r w:rsidR="00216E57">
        <w:t>Administration</w:t>
      </w:r>
      <w:r>
        <w:t xml:space="preserve"> (TSA) was established by the Aviation and Transportation Security Act (ATSA) as the primary federal authority to enhance security for all modes of transportation.</w:t>
      </w:r>
      <w:r>
        <w:rPr>
          <w:rStyle w:val="FootnoteReference"/>
          <w:rFonts w:cs="Times New Roman"/>
          <w:szCs w:val="24"/>
        </w:rPr>
        <w:footnoteReference w:id="3"/>
      </w:r>
      <w:r>
        <w:t xml:space="preserve">  The scope of TSA’s authority includes assessing security risks, developing security measures to address identified risks, and enforcing compliance with these measures.</w:t>
      </w:r>
      <w:bookmarkStart w:id="0" w:name="_Ref427223589"/>
      <w:r>
        <w:rPr>
          <w:rStyle w:val="FootnoteReference"/>
          <w:rFonts w:cs="Times New Roman"/>
        </w:rPr>
        <w:footnoteReference w:id="4"/>
      </w:r>
      <w:bookmarkEnd w:id="0"/>
      <w:r>
        <w:t xml:space="preserve">  TSA also has broad regulatory authority to issue, rescind, revise, and enforce, regulations as necessary to carry out its transportation security functions.</w:t>
      </w:r>
      <w:r>
        <w:rPr>
          <w:rStyle w:val="FootnoteReference"/>
          <w:rFonts w:cs="Times New Roman"/>
        </w:rPr>
        <w:footnoteReference w:id="5"/>
      </w:r>
    </w:p>
    <w:p w:rsidR="00241F14" w:rsidP="00241F14" w14:paraId="09A0A09A" w14:textId="42AF9C68">
      <w:pPr>
        <w:ind w:left="360"/>
      </w:pPr>
    </w:p>
    <w:p w:rsidR="00827818" w:rsidP="00FA0B47" w14:paraId="44EDC30D" w14:textId="53C50F0B">
      <w:pPr>
        <w:ind w:left="360"/>
        <w:rPr>
          <w:rFonts w:eastAsiaTheme="minorHAnsi" w:cstheme="minorBidi"/>
          <w:color w:val="auto"/>
          <w:szCs w:val="22"/>
        </w:rPr>
      </w:pPr>
      <w:r>
        <w:t>The Implementing Recommendations of the 9/11 Commission Act of 2007 (9/11 Act)</w:t>
      </w:r>
      <w:r>
        <w:rPr>
          <w:rStyle w:val="FootnoteReference"/>
          <w:rFonts w:cs="Times New Roman"/>
        </w:rPr>
        <w:footnoteReference w:id="6"/>
      </w:r>
      <w:r>
        <w:rPr>
          <w:rFonts w:eastAsiaTheme="minorHAnsi" w:cstheme="minorBidi"/>
          <w:color w:val="auto"/>
          <w:szCs w:val="22"/>
        </w:rPr>
        <w:t xml:space="preserve"> </w:t>
      </w:r>
      <w:r w:rsidRPr="00827818">
        <w:rPr>
          <w:rFonts w:eastAsiaTheme="minorHAnsi" w:cstheme="minorBidi"/>
          <w:color w:val="auto"/>
          <w:szCs w:val="22"/>
        </w:rPr>
        <w:t xml:space="preserve">specifically requires TSA to set regulatory standards for mandatory </w:t>
      </w:r>
      <w:r>
        <w:rPr>
          <w:rFonts w:eastAsiaTheme="minorHAnsi" w:cstheme="minorBidi"/>
          <w:color w:val="auto"/>
          <w:szCs w:val="22"/>
        </w:rPr>
        <w:t>security threat assessments (</w:t>
      </w:r>
      <w:r w:rsidRPr="00827818">
        <w:rPr>
          <w:rFonts w:eastAsiaTheme="minorHAnsi" w:cstheme="minorBidi"/>
          <w:color w:val="auto"/>
          <w:szCs w:val="22"/>
        </w:rPr>
        <w:t>STAs</w:t>
      </w:r>
      <w:r>
        <w:rPr>
          <w:rFonts w:eastAsiaTheme="minorHAnsi" w:cstheme="minorBidi"/>
          <w:color w:val="auto"/>
          <w:szCs w:val="22"/>
        </w:rPr>
        <w:t>)</w:t>
      </w:r>
      <w:r w:rsidRPr="00827818">
        <w:rPr>
          <w:rFonts w:eastAsiaTheme="minorHAnsi" w:cstheme="minorBidi"/>
          <w:color w:val="auto"/>
          <w:szCs w:val="22"/>
        </w:rPr>
        <w:t xml:space="preserve"> of certain freight railroad carrier, </w:t>
      </w:r>
      <w:r w:rsidR="00181742">
        <w:rPr>
          <w:rFonts w:eastAsiaTheme="minorHAnsi" w:cstheme="minorBidi"/>
          <w:color w:val="auto"/>
          <w:szCs w:val="22"/>
        </w:rPr>
        <w:t>public transportation and passenger railroad (</w:t>
      </w:r>
      <w:r w:rsidRPr="00827818">
        <w:rPr>
          <w:rFonts w:eastAsiaTheme="minorHAnsi" w:cstheme="minorBidi"/>
          <w:color w:val="auto"/>
          <w:szCs w:val="22"/>
        </w:rPr>
        <w:t>PTPR</w:t>
      </w:r>
      <w:r w:rsidR="00181742">
        <w:rPr>
          <w:rFonts w:eastAsiaTheme="minorHAnsi" w:cstheme="minorBidi"/>
          <w:color w:val="auto"/>
          <w:szCs w:val="22"/>
        </w:rPr>
        <w:t>)</w:t>
      </w:r>
      <w:r w:rsidRPr="00827818">
        <w:rPr>
          <w:rFonts w:eastAsiaTheme="minorHAnsi" w:cstheme="minorBidi"/>
          <w:color w:val="auto"/>
          <w:szCs w:val="22"/>
        </w:rPr>
        <w:t xml:space="preserve"> agency, and </w:t>
      </w:r>
      <w:r w:rsidR="00F67B8D">
        <w:rPr>
          <w:rFonts w:eastAsiaTheme="minorHAnsi" w:cstheme="minorBidi"/>
          <w:color w:val="auto"/>
          <w:szCs w:val="22"/>
        </w:rPr>
        <w:t>over-the-road bus (</w:t>
      </w:r>
      <w:r w:rsidRPr="00827818">
        <w:rPr>
          <w:rFonts w:eastAsiaTheme="minorHAnsi" w:cstheme="minorBidi"/>
          <w:color w:val="auto"/>
          <w:szCs w:val="22"/>
        </w:rPr>
        <w:t>OTRB</w:t>
      </w:r>
      <w:r w:rsidR="00F67B8D">
        <w:rPr>
          <w:rFonts w:eastAsiaTheme="minorHAnsi" w:cstheme="minorBidi"/>
          <w:color w:val="auto"/>
          <w:szCs w:val="22"/>
        </w:rPr>
        <w:t>)</w:t>
      </w:r>
      <w:r w:rsidRPr="00827818">
        <w:rPr>
          <w:rFonts w:eastAsiaTheme="minorHAnsi" w:cstheme="minorBidi"/>
          <w:color w:val="auto"/>
          <w:szCs w:val="22"/>
        </w:rPr>
        <w:t xml:space="preserve"> owner/operator employees and prohibits entities from employing individuals in specified positions unless they have successfully completed the STA process. </w:t>
      </w:r>
      <w:r w:rsidR="00BB7276">
        <w:rPr>
          <w:rFonts w:eastAsiaTheme="minorHAnsi" w:cstheme="minorBidi"/>
          <w:color w:val="auto"/>
          <w:szCs w:val="22"/>
        </w:rPr>
        <w:t xml:space="preserve"> </w:t>
      </w:r>
      <w:r w:rsidR="001742BF">
        <w:rPr>
          <w:rFonts w:eastAsiaTheme="minorHAnsi" w:cstheme="minorBidi"/>
          <w:color w:val="auto"/>
          <w:szCs w:val="22"/>
        </w:rPr>
        <w:t>TSA is publishing a Notice of Proposed Rulemaking (NPRM)</w:t>
      </w:r>
      <w:r w:rsidRPr="001742BF" w:rsidR="001742BF">
        <w:rPr>
          <w:rFonts w:eastAsiaTheme="minorHAnsi" w:cstheme="minorBidi"/>
          <w:color w:val="auto"/>
          <w:szCs w:val="22"/>
        </w:rPr>
        <w:t xml:space="preserve"> to implement </w:t>
      </w:r>
      <w:r w:rsidR="001742BF">
        <w:rPr>
          <w:rFonts w:eastAsiaTheme="minorHAnsi" w:cstheme="minorBidi"/>
          <w:color w:val="auto"/>
          <w:szCs w:val="22"/>
        </w:rPr>
        <w:t xml:space="preserve">these </w:t>
      </w:r>
      <w:r w:rsidRPr="001742BF" w:rsidR="001742BF">
        <w:rPr>
          <w:rFonts w:eastAsiaTheme="minorHAnsi" w:cstheme="minorBidi"/>
          <w:color w:val="auto"/>
          <w:szCs w:val="22"/>
        </w:rPr>
        <w:t xml:space="preserve">provisions of the </w:t>
      </w:r>
      <w:r w:rsidR="001742BF">
        <w:rPr>
          <w:rFonts w:eastAsiaTheme="minorHAnsi" w:cstheme="minorBidi"/>
          <w:color w:val="auto"/>
          <w:szCs w:val="22"/>
        </w:rPr>
        <w:t>9/11 Act</w:t>
      </w:r>
      <w:r w:rsidRPr="001742BF" w:rsidR="001742BF">
        <w:rPr>
          <w:rFonts w:eastAsiaTheme="minorHAnsi" w:cstheme="minorBidi"/>
          <w:color w:val="auto"/>
          <w:szCs w:val="22"/>
        </w:rPr>
        <w:t>.</w:t>
      </w:r>
      <w:r w:rsidR="001742BF">
        <w:rPr>
          <w:rFonts w:eastAsiaTheme="minorHAnsi" w:cstheme="minorBidi"/>
          <w:color w:val="auto"/>
          <w:szCs w:val="22"/>
        </w:rPr>
        <w:t xml:space="preserve">  Once final</w:t>
      </w:r>
      <w:r w:rsidR="00C03EA0">
        <w:rPr>
          <w:rFonts w:eastAsiaTheme="minorHAnsi" w:cstheme="minorBidi"/>
          <w:color w:val="auto"/>
          <w:szCs w:val="22"/>
        </w:rPr>
        <w:t>,</w:t>
      </w:r>
      <w:r w:rsidR="001742BF">
        <w:rPr>
          <w:rFonts w:eastAsiaTheme="minorHAnsi" w:cstheme="minorBidi"/>
          <w:color w:val="auto"/>
          <w:szCs w:val="22"/>
        </w:rPr>
        <w:t xml:space="preserve"> the rule</w:t>
      </w:r>
      <w:r w:rsidR="00BB7276">
        <w:rPr>
          <w:rFonts w:eastAsiaTheme="minorHAnsi" w:cstheme="minorBidi"/>
          <w:color w:val="auto"/>
          <w:szCs w:val="22"/>
        </w:rPr>
        <w:t>making</w:t>
      </w:r>
      <w:r w:rsidR="001742BF">
        <w:rPr>
          <w:rFonts w:eastAsiaTheme="minorHAnsi" w:cstheme="minorBidi"/>
          <w:color w:val="auto"/>
          <w:szCs w:val="22"/>
        </w:rPr>
        <w:t xml:space="preserve"> will create a new 49 CFR </w:t>
      </w:r>
      <w:r w:rsidR="007153D7">
        <w:rPr>
          <w:rFonts w:eastAsiaTheme="minorHAnsi" w:cstheme="minorBidi"/>
          <w:color w:val="auto"/>
          <w:szCs w:val="22"/>
        </w:rPr>
        <w:t>p</w:t>
      </w:r>
      <w:r w:rsidR="001742BF">
        <w:rPr>
          <w:rFonts w:eastAsiaTheme="minorHAnsi" w:cstheme="minorBidi"/>
          <w:color w:val="auto"/>
          <w:szCs w:val="22"/>
        </w:rPr>
        <w:t xml:space="preserve">art 1530 and amend sections 49 CFR </w:t>
      </w:r>
      <w:r w:rsidR="007153D7">
        <w:rPr>
          <w:rFonts w:eastAsiaTheme="minorHAnsi" w:cstheme="minorBidi"/>
          <w:color w:val="auto"/>
          <w:szCs w:val="22"/>
        </w:rPr>
        <w:t>p</w:t>
      </w:r>
      <w:r w:rsidR="001742BF">
        <w:rPr>
          <w:rFonts w:eastAsiaTheme="minorHAnsi" w:cstheme="minorBidi"/>
          <w:color w:val="auto"/>
          <w:szCs w:val="22"/>
        </w:rPr>
        <w:t>arts 1500, 1570, 1572, 1580</w:t>
      </w:r>
      <w:r w:rsidR="00FC2DE0">
        <w:rPr>
          <w:rFonts w:eastAsiaTheme="minorHAnsi" w:cstheme="minorBidi"/>
          <w:color w:val="auto"/>
          <w:szCs w:val="22"/>
        </w:rPr>
        <w:t>, 1582, and 1584</w:t>
      </w:r>
      <w:r w:rsidR="001742BF">
        <w:rPr>
          <w:rFonts w:eastAsiaTheme="minorHAnsi" w:cstheme="minorBidi"/>
          <w:color w:val="auto"/>
          <w:szCs w:val="22"/>
        </w:rPr>
        <w:t xml:space="preserve">.  </w:t>
      </w:r>
      <w:r w:rsidRPr="00827818">
        <w:rPr>
          <w:rFonts w:eastAsiaTheme="minorHAnsi" w:cstheme="minorBidi"/>
          <w:color w:val="auto"/>
          <w:szCs w:val="22"/>
        </w:rPr>
        <w:t>The primary proposed information collection elements</w:t>
      </w:r>
      <w:r w:rsidR="001742BF">
        <w:rPr>
          <w:rFonts w:eastAsiaTheme="minorHAnsi" w:cstheme="minorBidi"/>
          <w:color w:val="auto"/>
          <w:szCs w:val="22"/>
        </w:rPr>
        <w:t xml:space="preserve"> of the NPRM</w:t>
      </w:r>
      <w:r w:rsidRPr="00827818">
        <w:rPr>
          <w:rFonts w:eastAsiaTheme="minorHAnsi" w:cstheme="minorBidi"/>
          <w:color w:val="auto"/>
          <w:szCs w:val="22"/>
        </w:rPr>
        <w:t xml:space="preserve"> include:</w:t>
      </w:r>
    </w:p>
    <w:p w:rsidR="00181742" w:rsidRPr="00827818" w:rsidP="00FA0B47" w14:paraId="48D74D3E" w14:textId="77777777">
      <w:pPr>
        <w:ind w:left="360"/>
        <w:rPr>
          <w:rFonts w:eastAsiaTheme="minorHAnsi" w:cstheme="minorBidi"/>
          <w:color w:val="auto"/>
          <w:szCs w:val="22"/>
        </w:rPr>
      </w:pPr>
    </w:p>
    <w:p w:rsidR="003035E8" w:rsidP="003035E8" w14:paraId="5D622F80" w14:textId="318B2E0E">
      <w:pPr>
        <w:numPr>
          <w:ilvl w:val="0"/>
          <w:numId w:val="40"/>
        </w:numPr>
        <w:tabs>
          <w:tab w:val="left" w:pos="0"/>
        </w:tabs>
        <w:ind w:left="990" w:hanging="270"/>
        <w:rPr>
          <w:rFonts w:eastAsia="MS Mincho" w:cstheme="minorBidi"/>
          <w:szCs w:val="22"/>
        </w:rPr>
      </w:pPr>
      <w:r w:rsidRPr="00827818">
        <w:rPr>
          <w:rFonts w:eastAsia="MS Mincho" w:cstheme="minorBidi"/>
          <w:szCs w:val="22"/>
        </w:rPr>
        <w:t xml:space="preserve">STA enrollments for security coordinators </w:t>
      </w:r>
      <w:r w:rsidR="00ED42E0">
        <w:rPr>
          <w:rFonts w:eastAsia="MS Mincho" w:cstheme="minorBidi"/>
          <w:szCs w:val="22"/>
        </w:rPr>
        <w:t xml:space="preserve">(SCs) </w:t>
      </w:r>
      <w:r w:rsidRPr="00827818">
        <w:rPr>
          <w:rFonts w:eastAsia="MS Mincho" w:cstheme="minorBidi"/>
          <w:szCs w:val="22"/>
        </w:rPr>
        <w:t xml:space="preserve">and security-sensitive </w:t>
      </w:r>
      <w:r w:rsidR="00C03EA0">
        <w:rPr>
          <w:rFonts w:eastAsia="MS Mincho" w:cstheme="minorBidi"/>
          <w:szCs w:val="22"/>
        </w:rPr>
        <w:t>employees (SSEs)</w:t>
      </w:r>
      <w:r w:rsidRPr="00827818">
        <w:rPr>
          <w:rFonts w:eastAsia="MS Mincho" w:cstheme="minorBidi"/>
          <w:szCs w:val="22"/>
        </w:rPr>
        <w:t>;</w:t>
      </w:r>
    </w:p>
    <w:p w:rsidR="006201B4" w:rsidRPr="006201B4" w:rsidP="006201B4" w14:paraId="6C228DF0" w14:textId="3DB9A080">
      <w:pPr>
        <w:numPr>
          <w:ilvl w:val="0"/>
          <w:numId w:val="41"/>
        </w:numPr>
        <w:tabs>
          <w:tab w:val="left" w:pos="0"/>
        </w:tabs>
        <w:ind w:left="990" w:hanging="270"/>
        <w:rPr>
          <w:rFonts w:eastAsia="MS Mincho" w:cstheme="minorBidi"/>
          <w:szCs w:val="22"/>
        </w:rPr>
      </w:pPr>
      <w:r w:rsidRPr="006201B4">
        <w:rPr>
          <w:rFonts w:eastAsia="MS Mincho" w:cstheme="minorBidi"/>
          <w:szCs w:val="22"/>
        </w:rPr>
        <w:t>Appeals</w:t>
      </w:r>
      <w:r w:rsidRPr="006201B4" w:rsidR="00181742">
        <w:rPr>
          <w:rFonts w:eastAsia="MS Mincho" w:cstheme="minorBidi"/>
          <w:szCs w:val="22"/>
        </w:rPr>
        <w:t xml:space="preserve"> and </w:t>
      </w:r>
      <w:r w:rsidR="00C03EA0">
        <w:rPr>
          <w:rFonts w:eastAsia="MS Mincho" w:cstheme="minorBidi"/>
          <w:szCs w:val="22"/>
        </w:rPr>
        <w:t>w</w:t>
      </w:r>
      <w:r w:rsidRPr="006201B4" w:rsidR="00181742">
        <w:rPr>
          <w:rFonts w:eastAsia="MS Mincho" w:cstheme="minorBidi"/>
          <w:szCs w:val="22"/>
        </w:rPr>
        <w:t>aivers</w:t>
      </w:r>
      <w:r w:rsidRPr="006201B4">
        <w:rPr>
          <w:rFonts w:eastAsia="MS Mincho" w:cstheme="minorBidi"/>
          <w:szCs w:val="22"/>
        </w:rPr>
        <w:t xml:space="preserve"> to a </w:t>
      </w:r>
      <w:r w:rsidR="007E5942">
        <w:t>Preliminary Determination of Ineligibility</w:t>
      </w:r>
      <w:r w:rsidRPr="006201B4" w:rsidR="007E5942">
        <w:rPr>
          <w:rFonts w:eastAsia="MS Mincho" w:cstheme="minorBidi"/>
          <w:szCs w:val="22"/>
        </w:rPr>
        <w:t xml:space="preserve"> (</w:t>
      </w:r>
      <w:r w:rsidRPr="006201B4">
        <w:rPr>
          <w:rFonts w:eastAsia="MS Mincho" w:cstheme="minorBidi"/>
          <w:szCs w:val="22"/>
        </w:rPr>
        <w:t>PDI</w:t>
      </w:r>
      <w:r w:rsidRPr="006201B4" w:rsidR="007E5942">
        <w:rPr>
          <w:rFonts w:eastAsia="MS Mincho" w:cstheme="minorBidi"/>
          <w:szCs w:val="22"/>
        </w:rPr>
        <w:t>)</w:t>
      </w:r>
      <w:r w:rsidRPr="006201B4">
        <w:rPr>
          <w:rFonts w:eastAsia="MS Mincho" w:cstheme="minorBidi"/>
          <w:szCs w:val="22"/>
        </w:rPr>
        <w:t>;</w:t>
      </w:r>
    </w:p>
    <w:p w:rsidR="00827818" w:rsidRPr="00F74505" w:rsidP="006201B4" w14:paraId="4430B6D9" w14:textId="65CF3FC1">
      <w:pPr>
        <w:numPr>
          <w:ilvl w:val="0"/>
          <w:numId w:val="41"/>
        </w:numPr>
        <w:tabs>
          <w:tab w:val="left" w:pos="0"/>
        </w:tabs>
        <w:ind w:left="990" w:hanging="270"/>
        <w:rPr>
          <w:rFonts w:eastAsia="MS Mincho" w:cstheme="minorBidi"/>
          <w:szCs w:val="22"/>
        </w:rPr>
      </w:pPr>
      <w:r w:rsidRPr="00F74505">
        <w:rPr>
          <w:rFonts w:eastAsia="MS Mincho" w:cstheme="minorBidi"/>
          <w:szCs w:val="22"/>
        </w:rPr>
        <w:t>Reporting disqualifying crimes;</w:t>
      </w:r>
    </w:p>
    <w:p w:rsidR="00827818" w:rsidRPr="00827818" w:rsidP="00FA0B47" w14:paraId="03F0049B" w14:textId="7B0D99D3">
      <w:pPr>
        <w:numPr>
          <w:ilvl w:val="0"/>
          <w:numId w:val="40"/>
        </w:numPr>
        <w:tabs>
          <w:tab w:val="left" w:pos="0"/>
        </w:tabs>
        <w:ind w:left="990" w:hanging="270"/>
        <w:rPr>
          <w:rFonts w:cstheme="minorBidi"/>
          <w:szCs w:val="24"/>
        </w:rPr>
      </w:pPr>
      <w:r w:rsidRPr="00827818">
        <w:rPr>
          <w:rFonts w:eastAsia="MS Mincho" w:cstheme="minorBidi"/>
          <w:szCs w:val="22"/>
        </w:rPr>
        <w:t>STA recordkeeping;</w:t>
      </w:r>
    </w:p>
    <w:p w:rsidR="002C330A" w:rsidP="00FA0B47" w14:paraId="460D5903" w14:textId="5F94E987">
      <w:pPr>
        <w:numPr>
          <w:ilvl w:val="0"/>
          <w:numId w:val="40"/>
        </w:numPr>
        <w:tabs>
          <w:tab w:val="left" w:pos="0"/>
        </w:tabs>
        <w:ind w:left="990" w:hanging="270"/>
        <w:rPr>
          <w:rFonts w:eastAsia="MS Mincho" w:cstheme="minorBidi"/>
          <w:szCs w:val="22"/>
        </w:rPr>
      </w:pPr>
      <w:r>
        <w:rPr>
          <w:rFonts w:eastAsia="MS Mincho" w:cstheme="minorBidi"/>
          <w:szCs w:val="22"/>
        </w:rPr>
        <w:t>U</w:t>
      </w:r>
      <w:r w:rsidRPr="00827818" w:rsidR="00827818">
        <w:rPr>
          <w:rFonts w:eastAsia="MS Mincho" w:cstheme="minorBidi"/>
          <w:szCs w:val="22"/>
        </w:rPr>
        <w:t>pdating contact information; and</w:t>
      </w:r>
    </w:p>
    <w:p w:rsidR="00827818" w:rsidRPr="00827818" w:rsidP="00FA0B47" w14:paraId="29ED593F" w14:textId="0C624BE2">
      <w:pPr>
        <w:numPr>
          <w:ilvl w:val="0"/>
          <w:numId w:val="40"/>
        </w:numPr>
        <w:tabs>
          <w:tab w:val="left" w:pos="0"/>
        </w:tabs>
        <w:ind w:left="990" w:hanging="270"/>
        <w:rPr>
          <w:rFonts w:eastAsia="MS Mincho" w:cstheme="minorBidi"/>
          <w:szCs w:val="22"/>
        </w:rPr>
      </w:pPr>
      <w:r w:rsidRPr="00827818">
        <w:rPr>
          <w:rFonts w:eastAsia="MS Mincho" w:cstheme="minorBidi"/>
          <w:szCs w:val="22"/>
        </w:rPr>
        <w:t xml:space="preserve">Submission of an optional </w:t>
      </w:r>
      <w:r>
        <w:rPr>
          <w:rFonts w:eastAsia="MS Mincho" w:cstheme="minorBidi"/>
          <w:szCs w:val="22"/>
        </w:rPr>
        <w:t xml:space="preserve">STA </w:t>
      </w:r>
      <w:r w:rsidRPr="00827818">
        <w:rPr>
          <w:rFonts w:eastAsia="MS Mincho" w:cstheme="minorBidi"/>
          <w:szCs w:val="22"/>
        </w:rPr>
        <w:t>customer satisfaction survey.</w:t>
      </w:r>
    </w:p>
    <w:p w:rsidR="00827818" w:rsidP="00241F14" w14:paraId="661028CE" w14:textId="3CEBAF3F">
      <w:pPr>
        <w:ind w:left="360"/>
      </w:pPr>
    </w:p>
    <w:p w:rsidR="00320387" w:rsidP="000A7669" w14:paraId="22AF8511" w14:textId="77777777">
      <w:pPr>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320387" w:rsidP="000A7669" w14:paraId="4290A089" w14:textId="77777777">
      <w:pPr>
        <w:numPr>
          <w:ilvl w:val="12"/>
          <w:numId w:val="0"/>
        </w:numPr>
        <w:ind w:left="360"/>
      </w:pPr>
    </w:p>
    <w:p w:rsidR="00181742" w:rsidRPr="00181742" w:rsidP="00181742" w14:paraId="3F3BD640" w14:textId="6A74F19D">
      <w:pPr>
        <w:ind w:left="360"/>
        <w:rPr>
          <w:rFonts w:eastAsiaTheme="minorHAnsi" w:cstheme="minorBidi"/>
          <w:color w:val="auto"/>
          <w:szCs w:val="22"/>
        </w:rPr>
      </w:pPr>
      <w:r w:rsidRPr="00181742">
        <w:rPr>
          <w:rFonts w:eastAsiaTheme="minorHAnsi" w:cstheme="minorBidi"/>
          <w:color w:val="auto"/>
          <w:szCs w:val="22"/>
        </w:rPr>
        <w:t xml:space="preserve">TSA will collect and use this information to validate compliance with the regulatory requirements.  For purposes of this </w:t>
      </w:r>
      <w:r w:rsidR="00F03CC7">
        <w:rPr>
          <w:color w:val="auto"/>
        </w:rPr>
        <w:t>NPRM</w:t>
      </w:r>
      <w:r w:rsidRPr="00181742">
        <w:rPr>
          <w:rFonts w:eastAsiaTheme="minorHAnsi" w:cstheme="minorBidi"/>
          <w:color w:val="auto"/>
          <w:szCs w:val="22"/>
        </w:rPr>
        <w:t xml:space="preserve">, the regulated person (the person responsible for compliance and liable for failure to comply) is the owner/operator of the public transportation systems, railroads, and </w:t>
      </w:r>
      <w:r w:rsidR="00C37C45">
        <w:rPr>
          <w:rFonts w:eastAsiaTheme="minorHAnsi" w:cstheme="minorBidi"/>
          <w:color w:val="auto"/>
          <w:szCs w:val="22"/>
        </w:rPr>
        <w:t>OTRB</w:t>
      </w:r>
      <w:r w:rsidRPr="00181742">
        <w:rPr>
          <w:rFonts w:eastAsiaTheme="minorHAnsi" w:cstheme="minorBidi"/>
          <w:color w:val="auto"/>
          <w:szCs w:val="22"/>
        </w:rPr>
        <w:t xml:space="preserve"> companies within the proposed applicability.</w:t>
      </w:r>
    </w:p>
    <w:p w:rsidR="00181742" w:rsidRPr="00181742" w:rsidP="00181742" w14:paraId="40B4BC88" w14:textId="77777777">
      <w:pPr>
        <w:ind w:left="360"/>
        <w:rPr>
          <w:rFonts w:eastAsiaTheme="minorHAnsi" w:cstheme="minorBidi"/>
          <w:color w:val="auto"/>
          <w:szCs w:val="22"/>
        </w:rPr>
      </w:pPr>
    </w:p>
    <w:p w:rsidR="00181742" w:rsidRPr="00BA4FDF" w:rsidP="00181742" w14:paraId="0E02430A" w14:textId="3F3A8D73">
      <w:pPr>
        <w:ind w:left="360"/>
        <w:rPr>
          <w:rFonts w:eastAsiaTheme="minorHAnsi" w:cstheme="minorBidi"/>
          <w:color w:val="auto"/>
          <w:szCs w:val="22"/>
        </w:rPr>
      </w:pPr>
      <w:r w:rsidRPr="00181742">
        <w:rPr>
          <w:rFonts w:eastAsiaTheme="minorHAnsi" w:cstheme="minorBidi"/>
          <w:color w:val="auto"/>
          <w:szCs w:val="22"/>
          <w:u w:val="single"/>
        </w:rPr>
        <w:t>Level 2 STA.</w:t>
      </w:r>
      <w:r w:rsidRPr="00181742">
        <w:rPr>
          <w:rFonts w:eastAsiaTheme="minorHAnsi" w:cstheme="minorBidi"/>
          <w:color w:val="auto"/>
          <w:szCs w:val="22"/>
        </w:rPr>
        <w:t xml:space="preserve">  </w:t>
      </w:r>
      <w:r w:rsidR="00C03EA0">
        <w:rPr>
          <w:rFonts w:eastAsiaTheme="minorHAnsi" w:cstheme="minorBidi"/>
          <w:color w:val="auto"/>
          <w:szCs w:val="22"/>
        </w:rPr>
        <w:t xml:space="preserve">Certain rail and </w:t>
      </w:r>
      <w:r w:rsidR="00A226B3">
        <w:rPr>
          <w:rFonts w:eastAsiaTheme="minorHAnsi" w:cstheme="minorBidi"/>
          <w:color w:val="auto"/>
          <w:szCs w:val="22"/>
        </w:rPr>
        <w:t xml:space="preserve">PTPR </w:t>
      </w:r>
      <w:r w:rsidR="00C03EA0">
        <w:rPr>
          <w:rFonts w:eastAsiaTheme="minorHAnsi" w:cstheme="minorBidi"/>
          <w:color w:val="auto"/>
          <w:szCs w:val="22"/>
        </w:rPr>
        <w:t>o</w:t>
      </w:r>
      <w:r w:rsidRPr="00181742">
        <w:rPr>
          <w:rFonts w:eastAsiaTheme="minorHAnsi" w:cstheme="minorBidi"/>
          <w:color w:val="auto"/>
          <w:szCs w:val="22"/>
        </w:rPr>
        <w:t xml:space="preserve">wner/operators are required to </w:t>
      </w:r>
      <w:r w:rsidR="00C03EA0">
        <w:rPr>
          <w:rFonts w:eastAsiaTheme="minorHAnsi" w:cstheme="minorBidi"/>
          <w:color w:val="auto"/>
          <w:szCs w:val="22"/>
        </w:rPr>
        <w:t>ensure that SSEs, as defined in the statute and NPRM, complete</w:t>
      </w:r>
      <w:r w:rsidRPr="00181742">
        <w:rPr>
          <w:rFonts w:eastAsiaTheme="minorHAnsi" w:cstheme="minorBidi"/>
          <w:color w:val="auto"/>
          <w:szCs w:val="22"/>
        </w:rPr>
        <w:t xml:space="preserve"> a name-based </w:t>
      </w:r>
      <w:r w:rsidR="00C03EA0">
        <w:rPr>
          <w:rFonts w:eastAsiaTheme="minorHAnsi" w:cstheme="minorBidi"/>
          <w:color w:val="auto"/>
          <w:szCs w:val="22"/>
        </w:rPr>
        <w:t>STA</w:t>
      </w:r>
      <w:r w:rsidR="00A226B3">
        <w:rPr>
          <w:rFonts w:eastAsiaTheme="minorHAnsi" w:cstheme="minorBidi"/>
          <w:color w:val="auto"/>
          <w:szCs w:val="22"/>
        </w:rPr>
        <w:t xml:space="preserve"> </w:t>
      </w:r>
      <w:r w:rsidRPr="00181742">
        <w:rPr>
          <w:rFonts w:eastAsiaTheme="minorHAnsi" w:cstheme="minorBidi"/>
          <w:color w:val="auto"/>
          <w:szCs w:val="22"/>
        </w:rPr>
        <w:t xml:space="preserve">against </w:t>
      </w:r>
      <w:r w:rsidRPr="00F45A32" w:rsidR="00F45A32">
        <w:rPr>
          <w:rFonts w:eastAsiaTheme="minorHAnsi" w:cstheme="minorBidi"/>
          <w:color w:val="auto"/>
          <w:szCs w:val="22"/>
        </w:rPr>
        <w:t>government and non-government databases, including terrorist watchlists, criminal wants and warrants, Interpol, and other domestic and international sources, relevant to determining whether an individual may pose or poses a threat to transportation or national security, or of terrorism</w:t>
      </w:r>
      <w:r w:rsidR="00F45A32">
        <w:rPr>
          <w:rFonts w:eastAsiaTheme="minorHAnsi" w:cstheme="minorBidi"/>
          <w:color w:val="auto"/>
          <w:szCs w:val="22"/>
        </w:rPr>
        <w:t>, along with</w:t>
      </w:r>
      <w:r w:rsidRPr="00181742">
        <w:rPr>
          <w:rFonts w:eastAsiaTheme="minorHAnsi" w:cstheme="minorBidi"/>
          <w:color w:val="auto"/>
          <w:szCs w:val="22"/>
        </w:rPr>
        <w:t xml:space="preserve"> an immigration check</w:t>
      </w:r>
      <w:r w:rsidR="00F633F0">
        <w:rPr>
          <w:rFonts w:eastAsiaTheme="minorHAnsi" w:cstheme="minorBidi"/>
          <w:color w:val="auto"/>
          <w:szCs w:val="22"/>
        </w:rPr>
        <w:t xml:space="preserve">.  </w:t>
      </w:r>
      <w:r w:rsidRPr="00F74505" w:rsidR="00F03CC7">
        <w:rPr>
          <w:rFonts w:eastAsiaTheme="minorHAnsi" w:cstheme="minorBidi"/>
          <w:color w:val="auto"/>
          <w:szCs w:val="22"/>
        </w:rPr>
        <w:t>I</w:t>
      </w:r>
      <w:r w:rsidRPr="00F74505">
        <w:rPr>
          <w:rFonts w:eastAsiaTheme="minorHAnsi" w:cstheme="minorBidi"/>
          <w:color w:val="auto"/>
          <w:szCs w:val="22"/>
        </w:rPr>
        <w:t>ndividuals applying for an STA would have to provide biographical, documentary, and fingerprints</w:t>
      </w:r>
      <w:r w:rsidRPr="00F74505">
        <w:rPr>
          <w:rFonts w:eastAsiaTheme="minorHAnsi" w:cs="Times New Roman"/>
          <w:color w:val="auto"/>
          <w:szCs w:val="22"/>
        </w:rPr>
        <w:t>—</w:t>
      </w:r>
      <w:r w:rsidRPr="00F74505">
        <w:rPr>
          <w:rFonts w:eastAsiaTheme="minorHAnsi" w:cstheme="minorBidi"/>
          <w:color w:val="auto"/>
          <w:szCs w:val="22"/>
        </w:rPr>
        <w:t>when applicable</w:t>
      </w:r>
      <w:r w:rsidRPr="00F74505">
        <w:rPr>
          <w:rFonts w:eastAsiaTheme="minorHAnsi" w:cs="Times New Roman"/>
          <w:color w:val="auto"/>
          <w:szCs w:val="22"/>
        </w:rPr>
        <w:t>—</w:t>
      </w:r>
      <w:r w:rsidRPr="00F74505">
        <w:rPr>
          <w:rFonts w:eastAsiaTheme="minorHAnsi" w:cstheme="minorBidi"/>
          <w:color w:val="auto"/>
          <w:szCs w:val="22"/>
        </w:rPr>
        <w:t>to TSA through an enrollment center or other</w:t>
      </w:r>
      <w:r w:rsidRPr="00F74505" w:rsidR="000C2404">
        <w:rPr>
          <w:rFonts w:eastAsiaTheme="minorHAnsi" w:cstheme="minorBidi"/>
          <w:color w:val="auto"/>
          <w:szCs w:val="22"/>
        </w:rPr>
        <w:t xml:space="preserve"> </w:t>
      </w:r>
      <w:r w:rsidRPr="00F74505" w:rsidR="00C734AE">
        <w:rPr>
          <w:rFonts w:eastAsiaTheme="minorHAnsi" w:cstheme="minorBidi"/>
          <w:color w:val="auto"/>
          <w:szCs w:val="22"/>
        </w:rPr>
        <w:t>enrollment</w:t>
      </w:r>
      <w:r w:rsidRPr="00F74505">
        <w:rPr>
          <w:rFonts w:eastAsiaTheme="minorHAnsi" w:cstheme="minorBidi"/>
          <w:color w:val="auto"/>
          <w:szCs w:val="22"/>
        </w:rPr>
        <w:t xml:space="preserve"> process as</w:t>
      </w:r>
      <w:r w:rsidRPr="00F74505" w:rsidR="00BB34DA">
        <w:rPr>
          <w:rFonts w:eastAsiaTheme="minorHAnsi" w:cstheme="minorBidi"/>
          <w:color w:val="auto"/>
          <w:szCs w:val="22"/>
        </w:rPr>
        <w:t xml:space="preserve"> established </w:t>
      </w:r>
      <w:r w:rsidRPr="00F74505">
        <w:rPr>
          <w:rFonts w:eastAsiaTheme="minorHAnsi" w:cstheme="minorBidi"/>
          <w:color w:val="auto"/>
          <w:szCs w:val="22"/>
        </w:rPr>
        <w:t>by TSA.</w:t>
      </w:r>
    </w:p>
    <w:p w:rsidR="00181742" w:rsidRPr="00181742" w:rsidP="00181742" w14:paraId="666D443F" w14:textId="77777777">
      <w:pPr>
        <w:ind w:left="360"/>
        <w:rPr>
          <w:rFonts w:eastAsiaTheme="minorHAnsi" w:cstheme="minorBidi"/>
          <w:color w:val="auto"/>
          <w:szCs w:val="22"/>
        </w:rPr>
      </w:pPr>
    </w:p>
    <w:p w:rsidR="00181742" w:rsidP="00181742" w14:paraId="08E0089F" w14:textId="6C69FA8E">
      <w:pPr>
        <w:ind w:left="360"/>
        <w:rPr>
          <w:rFonts w:eastAsiaTheme="minorHAnsi" w:cstheme="minorBidi"/>
          <w:color w:val="auto"/>
          <w:szCs w:val="22"/>
        </w:rPr>
      </w:pPr>
      <w:r w:rsidRPr="005E0305">
        <w:rPr>
          <w:rFonts w:eastAsiaTheme="minorHAnsi" w:cstheme="minorBidi"/>
          <w:color w:val="auto"/>
          <w:szCs w:val="22"/>
          <w:u w:val="single"/>
        </w:rPr>
        <w:t>Level 3 STA</w:t>
      </w:r>
      <w:r w:rsidRPr="00181742">
        <w:rPr>
          <w:rFonts w:eastAsiaTheme="minorHAnsi" w:cstheme="minorBidi"/>
          <w:color w:val="auto"/>
          <w:szCs w:val="22"/>
        </w:rPr>
        <w:t xml:space="preserve">. </w:t>
      </w:r>
      <w:r w:rsidR="00C37C45">
        <w:rPr>
          <w:rFonts w:eastAsiaTheme="minorHAnsi" w:cstheme="minorBidi"/>
          <w:color w:val="auto"/>
          <w:szCs w:val="22"/>
        </w:rPr>
        <w:t xml:space="preserve"> </w:t>
      </w:r>
      <w:r w:rsidR="002E6635">
        <w:rPr>
          <w:rFonts w:eastAsiaTheme="minorHAnsi" w:cstheme="minorBidi"/>
          <w:color w:val="auto"/>
          <w:szCs w:val="22"/>
        </w:rPr>
        <w:t>A</w:t>
      </w:r>
      <w:r w:rsidRPr="00181742" w:rsidR="00272CFC">
        <w:rPr>
          <w:rFonts w:eastAsiaTheme="minorHAnsi" w:cstheme="minorBidi"/>
          <w:color w:val="auto"/>
          <w:szCs w:val="22"/>
        </w:rPr>
        <w:t xml:space="preserve">ll </w:t>
      </w:r>
      <w:r w:rsidR="00ED42E0">
        <w:rPr>
          <w:rFonts w:eastAsiaTheme="minorHAnsi" w:cstheme="minorBidi"/>
          <w:color w:val="auto"/>
          <w:szCs w:val="22"/>
        </w:rPr>
        <w:t xml:space="preserve">SCs </w:t>
      </w:r>
      <w:r w:rsidRPr="00181742" w:rsidR="00272CFC">
        <w:rPr>
          <w:rFonts w:eastAsiaTheme="minorHAnsi" w:cstheme="minorBidi"/>
          <w:color w:val="auto"/>
          <w:szCs w:val="22"/>
        </w:rPr>
        <w:t>of freight rail, PTPR, and OTRB</w:t>
      </w:r>
      <w:r w:rsidR="00272CFC">
        <w:rPr>
          <w:rFonts w:eastAsiaTheme="minorHAnsi" w:cstheme="minorBidi"/>
          <w:color w:val="auto"/>
          <w:szCs w:val="22"/>
        </w:rPr>
        <w:t>,</w:t>
      </w:r>
      <w:r w:rsidRPr="00181742" w:rsidR="00272CFC">
        <w:rPr>
          <w:rFonts w:eastAsiaTheme="minorHAnsi" w:cstheme="minorBidi"/>
          <w:color w:val="auto"/>
          <w:szCs w:val="22"/>
        </w:rPr>
        <w:t xml:space="preserve"> </w:t>
      </w:r>
      <w:r w:rsidR="00272CFC">
        <w:rPr>
          <w:rFonts w:eastAsiaTheme="minorHAnsi" w:cstheme="minorBidi"/>
          <w:color w:val="auto"/>
          <w:szCs w:val="22"/>
        </w:rPr>
        <w:t>o</w:t>
      </w:r>
      <w:r w:rsidRPr="00181742" w:rsidR="00272CFC">
        <w:rPr>
          <w:rFonts w:eastAsiaTheme="minorHAnsi" w:cstheme="minorBidi"/>
          <w:color w:val="auto"/>
          <w:szCs w:val="22"/>
        </w:rPr>
        <w:t>wner</w:t>
      </w:r>
      <w:r w:rsidRPr="00181742">
        <w:rPr>
          <w:rFonts w:eastAsiaTheme="minorHAnsi" w:cstheme="minorBidi"/>
          <w:color w:val="auto"/>
          <w:szCs w:val="22"/>
        </w:rPr>
        <w:t>/operators are required to complete a</w:t>
      </w:r>
      <w:r w:rsidR="00A226B3">
        <w:rPr>
          <w:rFonts w:eastAsiaTheme="minorHAnsi" w:cstheme="minorBidi"/>
          <w:color w:val="auto"/>
          <w:szCs w:val="22"/>
        </w:rPr>
        <w:t xml:space="preserve">n STA that includes a criminal history records check </w:t>
      </w:r>
      <w:r w:rsidR="002E2667">
        <w:rPr>
          <w:rFonts w:eastAsiaTheme="minorHAnsi" w:cstheme="minorBidi"/>
          <w:color w:val="auto"/>
          <w:szCs w:val="22"/>
        </w:rPr>
        <w:t xml:space="preserve">(CHRC) </w:t>
      </w:r>
      <w:r w:rsidR="00A226B3">
        <w:rPr>
          <w:rFonts w:eastAsiaTheme="minorHAnsi" w:cstheme="minorBidi"/>
          <w:color w:val="auto"/>
          <w:szCs w:val="22"/>
        </w:rPr>
        <w:t>and the checks included in the Level 2 STA.</w:t>
      </w:r>
      <w:r w:rsidR="00272CFC">
        <w:rPr>
          <w:rFonts w:eastAsiaTheme="minorHAnsi" w:cstheme="minorBidi"/>
          <w:color w:val="auto"/>
          <w:szCs w:val="22"/>
        </w:rPr>
        <w:t xml:space="preserve"> </w:t>
      </w:r>
      <w:r w:rsidR="00F45A32">
        <w:rPr>
          <w:rFonts w:eastAsiaTheme="minorHAnsi" w:cstheme="minorBidi"/>
          <w:color w:val="auto"/>
          <w:szCs w:val="22"/>
        </w:rPr>
        <w:t xml:space="preserve"> </w:t>
      </w:r>
      <w:r w:rsidRPr="00F03CC7" w:rsidR="00F03CC7">
        <w:rPr>
          <w:rFonts w:eastAsiaTheme="minorHAnsi" w:cstheme="minorBidi"/>
          <w:color w:val="auto"/>
          <w:szCs w:val="22"/>
        </w:rPr>
        <w:t>Individuals applying for an STA would have to provide biographical, documentary, and fingerprints—when applicable—to TSA through an enrollment center or other process as set by TSA.</w:t>
      </w:r>
    </w:p>
    <w:p w:rsidR="006201B4" w:rsidRPr="00181742" w:rsidP="00181742" w14:paraId="5BA78E13" w14:textId="77777777">
      <w:pPr>
        <w:ind w:left="360"/>
        <w:rPr>
          <w:rFonts w:eastAsiaTheme="minorHAnsi" w:cstheme="minorBidi"/>
          <w:color w:val="auto"/>
          <w:szCs w:val="22"/>
        </w:rPr>
      </w:pPr>
    </w:p>
    <w:p w:rsidR="00181742" w:rsidP="00181742" w14:paraId="6035DFFF" w14:textId="0A0EE3A8">
      <w:pPr>
        <w:ind w:left="360"/>
        <w:rPr>
          <w:rFonts w:eastAsiaTheme="minorHAnsi" w:cstheme="minorBidi"/>
          <w:color w:val="auto"/>
          <w:szCs w:val="22"/>
        </w:rPr>
      </w:pPr>
      <w:r w:rsidRPr="00F74505">
        <w:rPr>
          <w:rFonts w:eastAsiaTheme="minorHAnsi" w:cstheme="minorBidi"/>
          <w:color w:val="auto"/>
          <w:szCs w:val="22"/>
          <w:u w:val="single"/>
        </w:rPr>
        <w:t>Appeals/Waivers</w:t>
      </w:r>
      <w:r w:rsidRPr="00F74505">
        <w:rPr>
          <w:rFonts w:eastAsiaTheme="minorHAnsi" w:cstheme="minorBidi"/>
          <w:color w:val="auto"/>
          <w:szCs w:val="22"/>
        </w:rPr>
        <w:t xml:space="preserve">.  </w:t>
      </w:r>
      <w:r w:rsidR="00A226B3">
        <w:rPr>
          <w:rFonts w:eastAsiaTheme="minorHAnsi" w:cstheme="minorBidi"/>
          <w:color w:val="auto"/>
          <w:szCs w:val="22"/>
        </w:rPr>
        <w:t xml:space="preserve">TSA would issue </w:t>
      </w:r>
      <w:r w:rsidRPr="00F74505" w:rsidR="00A226B3">
        <w:rPr>
          <w:rFonts w:eastAsiaTheme="minorHAnsi" w:cstheme="minorBidi"/>
          <w:color w:val="auto"/>
          <w:szCs w:val="22"/>
        </w:rPr>
        <w:t xml:space="preserve">a Preliminary Determination of Ineligibility (PDI) or Preliminary Determination of Ineligibility with Immediate Revocation </w:t>
      </w:r>
      <w:r w:rsidR="00A226B3">
        <w:rPr>
          <w:rFonts w:eastAsiaTheme="minorHAnsi" w:cstheme="minorBidi"/>
          <w:color w:val="auto"/>
          <w:szCs w:val="22"/>
        </w:rPr>
        <w:t>to an individual who does not initially pass the STA, explaining what the disqualifying factors are</w:t>
      </w:r>
      <w:r w:rsidRPr="00F74505" w:rsidR="00A226B3">
        <w:rPr>
          <w:rFonts w:eastAsiaTheme="minorHAnsi" w:cstheme="minorBidi"/>
          <w:color w:val="auto"/>
          <w:szCs w:val="22"/>
        </w:rPr>
        <w:t xml:space="preserve">.  </w:t>
      </w:r>
      <w:r w:rsidRPr="00F74505">
        <w:rPr>
          <w:rFonts w:eastAsiaTheme="minorHAnsi" w:cstheme="minorBidi"/>
          <w:color w:val="auto"/>
          <w:szCs w:val="22"/>
        </w:rPr>
        <w:t xml:space="preserve">The STA applicant </w:t>
      </w:r>
      <w:r w:rsidRPr="00F74505" w:rsidR="00F03CC7">
        <w:rPr>
          <w:rFonts w:eastAsiaTheme="minorHAnsi" w:cstheme="minorBidi"/>
          <w:color w:val="auto"/>
          <w:szCs w:val="22"/>
        </w:rPr>
        <w:t xml:space="preserve">who </w:t>
      </w:r>
      <w:r w:rsidR="009A7820">
        <w:rPr>
          <w:rFonts w:eastAsiaTheme="minorHAnsi" w:cstheme="minorBidi"/>
          <w:color w:val="auto"/>
          <w:szCs w:val="22"/>
        </w:rPr>
        <w:t xml:space="preserve">receives </w:t>
      </w:r>
      <w:r w:rsidRPr="00F74505" w:rsidR="00F03CC7">
        <w:rPr>
          <w:rFonts w:eastAsiaTheme="minorHAnsi" w:cstheme="minorBidi"/>
          <w:color w:val="auto"/>
          <w:szCs w:val="22"/>
        </w:rPr>
        <w:t xml:space="preserve">a PDI </w:t>
      </w:r>
      <w:r w:rsidRPr="00F74505">
        <w:rPr>
          <w:rFonts w:eastAsiaTheme="minorHAnsi" w:cstheme="minorBidi"/>
          <w:color w:val="auto"/>
          <w:szCs w:val="22"/>
        </w:rPr>
        <w:t xml:space="preserve">may follow the redress procedures set out in the proposed rule.  When applicable, individuals may submit information to TSA </w:t>
      </w:r>
      <w:r w:rsidRPr="00F74505" w:rsidR="009F1862">
        <w:rPr>
          <w:rFonts w:eastAsiaTheme="minorHAnsi" w:cstheme="minorBidi"/>
          <w:color w:val="auto"/>
          <w:szCs w:val="22"/>
        </w:rPr>
        <w:t>to begin the process of</w:t>
      </w:r>
      <w:r w:rsidRPr="00F74505">
        <w:rPr>
          <w:rFonts w:eastAsiaTheme="minorHAnsi" w:cstheme="minorBidi"/>
          <w:color w:val="auto"/>
          <w:szCs w:val="22"/>
        </w:rPr>
        <w:t xml:space="preserve"> filing an appeal or </w:t>
      </w:r>
      <w:r w:rsidRPr="00F74505" w:rsidR="009F1862">
        <w:rPr>
          <w:rFonts w:eastAsiaTheme="minorHAnsi" w:cstheme="minorBidi"/>
          <w:color w:val="auto"/>
          <w:szCs w:val="22"/>
        </w:rPr>
        <w:t xml:space="preserve">requesting a </w:t>
      </w:r>
      <w:r w:rsidRPr="00F74505">
        <w:rPr>
          <w:rFonts w:eastAsiaTheme="minorHAnsi" w:cstheme="minorBidi"/>
          <w:color w:val="auto"/>
          <w:szCs w:val="22"/>
        </w:rPr>
        <w:t>waiver of a PDI.</w:t>
      </w:r>
    </w:p>
    <w:p w:rsidR="006201B4" w:rsidRPr="00181742" w:rsidP="006201B4" w14:paraId="28E83026" w14:textId="77777777">
      <w:pPr>
        <w:ind w:left="360"/>
        <w:rPr>
          <w:rFonts w:eastAsiaTheme="minorHAnsi" w:cstheme="minorBidi"/>
          <w:color w:val="auto"/>
          <w:szCs w:val="22"/>
        </w:rPr>
      </w:pPr>
    </w:p>
    <w:p w:rsidR="006201B4" w:rsidP="006201B4" w14:paraId="6E8BE5D6" w14:textId="6574B342">
      <w:pPr>
        <w:ind w:left="360"/>
        <w:rPr>
          <w:rFonts w:eastAsiaTheme="minorHAnsi" w:cstheme="minorBidi"/>
          <w:color w:val="auto"/>
          <w:szCs w:val="22"/>
        </w:rPr>
      </w:pPr>
      <w:r w:rsidRPr="005E0305">
        <w:rPr>
          <w:rFonts w:eastAsiaTheme="minorHAnsi" w:cstheme="minorBidi"/>
          <w:color w:val="auto"/>
          <w:szCs w:val="22"/>
          <w:u w:val="single"/>
        </w:rPr>
        <w:t>Disqualifying Events</w:t>
      </w:r>
      <w:r>
        <w:rPr>
          <w:rFonts w:eastAsiaTheme="minorHAnsi" w:cstheme="minorBidi"/>
          <w:color w:val="auto"/>
          <w:szCs w:val="22"/>
        </w:rPr>
        <w:t xml:space="preserve">.  </w:t>
      </w:r>
      <w:r w:rsidRPr="00BA4FDF">
        <w:rPr>
          <w:rFonts w:eastAsiaTheme="minorHAnsi" w:cstheme="minorBidi"/>
          <w:color w:val="auto"/>
          <w:szCs w:val="22"/>
        </w:rPr>
        <w:t>Affected employees who apply for or have STAs would have continuing responsibilities during and after the STA process to report certain events to TSA within 24 hours of occurrence.</w:t>
      </w:r>
      <w:r w:rsidR="002E2667">
        <w:rPr>
          <w:rFonts w:eastAsiaTheme="minorHAnsi" w:cstheme="minorBidi"/>
          <w:color w:val="auto"/>
          <w:szCs w:val="22"/>
        </w:rPr>
        <w:t xml:space="preserve"> </w:t>
      </w:r>
      <w:r w:rsidRPr="00BA4FDF">
        <w:rPr>
          <w:rFonts w:eastAsiaTheme="minorHAnsi" w:cstheme="minorBidi"/>
          <w:color w:val="auto"/>
          <w:szCs w:val="22"/>
        </w:rPr>
        <w:t xml:space="preserve"> </w:t>
      </w:r>
      <w:r w:rsidR="00ED42E0">
        <w:rPr>
          <w:rFonts w:eastAsiaTheme="minorHAnsi" w:cstheme="minorBidi"/>
          <w:color w:val="auto"/>
          <w:szCs w:val="22"/>
        </w:rPr>
        <w:t xml:space="preserve">SCs </w:t>
      </w:r>
      <w:r w:rsidRPr="00BA4FDF">
        <w:rPr>
          <w:rFonts w:eastAsiaTheme="minorHAnsi" w:cstheme="minorBidi"/>
          <w:color w:val="auto"/>
          <w:szCs w:val="22"/>
        </w:rPr>
        <w:t>who have already successfully completed a CHRC would be required to report, within 24 hours of occurrence, an indictment, conviction, or finding of not guilty by reason of insanity, or a disqualifying crime.</w:t>
      </w:r>
      <w:r>
        <w:rPr>
          <w:rFonts w:eastAsiaTheme="minorHAnsi" w:cs="Calibri"/>
          <w:color w:val="auto"/>
          <w:sz w:val="20"/>
          <w:vertAlign w:val="superscript"/>
        </w:rPr>
        <w:footnoteReference w:id="7"/>
      </w:r>
      <w:r w:rsidRPr="00BA4FDF">
        <w:rPr>
          <w:rFonts w:eastAsiaTheme="minorHAnsi" w:cstheme="minorBidi"/>
          <w:color w:val="auto"/>
          <w:szCs w:val="22"/>
        </w:rPr>
        <w:t xml:space="preserve"> </w:t>
      </w:r>
      <w:r w:rsidR="002E2667">
        <w:rPr>
          <w:rFonts w:eastAsiaTheme="minorHAnsi" w:cstheme="minorBidi"/>
          <w:color w:val="auto"/>
          <w:szCs w:val="22"/>
        </w:rPr>
        <w:t xml:space="preserve"> </w:t>
      </w:r>
      <w:r w:rsidRPr="00BA4FDF">
        <w:rPr>
          <w:rFonts w:eastAsiaTheme="minorHAnsi" w:cstheme="minorBidi"/>
          <w:color w:val="auto"/>
          <w:szCs w:val="22"/>
        </w:rPr>
        <w:t xml:space="preserve">Both </w:t>
      </w:r>
      <w:r w:rsidR="00ED42E0">
        <w:rPr>
          <w:rFonts w:eastAsiaTheme="minorHAnsi" w:cstheme="minorBidi"/>
          <w:color w:val="auto"/>
          <w:szCs w:val="22"/>
        </w:rPr>
        <w:t>SSEs</w:t>
      </w:r>
      <w:r w:rsidRPr="00BA4FDF">
        <w:rPr>
          <w:rFonts w:eastAsiaTheme="minorHAnsi" w:cstheme="minorBidi"/>
          <w:color w:val="auto"/>
          <w:szCs w:val="22"/>
        </w:rPr>
        <w:t xml:space="preserve"> and </w:t>
      </w:r>
      <w:r w:rsidR="00ED42E0">
        <w:rPr>
          <w:rFonts w:eastAsiaTheme="minorHAnsi" w:cstheme="minorBidi"/>
          <w:color w:val="auto"/>
          <w:szCs w:val="22"/>
        </w:rPr>
        <w:t xml:space="preserve">SCs </w:t>
      </w:r>
      <w:r w:rsidRPr="00BA4FDF">
        <w:rPr>
          <w:rFonts w:eastAsiaTheme="minorHAnsi" w:cstheme="minorBidi"/>
          <w:color w:val="auto"/>
          <w:szCs w:val="22"/>
        </w:rPr>
        <w:t>would be required to report any change in immigration status that results in loss of lawful presence in the United States.</w:t>
      </w:r>
    </w:p>
    <w:p w:rsidR="006201B4" w:rsidP="006201B4" w14:paraId="07FD4040" w14:textId="77777777">
      <w:pPr>
        <w:ind w:left="360"/>
        <w:rPr>
          <w:rFonts w:eastAsiaTheme="minorHAnsi" w:cstheme="minorBidi"/>
          <w:color w:val="auto"/>
          <w:szCs w:val="22"/>
        </w:rPr>
      </w:pPr>
    </w:p>
    <w:p w:rsidR="005E0305" w:rsidRPr="00BA4FDF" w:rsidP="005E0305" w14:paraId="39B5A649" w14:textId="2F7E9782">
      <w:pPr>
        <w:ind w:left="360"/>
        <w:rPr>
          <w:rFonts w:eastAsiaTheme="minorHAnsi" w:cstheme="minorBidi"/>
          <w:color w:val="auto"/>
          <w:szCs w:val="22"/>
        </w:rPr>
      </w:pPr>
      <w:r w:rsidRPr="005E0305">
        <w:rPr>
          <w:rFonts w:eastAsiaTheme="minorHAnsi" w:cstheme="minorBidi"/>
          <w:color w:val="auto"/>
          <w:szCs w:val="22"/>
          <w:u w:val="single"/>
        </w:rPr>
        <w:t>Record</w:t>
      </w:r>
      <w:r w:rsidR="00351517">
        <w:rPr>
          <w:rFonts w:eastAsiaTheme="minorHAnsi" w:cstheme="minorBidi"/>
          <w:color w:val="auto"/>
          <w:szCs w:val="22"/>
          <w:u w:val="single"/>
        </w:rPr>
        <w:t>k</w:t>
      </w:r>
      <w:r w:rsidRPr="005E0305">
        <w:rPr>
          <w:rFonts w:eastAsiaTheme="minorHAnsi" w:cstheme="minorBidi"/>
          <w:color w:val="auto"/>
          <w:szCs w:val="22"/>
          <w:u w:val="single"/>
        </w:rPr>
        <w:t>eeping</w:t>
      </w:r>
      <w:r w:rsidRPr="00181742">
        <w:rPr>
          <w:rFonts w:eastAsiaTheme="minorHAnsi" w:cstheme="minorBidi"/>
          <w:color w:val="auto"/>
          <w:szCs w:val="22"/>
        </w:rPr>
        <w:t>.  Owner/operators would be required to file and maintain records on STA</w:t>
      </w:r>
      <w:r w:rsidR="009B4059">
        <w:rPr>
          <w:rFonts w:eastAsiaTheme="minorHAnsi" w:cstheme="minorBidi"/>
          <w:color w:val="auto"/>
          <w:szCs w:val="22"/>
        </w:rPr>
        <w:t>s</w:t>
      </w:r>
      <w:r w:rsidRPr="00181742">
        <w:rPr>
          <w:rFonts w:eastAsiaTheme="minorHAnsi" w:cstheme="minorBidi"/>
          <w:color w:val="auto"/>
          <w:szCs w:val="22"/>
        </w:rPr>
        <w:t xml:space="preserve"> for all affected employees to validate compliance with the regulation in a form and manner authorized by TSA and for the period specified in the proposed rule, and make the records available to TSA when requested during inspection.  Owner/operators would need to retain </w:t>
      </w:r>
      <w:r w:rsidRPr="00181742">
        <w:rPr>
          <w:rFonts w:eastAsiaTheme="minorHAnsi" w:cstheme="minorBidi"/>
          <w:color w:val="auto"/>
          <w:szCs w:val="22"/>
        </w:rPr>
        <w:t xml:space="preserve">records to show that the individual has successfully completed a Level 2 STA or Level 3 STA, respectively, and holds a current determination of eligibility as described in the proposed rule.  </w:t>
      </w:r>
      <w:r w:rsidRPr="00BA4FDF">
        <w:rPr>
          <w:rFonts w:eastAsiaTheme="minorHAnsi" w:cstheme="minorBidi"/>
          <w:color w:val="auto"/>
          <w:szCs w:val="22"/>
        </w:rPr>
        <w:t xml:space="preserve">The maintenance of these records imposes costs on </w:t>
      </w:r>
      <w:r w:rsidR="002E2667">
        <w:rPr>
          <w:rFonts w:eastAsiaTheme="minorHAnsi" w:cstheme="minorBidi"/>
          <w:color w:val="auto"/>
          <w:szCs w:val="22"/>
        </w:rPr>
        <w:t>o</w:t>
      </w:r>
      <w:r w:rsidRPr="00F03CC7" w:rsidR="00F03CC7">
        <w:rPr>
          <w:rFonts w:eastAsiaTheme="minorHAnsi" w:cstheme="minorBidi"/>
          <w:color w:val="auto"/>
          <w:szCs w:val="22"/>
        </w:rPr>
        <w:t>wner/operators</w:t>
      </w:r>
      <w:r w:rsidRPr="00BA4FDF">
        <w:rPr>
          <w:rFonts w:eastAsiaTheme="minorHAnsi" w:cstheme="minorBidi"/>
          <w:color w:val="auto"/>
          <w:szCs w:val="22"/>
        </w:rPr>
        <w:t xml:space="preserve"> for time spent creating, filing, and retrieving these records.</w:t>
      </w:r>
      <w:r w:rsidR="002E2667">
        <w:rPr>
          <w:rFonts w:eastAsiaTheme="minorHAnsi" w:cstheme="minorBidi"/>
          <w:color w:val="auto"/>
          <w:szCs w:val="22"/>
        </w:rPr>
        <w:t xml:space="preserve"> </w:t>
      </w:r>
      <w:r w:rsidRPr="00BA4FDF">
        <w:rPr>
          <w:rFonts w:eastAsiaTheme="minorHAnsi" w:cstheme="minorBidi"/>
          <w:color w:val="auto"/>
          <w:szCs w:val="22"/>
        </w:rPr>
        <w:t xml:space="preserve"> TSA does not propose to require recordkeeping in a particular format (e.g., electronic database or paper files); rather, each </w:t>
      </w:r>
      <w:r w:rsidR="000A3D16">
        <w:rPr>
          <w:rFonts w:eastAsiaTheme="minorHAnsi" w:cstheme="minorBidi"/>
          <w:color w:val="auto"/>
          <w:szCs w:val="22"/>
        </w:rPr>
        <w:t>owner/operator</w:t>
      </w:r>
      <w:r w:rsidRPr="00BA4FDF" w:rsidR="000A3D16">
        <w:rPr>
          <w:rFonts w:eastAsiaTheme="minorHAnsi" w:cstheme="minorBidi"/>
          <w:color w:val="auto"/>
          <w:szCs w:val="22"/>
        </w:rPr>
        <w:t xml:space="preserve"> </w:t>
      </w:r>
      <w:r w:rsidRPr="00BA4FDF">
        <w:rPr>
          <w:rFonts w:eastAsiaTheme="minorHAnsi" w:cstheme="minorBidi"/>
          <w:color w:val="auto"/>
          <w:szCs w:val="22"/>
        </w:rPr>
        <w:t>may choose the most cost-effective method for maintaining records.</w:t>
      </w:r>
    </w:p>
    <w:p w:rsidR="00BA4FDF" w:rsidRPr="00BA4FDF" w:rsidP="00181742" w14:paraId="54103D2A" w14:textId="54999A54">
      <w:pPr>
        <w:ind w:left="360"/>
        <w:rPr>
          <w:rFonts w:eastAsiaTheme="minorHAnsi" w:cstheme="minorBidi"/>
          <w:color w:val="auto"/>
          <w:szCs w:val="22"/>
        </w:rPr>
      </w:pPr>
    </w:p>
    <w:p w:rsidR="00BA4FDF" w:rsidP="00FA0B47" w14:paraId="40F2E2A4" w14:textId="0517D266">
      <w:pPr>
        <w:ind w:left="360"/>
        <w:rPr>
          <w:rFonts w:eastAsiaTheme="minorHAnsi" w:cstheme="minorBidi"/>
          <w:color w:val="auto"/>
          <w:szCs w:val="22"/>
        </w:rPr>
      </w:pPr>
      <w:r w:rsidRPr="005E0305">
        <w:rPr>
          <w:rFonts w:eastAsiaTheme="minorHAnsi" w:cstheme="minorBidi"/>
          <w:color w:val="auto"/>
          <w:szCs w:val="22"/>
          <w:u w:val="single"/>
        </w:rPr>
        <w:t>Contact Information</w:t>
      </w:r>
      <w:r>
        <w:rPr>
          <w:rFonts w:eastAsiaTheme="minorHAnsi" w:cstheme="minorBidi"/>
          <w:color w:val="auto"/>
          <w:szCs w:val="22"/>
        </w:rPr>
        <w:t xml:space="preserve">:  </w:t>
      </w:r>
      <w:r w:rsidRPr="00BA4FDF">
        <w:rPr>
          <w:rFonts w:eastAsiaTheme="minorHAnsi" w:cstheme="minorBidi"/>
          <w:color w:val="auto"/>
          <w:szCs w:val="22"/>
        </w:rPr>
        <w:t xml:space="preserve">Under the proposed rule, individuals would be required to report any changes to their legal name, current address (mailing address and residential, if different), and daytime phone number to TSA. </w:t>
      </w:r>
      <w:r w:rsidR="002E2667">
        <w:rPr>
          <w:rFonts w:eastAsiaTheme="minorHAnsi" w:cstheme="minorBidi"/>
          <w:color w:val="auto"/>
          <w:szCs w:val="22"/>
        </w:rPr>
        <w:t xml:space="preserve"> </w:t>
      </w:r>
      <w:r w:rsidRPr="00BA4FDF">
        <w:rPr>
          <w:rFonts w:eastAsiaTheme="minorHAnsi" w:cstheme="minorBidi"/>
          <w:color w:val="auto"/>
          <w:szCs w:val="22"/>
        </w:rPr>
        <w:t xml:space="preserve">Individuals may update their contact information </w:t>
      </w:r>
      <w:r w:rsidR="00C734AE">
        <w:rPr>
          <w:rFonts w:eastAsiaTheme="minorHAnsi" w:cstheme="minorBidi"/>
          <w:color w:val="auto"/>
          <w:szCs w:val="22"/>
        </w:rPr>
        <w:t>as set forth by TSA</w:t>
      </w:r>
      <w:r w:rsidRPr="00BA4FDF">
        <w:rPr>
          <w:rFonts w:eastAsiaTheme="minorHAnsi" w:cstheme="minorBidi"/>
          <w:color w:val="auto"/>
          <w:szCs w:val="22"/>
        </w:rPr>
        <w:t>.</w:t>
      </w:r>
    </w:p>
    <w:p w:rsidR="0063399D" w:rsidRPr="00BA4FDF" w:rsidP="00FA0B47" w14:paraId="7138C5C8" w14:textId="77777777">
      <w:pPr>
        <w:ind w:left="360"/>
        <w:rPr>
          <w:rFonts w:eastAsiaTheme="minorHAnsi" w:cstheme="minorBidi"/>
          <w:color w:val="auto"/>
          <w:szCs w:val="22"/>
        </w:rPr>
      </w:pPr>
    </w:p>
    <w:p w:rsidR="0063399D" w:rsidRPr="00BA4FDF" w:rsidP="0063399D" w14:paraId="213496AC" w14:textId="75B23F01">
      <w:pPr>
        <w:ind w:left="360"/>
        <w:rPr>
          <w:rFonts w:eastAsiaTheme="minorHAnsi" w:cstheme="minorBidi"/>
          <w:color w:val="auto"/>
          <w:szCs w:val="22"/>
        </w:rPr>
      </w:pPr>
      <w:r w:rsidRPr="005E0305">
        <w:rPr>
          <w:rFonts w:eastAsiaTheme="minorHAnsi" w:cstheme="minorBidi"/>
          <w:color w:val="auto"/>
          <w:szCs w:val="22"/>
          <w:u w:val="single"/>
        </w:rPr>
        <w:t>Customer Satisfaction Survey</w:t>
      </w:r>
      <w:r>
        <w:rPr>
          <w:rFonts w:eastAsiaTheme="minorHAnsi" w:cstheme="minorBidi"/>
          <w:color w:val="auto"/>
          <w:szCs w:val="22"/>
        </w:rPr>
        <w:t xml:space="preserve">.  </w:t>
      </w:r>
      <w:r w:rsidR="009B4059">
        <w:rPr>
          <w:rFonts w:eastAsiaTheme="minorHAnsi" w:cstheme="minorBidi"/>
          <w:color w:val="auto"/>
          <w:szCs w:val="22"/>
        </w:rPr>
        <w:t>Individuals undergoing an STA</w:t>
      </w:r>
      <w:r>
        <w:rPr>
          <w:rFonts w:eastAsiaTheme="minorHAnsi" w:cstheme="minorBidi"/>
          <w:color w:val="auto"/>
          <w:szCs w:val="22"/>
        </w:rPr>
        <w:t xml:space="preserve"> will be given an option to complete a </w:t>
      </w:r>
      <w:r w:rsidRPr="00BA4FDF">
        <w:rPr>
          <w:rFonts w:eastAsiaTheme="minorHAnsi" w:cstheme="minorBidi"/>
          <w:color w:val="auto"/>
          <w:szCs w:val="22"/>
        </w:rPr>
        <w:t xml:space="preserve">customer satisfaction survey </w:t>
      </w:r>
      <w:r>
        <w:rPr>
          <w:rFonts w:eastAsiaTheme="minorHAnsi" w:cstheme="minorBidi"/>
          <w:color w:val="auto"/>
          <w:szCs w:val="22"/>
        </w:rPr>
        <w:t>after</w:t>
      </w:r>
      <w:r w:rsidRPr="00BA4FDF">
        <w:rPr>
          <w:rFonts w:eastAsiaTheme="minorHAnsi" w:cstheme="minorBidi"/>
          <w:color w:val="auto"/>
          <w:szCs w:val="22"/>
        </w:rPr>
        <w:t xml:space="preserve"> the STA enrollment process.</w:t>
      </w:r>
    </w:p>
    <w:p w:rsidR="00480546" w:rsidP="000A7669" w14:paraId="1DEAD9A3" w14:textId="77777777">
      <w:pPr>
        <w:numPr>
          <w:ilvl w:val="12"/>
          <w:numId w:val="0"/>
        </w:numPr>
        <w:ind w:left="360"/>
      </w:pPr>
    </w:p>
    <w:p w:rsidR="00320387" w:rsidP="000A7669" w14:paraId="55AC07BF" w14:textId="1A496B9F">
      <w:pPr>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 xml:space="preserve">[Effective 03/22/01, your response must </w:t>
      </w:r>
      <w:r w:rsidRPr="004D1E7A">
        <w:rPr>
          <w:b/>
          <w:i/>
          <w:snapToGrid w:val="0"/>
        </w:rPr>
        <w:t xml:space="preserve">SPECIFICALLY reference the Government Paperwork Elimination Act (GPEA), which addresses electronic filing and recordkeeping, and what you are doing to adhere to it.  You must explain how you </w:t>
      </w:r>
      <w:r w:rsidR="00E026CB">
        <w:rPr>
          <w:b/>
          <w:i/>
          <w:snapToGrid w:val="0"/>
        </w:rPr>
        <w:t>w</w:t>
      </w:r>
      <w:r w:rsidR="00A84B2F">
        <w:rPr>
          <w:b/>
          <w:i/>
          <w:snapToGrid w:val="0"/>
        </w:rPr>
        <w:t>ill</w:t>
      </w:r>
      <w:r w:rsidRPr="004D1E7A">
        <w:rPr>
          <w:b/>
          <w:i/>
          <w:snapToGrid w:val="0"/>
        </w:rPr>
        <w:t xml:space="preserve"> provide a fully electronic reporting option</w:t>
      </w:r>
      <w:r>
        <w:rPr>
          <w:b/>
          <w:i/>
          <w:snapToGrid w:val="0"/>
        </w:rPr>
        <w:t xml:space="preserve"> by October 2003, or an explanation of why this is not practicable.]</w:t>
      </w:r>
    </w:p>
    <w:p w:rsidR="00320387" w:rsidP="000A7669" w14:paraId="43B219CE" w14:textId="77777777">
      <w:pPr>
        <w:numPr>
          <w:ilvl w:val="12"/>
          <w:numId w:val="0"/>
        </w:numPr>
        <w:ind w:left="360"/>
      </w:pPr>
    </w:p>
    <w:p w:rsidR="00B44499" w:rsidP="000A7669" w14:paraId="2CDE3665" w14:textId="10F524CF">
      <w:pPr>
        <w:numPr>
          <w:ilvl w:val="12"/>
          <w:numId w:val="0"/>
        </w:numPr>
        <w:ind w:left="360"/>
        <w:rPr>
          <w:color w:val="auto"/>
        </w:rPr>
      </w:pPr>
      <w:r>
        <w:rPr>
          <w:color w:val="auto"/>
        </w:rPr>
        <w:t xml:space="preserve">TSA </w:t>
      </w:r>
      <w:r w:rsidR="005E0305">
        <w:rPr>
          <w:color w:val="auto"/>
        </w:rPr>
        <w:t>complies</w:t>
      </w:r>
      <w:r w:rsidR="008268F5">
        <w:rPr>
          <w:color w:val="auto"/>
        </w:rPr>
        <w:t xml:space="preserve"> with the </w:t>
      </w:r>
      <w:r w:rsidRPr="00444E9A" w:rsidR="002E2667">
        <w:rPr>
          <w:snapToGrid w:val="0"/>
        </w:rPr>
        <w:t>Government Paperwork Elimination Act</w:t>
      </w:r>
      <w:r w:rsidRPr="004D1E7A" w:rsidR="002E2667">
        <w:rPr>
          <w:b/>
          <w:i/>
          <w:snapToGrid w:val="0"/>
        </w:rPr>
        <w:t xml:space="preserve"> </w:t>
      </w:r>
      <w:r w:rsidR="008268F5">
        <w:rPr>
          <w:color w:val="auto"/>
        </w:rPr>
        <w:t>to reduce the burden on covered entities</w:t>
      </w:r>
      <w:r>
        <w:rPr>
          <w:color w:val="auto"/>
        </w:rPr>
        <w:t xml:space="preserve"> by encouraging</w:t>
      </w:r>
      <w:r w:rsidRPr="00B44499" w:rsidR="009E0510">
        <w:rPr>
          <w:color w:val="auto"/>
        </w:rPr>
        <w:t xml:space="preserve"> electronic submissions</w:t>
      </w:r>
      <w:r w:rsidR="008268F5">
        <w:rPr>
          <w:color w:val="auto"/>
        </w:rPr>
        <w:t xml:space="preserve"> and retention </w:t>
      </w:r>
      <w:r w:rsidR="009E0510">
        <w:rPr>
          <w:color w:val="auto"/>
        </w:rPr>
        <w:t xml:space="preserve">of </w:t>
      </w:r>
      <w:r w:rsidRPr="00B44499" w:rsidR="009E0510">
        <w:rPr>
          <w:color w:val="auto"/>
        </w:rPr>
        <w:t>th</w:t>
      </w:r>
      <w:r w:rsidR="009E0510">
        <w:rPr>
          <w:color w:val="auto"/>
        </w:rPr>
        <w:t xml:space="preserve">e </w:t>
      </w:r>
      <w:r w:rsidRPr="00B44499" w:rsidR="009E0510">
        <w:rPr>
          <w:color w:val="auto"/>
        </w:rPr>
        <w:t>information collect</w:t>
      </w:r>
      <w:r w:rsidR="008268F5">
        <w:rPr>
          <w:color w:val="auto"/>
        </w:rPr>
        <w:t xml:space="preserve">ions </w:t>
      </w:r>
      <w:r w:rsidR="009E0510">
        <w:rPr>
          <w:color w:val="auto"/>
        </w:rPr>
        <w:t xml:space="preserve">in this </w:t>
      </w:r>
      <w:r w:rsidR="007A0A54">
        <w:rPr>
          <w:color w:val="auto"/>
        </w:rPr>
        <w:t>NPRM</w:t>
      </w:r>
      <w:r w:rsidR="008268F5">
        <w:rPr>
          <w:color w:val="auto"/>
        </w:rPr>
        <w:t>.</w:t>
      </w:r>
    </w:p>
    <w:p w:rsidR="005E0305" w:rsidP="000A7669" w14:paraId="7184D40C" w14:textId="284D0317">
      <w:pPr>
        <w:numPr>
          <w:ilvl w:val="12"/>
          <w:numId w:val="0"/>
        </w:numPr>
        <w:ind w:left="360"/>
        <w:rPr>
          <w:color w:val="auto"/>
        </w:rPr>
      </w:pPr>
    </w:p>
    <w:p w:rsidR="005F6974" w:rsidP="005E0305" w14:paraId="63DE31E1" w14:textId="5E6E76BC">
      <w:pPr>
        <w:numPr>
          <w:ilvl w:val="12"/>
          <w:numId w:val="0"/>
        </w:numPr>
        <w:ind w:left="360"/>
        <w:rPr>
          <w:rFonts w:cs="Times New Roman"/>
        </w:rPr>
      </w:pPr>
      <w:r w:rsidRPr="00A44E8A">
        <w:rPr>
          <w:rFonts w:cs="Times New Roman"/>
        </w:rPr>
        <w:t>All data is collected</w:t>
      </w:r>
      <w:r>
        <w:rPr>
          <w:rFonts w:cs="Times New Roman"/>
        </w:rPr>
        <w:t>,</w:t>
      </w:r>
      <w:r w:rsidRPr="00A44E8A">
        <w:rPr>
          <w:rFonts w:cs="Times New Roman"/>
        </w:rPr>
        <w:t xml:space="preserve"> stored</w:t>
      </w:r>
      <w:r>
        <w:rPr>
          <w:rFonts w:cs="Times New Roman"/>
        </w:rPr>
        <w:t>, scanned,</w:t>
      </w:r>
      <w:r w:rsidRPr="00A44E8A">
        <w:rPr>
          <w:rFonts w:cs="Times New Roman"/>
        </w:rPr>
        <w:t xml:space="preserve"> </w:t>
      </w:r>
      <w:r>
        <w:rPr>
          <w:rFonts w:cs="Times New Roman"/>
        </w:rPr>
        <w:t xml:space="preserve">and transmitted </w:t>
      </w:r>
      <w:r w:rsidRPr="00A44E8A">
        <w:rPr>
          <w:rFonts w:cs="Times New Roman"/>
        </w:rPr>
        <w:t>electronically</w:t>
      </w:r>
      <w:r>
        <w:rPr>
          <w:rFonts w:cs="Times New Roman"/>
        </w:rPr>
        <w:t xml:space="preserve"> by TSA</w:t>
      </w:r>
      <w:r w:rsidR="00C734AE">
        <w:rPr>
          <w:rFonts w:cs="Times New Roman"/>
        </w:rPr>
        <w:t xml:space="preserve"> or an authorized </w:t>
      </w:r>
      <w:r w:rsidR="007B395B">
        <w:rPr>
          <w:rFonts w:cs="Times New Roman"/>
        </w:rPr>
        <w:t>representative</w:t>
      </w:r>
      <w:r w:rsidR="00C734AE">
        <w:rPr>
          <w:rFonts w:cs="Times New Roman"/>
        </w:rPr>
        <w:t xml:space="preserve">. </w:t>
      </w:r>
      <w:r w:rsidRPr="00A44E8A">
        <w:rPr>
          <w:rFonts w:cs="Times New Roman"/>
        </w:rPr>
        <w:t xml:space="preserve"> </w:t>
      </w:r>
      <w:r w:rsidR="00C734AE">
        <w:rPr>
          <w:rFonts w:cs="Times New Roman"/>
        </w:rPr>
        <w:t xml:space="preserve">TSA or an TSA authorized </w:t>
      </w:r>
      <w:r>
        <w:rPr>
          <w:rFonts w:cs="Times New Roman"/>
        </w:rPr>
        <w:t>service provider</w:t>
      </w:r>
      <w:r w:rsidRPr="00A44E8A">
        <w:rPr>
          <w:rFonts w:cs="Times New Roman"/>
        </w:rPr>
        <w:t>, administer enrollment</w:t>
      </w:r>
      <w:r w:rsidR="00EB6A8B">
        <w:rPr>
          <w:rFonts w:cs="Times New Roman"/>
        </w:rPr>
        <w:t>s</w:t>
      </w:r>
      <w:r w:rsidRPr="00A44E8A">
        <w:rPr>
          <w:rFonts w:cs="Times New Roman"/>
        </w:rPr>
        <w:t>, which involves the creation of an electronic enrollment record.</w:t>
      </w:r>
      <w:r>
        <w:rPr>
          <w:rFonts w:cs="Times New Roman"/>
        </w:rPr>
        <w:t xml:space="preserve">  </w:t>
      </w:r>
      <w:r w:rsidR="00B434BE">
        <w:rPr>
          <w:rFonts w:cs="Times New Roman"/>
        </w:rPr>
        <w:t>While STA applicants must enroll initially in person</w:t>
      </w:r>
      <w:r w:rsidR="000445B8">
        <w:rPr>
          <w:rFonts w:cs="Times New Roman"/>
        </w:rPr>
        <w:t>,</w:t>
      </w:r>
      <w:r w:rsidR="00B434BE">
        <w:rPr>
          <w:rFonts w:cs="Times New Roman"/>
        </w:rPr>
        <w:t xml:space="preserve"> b</w:t>
      </w:r>
      <w:r>
        <w:rPr>
          <w:rFonts w:cs="Times New Roman"/>
        </w:rPr>
        <w:t>iometrics, including f</w:t>
      </w:r>
      <w:r w:rsidRPr="00A44E8A">
        <w:rPr>
          <w:rFonts w:cs="Times New Roman"/>
        </w:rPr>
        <w:t>ingerprints</w:t>
      </w:r>
      <w:r>
        <w:rPr>
          <w:rFonts w:cs="Times New Roman"/>
        </w:rPr>
        <w:t xml:space="preserve">, facial </w:t>
      </w:r>
      <w:r w:rsidRPr="00A44E8A">
        <w:rPr>
          <w:rFonts w:cs="Times New Roman"/>
        </w:rPr>
        <w:t>photograph</w:t>
      </w:r>
      <w:r>
        <w:rPr>
          <w:rFonts w:cs="Times New Roman"/>
        </w:rPr>
        <w:t>, and</w:t>
      </w:r>
      <w:r w:rsidR="00EB6A8B">
        <w:rPr>
          <w:rFonts w:cs="Times New Roman"/>
        </w:rPr>
        <w:t>/or</w:t>
      </w:r>
      <w:r>
        <w:rPr>
          <w:rFonts w:cs="Times New Roman"/>
        </w:rPr>
        <w:t xml:space="preserve"> iris scans</w:t>
      </w:r>
      <w:r w:rsidRPr="00A44E8A">
        <w:rPr>
          <w:rFonts w:cs="Times New Roman"/>
        </w:rPr>
        <w:t xml:space="preserve"> are captured electronically and are part of the enrollment record.  Proof-of-identity and immigration status documents are scanned and stored electronically</w:t>
      </w:r>
      <w:r>
        <w:rPr>
          <w:rFonts w:cs="Times New Roman"/>
        </w:rPr>
        <w:t xml:space="preserve">. </w:t>
      </w:r>
      <w:r w:rsidR="002E2667">
        <w:rPr>
          <w:rFonts w:cs="Times New Roman"/>
        </w:rPr>
        <w:t xml:space="preserve"> </w:t>
      </w:r>
      <w:r w:rsidRPr="00A44E8A">
        <w:rPr>
          <w:rFonts w:cs="Times New Roman"/>
        </w:rPr>
        <w:t xml:space="preserve">When all data has been collected, the enrollment record is transmitted to </w:t>
      </w:r>
      <w:r>
        <w:rPr>
          <w:rFonts w:cs="Times New Roman"/>
        </w:rPr>
        <w:t>TSA’s vetting and credentialing system for processing and secure</w:t>
      </w:r>
      <w:r w:rsidRPr="00A44E8A">
        <w:rPr>
          <w:rFonts w:cs="Times New Roman"/>
        </w:rPr>
        <w:t xml:space="preserve"> storing </w:t>
      </w:r>
      <w:r>
        <w:rPr>
          <w:rFonts w:cs="Times New Roman"/>
        </w:rPr>
        <w:t xml:space="preserve">of </w:t>
      </w:r>
      <w:r w:rsidRPr="00A44E8A">
        <w:rPr>
          <w:rFonts w:cs="Times New Roman"/>
        </w:rPr>
        <w:t>information.</w:t>
      </w:r>
    </w:p>
    <w:p w:rsidR="005F6974" w:rsidP="005E0305" w14:paraId="18623E0D" w14:textId="77777777">
      <w:pPr>
        <w:numPr>
          <w:ilvl w:val="12"/>
          <w:numId w:val="0"/>
        </w:numPr>
        <w:ind w:left="360"/>
        <w:rPr>
          <w:rFonts w:cs="Times New Roman"/>
        </w:rPr>
      </w:pPr>
    </w:p>
    <w:p w:rsidR="005F6974" w:rsidP="005E0305" w14:paraId="069CFE0B" w14:textId="60BF1BF0">
      <w:pPr>
        <w:numPr>
          <w:ilvl w:val="12"/>
          <w:numId w:val="0"/>
        </w:numPr>
        <w:ind w:left="360"/>
        <w:rPr>
          <w:rFonts w:cs="Times New Roman"/>
        </w:rPr>
      </w:pPr>
      <w:r w:rsidRPr="00F74505">
        <w:rPr>
          <w:rFonts w:cs="Times New Roman"/>
        </w:rPr>
        <w:t>TSA will offer</w:t>
      </w:r>
      <w:r w:rsidRPr="00F74505">
        <w:rPr>
          <w:rFonts w:cs="Times New Roman"/>
        </w:rPr>
        <w:t xml:space="preserve"> </w:t>
      </w:r>
      <w:r w:rsidRPr="00F74505" w:rsidR="005E0305">
        <w:rPr>
          <w:rFonts w:cs="Times New Roman"/>
        </w:rPr>
        <w:t>online renewals</w:t>
      </w:r>
      <w:r w:rsidRPr="00F74505">
        <w:rPr>
          <w:rFonts w:cs="Times New Roman"/>
        </w:rPr>
        <w:t xml:space="preserve"> and</w:t>
      </w:r>
      <w:r w:rsidRPr="00F74505" w:rsidR="0010044B">
        <w:rPr>
          <w:rFonts w:cs="Times New Roman"/>
        </w:rPr>
        <w:t xml:space="preserve"> as part of that process,</w:t>
      </w:r>
      <w:r w:rsidRPr="00F74505">
        <w:rPr>
          <w:rFonts w:cs="Times New Roman"/>
        </w:rPr>
        <w:t xml:space="preserve"> TSA or an authorized TSA service provider </w:t>
      </w:r>
      <w:r w:rsidRPr="00F74505" w:rsidR="005E0305">
        <w:rPr>
          <w:rFonts w:cs="Times New Roman"/>
        </w:rPr>
        <w:t xml:space="preserve">will create an enrollment record with biographic and </w:t>
      </w:r>
      <w:r w:rsidRPr="00F74505">
        <w:rPr>
          <w:rFonts w:cs="Times New Roman"/>
        </w:rPr>
        <w:t>STA</w:t>
      </w:r>
      <w:r w:rsidRPr="00F74505" w:rsidR="006D3604">
        <w:rPr>
          <w:rFonts w:cs="Times New Roman"/>
        </w:rPr>
        <w:t xml:space="preserve"> </w:t>
      </w:r>
      <w:r w:rsidRPr="00F74505" w:rsidR="005E0305">
        <w:rPr>
          <w:rFonts w:cs="Times New Roman"/>
        </w:rPr>
        <w:t>information provided by the applicant.</w:t>
      </w:r>
      <w:r w:rsidR="00B434BE">
        <w:rPr>
          <w:rFonts w:cs="Times New Roman"/>
        </w:rPr>
        <w:t xml:space="preserve"> </w:t>
      </w:r>
      <w:r w:rsidR="002E2667">
        <w:rPr>
          <w:rFonts w:cs="Times New Roman"/>
        </w:rPr>
        <w:t xml:space="preserve"> </w:t>
      </w:r>
      <w:r w:rsidR="00B434BE">
        <w:rPr>
          <w:rFonts w:cs="Times New Roman"/>
        </w:rPr>
        <w:t xml:space="preserve">For </w:t>
      </w:r>
      <w:r w:rsidR="009B4059">
        <w:rPr>
          <w:rFonts w:cs="Times New Roman"/>
        </w:rPr>
        <w:t xml:space="preserve">recordkeeping requirements, </w:t>
      </w:r>
      <w:r w:rsidRPr="009B4059" w:rsidR="009B4059">
        <w:rPr>
          <w:rFonts w:cs="Times New Roman"/>
        </w:rPr>
        <w:t>TSA does not propose to require recordkeeping in a particular format (e.g., electronic database or paper files); rather, each owner/operator may choose the most cost-effective method for maintaining records</w:t>
      </w:r>
      <w:r w:rsidR="00B434BE">
        <w:rPr>
          <w:rFonts w:cs="Times New Roman"/>
        </w:rPr>
        <w:t>, which includes electronically</w:t>
      </w:r>
      <w:r w:rsidRPr="009B4059" w:rsidR="009B4059">
        <w:rPr>
          <w:rFonts w:cs="Times New Roman"/>
        </w:rPr>
        <w:t>.</w:t>
      </w:r>
    </w:p>
    <w:p w:rsidR="005F6974" w:rsidP="005E0305" w14:paraId="798F2E80" w14:textId="690DC310">
      <w:pPr>
        <w:numPr>
          <w:ilvl w:val="12"/>
          <w:numId w:val="0"/>
        </w:numPr>
        <w:ind w:left="360"/>
        <w:rPr>
          <w:rFonts w:cs="Times New Roman"/>
        </w:rPr>
      </w:pPr>
    </w:p>
    <w:p w:rsidR="009B4059" w:rsidP="005E0305" w14:paraId="50012EED" w14:textId="2C1703C0">
      <w:pPr>
        <w:numPr>
          <w:ilvl w:val="12"/>
          <w:numId w:val="0"/>
        </w:numPr>
        <w:ind w:left="360"/>
        <w:rPr>
          <w:rFonts w:cs="Times New Roman"/>
        </w:rPr>
      </w:pPr>
      <w:r>
        <w:rPr>
          <w:rFonts w:cs="Times New Roman"/>
        </w:rPr>
        <w:t>For the Appeals/Waivers, Disqualifying Events, and Updated Contact Information, respondents will submit the required information electronically.</w:t>
      </w:r>
    </w:p>
    <w:p w:rsidR="009B4059" w:rsidP="005E0305" w14:paraId="2A1C1470" w14:textId="77777777">
      <w:pPr>
        <w:numPr>
          <w:ilvl w:val="12"/>
          <w:numId w:val="0"/>
        </w:numPr>
        <w:ind w:left="360"/>
        <w:rPr>
          <w:rFonts w:cs="Times New Roman"/>
        </w:rPr>
      </w:pPr>
    </w:p>
    <w:p w:rsidR="005E0305" w:rsidRPr="00A44E8A" w:rsidP="005E0305" w14:paraId="27C04F1F" w14:textId="7EA7C63D">
      <w:pPr>
        <w:numPr>
          <w:ilvl w:val="12"/>
          <w:numId w:val="0"/>
        </w:numPr>
        <w:ind w:left="360"/>
        <w:rPr>
          <w:rFonts w:cs="Times New Roman"/>
        </w:rPr>
      </w:pPr>
      <w:r>
        <w:t>For the optional survey, respondents</w:t>
      </w:r>
      <w:r w:rsidR="0010044B">
        <w:t xml:space="preserve"> </w:t>
      </w:r>
      <w:r>
        <w:t>can</w:t>
      </w:r>
      <w:r w:rsidR="0010044B">
        <w:t xml:space="preserve"> complete and submit a survey about their STA experience by following the link at the end of their enrollment or online renewal.</w:t>
      </w:r>
    </w:p>
    <w:p w:rsidR="002C01C7" w:rsidRPr="00377213" w:rsidP="000A7669" w14:paraId="036F5AA4" w14:textId="77777777">
      <w:pPr>
        <w:numPr>
          <w:ilvl w:val="12"/>
          <w:numId w:val="0"/>
        </w:numPr>
        <w:ind w:left="360"/>
        <w:rPr>
          <w:color w:val="FF0000"/>
        </w:rPr>
      </w:pPr>
    </w:p>
    <w:p w:rsidR="00320387" w:rsidP="000A7669" w14:paraId="63D9991B" w14:textId="77777777">
      <w:pPr>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r w:rsidR="00B44F52">
        <w:t xml:space="preserve"> </w:t>
      </w:r>
    </w:p>
    <w:p w:rsidR="00320387" w:rsidP="000A7669" w14:paraId="2DD38789" w14:textId="77777777">
      <w:pPr>
        <w:numPr>
          <w:ilvl w:val="12"/>
          <w:numId w:val="0"/>
        </w:numPr>
        <w:ind w:left="360"/>
      </w:pPr>
    </w:p>
    <w:p w:rsidR="004E419D" w:rsidP="000A7669" w14:paraId="6DAF30A1" w14:textId="510AA02A">
      <w:pPr>
        <w:numPr>
          <w:ilvl w:val="12"/>
          <w:numId w:val="0"/>
        </w:numPr>
        <w:ind w:left="360"/>
        <w:rPr>
          <w:color w:val="auto"/>
        </w:rPr>
      </w:pPr>
      <w:r w:rsidRPr="00A65CA3">
        <w:rPr>
          <w:color w:val="auto"/>
        </w:rPr>
        <w:t xml:space="preserve">TSA is aware that other Federal agencies conduct regulatory vetting programs that may affect individuals who are covered by the vetting programs in this proposed rule. </w:t>
      </w:r>
      <w:r w:rsidR="002E2667">
        <w:rPr>
          <w:color w:val="auto"/>
        </w:rPr>
        <w:t xml:space="preserve"> </w:t>
      </w:r>
      <w:r w:rsidRPr="00A65CA3">
        <w:rPr>
          <w:color w:val="auto"/>
        </w:rPr>
        <w:t xml:space="preserve">TSA has addressed potential overlaps in three ways. </w:t>
      </w:r>
      <w:r w:rsidR="000A0CFB">
        <w:rPr>
          <w:color w:val="auto"/>
        </w:rPr>
        <w:t xml:space="preserve"> </w:t>
      </w:r>
      <w:r w:rsidRPr="00A65CA3">
        <w:rPr>
          <w:color w:val="auto"/>
        </w:rPr>
        <w:t xml:space="preserve">First, the design of this proposed rule is to achieve comparability among vetting programs when possible, given statutory constraints. </w:t>
      </w:r>
      <w:r w:rsidR="000A0CFB">
        <w:rPr>
          <w:color w:val="auto"/>
        </w:rPr>
        <w:t xml:space="preserve"> </w:t>
      </w:r>
      <w:r w:rsidRPr="00A65CA3">
        <w:rPr>
          <w:color w:val="auto"/>
        </w:rPr>
        <w:t xml:space="preserve">This systematic way of handling duplication or overlap of vetting requirements is explained thoroughly in the discussion of § 1530.509 in the preamble. </w:t>
      </w:r>
      <w:r w:rsidR="000A0CFB">
        <w:rPr>
          <w:color w:val="auto"/>
        </w:rPr>
        <w:t xml:space="preserve"> </w:t>
      </w:r>
      <w:r w:rsidRPr="00A65CA3">
        <w:rPr>
          <w:color w:val="auto"/>
        </w:rPr>
        <w:t xml:space="preserve">Second, TSA has specifically proposed to create comparability with similar vetting done by other Federal agencies, thereby avoiding duplication and overlap (see § 1530.509 in the preamble). </w:t>
      </w:r>
      <w:r w:rsidR="000A0CFB">
        <w:rPr>
          <w:color w:val="auto"/>
        </w:rPr>
        <w:t xml:space="preserve"> </w:t>
      </w:r>
      <w:r w:rsidRPr="00A65CA3">
        <w:rPr>
          <w:color w:val="auto"/>
        </w:rPr>
        <w:t xml:space="preserve">For example, the proposed rule specifically establishes that certain vetting done by U.S. Customs and Border Protection for its Trusted Traveler programs are comparable with (i.e., may be substituted for) TSA STAs. </w:t>
      </w:r>
      <w:r w:rsidR="000A0CFB">
        <w:rPr>
          <w:color w:val="auto"/>
        </w:rPr>
        <w:t xml:space="preserve"> </w:t>
      </w:r>
      <w:r w:rsidRPr="00A65CA3">
        <w:rPr>
          <w:color w:val="auto"/>
        </w:rPr>
        <w:t>Finally, to the extent there are duplicative vetting requirements of which TSA is currently unaware, the proposed rule includes a procedure for requesting a comparability determination from TSA (see proposed §§ 1524.515(e) and (f) in the preamble).</w:t>
      </w:r>
    </w:p>
    <w:p w:rsidR="00F74505" w:rsidP="000A7669" w14:paraId="5A554BFB" w14:textId="77777777">
      <w:pPr>
        <w:numPr>
          <w:ilvl w:val="12"/>
          <w:numId w:val="0"/>
        </w:numPr>
        <w:ind w:left="360"/>
      </w:pPr>
    </w:p>
    <w:p w:rsidR="00320387" w:rsidP="000A7669" w14:paraId="093833B9" w14:textId="77777777">
      <w:pPr>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r w:rsidR="00D87515">
        <w:t xml:space="preserve"> </w:t>
      </w:r>
    </w:p>
    <w:p w:rsidR="00320387" w:rsidP="000A7669" w14:paraId="4C24EDB0" w14:textId="77777777">
      <w:pPr>
        <w:numPr>
          <w:ilvl w:val="12"/>
          <w:numId w:val="0"/>
        </w:numPr>
        <w:ind w:left="360"/>
      </w:pPr>
    </w:p>
    <w:p w:rsidR="00217008" w:rsidRPr="00660973" w:rsidP="00E5491F" w14:paraId="6E832980" w14:textId="5862DF40">
      <w:pPr>
        <w:numPr>
          <w:ilvl w:val="12"/>
          <w:numId w:val="0"/>
        </w:numPr>
        <w:ind w:left="360"/>
        <w:rPr>
          <w:color w:val="auto"/>
        </w:rPr>
      </w:pPr>
      <w:r>
        <w:t>This collection does not have a significant impact on a substantial number of small business</w:t>
      </w:r>
      <w:r w:rsidR="00D0366F">
        <w:t>es</w:t>
      </w:r>
      <w:r>
        <w:t xml:space="preserve"> or other small entities</w:t>
      </w:r>
      <w:r w:rsidR="00257F0F">
        <w:t>.</w:t>
      </w:r>
    </w:p>
    <w:p w:rsidR="00AD2293" w:rsidRPr="00AD2293" w:rsidP="000A7669" w14:paraId="4AB5BD87" w14:textId="77777777">
      <w:pPr>
        <w:ind w:left="720"/>
        <w:rPr>
          <w:color w:val="auto"/>
        </w:rPr>
      </w:pPr>
    </w:p>
    <w:p w:rsidR="00320387" w:rsidP="000A7669" w14:paraId="3934BCFC" w14:textId="77777777">
      <w:pPr>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320387" w:rsidP="000A7669" w14:paraId="3742DA53" w14:textId="77777777">
      <w:pPr>
        <w:numPr>
          <w:ilvl w:val="12"/>
          <w:numId w:val="0"/>
        </w:numPr>
        <w:ind w:left="360"/>
      </w:pPr>
    </w:p>
    <w:p w:rsidR="00503555" w:rsidP="000A7669" w14:paraId="1A3FBE95" w14:textId="1BD23B2B">
      <w:pPr>
        <w:numPr>
          <w:ilvl w:val="12"/>
          <w:numId w:val="0"/>
        </w:numPr>
        <w:ind w:left="360"/>
        <w:rPr>
          <w:color w:val="C00000"/>
        </w:rPr>
      </w:pPr>
      <w:r w:rsidRPr="00074D78">
        <w:rPr>
          <w:color w:val="auto"/>
        </w:rPr>
        <w:t xml:space="preserve">If the information is not collected in the manner </w:t>
      </w:r>
      <w:r w:rsidR="00C671DC">
        <w:rPr>
          <w:color w:val="auto"/>
        </w:rPr>
        <w:t>prescribed</w:t>
      </w:r>
      <w:r w:rsidRPr="00074D78" w:rsidR="00C671DC">
        <w:rPr>
          <w:color w:val="auto"/>
        </w:rPr>
        <w:t xml:space="preserve"> </w:t>
      </w:r>
      <w:r w:rsidRPr="00074D78">
        <w:rPr>
          <w:color w:val="auto"/>
        </w:rPr>
        <w:t xml:space="preserve">by </w:t>
      </w:r>
      <w:r w:rsidR="005F3C6A">
        <w:rPr>
          <w:color w:val="auto"/>
        </w:rPr>
        <w:t>th</w:t>
      </w:r>
      <w:r w:rsidR="00340A51">
        <w:rPr>
          <w:color w:val="auto"/>
        </w:rPr>
        <w:t xml:space="preserve">e </w:t>
      </w:r>
      <w:r w:rsidR="007A0A54">
        <w:rPr>
          <w:color w:val="auto"/>
        </w:rPr>
        <w:t>NPRM</w:t>
      </w:r>
      <w:r w:rsidRPr="00074D78">
        <w:rPr>
          <w:color w:val="auto"/>
        </w:rPr>
        <w:t xml:space="preserve">, TSA </w:t>
      </w:r>
      <w:r w:rsidR="00E026CB">
        <w:rPr>
          <w:color w:val="auto"/>
        </w:rPr>
        <w:t>would</w:t>
      </w:r>
      <w:r w:rsidRPr="00074D78">
        <w:rPr>
          <w:color w:val="auto"/>
        </w:rPr>
        <w:t xml:space="preserve"> not be able to achieve the congressionally mandated requirement</w:t>
      </w:r>
      <w:r w:rsidR="008A6758">
        <w:rPr>
          <w:color w:val="auto"/>
        </w:rPr>
        <w:t>s</w:t>
      </w:r>
      <w:r w:rsidRPr="00074D78">
        <w:rPr>
          <w:color w:val="auto"/>
        </w:rPr>
        <w:t xml:space="preserve"> set forth in the 9/11 Act</w:t>
      </w:r>
      <w:r w:rsidR="00E66551">
        <w:rPr>
          <w:color w:val="auto"/>
        </w:rPr>
        <w:t>.</w:t>
      </w:r>
      <w:r w:rsidR="00B40CD1">
        <w:rPr>
          <w:color w:val="auto"/>
        </w:rPr>
        <w:t xml:space="preserve">  </w:t>
      </w:r>
      <w:r w:rsidR="007E6EA3">
        <w:rPr>
          <w:color w:val="auto"/>
        </w:rPr>
        <w:t xml:space="preserve">Lack of this information </w:t>
      </w:r>
      <w:r w:rsidR="00E026CB">
        <w:rPr>
          <w:color w:val="auto"/>
        </w:rPr>
        <w:t>would</w:t>
      </w:r>
      <w:r w:rsidR="007E6EA3">
        <w:rPr>
          <w:color w:val="auto"/>
        </w:rPr>
        <w:t xml:space="preserve"> hinder </w:t>
      </w:r>
      <w:r w:rsidR="00C648B9">
        <w:rPr>
          <w:color w:val="auto"/>
        </w:rPr>
        <w:t xml:space="preserve">TSA’s </w:t>
      </w:r>
      <w:r w:rsidR="007E6EA3">
        <w:rPr>
          <w:color w:val="auto"/>
        </w:rPr>
        <w:t xml:space="preserve">responsibility to </w:t>
      </w:r>
      <w:r w:rsidR="00D73375">
        <w:rPr>
          <w:color w:val="auto"/>
        </w:rPr>
        <w:t xml:space="preserve">conduct security background checks on </w:t>
      </w:r>
      <w:r w:rsidR="00ED42E0">
        <w:rPr>
          <w:color w:val="auto"/>
        </w:rPr>
        <w:t>SSEs</w:t>
      </w:r>
      <w:r w:rsidR="00D73375">
        <w:rPr>
          <w:color w:val="auto"/>
        </w:rPr>
        <w:t xml:space="preserve"> and </w:t>
      </w:r>
      <w:r w:rsidR="00ED42E0">
        <w:rPr>
          <w:color w:val="auto"/>
        </w:rPr>
        <w:t xml:space="preserve">SCs </w:t>
      </w:r>
      <w:r>
        <w:rPr>
          <w:color w:val="auto"/>
        </w:rPr>
        <w:t xml:space="preserve">to protect the traveling public and secure the Nation’s </w:t>
      </w:r>
      <w:r w:rsidR="0091128B">
        <w:rPr>
          <w:color w:val="auto"/>
        </w:rPr>
        <w:t xml:space="preserve">surface </w:t>
      </w:r>
      <w:r>
        <w:rPr>
          <w:color w:val="auto"/>
        </w:rPr>
        <w:t>transportation system</w:t>
      </w:r>
      <w:r w:rsidRPr="00074D78">
        <w:rPr>
          <w:color w:val="auto"/>
        </w:rPr>
        <w:t>.</w:t>
      </w:r>
    </w:p>
    <w:p w:rsidR="00FD1F84" w:rsidP="000A7669" w14:paraId="095B851A" w14:textId="77777777">
      <w:pPr>
        <w:numPr>
          <w:ilvl w:val="12"/>
          <w:numId w:val="0"/>
        </w:numPr>
      </w:pPr>
    </w:p>
    <w:p w:rsidR="00320387" w:rsidP="000A7669" w14:paraId="170DEF18" w14:textId="77777777">
      <w:pPr>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320387" w:rsidP="000A7669" w14:paraId="0C9A2B7C" w14:textId="77777777">
      <w:pPr>
        <w:numPr>
          <w:ilvl w:val="12"/>
          <w:numId w:val="0"/>
        </w:numPr>
        <w:ind w:left="360"/>
      </w:pPr>
    </w:p>
    <w:p w:rsidR="0002789E" w:rsidP="000A7669" w14:paraId="1182FDA1" w14:textId="3EE8DA97">
      <w:pPr>
        <w:numPr>
          <w:ilvl w:val="12"/>
          <w:numId w:val="0"/>
        </w:numPr>
        <w:ind w:left="360"/>
        <w:rPr>
          <w:rStyle w:val="enumxml1"/>
          <w:rFonts w:cs="Times New Roman"/>
          <w:b w:val="0"/>
          <w:color w:val="333333"/>
          <w:szCs w:val="24"/>
          <w:lang w:val="en"/>
        </w:rPr>
      </w:pPr>
      <w:r>
        <w:t xml:space="preserve">Based on the reasons discussed above, the purposes of this information collection would not be met if </w:t>
      </w:r>
      <w:r w:rsidR="001E4F86">
        <w:t xml:space="preserve">collection </w:t>
      </w:r>
      <w:r>
        <w:t xml:space="preserve">is </w:t>
      </w:r>
      <w:r>
        <w:t xml:space="preserve">conducted in a manner </w:t>
      </w:r>
      <w:r>
        <w:t>c</w:t>
      </w:r>
      <w:r>
        <w:t xml:space="preserve">onsistent with the general information collection guidelines </w:t>
      </w:r>
      <w:r w:rsidRPr="001E4F86" w:rsidR="001E4F86">
        <w:t>of</w:t>
      </w:r>
      <w:r w:rsidR="001E4F86">
        <w:t xml:space="preserve"> </w:t>
      </w:r>
      <w:r w:rsidR="0049248A">
        <w:rPr>
          <w:szCs w:val="24"/>
        </w:rPr>
        <w:t>5 CFR 1320.5(d)(2)(i</w:t>
      </w:r>
      <w:r w:rsidR="001E4F86">
        <w:rPr>
          <w:szCs w:val="24"/>
        </w:rPr>
        <w:t>)</w:t>
      </w:r>
      <w:r w:rsidR="00203934">
        <w:rPr>
          <w:szCs w:val="24"/>
        </w:rPr>
        <w:t xml:space="preserve"> </w:t>
      </w:r>
      <w:r w:rsidR="001E4F86">
        <w:rPr>
          <w:szCs w:val="24"/>
        </w:rPr>
        <w:t xml:space="preserve">and </w:t>
      </w:r>
      <w:r w:rsidRPr="001E4F86" w:rsidR="001E4F86">
        <w:rPr>
          <w:szCs w:val="24"/>
        </w:rPr>
        <w:t xml:space="preserve">5 CFR </w:t>
      </w:r>
      <w:r w:rsidRPr="007B2144" w:rsidR="001E4F86">
        <w:rPr>
          <w:rFonts w:cs="Times New Roman"/>
          <w:szCs w:val="24"/>
        </w:rPr>
        <w:t>1320.5(d)(2)</w:t>
      </w:r>
      <w:r w:rsidRPr="007B2144" w:rsidR="001E4F86">
        <w:rPr>
          <w:rStyle w:val="enumxml1"/>
          <w:rFonts w:cs="Times New Roman"/>
          <w:b w:val="0"/>
          <w:color w:val="333333"/>
          <w:szCs w:val="24"/>
          <w:lang w:val="en"/>
        </w:rPr>
        <w:t>(iv)</w:t>
      </w:r>
      <w:r w:rsidR="00203934">
        <w:rPr>
          <w:rStyle w:val="enumxml1"/>
          <w:rFonts w:cs="Times New Roman"/>
          <w:b w:val="0"/>
          <w:color w:val="333333"/>
          <w:szCs w:val="24"/>
          <w:lang w:val="en"/>
        </w:rPr>
        <w:t>.</w:t>
      </w:r>
    </w:p>
    <w:p w:rsidR="00851ED0" w:rsidP="000A7669" w14:paraId="5A96610B" w14:textId="23E2D46C">
      <w:pPr>
        <w:numPr>
          <w:ilvl w:val="12"/>
          <w:numId w:val="0"/>
        </w:numPr>
        <w:ind w:left="360"/>
        <w:rPr>
          <w:rStyle w:val="enumxml1"/>
          <w:rFonts w:cs="Times New Roman"/>
          <w:b w:val="0"/>
          <w:color w:val="333333"/>
          <w:szCs w:val="24"/>
          <w:lang w:val="en"/>
        </w:rPr>
      </w:pPr>
    </w:p>
    <w:p w:rsidR="00CA7125" w:rsidRPr="00CA7125" w:rsidP="00CA7125" w14:paraId="084E8F88" w14:textId="1AD58B95">
      <w:pPr>
        <w:numPr>
          <w:ilvl w:val="12"/>
          <w:numId w:val="0"/>
        </w:numPr>
        <w:ind w:left="360"/>
        <w:rPr>
          <w:szCs w:val="24"/>
        </w:rPr>
      </w:pPr>
      <w:r w:rsidRPr="00CA7125">
        <w:rPr>
          <w:szCs w:val="24"/>
        </w:rPr>
        <w:t xml:space="preserve">5 CFR 1320.5(d)(2)(i) </w:t>
      </w:r>
      <w:r w:rsidR="008A6758">
        <w:rPr>
          <w:szCs w:val="24"/>
        </w:rPr>
        <w:t xml:space="preserve">(requiring </w:t>
      </w:r>
      <w:r w:rsidRPr="00CA7125">
        <w:rPr>
          <w:szCs w:val="24"/>
        </w:rPr>
        <w:t>respondents to report information to the agency more often than quarterly</w:t>
      </w:r>
      <w:r w:rsidR="008A6758">
        <w:rPr>
          <w:szCs w:val="24"/>
        </w:rPr>
        <w:t>):</w:t>
      </w:r>
      <w:r w:rsidRPr="00CA7125">
        <w:rPr>
          <w:szCs w:val="24"/>
        </w:rPr>
        <w:t xml:space="preserve"> Quarterly reporting would not meet the security needs that is the basis for this information collection.  </w:t>
      </w:r>
      <w:r w:rsidR="0052402B">
        <w:rPr>
          <w:szCs w:val="24"/>
        </w:rPr>
        <w:t xml:space="preserve">For example, an STA applicant is required to report within 24 hours of occurrence, an indictment, conviction, or finding of not guilty by reason of insanity, or a disqualifying crime.  </w:t>
      </w:r>
      <w:r w:rsidR="009F1862">
        <w:rPr>
          <w:szCs w:val="24"/>
        </w:rPr>
        <w:t>In addition, an STA applicant must provide any change in immigration status that results in loss of lawful presence in the United States.</w:t>
      </w:r>
    </w:p>
    <w:p w:rsidR="00CA7125" w:rsidRPr="00CA7125" w:rsidP="00CA7125" w14:paraId="48E4F79F" w14:textId="77777777">
      <w:pPr>
        <w:numPr>
          <w:ilvl w:val="12"/>
          <w:numId w:val="0"/>
        </w:numPr>
        <w:ind w:left="360"/>
        <w:rPr>
          <w:szCs w:val="24"/>
        </w:rPr>
      </w:pPr>
      <w:r w:rsidRPr="00CA7125">
        <w:rPr>
          <w:szCs w:val="24"/>
        </w:rPr>
        <w:tab/>
      </w:r>
    </w:p>
    <w:p w:rsidR="0002789E" w:rsidP="000A7669" w14:paraId="6948CB33" w14:textId="0BA24067">
      <w:pPr>
        <w:numPr>
          <w:ilvl w:val="12"/>
          <w:numId w:val="0"/>
        </w:numPr>
        <w:ind w:left="360"/>
      </w:pPr>
      <w:r w:rsidRPr="00CA7125">
        <w:rPr>
          <w:szCs w:val="24"/>
        </w:rPr>
        <w:t>5 CFR 1320.5(d)(2)(iv)</w:t>
      </w:r>
      <w:r w:rsidR="008A6758">
        <w:rPr>
          <w:szCs w:val="24"/>
        </w:rPr>
        <w:t>(</w:t>
      </w:r>
      <w:r w:rsidRPr="00CA7125">
        <w:rPr>
          <w:szCs w:val="24"/>
        </w:rPr>
        <w:t>requir</w:t>
      </w:r>
      <w:r w:rsidR="008A6758">
        <w:rPr>
          <w:szCs w:val="24"/>
        </w:rPr>
        <w:t>ing</w:t>
      </w:r>
      <w:r w:rsidRPr="00CA7125">
        <w:rPr>
          <w:szCs w:val="24"/>
        </w:rPr>
        <w:t xml:space="preserve"> respondents to retain records for more than </w:t>
      </w:r>
      <w:r w:rsidR="007153D7">
        <w:rPr>
          <w:szCs w:val="24"/>
        </w:rPr>
        <w:t>3</w:t>
      </w:r>
      <w:r w:rsidRPr="00CA7125" w:rsidR="007153D7">
        <w:rPr>
          <w:szCs w:val="24"/>
        </w:rPr>
        <w:t xml:space="preserve"> </w:t>
      </w:r>
      <w:r w:rsidRPr="00CA7125">
        <w:rPr>
          <w:szCs w:val="24"/>
        </w:rPr>
        <w:t>years</w:t>
      </w:r>
      <w:r w:rsidR="008A6758">
        <w:rPr>
          <w:szCs w:val="24"/>
        </w:rPr>
        <w:t>)</w:t>
      </w:r>
      <w:r w:rsidRPr="00CA7125">
        <w:rPr>
          <w:szCs w:val="24"/>
        </w:rPr>
        <w:t xml:space="preserve">.  For this information collection, </w:t>
      </w:r>
      <w:r w:rsidR="00701791">
        <w:rPr>
          <w:szCs w:val="24"/>
        </w:rPr>
        <w:t>r</w:t>
      </w:r>
      <w:r w:rsidRPr="00CA7125">
        <w:rPr>
          <w:szCs w:val="24"/>
        </w:rPr>
        <w:t xml:space="preserve">ecords are retained for </w:t>
      </w:r>
      <w:r w:rsidR="007153D7">
        <w:rPr>
          <w:szCs w:val="24"/>
        </w:rPr>
        <w:t>5</w:t>
      </w:r>
      <w:r w:rsidRPr="00CA7125" w:rsidR="007153D7">
        <w:rPr>
          <w:szCs w:val="24"/>
        </w:rPr>
        <w:t xml:space="preserve"> </w:t>
      </w:r>
      <w:r w:rsidRPr="00CA7125">
        <w:rPr>
          <w:szCs w:val="24"/>
        </w:rPr>
        <w:t>years.</w:t>
      </w:r>
    </w:p>
    <w:p w:rsidR="005107C6" w:rsidP="000A7669" w14:paraId="7E726AF2" w14:textId="77777777">
      <w:pPr>
        <w:numPr>
          <w:ilvl w:val="12"/>
          <w:numId w:val="0"/>
        </w:numPr>
        <w:ind w:left="360"/>
      </w:pPr>
    </w:p>
    <w:p w:rsidR="00320387" w:rsidP="000A7669" w14:paraId="067DCD77" w14:textId="77777777">
      <w:pPr>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C0E74" w:rsidP="000A7669" w14:paraId="4721E18A" w14:textId="77777777">
      <w:pPr>
        <w:numPr>
          <w:ilvl w:val="12"/>
          <w:numId w:val="0"/>
        </w:numPr>
        <w:ind w:left="360"/>
      </w:pPr>
    </w:p>
    <w:p w:rsidR="00675969" w:rsidRPr="00675969" w:rsidP="00675969" w14:paraId="349998EB" w14:textId="77777777">
      <w:pPr>
        <w:numPr>
          <w:ilvl w:val="12"/>
          <w:numId w:val="0"/>
        </w:numPr>
        <w:ind w:left="360"/>
        <w:rPr>
          <w:i/>
        </w:rPr>
      </w:pPr>
      <w:r>
        <w:t>Through publication of this NPRM, TSA is soliciting comments on the information collection requirements described in the proposed rule</w:t>
      </w:r>
      <w:r>
        <w:t xml:space="preserve">, </w:t>
      </w:r>
      <w:r w:rsidRPr="00675969">
        <w:rPr>
          <w:i/>
        </w:rPr>
        <w:t xml:space="preserve">Vetting of Certain Surface </w:t>
      </w:r>
    </w:p>
    <w:p w:rsidR="00604E5D" w:rsidRPr="00855FFC" w:rsidP="00675969" w14:paraId="6732A995" w14:textId="409019AA">
      <w:pPr>
        <w:numPr>
          <w:ilvl w:val="12"/>
          <w:numId w:val="0"/>
        </w:numPr>
        <w:ind w:left="360"/>
        <w:rPr>
          <w:color w:val="FF0000"/>
        </w:rPr>
      </w:pPr>
      <w:r w:rsidRPr="00675969">
        <w:rPr>
          <w:i/>
        </w:rPr>
        <w:t>Transportation Employees</w:t>
      </w:r>
      <w:r w:rsidR="008A73E5">
        <w:t>.</w:t>
      </w:r>
      <w:r w:rsidR="009F7A59">
        <w:t xml:space="preserve">  </w:t>
      </w:r>
      <w:r w:rsidRPr="002D57AA" w:rsidR="009F7A59">
        <w:rPr>
          <w:i/>
        </w:rPr>
        <w:t>See</w:t>
      </w:r>
      <w:r w:rsidR="009F7A59">
        <w:t xml:space="preserve"> 8</w:t>
      </w:r>
      <w:r w:rsidR="009F7A59">
        <w:t>8 FR 33472</w:t>
      </w:r>
      <w:r w:rsidR="009F7A59">
        <w:t xml:space="preserve"> (</w:t>
      </w:r>
      <w:r w:rsidR="009F7A59">
        <w:t>May 23, 2023</w:t>
      </w:r>
      <w:r w:rsidR="009F7A59">
        <w:t>)</w:t>
      </w:r>
      <w:r>
        <w:t>, RIN: 1652-AA69</w:t>
      </w:r>
      <w:r w:rsidR="009F7A59">
        <w:t xml:space="preserve">.  </w:t>
      </w:r>
      <w:r w:rsidR="009F7A59">
        <w:t xml:space="preserve"> </w:t>
      </w:r>
    </w:p>
    <w:p w:rsidR="005C6BA8" w:rsidRPr="003A67B0" w:rsidP="000A7669" w14:paraId="1DA0A7F3" w14:textId="77777777"/>
    <w:p w:rsidR="00320387" w:rsidP="000A7669" w14:paraId="3757E18E" w14:textId="77777777">
      <w:pPr>
        <w:numPr>
          <w:ilvl w:val="0"/>
          <w:numId w:val="1"/>
        </w:numPr>
        <w:tabs>
          <w:tab w:val="left" w:pos="360"/>
        </w:tabs>
        <w:rPr>
          <w:b/>
          <w:i/>
        </w:rPr>
      </w:pPr>
      <w:r>
        <w:rPr>
          <w:b/>
          <w:i/>
        </w:rPr>
        <w:t>Explain any decision to provide any payment or gift to respondents, other than remuneration of contractors or grantees.</w:t>
      </w:r>
      <w:bookmarkStart w:id="1" w:name="_GoBack"/>
    </w:p>
    <w:bookmarkEnd w:id="1"/>
    <w:p w:rsidR="00320387" w:rsidP="000A7669" w14:paraId="4174DAFA" w14:textId="77777777">
      <w:pPr>
        <w:numPr>
          <w:ilvl w:val="12"/>
          <w:numId w:val="0"/>
        </w:numPr>
        <w:ind w:left="360"/>
      </w:pPr>
    </w:p>
    <w:p w:rsidR="00320387" w:rsidP="000A7669" w14:paraId="3B019338" w14:textId="31E41B75">
      <w:pPr>
        <w:numPr>
          <w:ilvl w:val="12"/>
          <w:numId w:val="0"/>
        </w:numPr>
        <w:ind w:left="360"/>
      </w:pPr>
      <w:r>
        <w:t xml:space="preserve">TSA </w:t>
      </w:r>
      <w:r w:rsidR="00E026CB">
        <w:t>would</w:t>
      </w:r>
      <w:r>
        <w:t xml:space="preserve"> not provide any payment or gift to </w:t>
      </w:r>
      <w:r w:rsidR="00007621">
        <w:t>respondents</w:t>
      </w:r>
      <w:r>
        <w:t>.</w:t>
      </w:r>
    </w:p>
    <w:p w:rsidR="00414D08" w:rsidP="000A7669" w14:paraId="4679A27C" w14:textId="77777777">
      <w:pPr>
        <w:numPr>
          <w:ilvl w:val="12"/>
          <w:numId w:val="0"/>
        </w:numPr>
      </w:pPr>
    </w:p>
    <w:p w:rsidR="00320387" w:rsidP="000A7669" w14:paraId="435B5267" w14:textId="77777777">
      <w:pPr>
        <w:numPr>
          <w:ilvl w:val="0"/>
          <w:numId w:val="1"/>
        </w:numPr>
        <w:tabs>
          <w:tab w:val="left" w:pos="360"/>
        </w:tabs>
        <w:rPr>
          <w:b/>
          <w:i/>
        </w:rPr>
      </w:pPr>
      <w:r>
        <w:rPr>
          <w:b/>
          <w:i/>
        </w:rPr>
        <w:t>Describe any assurance of confidentiality provided to respondents and the basis for the assurance in statute, regulation, or agency policy.</w:t>
      </w:r>
    </w:p>
    <w:p w:rsidR="00320387" w:rsidP="000A7669" w14:paraId="21750DB7" w14:textId="77777777">
      <w:pPr>
        <w:numPr>
          <w:ilvl w:val="12"/>
          <w:numId w:val="0"/>
        </w:numPr>
        <w:ind w:left="360"/>
      </w:pPr>
    </w:p>
    <w:p w:rsidR="00B51E93" w:rsidP="00E5491F" w14:paraId="749A5CDE" w14:textId="6E1A19C8">
      <w:pPr>
        <w:tabs>
          <w:tab w:val="left" w:pos="630"/>
          <w:tab w:val="center" w:pos="4680"/>
          <w:tab w:val="left" w:pos="5040"/>
          <w:tab w:val="left" w:pos="5760"/>
          <w:tab w:val="left" w:pos="6480"/>
          <w:tab w:val="left" w:pos="7200"/>
          <w:tab w:val="left" w:pos="7920"/>
          <w:tab w:val="left" w:pos="8640"/>
          <w:tab w:val="left" w:pos="9360"/>
        </w:tabs>
        <w:ind w:left="360"/>
      </w:pPr>
      <w:r>
        <w:t>While t</w:t>
      </w:r>
      <w:r w:rsidRPr="0019473C">
        <w:t>here is no assurance of confidentiality provided to the respondents</w:t>
      </w:r>
      <w:r>
        <w:t xml:space="preserve">, </w:t>
      </w:r>
      <w:r w:rsidR="007E6EA3">
        <w:t>TSA protects i</w:t>
      </w:r>
      <w:r w:rsidR="001E6C20">
        <w:t>nformation collected from disclosure to the extent appropriate under applicable provisions of the Freedom of Information Act</w:t>
      </w:r>
      <w:r w:rsidR="0090221F">
        <w:t>, Federal Information Security Management Act, E-Government Act,</w:t>
      </w:r>
      <w:r w:rsidR="001E6C20">
        <w:t xml:space="preserve"> and Privacy Act of 1974.  </w:t>
      </w:r>
      <w:r w:rsidR="007E6EA3">
        <w:t xml:space="preserve">TSA </w:t>
      </w:r>
      <w:r w:rsidR="00E026CB">
        <w:t>would</w:t>
      </w:r>
      <w:r w:rsidR="007E6EA3">
        <w:t xml:space="preserve"> also appropriately treat</w:t>
      </w:r>
      <w:r w:rsidR="001E6C20">
        <w:t xml:space="preserve"> any information collected </w:t>
      </w:r>
      <w:r w:rsidR="007E6EA3">
        <w:t>that it determines is</w:t>
      </w:r>
      <w:r w:rsidR="001E6C20">
        <w:t xml:space="preserve"> </w:t>
      </w:r>
      <w:r w:rsidR="008651B1">
        <w:t>S</w:t>
      </w:r>
      <w:r w:rsidR="001E6C20">
        <w:t xml:space="preserve">ensitive </w:t>
      </w:r>
      <w:r w:rsidR="008651B1">
        <w:t>S</w:t>
      </w:r>
      <w:r w:rsidR="001E6C20">
        <w:t xml:space="preserve">ecurity </w:t>
      </w:r>
      <w:r w:rsidR="008651B1">
        <w:t>I</w:t>
      </w:r>
      <w:r w:rsidR="001E6C20">
        <w:t xml:space="preserve">nformation </w:t>
      </w:r>
      <w:r w:rsidR="001B046D">
        <w:t xml:space="preserve">and/or Personally </w:t>
      </w:r>
      <w:r w:rsidR="008333CE">
        <w:t>Identifiable</w:t>
      </w:r>
      <w:r w:rsidR="001B046D">
        <w:t xml:space="preserve"> Information</w:t>
      </w:r>
      <w:r w:rsidR="007E6EA3">
        <w:t>, consistent with the requirements of</w:t>
      </w:r>
      <w:r w:rsidR="001E6C20">
        <w:t xml:space="preserve"> 49 CFR part 1520</w:t>
      </w:r>
      <w:r w:rsidR="001B046D">
        <w:t xml:space="preserve"> and </w:t>
      </w:r>
      <w:r w:rsidRPr="007D4EB5" w:rsidR="009E0510">
        <w:t>OMB Guidance, M-07-16</w:t>
      </w:r>
      <w:r w:rsidR="001E6C20">
        <w:t>.</w:t>
      </w:r>
    </w:p>
    <w:p w:rsidR="00E5491F" w:rsidP="00E5491F" w14:paraId="518F382F" w14:textId="77777777">
      <w:pPr>
        <w:tabs>
          <w:tab w:val="left" w:pos="630"/>
          <w:tab w:val="center" w:pos="4680"/>
          <w:tab w:val="left" w:pos="5040"/>
          <w:tab w:val="left" w:pos="5760"/>
          <w:tab w:val="left" w:pos="6480"/>
          <w:tab w:val="left" w:pos="7200"/>
          <w:tab w:val="left" w:pos="7920"/>
          <w:tab w:val="left" w:pos="8640"/>
          <w:tab w:val="left" w:pos="9360"/>
        </w:tabs>
        <w:ind w:left="360"/>
      </w:pPr>
    </w:p>
    <w:p w:rsidR="00B51E93" w:rsidP="00245598" w14:paraId="34FC67FC" w14:textId="5CA9C28A">
      <w:pPr>
        <w:tabs>
          <w:tab w:val="left" w:pos="630"/>
          <w:tab w:val="center" w:pos="4680"/>
          <w:tab w:val="left" w:pos="5040"/>
          <w:tab w:val="left" w:pos="5760"/>
          <w:tab w:val="left" w:pos="6480"/>
          <w:tab w:val="left" w:pos="7200"/>
          <w:tab w:val="left" w:pos="7920"/>
          <w:tab w:val="left" w:pos="8640"/>
          <w:tab w:val="left" w:pos="9360"/>
        </w:tabs>
        <w:ind w:left="360"/>
      </w:pPr>
      <w:r w:rsidRPr="007E5942">
        <w:t xml:space="preserve">Privacy Impact Assessment </w:t>
      </w:r>
      <w:r>
        <w:t>(</w:t>
      </w:r>
      <w:r w:rsidRPr="00B51E93">
        <w:t>PIA</w:t>
      </w:r>
      <w:r>
        <w:t>)</w:t>
      </w:r>
      <w:r w:rsidRPr="00B51E93">
        <w:t xml:space="preserve"> coverage for this collection is provided under DHS/TSA/PIA-</w:t>
      </w:r>
      <w:r w:rsidR="00245598">
        <w:t>xxx</w:t>
      </w:r>
      <w:r w:rsidRPr="00B51E93">
        <w:t xml:space="preserve"> </w:t>
      </w:r>
      <w:r w:rsidR="00245598">
        <w:t xml:space="preserve">Security Threat Assessments of Certain Surface Transportation </w:t>
      </w:r>
      <w:r w:rsidR="00245598">
        <w:t xml:space="preserve">Employees (Month xx, </w:t>
      </w:r>
      <w:r w:rsidR="004177A6">
        <w:t>2023</w:t>
      </w:r>
      <w:r w:rsidR="00245598">
        <w:t>)</w:t>
      </w:r>
      <w:r w:rsidRPr="00B51E93">
        <w:t xml:space="preserve">. </w:t>
      </w:r>
      <w:r w:rsidR="007153D7">
        <w:t xml:space="preserve"> </w:t>
      </w:r>
      <w:r w:rsidRPr="00B51E93">
        <w:t xml:space="preserve">This PIA outlines </w:t>
      </w:r>
      <w:r w:rsidRPr="00343582" w:rsidR="00343582">
        <w:t xml:space="preserve">freight rail and PTPR </w:t>
      </w:r>
      <w:r w:rsidR="00ED42E0">
        <w:t>SSEs</w:t>
      </w:r>
      <w:r w:rsidRPr="00343582" w:rsidR="00343582">
        <w:t xml:space="preserve"> and </w:t>
      </w:r>
      <w:r w:rsidR="00ED42E0">
        <w:t xml:space="preserve">SCs </w:t>
      </w:r>
      <w:r w:rsidR="00343582">
        <w:t>submitting information to TSA to conduct STAs.</w:t>
      </w:r>
    </w:p>
    <w:p w:rsidR="00320387" w:rsidP="000A7669" w14:paraId="1534DE22" w14:textId="77777777">
      <w:pPr>
        <w:numPr>
          <w:ilvl w:val="12"/>
          <w:numId w:val="0"/>
        </w:numPr>
      </w:pPr>
    </w:p>
    <w:p w:rsidR="00320387" w:rsidP="000A7669" w14:paraId="283A8D67" w14:textId="77777777">
      <w:pPr>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320387" w:rsidP="000A7669" w14:paraId="694F7418" w14:textId="77777777">
      <w:pPr>
        <w:numPr>
          <w:ilvl w:val="12"/>
          <w:numId w:val="0"/>
        </w:numPr>
        <w:ind w:left="360"/>
      </w:pPr>
    </w:p>
    <w:p w:rsidR="00855FFC" w:rsidP="000A7669" w14:paraId="2825A818" w14:textId="3576B457">
      <w:pPr>
        <w:numPr>
          <w:ilvl w:val="12"/>
          <w:numId w:val="0"/>
        </w:numPr>
        <w:ind w:left="360"/>
      </w:pPr>
      <w:r>
        <w:t xml:space="preserve">TSA </w:t>
      </w:r>
      <w:r w:rsidR="00E026CB">
        <w:t>would</w:t>
      </w:r>
      <w:r>
        <w:t xml:space="preserve"> not ask any questions of </w:t>
      </w:r>
      <w:r w:rsidR="00701791">
        <w:t xml:space="preserve">a </w:t>
      </w:r>
      <w:r>
        <w:t>sensitive nature.</w:t>
      </w:r>
    </w:p>
    <w:p w:rsidR="00855FFC" w:rsidP="000A7669" w14:paraId="47AE5F5C" w14:textId="77777777">
      <w:pPr>
        <w:numPr>
          <w:ilvl w:val="12"/>
          <w:numId w:val="0"/>
        </w:numPr>
      </w:pPr>
    </w:p>
    <w:p w:rsidR="00DE2994" w:rsidP="009D20FB" w14:paraId="4C2733D7" w14:textId="028DABA0">
      <w:pPr>
        <w:numPr>
          <w:ilvl w:val="0"/>
          <w:numId w:val="1"/>
        </w:numPr>
        <w:tabs>
          <w:tab w:val="left" w:pos="360"/>
        </w:tabs>
      </w:pPr>
      <w:r w:rsidRPr="00767342">
        <w:rPr>
          <w:b/>
          <w:i/>
        </w:rPr>
        <w:t>Provide estimates of hour burden of the collection of information.</w:t>
      </w:r>
    </w:p>
    <w:p w:rsidR="00DE2994" w:rsidP="000A7669" w14:paraId="16FC9ECB" w14:textId="590CF12D">
      <w:pPr>
        <w:tabs>
          <w:tab w:val="left" w:pos="360"/>
        </w:tabs>
        <w:ind w:left="360"/>
      </w:pPr>
    </w:p>
    <w:p w:rsidR="007D6217" w:rsidP="00265142" w14:paraId="0080B7C2" w14:textId="6B3AEC72">
      <w:pPr>
        <w:ind w:left="360"/>
        <w:rPr>
          <w:rFonts w:eastAsiaTheme="minorHAnsi" w:cstheme="minorBidi"/>
          <w:color w:val="auto"/>
          <w:szCs w:val="22"/>
        </w:rPr>
      </w:pPr>
      <w:r>
        <w:rPr>
          <w:rFonts w:eastAsiaTheme="minorHAnsi" w:cstheme="minorBidi"/>
          <w:color w:val="auto"/>
          <w:szCs w:val="22"/>
        </w:rPr>
        <w:t>In this justification, TSA describes the respondent population and then presents a summary of each of the information collections covered by this ICR.</w:t>
      </w:r>
      <w:r>
        <w:rPr>
          <w:rStyle w:val="FootnoteReference"/>
          <w:rFonts w:eastAsiaTheme="minorHAnsi" w:cstheme="minorBidi"/>
          <w:color w:val="auto"/>
          <w:szCs w:val="22"/>
        </w:rPr>
        <w:footnoteReference w:id="8"/>
      </w:r>
    </w:p>
    <w:p w:rsidR="005B4EF3" w:rsidP="00265142" w14:paraId="4E8DD12B" w14:textId="4CDAB0C5">
      <w:pPr>
        <w:ind w:left="360"/>
        <w:rPr>
          <w:rFonts w:eastAsiaTheme="minorHAnsi" w:cstheme="minorBidi"/>
          <w:color w:val="auto"/>
          <w:szCs w:val="22"/>
        </w:rPr>
      </w:pPr>
    </w:p>
    <w:p w:rsidR="005B4EF3" w:rsidRPr="00B57037" w:rsidP="00265142" w14:paraId="7CBC63DC" w14:textId="1B111CD7">
      <w:pPr>
        <w:ind w:left="360"/>
        <w:rPr>
          <w:rFonts w:eastAsiaTheme="minorHAnsi" w:cstheme="minorBidi"/>
          <w:b/>
          <w:i/>
          <w:color w:val="auto"/>
          <w:szCs w:val="22"/>
        </w:rPr>
      </w:pPr>
      <w:r w:rsidRPr="00B57037">
        <w:rPr>
          <w:rFonts w:eastAsiaTheme="minorHAnsi" w:cstheme="minorBidi"/>
          <w:b/>
          <w:i/>
          <w:color w:val="auto"/>
          <w:szCs w:val="22"/>
        </w:rPr>
        <w:t>Respondent Population Categories</w:t>
      </w:r>
    </w:p>
    <w:p w:rsidR="005B4EF3" w:rsidP="00265142" w14:paraId="7A8C1CF9" w14:textId="2668A142">
      <w:pPr>
        <w:ind w:left="360"/>
        <w:rPr>
          <w:rFonts w:eastAsiaTheme="minorHAnsi" w:cstheme="minorBidi"/>
          <w:i/>
          <w:color w:val="auto"/>
          <w:szCs w:val="22"/>
        </w:rPr>
      </w:pPr>
    </w:p>
    <w:p w:rsidR="005B4EF3" w:rsidP="00B57037" w14:paraId="16FF21A4" w14:textId="589DB19C">
      <w:pPr>
        <w:pStyle w:val="ListParagraph"/>
        <w:numPr>
          <w:ilvl w:val="0"/>
          <w:numId w:val="42"/>
        </w:numPr>
        <w:rPr>
          <w:rFonts w:eastAsiaTheme="minorHAnsi" w:cstheme="minorBidi"/>
          <w:color w:val="auto"/>
          <w:szCs w:val="22"/>
        </w:rPr>
      </w:pPr>
      <w:r>
        <w:rPr>
          <w:rFonts w:eastAsiaTheme="minorHAnsi" w:cstheme="minorBidi"/>
          <w:i/>
          <w:color w:val="auto"/>
          <w:szCs w:val="22"/>
        </w:rPr>
        <w:t xml:space="preserve">Freight Railroad </w:t>
      </w:r>
      <w:r w:rsidR="00B30196">
        <w:rPr>
          <w:rFonts w:eastAsiaTheme="minorHAnsi" w:cstheme="minorBidi"/>
          <w:i/>
          <w:color w:val="auto"/>
          <w:szCs w:val="22"/>
        </w:rPr>
        <w:t>Owner/Operators:</w:t>
      </w:r>
      <w:r w:rsidR="00204AB6">
        <w:rPr>
          <w:rFonts w:eastAsiaTheme="minorHAnsi" w:cstheme="minorBidi"/>
          <w:i/>
          <w:color w:val="auto"/>
          <w:szCs w:val="22"/>
        </w:rPr>
        <w:t xml:space="preserve"> </w:t>
      </w:r>
      <w:r w:rsidR="00204AB6">
        <w:rPr>
          <w:rFonts w:eastAsiaTheme="minorHAnsi" w:cstheme="minorBidi"/>
          <w:color w:val="auto"/>
          <w:szCs w:val="22"/>
        </w:rPr>
        <w:t xml:space="preserve">SSEs and SCs of </w:t>
      </w:r>
      <w:r w:rsidRPr="00BA4FDF" w:rsidR="00204AB6">
        <w:rPr>
          <w:rFonts w:eastAsiaTheme="minorHAnsi" w:cstheme="minorBidi"/>
          <w:bCs/>
          <w:color w:val="auto"/>
          <w:szCs w:val="22"/>
        </w:rPr>
        <w:t xml:space="preserve">owner/operators regulated under </w:t>
      </w:r>
      <w:r w:rsidRPr="00BA4FDF" w:rsidR="00204AB6">
        <w:rPr>
          <w:rFonts w:eastAsiaTheme="minorHAnsi" w:cstheme="minorBidi"/>
          <w:color w:val="auto"/>
          <w:szCs w:val="22"/>
        </w:rPr>
        <w:t>49 CFR parts 1580</w:t>
      </w:r>
      <w:r w:rsidR="00204AB6">
        <w:rPr>
          <w:rFonts w:eastAsiaTheme="minorHAnsi" w:cstheme="minorBidi"/>
          <w:color w:val="auto"/>
          <w:szCs w:val="22"/>
        </w:rPr>
        <w:t xml:space="preserve"> (railroad carriers).</w:t>
      </w:r>
    </w:p>
    <w:p w:rsidR="00204AB6" w:rsidRPr="00B57037" w:rsidP="00B57037" w14:paraId="5870D159" w14:textId="77777777">
      <w:pPr>
        <w:pStyle w:val="ListParagraph"/>
        <w:ind w:left="1080"/>
        <w:rPr>
          <w:rFonts w:eastAsiaTheme="minorHAnsi" w:cstheme="minorBidi"/>
          <w:color w:val="auto"/>
          <w:szCs w:val="22"/>
        </w:rPr>
      </w:pPr>
    </w:p>
    <w:p w:rsidR="00B30196" w:rsidP="00B57037" w14:paraId="46FB44F4" w14:textId="70C91DD5">
      <w:pPr>
        <w:pStyle w:val="ListParagraph"/>
        <w:numPr>
          <w:ilvl w:val="0"/>
          <w:numId w:val="42"/>
        </w:numPr>
        <w:rPr>
          <w:rFonts w:eastAsiaTheme="minorHAnsi" w:cstheme="minorBidi"/>
          <w:color w:val="auto"/>
          <w:szCs w:val="22"/>
        </w:rPr>
      </w:pPr>
      <w:r>
        <w:rPr>
          <w:rFonts w:eastAsiaTheme="minorHAnsi" w:cstheme="minorBidi"/>
          <w:i/>
          <w:color w:val="auto"/>
          <w:szCs w:val="22"/>
        </w:rPr>
        <w:t xml:space="preserve">Freight Railroad Shippers and </w:t>
      </w:r>
      <w:r w:rsidR="007B395B">
        <w:rPr>
          <w:rFonts w:eastAsiaTheme="minorHAnsi" w:cstheme="minorBidi"/>
          <w:i/>
          <w:color w:val="auto"/>
          <w:szCs w:val="22"/>
        </w:rPr>
        <w:t>Receivers</w:t>
      </w:r>
      <w:r>
        <w:rPr>
          <w:rFonts w:eastAsiaTheme="minorHAnsi" w:cstheme="minorBidi"/>
          <w:i/>
          <w:color w:val="auto"/>
          <w:szCs w:val="22"/>
        </w:rPr>
        <w:t xml:space="preserve"> (FRSR): </w:t>
      </w:r>
      <w:r w:rsidR="00204AB6">
        <w:rPr>
          <w:rFonts w:eastAsiaTheme="minorHAnsi" w:cstheme="minorBidi"/>
          <w:color w:val="auto"/>
          <w:szCs w:val="22"/>
        </w:rPr>
        <w:t xml:space="preserve">SCs of </w:t>
      </w:r>
      <w:r w:rsidRPr="00BA4FDF" w:rsidR="00204AB6">
        <w:rPr>
          <w:rFonts w:eastAsiaTheme="minorHAnsi" w:cstheme="minorBidi"/>
          <w:bCs/>
          <w:color w:val="auto"/>
          <w:szCs w:val="22"/>
        </w:rPr>
        <w:t xml:space="preserve">owner/operators regulated under </w:t>
      </w:r>
      <w:r w:rsidRPr="00BA4FDF" w:rsidR="00204AB6">
        <w:rPr>
          <w:rFonts w:eastAsiaTheme="minorHAnsi" w:cstheme="minorBidi"/>
          <w:color w:val="auto"/>
          <w:szCs w:val="22"/>
        </w:rPr>
        <w:t>49 CFR parts 1580</w:t>
      </w:r>
      <w:r w:rsidR="00204AB6">
        <w:rPr>
          <w:rFonts w:eastAsiaTheme="minorHAnsi" w:cstheme="minorBidi"/>
          <w:color w:val="auto"/>
          <w:szCs w:val="22"/>
        </w:rPr>
        <w:t xml:space="preserve"> (</w:t>
      </w:r>
      <w:r w:rsidRPr="00B57037" w:rsidR="00204AB6">
        <w:rPr>
          <w:rFonts w:eastAsiaTheme="minorHAnsi" w:cstheme="minorBidi"/>
          <w:color w:val="auto"/>
          <w:szCs w:val="22"/>
        </w:rPr>
        <w:t>r</w:t>
      </w:r>
      <w:r w:rsidR="00204AB6">
        <w:rPr>
          <w:rFonts w:eastAsiaTheme="minorHAnsi" w:cstheme="minorBidi"/>
          <w:color w:val="auto"/>
          <w:szCs w:val="22"/>
        </w:rPr>
        <w:t>ail hazardous materials receivers, and rail hazardous materials shippers).</w:t>
      </w:r>
    </w:p>
    <w:p w:rsidR="00204AB6" w:rsidRPr="00B57037" w:rsidP="00B57037" w14:paraId="24DB8CE8" w14:textId="77777777">
      <w:pPr>
        <w:pStyle w:val="ListParagraph"/>
        <w:ind w:left="1080"/>
        <w:rPr>
          <w:rFonts w:eastAsiaTheme="minorHAnsi" w:cstheme="minorBidi"/>
          <w:color w:val="auto"/>
          <w:szCs w:val="22"/>
        </w:rPr>
      </w:pPr>
    </w:p>
    <w:p w:rsidR="00B30196" w:rsidRPr="00B57037" w:rsidP="00B57037" w14:paraId="5E0F0C76" w14:textId="366DE437">
      <w:pPr>
        <w:pStyle w:val="ListParagraph"/>
        <w:numPr>
          <w:ilvl w:val="0"/>
          <w:numId w:val="42"/>
        </w:numPr>
        <w:rPr>
          <w:rFonts w:eastAsiaTheme="minorHAnsi" w:cstheme="minorBidi"/>
          <w:color w:val="auto"/>
          <w:szCs w:val="22"/>
        </w:rPr>
      </w:pPr>
      <w:r>
        <w:rPr>
          <w:rFonts w:eastAsiaTheme="minorHAnsi" w:cstheme="minorBidi"/>
          <w:i/>
          <w:color w:val="auto"/>
          <w:szCs w:val="22"/>
        </w:rPr>
        <w:t xml:space="preserve">Public Transportation and </w:t>
      </w:r>
      <w:r w:rsidR="007B395B">
        <w:rPr>
          <w:rFonts w:eastAsiaTheme="minorHAnsi" w:cstheme="minorBidi"/>
          <w:i/>
          <w:color w:val="auto"/>
          <w:szCs w:val="22"/>
        </w:rPr>
        <w:t>Passenger</w:t>
      </w:r>
      <w:r>
        <w:rPr>
          <w:rFonts w:eastAsiaTheme="minorHAnsi" w:cstheme="minorBidi"/>
          <w:i/>
          <w:color w:val="auto"/>
          <w:szCs w:val="22"/>
        </w:rPr>
        <w:t xml:space="preserve"> Railroad (PTPR) Owner/Operators:</w:t>
      </w:r>
      <w:r w:rsidRPr="00204AB6" w:rsidR="00204AB6">
        <w:rPr>
          <w:rFonts w:eastAsiaTheme="minorHAnsi" w:cstheme="minorBidi"/>
          <w:color w:val="auto"/>
          <w:szCs w:val="22"/>
        </w:rPr>
        <w:t xml:space="preserve"> </w:t>
      </w:r>
      <w:r w:rsidR="00204AB6">
        <w:rPr>
          <w:rFonts w:eastAsiaTheme="minorHAnsi" w:cstheme="minorBidi"/>
          <w:color w:val="auto"/>
          <w:szCs w:val="22"/>
        </w:rPr>
        <w:t>SSEs and SCs</w:t>
      </w:r>
      <w:r w:rsidR="00ED42E0">
        <w:rPr>
          <w:rFonts w:eastAsiaTheme="minorHAnsi" w:cstheme="minorBidi"/>
          <w:color w:val="auto"/>
          <w:szCs w:val="22"/>
        </w:rPr>
        <w:t xml:space="preserve"> </w:t>
      </w:r>
      <w:r w:rsidR="00204AB6">
        <w:rPr>
          <w:rFonts w:eastAsiaTheme="minorHAnsi" w:cstheme="minorBidi"/>
          <w:color w:val="auto"/>
          <w:szCs w:val="22"/>
        </w:rPr>
        <w:t xml:space="preserve">of </w:t>
      </w:r>
      <w:r w:rsidRPr="00BA4FDF" w:rsidR="00204AB6">
        <w:rPr>
          <w:rFonts w:eastAsiaTheme="minorHAnsi" w:cstheme="minorBidi"/>
          <w:bCs/>
          <w:color w:val="auto"/>
          <w:szCs w:val="22"/>
        </w:rPr>
        <w:t xml:space="preserve">owner/operators regulated under </w:t>
      </w:r>
      <w:r w:rsidRPr="00BA4FDF" w:rsidR="00204AB6">
        <w:rPr>
          <w:rFonts w:eastAsiaTheme="minorHAnsi" w:cstheme="minorBidi"/>
          <w:color w:val="auto"/>
          <w:szCs w:val="22"/>
        </w:rPr>
        <w:t>49 CF</w:t>
      </w:r>
      <w:r w:rsidR="00204AB6">
        <w:rPr>
          <w:rFonts w:eastAsiaTheme="minorHAnsi" w:cstheme="minorBidi"/>
          <w:color w:val="auto"/>
          <w:szCs w:val="22"/>
        </w:rPr>
        <w:t xml:space="preserve">R parts </w:t>
      </w:r>
      <w:r w:rsidRPr="00BA4FDF" w:rsidR="00204AB6">
        <w:rPr>
          <w:rFonts w:eastAsiaTheme="minorHAnsi" w:cstheme="minorBidi"/>
          <w:color w:val="auto"/>
          <w:szCs w:val="22"/>
        </w:rPr>
        <w:t>1582</w:t>
      </w:r>
      <w:r w:rsidR="00204AB6">
        <w:rPr>
          <w:rFonts w:eastAsiaTheme="minorHAnsi" w:cstheme="minorBidi"/>
          <w:color w:val="auto"/>
          <w:szCs w:val="22"/>
        </w:rPr>
        <w:t>.</w:t>
      </w:r>
    </w:p>
    <w:p w:rsidR="00204AB6" w:rsidRPr="00B57037" w:rsidP="00B57037" w14:paraId="2D46E1FC" w14:textId="77777777">
      <w:pPr>
        <w:pStyle w:val="ListParagraph"/>
        <w:ind w:left="1080"/>
        <w:rPr>
          <w:rFonts w:eastAsiaTheme="minorHAnsi" w:cstheme="minorBidi"/>
          <w:color w:val="auto"/>
          <w:szCs w:val="22"/>
        </w:rPr>
      </w:pPr>
    </w:p>
    <w:p w:rsidR="00B30196" w:rsidRPr="00B30196" w:rsidP="00B57037" w14:paraId="2483135E" w14:textId="2B7B7850">
      <w:pPr>
        <w:pStyle w:val="ListParagraph"/>
        <w:numPr>
          <w:ilvl w:val="0"/>
          <w:numId w:val="42"/>
        </w:numPr>
        <w:rPr>
          <w:rFonts w:eastAsiaTheme="minorHAnsi" w:cstheme="minorBidi"/>
          <w:color w:val="auto"/>
          <w:szCs w:val="22"/>
        </w:rPr>
      </w:pPr>
      <w:r>
        <w:rPr>
          <w:rFonts w:eastAsiaTheme="minorHAnsi" w:cstheme="minorBidi"/>
          <w:i/>
          <w:color w:val="auto"/>
          <w:szCs w:val="22"/>
        </w:rPr>
        <w:t>Over-the-Road Buses (OTRB) Owner/Operators:</w:t>
      </w:r>
      <w:r w:rsidRPr="00204AB6" w:rsidR="00204AB6">
        <w:rPr>
          <w:rFonts w:eastAsiaTheme="minorHAnsi" w:cstheme="minorBidi"/>
          <w:color w:val="auto"/>
          <w:szCs w:val="22"/>
        </w:rPr>
        <w:t xml:space="preserve"> </w:t>
      </w:r>
      <w:r w:rsidR="00204AB6">
        <w:rPr>
          <w:rFonts w:eastAsiaTheme="minorHAnsi" w:cstheme="minorBidi"/>
          <w:color w:val="auto"/>
          <w:szCs w:val="22"/>
        </w:rPr>
        <w:t xml:space="preserve">SCs of </w:t>
      </w:r>
      <w:r w:rsidRPr="00BA4FDF" w:rsidR="00204AB6">
        <w:rPr>
          <w:rFonts w:eastAsiaTheme="minorHAnsi" w:cstheme="minorBidi"/>
          <w:bCs/>
          <w:color w:val="auto"/>
          <w:szCs w:val="22"/>
        </w:rPr>
        <w:t xml:space="preserve">owner/operators regulated under </w:t>
      </w:r>
      <w:r w:rsidRPr="00BA4FDF" w:rsidR="00204AB6">
        <w:rPr>
          <w:rFonts w:eastAsiaTheme="minorHAnsi" w:cstheme="minorBidi"/>
          <w:color w:val="auto"/>
          <w:szCs w:val="22"/>
        </w:rPr>
        <w:t>49 CF</w:t>
      </w:r>
      <w:r w:rsidR="00204AB6">
        <w:rPr>
          <w:rFonts w:eastAsiaTheme="minorHAnsi" w:cstheme="minorBidi"/>
          <w:color w:val="auto"/>
          <w:szCs w:val="22"/>
        </w:rPr>
        <w:t>R parts 1584.</w:t>
      </w:r>
    </w:p>
    <w:p w:rsidR="005C5E19" w:rsidRPr="005C5E19" w:rsidP="00B57037" w14:paraId="40BA3E60" w14:textId="3FD9749E">
      <w:pPr>
        <w:rPr>
          <w:rFonts w:eastAsiaTheme="minorHAnsi" w:cstheme="minorBidi"/>
          <w:color w:val="auto"/>
          <w:szCs w:val="22"/>
        </w:rPr>
      </w:pPr>
    </w:p>
    <w:p w:rsidR="00BA4FDF" w:rsidP="00FA0B47" w14:paraId="01E1463B" w14:textId="520775A0">
      <w:pPr>
        <w:ind w:left="360"/>
        <w:rPr>
          <w:rFonts w:eastAsiaTheme="minorHAnsi" w:cstheme="minorBidi"/>
          <w:color w:val="auto"/>
          <w:szCs w:val="22"/>
        </w:rPr>
      </w:pPr>
      <w:r>
        <w:rPr>
          <w:rFonts w:eastAsiaTheme="minorHAnsi" w:cstheme="minorBidi"/>
          <w:color w:val="auto"/>
          <w:szCs w:val="22"/>
        </w:rPr>
        <w:fldChar w:fldCharType="begin"/>
      </w:r>
      <w:r>
        <w:rPr>
          <w:rFonts w:eastAsiaTheme="minorHAnsi" w:cstheme="minorBidi"/>
          <w:color w:val="auto"/>
          <w:szCs w:val="22"/>
        </w:rPr>
        <w:instrText xml:space="preserve"> REF _Ref507684370 \h </w:instrText>
      </w:r>
      <w:r>
        <w:rPr>
          <w:rFonts w:eastAsiaTheme="minorHAnsi" w:cstheme="minorBidi"/>
          <w:color w:val="auto"/>
          <w:szCs w:val="22"/>
        </w:rPr>
        <w:fldChar w:fldCharType="separate"/>
      </w:r>
      <w:r>
        <w:t xml:space="preserve">Table </w:t>
      </w:r>
      <w:r>
        <w:rPr>
          <w:noProof/>
        </w:rPr>
        <w:t>1</w:t>
      </w:r>
      <w:r>
        <w:rPr>
          <w:rFonts w:eastAsiaTheme="minorHAnsi" w:cstheme="minorBidi"/>
          <w:color w:val="auto"/>
          <w:szCs w:val="22"/>
        </w:rPr>
        <w:fldChar w:fldCharType="end"/>
      </w:r>
      <w:r w:rsidRPr="00BA4FDF">
        <w:rPr>
          <w:rFonts w:eastAsiaTheme="minorHAnsi" w:cstheme="minorBidi"/>
          <w:color w:val="auto"/>
          <w:szCs w:val="22"/>
        </w:rPr>
        <w:fldChar w:fldCharType="begin"/>
      </w:r>
      <w:r w:rsidRPr="00BA4FDF">
        <w:rPr>
          <w:rFonts w:eastAsiaTheme="minorHAnsi" w:cstheme="minorBidi"/>
          <w:color w:val="auto"/>
          <w:szCs w:val="22"/>
        </w:rPr>
        <w:instrText xml:space="preserve"> REF _Ref507684370 \h  \* MERGEFORMAT </w:instrText>
      </w:r>
      <w:r w:rsidRPr="00BA4FDF">
        <w:rPr>
          <w:rFonts w:eastAsiaTheme="minorHAnsi" w:cstheme="minorBidi"/>
          <w:color w:val="auto"/>
          <w:szCs w:val="22"/>
        </w:rPr>
        <w:fldChar w:fldCharType="separate"/>
      </w:r>
      <w:r w:rsidRPr="00BA4FDF">
        <w:rPr>
          <w:rFonts w:eastAsiaTheme="minorHAnsi" w:cstheme="minorBidi"/>
          <w:color w:val="auto"/>
          <w:szCs w:val="22"/>
        </w:rPr>
        <w:fldChar w:fldCharType="end"/>
      </w:r>
      <w:r w:rsidR="00265142">
        <w:rPr>
          <w:rFonts w:eastAsiaTheme="minorHAnsi" w:cstheme="minorBidi"/>
          <w:color w:val="auto"/>
          <w:szCs w:val="22"/>
        </w:rPr>
        <w:t xml:space="preserve"> presents </w:t>
      </w:r>
      <w:r w:rsidRPr="00BA4FDF">
        <w:rPr>
          <w:rFonts w:eastAsiaTheme="minorHAnsi" w:cstheme="minorBidi"/>
          <w:color w:val="auto"/>
          <w:szCs w:val="22"/>
        </w:rPr>
        <w:t xml:space="preserve">the number of </w:t>
      </w:r>
      <w:r w:rsidR="00204AB6">
        <w:rPr>
          <w:rFonts w:eastAsiaTheme="minorHAnsi" w:cstheme="minorBidi"/>
          <w:color w:val="auto"/>
          <w:szCs w:val="22"/>
        </w:rPr>
        <w:t>SSEs</w:t>
      </w:r>
      <w:r w:rsidRPr="00BA4FDF">
        <w:rPr>
          <w:rFonts w:eastAsiaTheme="minorHAnsi" w:cstheme="minorBidi"/>
          <w:color w:val="auto"/>
          <w:szCs w:val="22"/>
        </w:rPr>
        <w:t xml:space="preserve"> and </w:t>
      </w:r>
      <w:r w:rsidR="00204AB6">
        <w:rPr>
          <w:rFonts w:eastAsiaTheme="minorHAnsi" w:cstheme="minorBidi"/>
          <w:color w:val="auto"/>
          <w:szCs w:val="22"/>
        </w:rPr>
        <w:t>SCs</w:t>
      </w:r>
      <w:r w:rsidRPr="00BA4FDF">
        <w:rPr>
          <w:rFonts w:eastAsiaTheme="minorHAnsi" w:cstheme="minorBidi"/>
          <w:color w:val="auto"/>
          <w:szCs w:val="22"/>
        </w:rPr>
        <w:t xml:space="preserve"> by transportation mode participating in the information collection.</w:t>
      </w:r>
    </w:p>
    <w:p w:rsidR="001D553E" w:rsidP="00FA0B47" w14:paraId="0842F788" w14:textId="77F270E7">
      <w:pPr>
        <w:ind w:left="360"/>
        <w:rPr>
          <w:rFonts w:eastAsiaTheme="minorHAnsi" w:cstheme="minorBidi"/>
          <w:color w:val="auto"/>
          <w:szCs w:val="22"/>
        </w:rPr>
      </w:pPr>
    </w:p>
    <w:p w:rsidR="00FA0B47" w:rsidRPr="00444E9A" w:rsidP="001D553E" w14:paraId="4781F45E" w14:textId="1F5FD43E">
      <w:pPr>
        <w:keepNext/>
        <w:keepLines/>
        <w:ind w:left="360"/>
        <w:rPr>
          <w:rFonts w:ascii="Arial" w:hAnsi="Arial" w:eastAsiaTheme="minorHAnsi"/>
          <w:b/>
          <w:color w:val="auto"/>
          <w:sz w:val="20"/>
        </w:rPr>
      </w:pPr>
      <w:r w:rsidRPr="00444E9A">
        <w:rPr>
          <w:rFonts w:ascii="Arial" w:hAnsi="Arial" w:eastAsiaTheme="minorHAnsi"/>
          <w:b/>
          <w:color w:val="auto"/>
          <w:sz w:val="20"/>
        </w:rPr>
        <w:t>Table 1: Number of Respondents</w:t>
      </w:r>
    </w:p>
    <w:tbl>
      <w:tblPr>
        <w:tblW w:w="8779" w:type="dxa"/>
        <w:tblInd w:w="355" w:type="dxa"/>
        <w:tblLayout w:type="fixed"/>
        <w:tblCellMar>
          <w:left w:w="115" w:type="dxa"/>
          <w:right w:w="115" w:type="dxa"/>
        </w:tblCellMar>
        <w:tblLook w:val="04A0"/>
      </w:tblPr>
      <w:tblGrid>
        <w:gridCol w:w="1170"/>
        <w:gridCol w:w="1142"/>
        <w:gridCol w:w="1018"/>
        <w:gridCol w:w="810"/>
        <w:gridCol w:w="1170"/>
        <w:gridCol w:w="1080"/>
        <w:gridCol w:w="1170"/>
        <w:gridCol w:w="1219"/>
      </w:tblGrid>
      <w:tr w14:paraId="2FBD80BF" w14:textId="77777777" w:rsidTr="00B57037">
        <w:tblPrEx>
          <w:tblW w:w="8779" w:type="dxa"/>
          <w:tblInd w:w="355" w:type="dxa"/>
          <w:tblLayout w:type="fixed"/>
          <w:tblCellMar>
            <w:left w:w="115" w:type="dxa"/>
            <w:right w:w="115" w:type="dxa"/>
          </w:tblCellMar>
          <w:tblLook w:val="04A0"/>
        </w:tblPrEx>
        <w:trPr>
          <w:trHeight w:val="431"/>
        </w:trPr>
        <w:tc>
          <w:tcPr>
            <w:tcW w:w="1170"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1D553E" w:rsidRPr="00444E9A" w:rsidP="001D553E" w14:paraId="651CEC3F" w14:textId="77777777">
            <w:pPr>
              <w:keepNext/>
              <w:keepLines/>
              <w:jc w:val="center"/>
              <w:rPr>
                <w:rFonts w:ascii="Arial" w:hAnsi="Arial"/>
                <w:b/>
                <w:bCs/>
                <w:color w:val="auto"/>
                <w:sz w:val="18"/>
                <w:szCs w:val="18"/>
              </w:rPr>
            </w:pPr>
            <w:bookmarkStart w:id="2" w:name="_Toc3492151"/>
            <w:bookmarkStart w:id="3" w:name="_Toc9345818"/>
            <w:r w:rsidRPr="00444E9A">
              <w:rPr>
                <w:rFonts w:ascii="Arial" w:hAnsi="Arial"/>
                <w:b/>
                <w:bCs/>
                <w:color w:val="auto"/>
                <w:sz w:val="18"/>
                <w:szCs w:val="18"/>
              </w:rPr>
              <w:t>Industry</w:t>
            </w:r>
          </w:p>
        </w:tc>
        <w:tc>
          <w:tcPr>
            <w:tcW w:w="114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D553E" w:rsidRPr="00444E9A" w:rsidP="001D553E" w14:paraId="21A018B6" w14:textId="77777777">
            <w:pPr>
              <w:keepNext/>
              <w:keepLines/>
              <w:jc w:val="center"/>
              <w:rPr>
                <w:rFonts w:ascii="Arial" w:hAnsi="Arial"/>
                <w:b/>
                <w:bCs/>
                <w:color w:val="auto"/>
                <w:sz w:val="18"/>
                <w:szCs w:val="18"/>
              </w:rPr>
            </w:pPr>
            <w:r w:rsidRPr="00444E9A">
              <w:rPr>
                <w:rFonts w:ascii="Arial" w:hAnsi="Arial"/>
                <w:b/>
                <w:bCs/>
                <w:color w:val="auto"/>
                <w:sz w:val="18"/>
                <w:szCs w:val="18"/>
              </w:rPr>
              <w:t>Employee Type</w:t>
            </w:r>
          </w:p>
        </w:tc>
        <w:tc>
          <w:tcPr>
            <w:tcW w:w="299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D553E" w:rsidRPr="00444E9A" w:rsidP="001D553E" w14:paraId="15E0C035" w14:textId="77777777">
            <w:pPr>
              <w:keepNext/>
              <w:keepLines/>
              <w:jc w:val="center"/>
              <w:rPr>
                <w:rFonts w:ascii="Arial" w:hAnsi="Arial"/>
                <w:b/>
                <w:bCs/>
                <w:color w:val="auto"/>
                <w:sz w:val="18"/>
                <w:szCs w:val="18"/>
              </w:rPr>
            </w:pPr>
            <w:r w:rsidRPr="00444E9A">
              <w:rPr>
                <w:rFonts w:ascii="Arial" w:hAnsi="Arial"/>
                <w:b/>
                <w:bCs/>
                <w:color w:val="auto"/>
                <w:sz w:val="18"/>
                <w:szCs w:val="18"/>
              </w:rPr>
              <w:t>Number of Respondents</w:t>
            </w:r>
          </w:p>
        </w:tc>
        <w:tc>
          <w:tcPr>
            <w:tcW w:w="1080" w:type="dxa"/>
            <w:vMerge w:val="restart"/>
            <w:tcBorders>
              <w:top w:val="single" w:sz="4" w:space="0" w:color="auto"/>
              <w:left w:val="single" w:sz="4" w:space="0" w:color="auto"/>
              <w:bottom w:val="single" w:sz="4" w:space="0" w:color="000000"/>
              <w:right w:val="nil"/>
            </w:tcBorders>
            <w:shd w:val="clear" w:color="auto" w:fill="auto"/>
            <w:vAlign w:val="center"/>
            <w:hideMark/>
          </w:tcPr>
          <w:p w:rsidR="001D553E" w:rsidRPr="00444E9A" w:rsidP="001D553E" w14:paraId="6A3A6CAB" w14:textId="77777777">
            <w:pPr>
              <w:keepNext/>
              <w:keepLines/>
              <w:jc w:val="center"/>
              <w:rPr>
                <w:rFonts w:ascii="Arial" w:hAnsi="Arial"/>
                <w:b/>
                <w:bCs/>
                <w:color w:val="auto"/>
                <w:sz w:val="18"/>
                <w:szCs w:val="18"/>
              </w:rPr>
            </w:pPr>
            <w:r w:rsidRPr="00444E9A">
              <w:rPr>
                <w:rFonts w:ascii="Arial" w:hAnsi="Arial"/>
                <w:b/>
                <w:bCs/>
                <w:color w:val="auto"/>
                <w:sz w:val="18"/>
                <w:szCs w:val="18"/>
              </w:rPr>
              <w:t>3-Year Total by  Employee Type</w:t>
            </w:r>
          </w:p>
        </w:tc>
        <w:tc>
          <w:tcPr>
            <w:tcW w:w="11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D553E" w:rsidRPr="00444E9A" w:rsidP="001D553E" w14:paraId="5E67DDE5" w14:textId="77777777">
            <w:pPr>
              <w:keepNext/>
              <w:keepLines/>
              <w:jc w:val="center"/>
              <w:rPr>
                <w:rFonts w:ascii="Arial" w:hAnsi="Arial"/>
                <w:b/>
                <w:bCs/>
                <w:color w:val="auto"/>
                <w:sz w:val="18"/>
                <w:szCs w:val="18"/>
              </w:rPr>
            </w:pPr>
            <w:r w:rsidRPr="00444E9A">
              <w:rPr>
                <w:rFonts w:ascii="Arial" w:hAnsi="Arial"/>
                <w:b/>
                <w:bCs/>
                <w:color w:val="auto"/>
                <w:sz w:val="18"/>
                <w:szCs w:val="18"/>
              </w:rPr>
              <w:t>3-Year Total by  Industry</w:t>
            </w:r>
          </w:p>
        </w:tc>
        <w:tc>
          <w:tcPr>
            <w:tcW w:w="1219" w:type="dxa"/>
            <w:vMerge w:val="restart"/>
            <w:tcBorders>
              <w:top w:val="single" w:sz="4" w:space="0" w:color="auto"/>
              <w:left w:val="nil"/>
              <w:bottom w:val="single" w:sz="4" w:space="0" w:color="000000"/>
              <w:right w:val="single" w:sz="4" w:space="0" w:color="auto"/>
            </w:tcBorders>
            <w:shd w:val="clear" w:color="auto" w:fill="auto"/>
            <w:vAlign w:val="center"/>
            <w:hideMark/>
          </w:tcPr>
          <w:p w:rsidR="001D553E" w:rsidRPr="00444E9A" w:rsidP="001D553E" w14:paraId="51B88B1C" w14:textId="77777777">
            <w:pPr>
              <w:keepNext/>
              <w:keepLines/>
              <w:jc w:val="center"/>
              <w:rPr>
                <w:rFonts w:ascii="Arial" w:hAnsi="Arial"/>
                <w:b/>
                <w:bCs/>
                <w:color w:val="auto"/>
                <w:sz w:val="18"/>
                <w:szCs w:val="18"/>
              </w:rPr>
            </w:pPr>
            <w:r w:rsidRPr="00444E9A">
              <w:rPr>
                <w:rFonts w:ascii="Arial" w:hAnsi="Arial"/>
                <w:b/>
                <w:bCs/>
                <w:color w:val="auto"/>
                <w:sz w:val="18"/>
                <w:szCs w:val="18"/>
              </w:rPr>
              <w:t>Average Annual by Industry</w:t>
            </w:r>
          </w:p>
        </w:tc>
      </w:tr>
      <w:tr w14:paraId="4141E036" w14:textId="77777777" w:rsidTr="00B57037">
        <w:tblPrEx>
          <w:tblW w:w="8779" w:type="dxa"/>
          <w:tblInd w:w="355" w:type="dxa"/>
          <w:tblLayout w:type="fixed"/>
          <w:tblCellMar>
            <w:left w:w="115" w:type="dxa"/>
            <w:right w:w="115" w:type="dxa"/>
          </w:tblCellMar>
          <w:tblLook w:val="04A0"/>
        </w:tblPrEx>
        <w:trPr>
          <w:trHeight w:val="291"/>
        </w:trPr>
        <w:tc>
          <w:tcPr>
            <w:tcW w:w="1170" w:type="dxa"/>
            <w:vMerge/>
            <w:tcBorders>
              <w:top w:val="single" w:sz="4" w:space="0" w:color="auto"/>
              <w:left w:val="single" w:sz="4" w:space="0" w:color="auto"/>
              <w:bottom w:val="single" w:sz="4" w:space="0" w:color="000000"/>
              <w:right w:val="nil"/>
            </w:tcBorders>
            <w:vAlign w:val="center"/>
            <w:hideMark/>
          </w:tcPr>
          <w:p w:rsidR="001D553E" w:rsidRPr="00444E9A" w:rsidP="001D553E" w14:paraId="1400F57B" w14:textId="77777777">
            <w:pPr>
              <w:keepNext/>
              <w:keepLines/>
              <w:rPr>
                <w:rFonts w:ascii="Arial" w:hAnsi="Arial"/>
                <w:b/>
                <w:bCs/>
                <w:color w:val="auto"/>
                <w:sz w:val="18"/>
                <w:szCs w:val="18"/>
              </w:rPr>
            </w:pPr>
          </w:p>
        </w:tc>
        <w:tc>
          <w:tcPr>
            <w:tcW w:w="1142" w:type="dxa"/>
            <w:vMerge/>
            <w:tcBorders>
              <w:top w:val="single" w:sz="4" w:space="0" w:color="auto"/>
              <w:left w:val="single" w:sz="4" w:space="0" w:color="auto"/>
              <w:bottom w:val="single" w:sz="4" w:space="0" w:color="000000"/>
              <w:right w:val="single" w:sz="4" w:space="0" w:color="auto"/>
            </w:tcBorders>
            <w:vAlign w:val="center"/>
            <w:hideMark/>
          </w:tcPr>
          <w:p w:rsidR="001D553E" w:rsidRPr="00444E9A" w:rsidP="001D553E" w14:paraId="03D63E36" w14:textId="77777777">
            <w:pPr>
              <w:keepNext/>
              <w:keepLines/>
              <w:rPr>
                <w:rFonts w:ascii="Arial" w:hAnsi="Arial"/>
                <w:b/>
                <w:bCs/>
                <w:color w:val="auto"/>
                <w:sz w:val="18"/>
                <w:szCs w:val="18"/>
              </w:rPr>
            </w:pPr>
          </w:p>
        </w:tc>
        <w:tc>
          <w:tcPr>
            <w:tcW w:w="1018" w:type="dxa"/>
            <w:tcBorders>
              <w:top w:val="nil"/>
              <w:left w:val="nil"/>
              <w:bottom w:val="single" w:sz="4" w:space="0" w:color="auto"/>
              <w:right w:val="single" w:sz="4" w:space="0" w:color="auto"/>
            </w:tcBorders>
            <w:shd w:val="clear" w:color="auto" w:fill="auto"/>
            <w:vAlign w:val="center"/>
            <w:hideMark/>
          </w:tcPr>
          <w:p w:rsidR="001D553E" w:rsidRPr="00444E9A" w:rsidP="001D553E" w14:paraId="4D1D5EE1" w14:textId="77777777">
            <w:pPr>
              <w:keepNext/>
              <w:keepLines/>
              <w:jc w:val="center"/>
              <w:rPr>
                <w:rFonts w:ascii="Arial" w:hAnsi="Arial"/>
                <w:b/>
                <w:bCs/>
                <w:color w:val="auto"/>
                <w:sz w:val="18"/>
                <w:szCs w:val="18"/>
              </w:rPr>
            </w:pPr>
            <w:r w:rsidRPr="00444E9A">
              <w:rPr>
                <w:rFonts w:ascii="Arial" w:hAnsi="Arial"/>
                <w:b/>
                <w:bCs/>
                <w:color w:val="auto"/>
                <w:sz w:val="18"/>
                <w:szCs w:val="18"/>
              </w:rPr>
              <w:t>Year 1</w:t>
            </w:r>
          </w:p>
        </w:tc>
        <w:tc>
          <w:tcPr>
            <w:tcW w:w="810" w:type="dxa"/>
            <w:tcBorders>
              <w:top w:val="nil"/>
              <w:left w:val="nil"/>
              <w:bottom w:val="single" w:sz="4" w:space="0" w:color="auto"/>
              <w:right w:val="single" w:sz="4" w:space="0" w:color="auto"/>
            </w:tcBorders>
            <w:shd w:val="clear" w:color="auto" w:fill="auto"/>
            <w:vAlign w:val="center"/>
            <w:hideMark/>
          </w:tcPr>
          <w:p w:rsidR="001D553E" w:rsidRPr="00444E9A" w:rsidP="001D553E" w14:paraId="7ACDBF97" w14:textId="77777777">
            <w:pPr>
              <w:keepNext/>
              <w:keepLines/>
              <w:jc w:val="center"/>
              <w:rPr>
                <w:rFonts w:ascii="Arial" w:hAnsi="Arial"/>
                <w:b/>
                <w:bCs/>
                <w:color w:val="auto"/>
                <w:sz w:val="18"/>
                <w:szCs w:val="18"/>
              </w:rPr>
            </w:pPr>
            <w:r w:rsidRPr="00444E9A">
              <w:rPr>
                <w:rFonts w:ascii="Arial" w:hAnsi="Arial"/>
                <w:b/>
                <w:bCs/>
                <w:color w:val="auto"/>
                <w:sz w:val="18"/>
                <w:szCs w:val="18"/>
              </w:rPr>
              <w:t>Year 2</w:t>
            </w:r>
          </w:p>
        </w:tc>
        <w:tc>
          <w:tcPr>
            <w:tcW w:w="1170" w:type="dxa"/>
            <w:tcBorders>
              <w:top w:val="nil"/>
              <w:left w:val="nil"/>
              <w:bottom w:val="single" w:sz="4" w:space="0" w:color="auto"/>
              <w:right w:val="single" w:sz="4" w:space="0" w:color="auto"/>
            </w:tcBorders>
            <w:shd w:val="clear" w:color="auto" w:fill="auto"/>
            <w:vAlign w:val="center"/>
            <w:hideMark/>
          </w:tcPr>
          <w:p w:rsidR="001D553E" w:rsidRPr="00444E9A" w:rsidP="001D553E" w14:paraId="423C0C9A" w14:textId="77777777">
            <w:pPr>
              <w:keepNext/>
              <w:keepLines/>
              <w:jc w:val="center"/>
              <w:rPr>
                <w:rFonts w:ascii="Arial" w:hAnsi="Arial"/>
                <w:b/>
                <w:bCs/>
                <w:color w:val="auto"/>
                <w:sz w:val="18"/>
                <w:szCs w:val="18"/>
              </w:rPr>
            </w:pPr>
            <w:r w:rsidRPr="00444E9A">
              <w:rPr>
                <w:rFonts w:ascii="Arial" w:hAnsi="Arial"/>
                <w:b/>
                <w:bCs/>
                <w:color w:val="auto"/>
                <w:sz w:val="18"/>
                <w:szCs w:val="18"/>
              </w:rPr>
              <w:t>Year 3</w:t>
            </w:r>
          </w:p>
        </w:tc>
        <w:tc>
          <w:tcPr>
            <w:tcW w:w="1080" w:type="dxa"/>
            <w:vMerge/>
            <w:tcBorders>
              <w:top w:val="single" w:sz="4" w:space="0" w:color="auto"/>
              <w:left w:val="single" w:sz="4" w:space="0" w:color="auto"/>
              <w:bottom w:val="single" w:sz="4" w:space="0" w:color="000000"/>
              <w:right w:val="nil"/>
            </w:tcBorders>
            <w:vAlign w:val="center"/>
            <w:hideMark/>
          </w:tcPr>
          <w:p w:rsidR="001D553E" w:rsidRPr="00444E9A" w:rsidP="001D553E" w14:paraId="14BC3675" w14:textId="77777777">
            <w:pPr>
              <w:keepNext/>
              <w:keepLines/>
              <w:rPr>
                <w:rFonts w:ascii="Arial" w:hAnsi="Arial"/>
                <w:b/>
                <w:bCs/>
                <w:color w:val="auto"/>
                <w:sz w:val="18"/>
                <w:szCs w:val="18"/>
              </w:rPr>
            </w:pPr>
          </w:p>
        </w:tc>
        <w:tc>
          <w:tcPr>
            <w:tcW w:w="1170" w:type="dxa"/>
            <w:vMerge/>
            <w:tcBorders>
              <w:top w:val="single" w:sz="4" w:space="0" w:color="auto"/>
              <w:left w:val="single" w:sz="4" w:space="0" w:color="auto"/>
              <w:bottom w:val="single" w:sz="4" w:space="0" w:color="000000"/>
              <w:right w:val="single" w:sz="4" w:space="0" w:color="auto"/>
            </w:tcBorders>
            <w:vAlign w:val="center"/>
            <w:hideMark/>
          </w:tcPr>
          <w:p w:rsidR="001D553E" w:rsidRPr="00444E9A" w:rsidP="001D553E" w14:paraId="1381D70F" w14:textId="77777777">
            <w:pPr>
              <w:keepNext/>
              <w:keepLines/>
              <w:rPr>
                <w:rFonts w:ascii="Arial" w:hAnsi="Arial"/>
                <w:b/>
                <w:bCs/>
                <w:color w:val="auto"/>
                <w:sz w:val="18"/>
                <w:szCs w:val="18"/>
              </w:rPr>
            </w:pPr>
          </w:p>
        </w:tc>
        <w:tc>
          <w:tcPr>
            <w:tcW w:w="1219" w:type="dxa"/>
            <w:vMerge/>
            <w:tcBorders>
              <w:top w:val="single" w:sz="4" w:space="0" w:color="auto"/>
              <w:left w:val="nil"/>
              <w:bottom w:val="single" w:sz="4" w:space="0" w:color="000000"/>
              <w:right w:val="single" w:sz="4" w:space="0" w:color="auto"/>
            </w:tcBorders>
            <w:vAlign w:val="center"/>
            <w:hideMark/>
          </w:tcPr>
          <w:p w:rsidR="001D553E" w:rsidRPr="00444E9A" w:rsidP="001D553E" w14:paraId="772428E5" w14:textId="77777777">
            <w:pPr>
              <w:keepNext/>
              <w:keepLines/>
              <w:rPr>
                <w:rFonts w:ascii="Arial" w:hAnsi="Arial"/>
                <w:b/>
                <w:bCs/>
                <w:color w:val="auto"/>
                <w:sz w:val="18"/>
                <w:szCs w:val="18"/>
              </w:rPr>
            </w:pPr>
          </w:p>
        </w:tc>
      </w:tr>
      <w:tr w14:paraId="776AD007" w14:textId="77777777" w:rsidTr="00B57037">
        <w:tblPrEx>
          <w:tblW w:w="8779" w:type="dxa"/>
          <w:tblInd w:w="355" w:type="dxa"/>
          <w:tblLayout w:type="fixed"/>
          <w:tblCellMar>
            <w:left w:w="115" w:type="dxa"/>
            <w:right w:w="115" w:type="dxa"/>
          </w:tblCellMar>
          <w:tblLook w:val="04A0"/>
        </w:tblPrEx>
        <w:trPr>
          <w:trHeight w:val="516"/>
        </w:trPr>
        <w:tc>
          <w:tcPr>
            <w:tcW w:w="1170" w:type="dxa"/>
            <w:vMerge/>
            <w:tcBorders>
              <w:top w:val="single" w:sz="4" w:space="0" w:color="auto"/>
              <w:left w:val="single" w:sz="4" w:space="0" w:color="auto"/>
              <w:bottom w:val="single" w:sz="4" w:space="0" w:color="000000"/>
              <w:right w:val="nil"/>
            </w:tcBorders>
            <w:vAlign w:val="center"/>
            <w:hideMark/>
          </w:tcPr>
          <w:p w:rsidR="001D553E" w:rsidRPr="00444E9A" w:rsidP="001D553E" w14:paraId="17435DBF" w14:textId="77777777">
            <w:pPr>
              <w:keepNext/>
              <w:keepLines/>
              <w:rPr>
                <w:rFonts w:ascii="Arial" w:hAnsi="Arial"/>
                <w:b/>
                <w:bCs/>
                <w:color w:val="auto"/>
                <w:sz w:val="18"/>
                <w:szCs w:val="18"/>
              </w:rPr>
            </w:pPr>
          </w:p>
        </w:tc>
        <w:tc>
          <w:tcPr>
            <w:tcW w:w="1142" w:type="dxa"/>
            <w:vMerge/>
            <w:tcBorders>
              <w:top w:val="single" w:sz="4" w:space="0" w:color="auto"/>
              <w:left w:val="single" w:sz="4" w:space="0" w:color="auto"/>
              <w:bottom w:val="single" w:sz="4" w:space="0" w:color="000000"/>
              <w:right w:val="single" w:sz="4" w:space="0" w:color="auto"/>
            </w:tcBorders>
            <w:vAlign w:val="center"/>
            <w:hideMark/>
          </w:tcPr>
          <w:p w:rsidR="001D553E" w:rsidRPr="00444E9A" w:rsidP="001D553E" w14:paraId="0E7031F8" w14:textId="77777777">
            <w:pPr>
              <w:keepNext/>
              <w:keepLines/>
              <w:rPr>
                <w:rFonts w:ascii="Arial" w:hAnsi="Arial"/>
                <w:b/>
                <w:bCs/>
                <w:color w:val="auto"/>
                <w:sz w:val="18"/>
                <w:szCs w:val="18"/>
              </w:rPr>
            </w:pPr>
          </w:p>
        </w:tc>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553E" w:rsidRPr="00444E9A" w:rsidP="00C1734D" w14:paraId="0139B8CF" w14:textId="2597722C">
            <w:pPr>
              <w:keepNext/>
              <w:keepLines/>
              <w:jc w:val="center"/>
              <w:rPr>
                <w:rFonts w:ascii="Arial" w:hAnsi="Arial"/>
                <w:b/>
                <w:bCs/>
                <w:color w:val="auto"/>
                <w:sz w:val="18"/>
                <w:szCs w:val="18"/>
              </w:rPr>
            </w:pPr>
            <w:r w:rsidRPr="00444E9A">
              <w:rPr>
                <w:rFonts w:ascii="Arial" w:hAnsi="Arial"/>
                <w:b/>
                <w:bCs/>
                <w:color w:val="auto"/>
                <w:sz w:val="18"/>
                <w:szCs w:val="18"/>
              </w:rPr>
              <w:t>a</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1D553E" w:rsidRPr="00444E9A" w:rsidP="00C1734D" w14:paraId="1E739C24" w14:textId="3396B087">
            <w:pPr>
              <w:keepNext/>
              <w:keepLines/>
              <w:jc w:val="center"/>
              <w:rPr>
                <w:rFonts w:ascii="Arial" w:hAnsi="Arial"/>
                <w:b/>
                <w:bCs/>
                <w:color w:val="auto"/>
                <w:sz w:val="18"/>
                <w:szCs w:val="18"/>
              </w:rPr>
            </w:pPr>
            <w:r w:rsidRPr="00444E9A">
              <w:rPr>
                <w:rFonts w:ascii="Arial" w:hAnsi="Arial"/>
                <w:b/>
                <w:bCs/>
                <w:color w:val="auto"/>
                <w:sz w:val="18"/>
                <w:szCs w:val="18"/>
              </w:rPr>
              <w:t>b</w:t>
            </w:r>
          </w:p>
        </w:tc>
        <w:tc>
          <w:tcPr>
            <w:tcW w:w="1170" w:type="dxa"/>
            <w:tcBorders>
              <w:top w:val="nil"/>
              <w:left w:val="single" w:sz="4" w:space="0" w:color="auto"/>
              <w:bottom w:val="single" w:sz="4" w:space="0" w:color="auto"/>
              <w:right w:val="nil"/>
            </w:tcBorders>
            <w:shd w:val="clear" w:color="auto" w:fill="auto"/>
            <w:noWrap/>
            <w:vAlign w:val="center"/>
            <w:hideMark/>
          </w:tcPr>
          <w:p w:rsidR="001D553E" w:rsidRPr="00444E9A" w:rsidP="00506438" w14:paraId="5439DABC" w14:textId="4FD2407E">
            <w:pPr>
              <w:keepNext/>
              <w:keepLines/>
              <w:jc w:val="center"/>
              <w:rPr>
                <w:rFonts w:ascii="Arial" w:hAnsi="Arial"/>
                <w:b/>
                <w:bCs/>
                <w:color w:val="auto"/>
                <w:sz w:val="18"/>
                <w:szCs w:val="18"/>
              </w:rPr>
            </w:pPr>
            <w:r w:rsidRPr="00444E9A">
              <w:rPr>
                <w:rFonts w:ascii="Arial" w:hAnsi="Arial"/>
                <w:b/>
                <w:bCs/>
                <w:color w:val="auto"/>
                <w:sz w:val="18"/>
                <w:szCs w:val="18"/>
              </w:rPr>
              <w:t>C</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553E" w:rsidRPr="00444E9A" w:rsidP="00833E7F" w14:paraId="4A89327A" w14:textId="1A504C1B">
            <w:pPr>
              <w:keepNext/>
              <w:keepLines/>
              <w:jc w:val="center"/>
              <w:rPr>
                <w:rFonts w:ascii="Arial" w:hAnsi="Arial"/>
                <w:b/>
                <w:bCs/>
                <w:color w:val="auto"/>
                <w:sz w:val="18"/>
                <w:szCs w:val="18"/>
              </w:rPr>
            </w:pPr>
            <w:r w:rsidRPr="00444E9A">
              <w:rPr>
                <w:rFonts w:ascii="Arial" w:hAnsi="Arial"/>
                <w:b/>
                <w:bCs/>
                <w:color w:val="auto"/>
                <w:sz w:val="18"/>
                <w:szCs w:val="18"/>
              </w:rPr>
              <w:t xml:space="preserve">d = </w:t>
            </w:r>
            <w:r w:rsidRPr="00444E9A" w:rsidR="00833E7F">
              <w:rPr>
                <w:rFonts w:ascii="Cambria Math" w:hAnsi="Cambria Math" w:cs="Cambria Math"/>
                <w:b/>
                <w:color w:val="000000" w:themeColor="text1"/>
                <w:sz w:val="18"/>
                <w:szCs w:val="18"/>
              </w:rPr>
              <w:t>⅀</w:t>
            </w:r>
            <w:r w:rsidRPr="00444E9A">
              <w:rPr>
                <w:rFonts w:ascii="Arial" w:hAnsi="Arial"/>
                <w:b/>
                <w:bCs/>
                <w:color w:val="auto"/>
                <w:sz w:val="18"/>
                <w:szCs w:val="18"/>
              </w:rPr>
              <w:t>a</w:t>
            </w:r>
            <w:r w:rsidRPr="00444E9A" w:rsidR="00833E7F">
              <w:rPr>
                <w:rFonts w:ascii="Arial" w:hAnsi="Arial"/>
                <w:b/>
                <w:bCs/>
                <w:color w:val="auto"/>
                <w:sz w:val="18"/>
                <w:szCs w:val="18"/>
              </w:rPr>
              <w:t>,</w:t>
            </w:r>
            <w:r w:rsidRPr="00444E9A">
              <w:rPr>
                <w:rFonts w:ascii="Arial" w:hAnsi="Arial"/>
                <w:b/>
                <w:bCs/>
                <w:color w:val="auto"/>
                <w:sz w:val="18"/>
                <w:szCs w:val="18"/>
              </w:rPr>
              <w:t>b</w:t>
            </w:r>
            <w:r w:rsidRPr="00444E9A" w:rsidR="00833E7F">
              <w:rPr>
                <w:rFonts w:ascii="Arial" w:hAnsi="Arial"/>
                <w:b/>
                <w:bCs/>
                <w:color w:val="auto"/>
                <w:sz w:val="18"/>
                <w:szCs w:val="18"/>
              </w:rPr>
              <w:t>,</w:t>
            </w:r>
            <w:r w:rsidRPr="00444E9A">
              <w:rPr>
                <w:rFonts w:ascii="Arial" w:hAnsi="Arial"/>
                <w:b/>
                <w:bCs/>
                <w:color w:val="auto"/>
                <w:sz w:val="18"/>
                <w:szCs w:val="18"/>
              </w:rPr>
              <w:t>c</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rsidR="001D553E" w:rsidRPr="00444E9A" w14:paraId="0C62621E" w14:textId="6215184F">
            <w:pPr>
              <w:keepNext/>
              <w:keepLines/>
              <w:jc w:val="center"/>
              <w:rPr>
                <w:rFonts w:ascii="Arial" w:hAnsi="Arial"/>
                <w:b/>
                <w:bCs/>
                <w:color w:val="auto"/>
                <w:sz w:val="18"/>
                <w:szCs w:val="18"/>
              </w:rPr>
            </w:pPr>
            <w:r w:rsidRPr="00444E9A">
              <w:rPr>
                <w:rFonts w:ascii="Arial" w:hAnsi="Arial"/>
                <w:b/>
                <w:bCs/>
                <w:color w:val="auto"/>
                <w:sz w:val="18"/>
                <w:szCs w:val="18"/>
              </w:rPr>
              <w:t>e</w:t>
            </w:r>
            <w:r w:rsidRPr="00444E9A">
              <w:rPr>
                <w:rFonts w:ascii="Arial" w:hAnsi="Arial"/>
                <w:b/>
                <w:bCs/>
                <w:color w:val="auto"/>
                <w:sz w:val="18"/>
                <w:szCs w:val="18"/>
              </w:rPr>
              <w:t xml:space="preserve"> = </w:t>
            </w:r>
            <w:r w:rsidRPr="00444E9A">
              <w:rPr>
                <w:rFonts w:ascii="Arial" w:hAnsi="Arial"/>
                <w:b/>
                <w:bCs/>
                <w:color w:val="auto"/>
                <w:sz w:val="18"/>
                <w:szCs w:val="18"/>
              </w:rPr>
              <w:t>d</w:t>
            </w:r>
            <w:r w:rsidRPr="00444E9A">
              <w:rPr>
                <w:rFonts w:ascii="Arial" w:hAnsi="Arial"/>
                <w:b/>
                <w:bCs/>
                <w:color w:val="auto"/>
                <w:sz w:val="18"/>
                <w:szCs w:val="18"/>
                <w:vertAlign w:val="subscript"/>
              </w:rPr>
              <w:t>SS_Emp</w:t>
            </w:r>
            <w:r w:rsidRPr="00444E9A">
              <w:rPr>
                <w:rFonts w:ascii="Arial" w:hAnsi="Arial"/>
                <w:b/>
                <w:bCs/>
                <w:color w:val="auto"/>
                <w:sz w:val="18"/>
                <w:szCs w:val="18"/>
              </w:rPr>
              <w:t xml:space="preserve"> +</w:t>
            </w:r>
            <w:r w:rsidRPr="00444E9A" w:rsidR="00C1734D">
              <w:rPr>
                <w:rFonts w:ascii="Arial" w:hAnsi="Arial"/>
                <w:b/>
                <w:bCs/>
                <w:color w:val="auto"/>
                <w:sz w:val="18"/>
                <w:szCs w:val="18"/>
              </w:rPr>
              <w:t xml:space="preserve"> </w:t>
            </w:r>
            <w:r w:rsidRPr="00444E9A">
              <w:rPr>
                <w:rFonts w:ascii="Arial" w:hAnsi="Arial"/>
                <w:b/>
                <w:bCs/>
                <w:color w:val="auto"/>
                <w:sz w:val="18"/>
                <w:szCs w:val="18"/>
              </w:rPr>
              <w:t>d</w:t>
            </w:r>
            <w:r w:rsidRPr="00444E9A">
              <w:rPr>
                <w:rFonts w:ascii="Arial" w:hAnsi="Arial"/>
                <w:b/>
                <w:bCs/>
                <w:color w:val="auto"/>
                <w:sz w:val="18"/>
                <w:szCs w:val="18"/>
                <w:vertAlign w:val="subscript"/>
              </w:rPr>
              <w:t>SCoor</w:t>
            </w:r>
          </w:p>
        </w:tc>
        <w:tc>
          <w:tcPr>
            <w:tcW w:w="1219" w:type="dxa"/>
            <w:tcBorders>
              <w:top w:val="nil"/>
              <w:left w:val="nil"/>
              <w:bottom w:val="single" w:sz="4" w:space="0" w:color="auto"/>
              <w:right w:val="single" w:sz="4" w:space="0" w:color="auto"/>
            </w:tcBorders>
            <w:shd w:val="clear" w:color="auto" w:fill="auto"/>
            <w:noWrap/>
            <w:vAlign w:val="center"/>
            <w:hideMark/>
          </w:tcPr>
          <w:p w:rsidR="001D553E" w:rsidRPr="00444E9A" w14:paraId="355ACCAD" w14:textId="034493A6">
            <w:pPr>
              <w:keepNext/>
              <w:keepLines/>
              <w:jc w:val="center"/>
              <w:rPr>
                <w:rFonts w:ascii="Arial" w:hAnsi="Arial"/>
                <w:b/>
                <w:bCs/>
                <w:color w:val="auto"/>
                <w:sz w:val="18"/>
                <w:szCs w:val="18"/>
              </w:rPr>
            </w:pPr>
            <w:r w:rsidRPr="00444E9A">
              <w:rPr>
                <w:rFonts w:ascii="Arial" w:hAnsi="Arial"/>
                <w:b/>
                <w:bCs/>
                <w:color w:val="auto"/>
                <w:sz w:val="18"/>
                <w:szCs w:val="18"/>
              </w:rPr>
              <w:t>f = e ÷ 3</w:t>
            </w:r>
          </w:p>
        </w:tc>
      </w:tr>
      <w:tr w14:paraId="4FBD6629" w14:textId="77777777" w:rsidTr="00B57037">
        <w:tblPrEx>
          <w:tblW w:w="8779" w:type="dxa"/>
          <w:tblInd w:w="355" w:type="dxa"/>
          <w:tblLayout w:type="fixed"/>
          <w:tblCellMar>
            <w:left w:w="115" w:type="dxa"/>
            <w:right w:w="115" w:type="dxa"/>
          </w:tblCellMar>
          <w:tblLook w:val="04A0"/>
        </w:tblPrEx>
        <w:trPr>
          <w:trHeight w:val="225"/>
        </w:trPr>
        <w:tc>
          <w:tcPr>
            <w:tcW w:w="1170" w:type="dxa"/>
            <w:vMerge w:val="restart"/>
            <w:tcBorders>
              <w:top w:val="nil"/>
              <w:left w:val="single" w:sz="4" w:space="0" w:color="auto"/>
              <w:bottom w:val="single" w:sz="4" w:space="0" w:color="000000"/>
              <w:right w:val="nil"/>
            </w:tcBorders>
            <w:shd w:val="clear" w:color="000000" w:fill="FFFFFF"/>
            <w:noWrap/>
            <w:vAlign w:val="center"/>
            <w:hideMark/>
          </w:tcPr>
          <w:p w:rsidR="001D553E" w:rsidRPr="00444E9A" w:rsidP="001D553E" w14:paraId="57BB8BCF" w14:textId="77777777">
            <w:pPr>
              <w:keepNext/>
              <w:keepLines/>
              <w:rPr>
                <w:rFonts w:ascii="Arial" w:hAnsi="Arial"/>
                <w:sz w:val="18"/>
                <w:szCs w:val="18"/>
              </w:rPr>
            </w:pPr>
            <w:r w:rsidRPr="00444E9A">
              <w:rPr>
                <w:rFonts w:ascii="Arial" w:hAnsi="Arial"/>
                <w:sz w:val="18"/>
                <w:szCs w:val="18"/>
              </w:rPr>
              <w:t>Freight Rail</w:t>
            </w:r>
          </w:p>
        </w:tc>
        <w:tc>
          <w:tcPr>
            <w:tcW w:w="1142" w:type="dxa"/>
            <w:tcBorders>
              <w:top w:val="nil"/>
              <w:left w:val="single" w:sz="4" w:space="0" w:color="auto"/>
              <w:bottom w:val="nil"/>
              <w:right w:val="nil"/>
            </w:tcBorders>
            <w:shd w:val="clear" w:color="auto" w:fill="auto"/>
            <w:noWrap/>
            <w:vAlign w:val="bottom"/>
            <w:hideMark/>
          </w:tcPr>
          <w:p w:rsidR="001D553E" w:rsidRPr="00444E9A" w:rsidP="001D553E" w14:paraId="50EF7A5C" w14:textId="03264ECC">
            <w:pPr>
              <w:keepNext/>
              <w:keepLines/>
              <w:rPr>
                <w:rFonts w:ascii="Arial" w:hAnsi="Arial"/>
                <w:color w:val="auto"/>
                <w:sz w:val="18"/>
                <w:szCs w:val="18"/>
              </w:rPr>
            </w:pPr>
            <w:r w:rsidRPr="00444E9A">
              <w:rPr>
                <w:rFonts w:ascii="Arial" w:hAnsi="Arial"/>
                <w:color w:val="auto"/>
                <w:sz w:val="18"/>
                <w:szCs w:val="18"/>
              </w:rPr>
              <w:t>SSEs</w:t>
            </w:r>
          </w:p>
        </w:tc>
        <w:tc>
          <w:tcPr>
            <w:tcW w:w="1018" w:type="dxa"/>
            <w:tcBorders>
              <w:top w:val="single" w:sz="4" w:space="0" w:color="auto"/>
              <w:left w:val="single" w:sz="4" w:space="0" w:color="auto"/>
              <w:bottom w:val="single" w:sz="4" w:space="0" w:color="auto"/>
              <w:right w:val="nil"/>
            </w:tcBorders>
            <w:shd w:val="clear" w:color="auto" w:fill="auto"/>
            <w:noWrap/>
            <w:vAlign w:val="bottom"/>
            <w:hideMark/>
          </w:tcPr>
          <w:p w:rsidR="001D553E" w:rsidRPr="00444E9A" w:rsidP="001D553E" w14:paraId="0E36066C" w14:textId="77777777">
            <w:pPr>
              <w:keepNext/>
              <w:keepLines/>
              <w:jc w:val="right"/>
              <w:rPr>
                <w:rFonts w:ascii="Arial" w:hAnsi="Arial"/>
                <w:color w:val="auto"/>
                <w:sz w:val="18"/>
                <w:szCs w:val="18"/>
              </w:rPr>
            </w:pPr>
            <w:r w:rsidRPr="00444E9A">
              <w:rPr>
                <w:rFonts w:ascii="Arial" w:hAnsi="Arial"/>
                <w:color w:val="auto"/>
                <w:sz w:val="18"/>
                <w:szCs w:val="18"/>
              </w:rPr>
              <w:t>122,236</w:t>
            </w:r>
          </w:p>
        </w:tc>
        <w:tc>
          <w:tcPr>
            <w:tcW w:w="810" w:type="dxa"/>
            <w:tcBorders>
              <w:top w:val="single" w:sz="4" w:space="0" w:color="auto"/>
              <w:left w:val="single" w:sz="4" w:space="0" w:color="auto"/>
              <w:bottom w:val="single" w:sz="4" w:space="0" w:color="auto"/>
              <w:right w:val="nil"/>
            </w:tcBorders>
            <w:shd w:val="clear" w:color="auto" w:fill="auto"/>
            <w:noWrap/>
            <w:vAlign w:val="bottom"/>
            <w:hideMark/>
          </w:tcPr>
          <w:p w:rsidR="001D553E" w:rsidRPr="00444E9A" w:rsidP="001D553E" w14:paraId="49A11F65" w14:textId="77777777">
            <w:pPr>
              <w:keepNext/>
              <w:keepLines/>
              <w:jc w:val="right"/>
              <w:rPr>
                <w:rFonts w:ascii="Arial" w:hAnsi="Arial"/>
                <w:color w:val="auto"/>
                <w:sz w:val="18"/>
                <w:szCs w:val="18"/>
              </w:rPr>
            </w:pPr>
            <w:r w:rsidRPr="00444E9A">
              <w:rPr>
                <w:rFonts w:ascii="Arial" w:hAnsi="Arial"/>
                <w:color w:val="auto"/>
                <w:sz w:val="18"/>
                <w:szCs w:val="18"/>
              </w:rPr>
              <w:t>4,889</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53E" w:rsidRPr="00444E9A" w:rsidP="001D553E" w14:paraId="453E4E71" w14:textId="77777777">
            <w:pPr>
              <w:keepNext/>
              <w:keepLines/>
              <w:jc w:val="right"/>
              <w:rPr>
                <w:rFonts w:ascii="Arial" w:hAnsi="Arial"/>
                <w:color w:val="auto"/>
                <w:sz w:val="18"/>
                <w:szCs w:val="18"/>
              </w:rPr>
            </w:pPr>
            <w:r w:rsidRPr="00444E9A">
              <w:rPr>
                <w:rFonts w:ascii="Arial" w:hAnsi="Arial"/>
                <w:color w:val="auto"/>
                <w:sz w:val="18"/>
                <w:szCs w:val="18"/>
              </w:rPr>
              <w:t>4,836</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1D553E" w:rsidRPr="00444E9A" w:rsidP="001D553E" w14:paraId="02541C59" w14:textId="77777777">
            <w:pPr>
              <w:keepNext/>
              <w:keepLines/>
              <w:jc w:val="right"/>
              <w:rPr>
                <w:rFonts w:ascii="Arial" w:hAnsi="Arial"/>
                <w:color w:val="auto"/>
                <w:sz w:val="18"/>
                <w:szCs w:val="18"/>
              </w:rPr>
            </w:pPr>
            <w:r w:rsidRPr="00444E9A">
              <w:rPr>
                <w:rFonts w:ascii="Arial" w:hAnsi="Arial"/>
                <w:color w:val="auto"/>
                <w:sz w:val="18"/>
                <w:szCs w:val="18"/>
              </w:rPr>
              <w:t>131,961</w:t>
            </w:r>
          </w:p>
        </w:tc>
        <w:tc>
          <w:tcPr>
            <w:tcW w:w="1170" w:type="dxa"/>
            <w:vMerge w:val="restart"/>
            <w:tcBorders>
              <w:top w:val="nil"/>
              <w:left w:val="nil"/>
              <w:bottom w:val="single" w:sz="4" w:space="0" w:color="auto"/>
              <w:right w:val="single" w:sz="4" w:space="0" w:color="auto"/>
            </w:tcBorders>
            <w:shd w:val="clear" w:color="auto" w:fill="auto"/>
            <w:noWrap/>
            <w:vAlign w:val="center"/>
            <w:hideMark/>
          </w:tcPr>
          <w:p w:rsidR="001D553E" w:rsidRPr="00444E9A" w:rsidP="001D553E" w14:paraId="6FD026E5" w14:textId="77777777">
            <w:pPr>
              <w:keepNext/>
              <w:keepLines/>
              <w:jc w:val="right"/>
              <w:rPr>
                <w:rFonts w:ascii="Arial" w:hAnsi="Arial"/>
                <w:color w:val="auto"/>
                <w:sz w:val="18"/>
                <w:szCs w:val="18"/>
              </w:rPr>
            </w:pPr>
            <w:r w:rsidRPr="00444E9A">
              <w:rPr>
                <w:rFonts w:ascii="Arial" w:hAnsi="Arial"/>
                <w:color w:val="auto"/>
                <w:sz w:val="18"/>
                <w:szCs w:val="18"/>
              </w:rPr>
              <w:t>132,945</w:t>
            </w:r>
          </w:p>
        </w:tc>
        <w:tc>
          <w:tcPr>
            <w:tcW w:w="121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553E" w:rsidRPr="00444E9A" w:rsidP="001D553E" w14:paraId="1F71119D" w14:textId="77777777">
            <w:pPr>
              <w:keepNext/>
              <w:keepLines/>
              <w:jc w:val="right"/>
              <w:rPr>
                <w:rFonts w:ascii="Arial" w:hAnsi="Arial"/>
                <w:color w:val="auto"/>
                <w:sz w:val="18"/>
                <w:szCs w:val="18"/>
              </w:rPr>
            </w:pPr>
            <w:r w:rsidRPr="00444E9A">
              <w:rPr>
                <w:rFonts w:ascii="Arial" w:hAnsi="Arial"/>
                <w:color w:val="auto"/>
                <w:sz w:val="18"/>
                <w:szCs w:val="18"/>
              </w:rPr>
              <w:t>44,315</w:t>
            </w:r>
          </w:p>
        </w:tc>
      </w:tr>
      <w:tr w14:paraId="4D7C4715" w14:textId="77777777" w:rsidTr="00B57037">
        <w:tblPrEx>
          <w:tblW w:w="8779" w:type="dxa"/>
          <w:tblInd w:w="355" w:type="dxa"/>
          <w:tblLayout w:type="fixed"/>
          <w:tblCellMar>
            <w:left w:w="115" w:type="dxa"/>
            <w:right w:w="115" w:type="dxa"/>
          </w:tblCellMar>
          <w:tblLook w:val="04A0"/>
        </w:tblPrEx>
        <w:trPr>
          <w:trHeight w:val="225"/>
        </w:trPr>
        <w:tc>
          <w:tcPr>
            <w:tcW w:w="1170" w:type="dxa"/>
            <w:vMerge/>
            <w:tcBorders>
              <w:top w:val="nil"/>
              <w:left w:val="single" w:sz="4" w:space="0" w:color="auto"/>
              <w:bottom w:val="single" w:sz="4" w:space="0" w:color="000000"/>
              <w:right w:val="nil"/>
            </w:tcBorders>
            <w:vAlign w:val="center"/>
            <w:hideMark/>
          </w:tcPr>
          <w:p w:rsidR="001D553E" w:rsidRPr="00444E9A" w:rsidP="001D553E" w14:paraId="30052097" w14:textId="77777777">
            <w:pPr>
              <w:keepNext/>
              <w:keepLines/>
              <w:rPr>
                <w:rFonts w:ascii="Arial" w:hAnsi="Arial"/>
                <w:sz w:val="18"/>
                <w:szCs w:val="18"/>
              </w:rPr>
            </w:pPr>
          </w:p>
        </w:tc>
        <w:tc>
          <w:tcPr>
            <w:tcW w:w="1142" w:type="dxa"/>
            <w:tcBorders>
              <w:top w:val="nil"/>
              <w:left w:val="single" w:sz="4" w:space="0" w:color="auto"/>
              <w:bottom w:val="nil"/>
              <w:right w:val="nil"/>
            </w:tcBorders>
            <w:shd w:val="clear" w:color="auto" w:fill="auto"/>
            <w:noWrap/>
            <w:vAlign w:val="bottom"/>
            <w:hideMark/>
          </w:tcPr>
          <w:p w:rsidR="001D553E" w:rsidRPr="00444E9A" w:rsidP="001D553E" w14:paraId="4FC017B2" w14:textId="25A8D08B">
            <w:pPr>
              <w:keepNext/>
              <w:keepLines/>
              <w:rPr>
                <w:rFonts w:ascii="Arial" w:hAnsi="Arial"/>
                <w:color w:val="auto"/>
                <w:sz w:val="18"/>
                <w:szCs w:val="18"/>
              </w:rPr>
            </w:pPr>
            <w:r w:rsidRPr="00444E9A">
              <w:rPr>
                <w:rFonts w:ascii="Arial" w:hAnsi="Arial"/>
                <w:color w:val="auto"/>
                <w:sz w:val="18"/>
                <w:szCs w:val="18"/>
              </w:rPr>
              <w:t>SCs</w:t>
            </w:r>
          </w:p>
        </w:tc>
        <w:tc>
          <w:tcPr>
            <w:tcW w:w="1018" w:type="dxa"/>
            <w:tcBorders>
              <w:top w:val="single" w:sz="4" w:space="0" w:color="auto"/>
              <w:left w:val="single" w:sz="4" w:space="0" w:color="auto"/>
              <w:bottom w:val="single" w:sz="4" w:space="0" w:color="auto"/>
              <w:right w:val="nil"/>
            </w:tcBorders>
            <w:shd w:val="clear" w:color="auto" w:fill="auto"/>
            <w:noWrap/>
            <w:vAlign w:val="bottom"/>
            <w:hideMark/>
          </w:tcPr>
          <w:p w:rsidR="001D553E" w:rsidRPr="00444E9A" w:rsidP="001D553E" w14:paraId="1759F583" w14:textId="77777777">
            <w:pPr>
              <w:keepNext/>
              <w:keepLines/>
              <w:jc w:val="right"/>
              <w:rPr>
                <w:rFonts w:ascii="Arial" w:hAnsi="Arial"/>
                <w:color w:val="auto"/>
                <w:sz w:val="18"/>
                <w:szCs w:val="18"/>
              </w:rPr>
            </w:pPr>
            <w:r w:rsidRPr="00444E9A">
              <w:rPr>
                <w:rFonts w:ascii="Arial" w:hAnsi="Arial"/>
                <w:color w:val="auto"/>
                <w:sz w:val="18"/>
                <w:szCs w:val="18"/>
              </w:rPr>
              <w:t>897</w:t>
            </w:r>
          </w:p>
        </w:tc>
        <w:tc>
          <w:tcPr>
            <w:tcW w:w="810" w:type="dxa"/>
            <w:tcBorders>
              <w:top w:val="single" w:sz="4" w:space="0" w:color="auto"/>
              <w:left w:val="single" w:sz="4" w:space="0" w:color="auto"/>
              <w:bottom w:val="single" w:sz="4" w:space="0" w:color="auto"/>
              <w:right w:val="nil"/>
            </w:tcBorders>
            <w:shd w:val="clear" w:color="auto" w:fill="auto"/>
            <w:noWrap/>
            <w:vAlign w:val="bottom"/>
            <w:hideMark/>
          </w:tcPr>
          <w:p w:rsidR="001D553E" w:rsidRPr="00444E9A" w:rsidP="001D553E" w14:paraId="712C6101" w14:textId="77777777">
            <w:pPr>
              <w:keepNext/>
              <w:keepLines/>
              <w:jc w:val="right"/>
              <w:rPr>
                <w:rFonts w:ascii="Arial" w:hAnsi="Arial"/>
                <w:color w:val="auto"/>
                <w:sz w:val="18"/>
                <w:szCs w:val="18"/>
              </w:rPr>
            </w:pPr>
            <w:r w:rsidRPr="00444E9A">
              <w:rPr>
                <w:rFonts w:ascii="Arial" w:hAnsi="Arial"/>
                <w:color w:val="auto"/>
                <w:sz w:val="18"/>
                <w:szCs w:val="18"/>
              </w:rPr>
              <w:t>44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53E" w:rsidRPr="00444E9A" w:rsidP="001D553E" w14:paraId="4E9248F7" w14:textId="77777777">
            <w:pPr>
              <w:keepNext/>
              <w:keepLines/>
              <w:jc w:val="right"/>
              <w:rPr>
                <w:rFonts w:ascii="Arial" w:hAnsi="Arial"/>
                <w:color w:val="auto"/>
                <w:sz w:val="18"/>
                <w:szCs w:val="18"/>
              </w:rPr>
            </w:pPr>
            <w:r w:rsidRPr="00444E9A">
              <w:rPr>
                <w:rFonts w:ascii="Arial" w:hAnsi="Arial"/>
                <w:color w:val="auto"/>
                <w:sz w:val="18"/>
                <w:szCs w:val="18"/>
              </w:rPr>
              <w:t>44</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1D553E" w:rsidRPr="00444E9A" w:rsidP="001D553E" w14:paraId="5D061142" w14:textId="77777777">
            <w:pPr>
              <w:keepNext/>
              <w:keepLines/>
              <w:jc w:val="right"/>
              <w:rPr>
                <w:rFonts w:ascii="Arial" w:hAnsi="Arial"/>
                <w:color w:val="auto"/>
                <w:sz w:val="18"/>
                <w:szCs w:val="18"/>
              </w:rPr>
            </w:pPr>
            <w:r w:rsidRPr="00444E9A">
              <w:rPr>
                <w:rFonts w:ascii="Arial" w:hAnsi="Arial"/>
                <w:color w:val="auto"/>
                <w:sz w:val="18"/>
                <w:szCs w:val="18"/>
              </w:rPr>
              <w:t>984</w:t>
            </w:r>
          </w:p>
        </w:tc>
        <w:tc>
          <w:tcPr>
            <w:tcW w:w="1170" w:type="dxa"/>
            <w:vMerge/>
            <w:tcBorders>
              <w:top w:val="nil"/>
              <w:left w:val="nil"/>
              <w:bottom w:val="single" w:sz="4" w:space="0" w:color="auto"/>
              <w:right w:val="single" w:sz="4" w:space="0" w:color="auto"/>
            </w:tcBorders>
            <w:vAlign w:val="center"/>
            <w:hideMark/>
          </w:tcPr>
          <w:p w:rsidR="001D553E" w:rsidRPr="00444E9A" w:rsidP="001D553E" w14:paraId="4CD0EF89" w14:textId="77777777">
            <w:pPr>
              <w:keepNext/>
              <w:keepLines/>
              <w:rPr>
                <w:rFonts w:ascii="Arial" w:hAnsi="Arial"/>
                <w:color w:val="auto"/>
                <w:sz w:val="18"/>
                <w:szCs w:val="18"/>
              </w:rPr>
            </w:pPr>
          </w:p>
        </w:tc>
        <w:tc>
          <w:tcPr>
            <w:tcW w:w="1219" w:type="dxa"/>
            <w:vMerge/>
            <w:tcBorders>
              <w:top w:val="nil"/>
              <w:left w:val="single" w:sz="4" w:space="0" w:color="auto"/>
              <w:bottom w:val="single" w:sz="4" w:space="0" w:color="auto"/>
              <w:right w:val="single" w:sz="4" w:space="0" w:color="auto"/>
            </w:tcBorders>
            <w:vAlign w:val="center"/>
            <w:hideMark/>
          </w:tcPr>
          <w:p w:rsidR="001D553E" w:rsidRPr="00444E9A" w:rsidP="001D553E" w14:paraId="06823D74" w14:textId="77777777">
            <w:pPr>
              <w:keepNext/>
              <w:keepLines/>
              <w:rPr>
                <w:rFonts w:ascii="Arial" w:hAnsi="Arial"/>
                <w:color w:val="auto"/>
                <w:sz w:val="18"/>
                <w:szCs w:val="18"/>
              </w:rPr>
            </w:pPr>
          </w:p>
        </w:tc>
      </w:tr>
      <w:tr w14:paraId="4ED5AD32" w14:textId="77777777" w:rsidTr="00B57037">
        <w:tblPrEx>
          <w:tblW w:w="8779" w:type="dxa"/>
          <w:tblInd w:w="355" w:type="dxa"/>
          <w:tblLayout w:type="fixed"/>
          <w:tblCellMar>
            <w:left w:w="115" w:type="dxa"/>
            <w:right w:w="115" w:type="dxa"/>
          </w:tblCellMar>
          <w:tblLook w:val="04A0"/>
        </w:tblPrEx>
        <w:trPr>
          <w:trHeight w:val="225"/>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1D553E" w:rsidRPr="00444E9A" w:rsidP="001D553E" w14:paraId="33BFD675" w14:textId="0B1663CE">
            <w:pPr>
              <w:keepNext/>
              <w:keepLines/>
              <w:rPr>
                <w:rFonts w:ascii="Arial" w:hAnsi="Arial"/>
                <w:sz w:val="18"/>
                <w:szCs w:val="18"/>
              </w:rPr>
            </w:pPr>
            <w:r w:rsidRPr="00444E9A">
              <w:rPr>
                <w:rFonts w:ascii="Arial" w:hAnsi="Arial"/>
                <w:sz w:val="18"/>
                <w:szCs w:val="18"/>
              </w:rPr>
              <w:t>FRSR</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rsidR="001D553E" w:rsidRPr="00444E9A" w:rsidP="001D553E" w14:paraId="61931A92" w14:textId="31D6C305">
            <w:pPr>
              <w:keepNext/>
              <w:keepLines/>
              <w:rPr>
                <w:rFonts w:ascii="Arial" w:hAnsi="Arial"/>
                <w:color w:val="auto"/>
                <w:sz w:val="18"/>
                <w:szCs w:val="18"/>
              </w:rPr>
            </w:pPr>
            <w:r w:rsidRPr="00444E9A">
              <w:rPr>
                <w:rFonts w:ascii="Arial" w:hAnsi="Arial"/>
                <w:color w:val="auto"/>
                <w:sz w:val="18"/>
                <w:szCs w:val="18"/>
              </w:rPr>
              <w:t>SCs</w:t>
            </w:r>
          </w:p>
        </w:tc>
        <w:tc>
          <w:tcPr>
            <w:tcW w:w="10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53E" w:rsidRPr="00444E9A" w:rsidP="001D553E" w14:paraId="636F4B99" w14:textId="77777777">
            <w:pPr>
              <w:keepNext/>
              <w:keepLines/>
              <w:jc w:val="right"/>
              <w:rPr>
                <w:rFonts w:ascii="Arial" w:hAnsi="Arial"/>
                <w:color w:val="auto"/>
                <w:sz w:val="18"/>
                <w:szCs w:val="18"/>
              </w:rPr>
            </w:pPr>
            <w:r w:rsidRPr="00444E9A">
              <w:rPr>
                <w:rFonts w:ascii="Arial" w:hAnsi="Arial"/>
                <w:color w:val="auto"/>
                <w:sz w:val="18"/>
                <w:szCs w:val="18"/>
              </w:rPr>
              <w:t>496</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1D553E" w:rsidRPr="00444E9A" w:rsidP="001D553E" w14:paraId="3FB41063" w14:textId="77777777">
            <w:pPr>
              <w:keepNext/>
              <w:keepLines/>
              <w:jc w:val="right"/>
              <w:rPr>
                <w:rFonts w:ascii="Arial" w:hAnsi="Arial"/>
                <w:color w:val="auto"/>
                <w:sz w:val="18"/>
                <w:szCs w:val="18"/>
              </w:rPr>
            </w:pPr>
            <w:r w:rsidRPr="00444E9A">
              <w:rPr>
                <w:rFonts w:ascii="Arial" w:hAnsi="Arial"/>
                <w:color w:val="auto"/>
                <w:sz w:val="18"/>
                <w:szCs w:val="18"/>
              </w:rPr>
              <w:t>42</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1D553E" w:rsidRPr="00444E9A" w:rsidP="001D553E" w14:paraId="79E57DB4" w14:textId="77777777">
            <w:pPr>
              <w:keepNext/>
              <w:keepLines/>
              <w:jc w:val="right"/>
              <w:rPr>
                <w:rFonts w:ascii="Arial" w:hAnsi="Arial"/>
                <w:color w:val="auto"/>
                <w:sz w:val="18"/>
                <w:szCs w:val="18"/>
              </w:rPr>
            </w:pPr>
            <w:r w:rsidRPr="00444E9A">
              <w:rPr>
                <w:rFonts w:ascii="Arial" w:hAnsi="Arial"/>
                <w:color w:val="auto"/>
                <w:sz w:val="18"/>
                <w:szCs w:val="18"/>
              </w:rPr>
              <w:t>43</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1D553E" w:rsidRPr="00444E9A" w:rsidP="001D553E" w14:paraId="74145720" w14:textId="77777777">
            <w:pPr>
              <w:keepNext/>
              <w:keepLines/>
              <w:jc w:val="right"/>
              <w:rPr>
                <w:rFonts w:ascii="Arial" w:hAnsi="Arial"/>
                <w:color w:val="auto"/>
                <w:sz w:val="18"/>
                <w:szCs w:val="18"/>
              </w:rPr>
            </w:pPr>
            <w:r w:rsidRPr="00444E9A">
              <w:rPr>
                <w:rFonts w:ascii="Arial" w:hAnsi="Arial"/>
                <w:color w:val="auto"/>
                <w:sz w:val="18"/>
                <w:szCs w:val="18"/>
              </w:rPr>
              <w:t>581</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1D553E" w:rsidRPr="00444E9A" w:rsidP="001D553E" w14:paraId="4B5F66D4" w14:textId="77777777">
            <w:pPr>
              <w:keepNext/>
              <w:keepLines/>
              <w:jc w:val="right"/>
              <w:rPr>
                <w:rFonts w:ascii="Arial" w:hAnsi="Arial"/>
                <w:color w:val="auto"/>
                <w:sz w:val="18"/>
                <w:szCs w:val="18"/>
              </w:rPr>
            </w:pPr>
            <w:r w:rsidRPr="00444E9A">
              <w:rPr>
                <w:rFonts w:ascii="Arial" w:hAnsi="Arial"/>
                <w:color w:val="auto"/>
                <w:sz w:val="18"/>
                <w:szCs w:val="18"/>
              </w:rPr>
              <w:t>581</w:t>
            </w:r>
          </w:p>
        </w:tc>
        <w:tc>
          <w:tcPr>
            <w:tcW w:w="1219" w:type="dxa"/>
            <w:tcBorders>
              <w:top w:val="nil"/>
              <w:left w:val="nil"/>
              <w:bottom w:val="single" w:sz="4" w:space="0" w:color="auto"/>
              <w:right w:val="single" w:sz="4" w:space="0" w:color="auto"/>
            </w:tcBorders>
            <w:shd w:val="clear" w:color="auto" w:fill="auto"/>
            <w:noWrap/>
            <w:vAlign w:val="bottom"/>
            <w:hideMark/>
          </w:tcPr>
          <w:p w:rsidR="001D553E" w:rsidRPr="00444E9A" w:rsidP="001D553E" w14:paraId="25F8A4C4" w14:textId="77777777">
            <w:pPr>
              <w:keepNext/>
              <w:keepLines/>
              <w:jc w:val="right"/>
              <w:rPr>
                <w:rFonts w:ascii="Arial" w:hAnsi="Arial"/>
                <w:color w:val="auto"/>
                <w:sz w:val="18"/>
                <w:szCs w:val="18"/>
              </w:rPr>
            </w:pPr>
            <w:r w:rsidRPr="00444E9A">
              <w:rPr>
                <w:rFonts w:ascii="Arial" w:hAnsi="Arial"/>
                <w:color w:val="auto"/>
                <w:sz w:val="18"/>
                <w:szCs w:val="18"/>
              </w:rPr>
              <w:t>194</w:t>
            </w:r>
          </w:p>
        </w:tc>
      </w:tr>
      <w:tr w14:paraId="2E5633BD" w14:textId="77777777" w:rsidTr="00B57037">
        <w:tblPrEx>
          <w:tblW w:w="8779" w:type="dxa"/>
          <w:tblInd w:w="355" w:type="dxa"/>
          <w:tblLayout w:type="fixed"/>
          <w:tblCellMar>
            <w:left w:w="115" w:type="dxa"/>
            <w:right w:w="115" w:type="dxa"/>
          </w:tblCellMar>
          <w:tblLook w:val="04A0"/>
        </w:tblPrEx>
        <w:trPr>
          <w:trHeight w:val="238"/>
        </w:trPr>
        <w:tc>
          <w:tcPr>
            <w:tcW w:w="1170" w:type="dxa"/>
            <w:vMerge w:val="restart"/>
            <w:tcBorders>
              <w:top w:val="nil"/>
              <w:left w:val="single" w:sz="4" w:space="0" w:color="auto"/>
              <w:bottom w:val="single" w:sz="4" w:space="0" w:color="auto"/>
              <w:right w:val="nil"/>
            </w:tcBorders>
            <w:shd w:val="clear" w:color="auto" w:fill="auto"/>
            <w:noWrap/>
            <w:vAlign w:val="center"/>
            <w:hideMark/>
          </w:tcPr>
          <w:p w:rsidR="001D553E" w:rsidRPr="00444E9A" w:rsidP="001D553E" w14:paraId="766247A1" w14:textId="77777777">
            <w:pPr>
              <w:keepNext/>
              <w:keepLines/>
              <w:rPr>
                <w:rFonts w:ascii="Arial" w:hAnsi="Arial"/>
                <w:sz w:val="18"/>
                <w:szCs w:val="18"/>
              </w:rPr>
            </w:pPr>
            <w:r w:rsidRPr="00444E9A">
              <w:rPr>
                <w:rFonts w:ascii="Arial" w:hAnsi="Arial"/>
                <w:sz w:val="18"/>
                <w:szCs w:val="18"/>
              </w:rPr>
              <w:t>PTPR</w:t>
            </w:r>
          </w:p>
        </w:tc>
        <w:tc>
          <w:tcPr>
            <w:tcW w:w="1142" w:type="dxa"/>
            <w:tcBorders>
              <w:top w:val="nil"/>
              <w:left w:val="single" w:sz="4" w:space="0" w:color="auto"/>
              <w:bottom w:val="nil"/>
              <w:right w:val="nil"/>
            </w:tcBorders>
            <w:shd w:val="clear" w:color="auto" w:fill="auto"/>
            <w:noWrap/>
            <w:vAlign w:val="bottom"/>
            <w:hideMark/>
          </w:tcPr>
          <w:p w:rsidR="001D553E" w:rsidRPr="00444E9A" w:rsidP="001D553E" w14:paraId="3362DDFB" w14:textId="0AAE65B1">
            <w:pPr>
              <w:keepNext/>
              <w:keepLines/>
              <w:rPr>
                <w:rFonts w:ascii="Arial" w:hAnsi="Arial"/>
                <w:color w:val="auto"/>
                <w:sz w:val="18"/>
                <w:szCs w:val="18"/>
              </w:rPr>
            </w:pPr>
            <w:r w:rsidRPr="00444E9A">
              <w:rPr>
                <w:rFonts w:ascii="Arial" w:hAnsi="Arial"/>
                <w:color w:val="auto"/>
                <w:sz w:val="18"/>
                <w:szCs w:val="18"/>
              </w:rPr>
              <w:t>SSEs</w:t>
            </w:r>
          </w:p>
        </w:tc>
        <w:tc>
          <w:tcPr>
            <w:tcW w:w="1018" w:type="dxa"/>
            <w:tcBorders>
              <w:top w:val="single" w:sz="4" w:space="0" w:color="auto"/>
              <w:left w:val="single" w:sz="4" w:space="0" w:color="auto"/>
              <w:bottom w:val="single" w:sz="4" w:space="0" w:color="auto"/>
              <w:right w:val="nil"/>
            </w:tcBorders>
            <w:shd w:val="clear" w:color="auto" w:fill="auto"/>
            <w:noWrap/>
            <w:vAlign w:val="bottom"/>
            <w:hideMark/>
          </w:tcPr>
          <w:p w:rsidR="001D553E" w:rsidRPr="00444E9A" w:rsidP="001D553E" w14:paraId="72EAAEA3" w14:textId="77777777">
            <w:pPr>
              <w:keepNext/>
              <w:keepLines/>
              <w:jc w:val="right"/>
              <w:rPr>
                <w:rFonts w:ascii="Arial" w:hAnsi="Arial"/>
                <w:color w:val="auto"/>
                <w:sz w:val="18"/>
                <w:szCs w:val="18"/>
              </w:rPr>
            </w:pPr>
            <w:r w:rsidRPr="00444E9A">
              <w:rPr>
                <w:rFonts w:ascii="Arial" w:hAnsi="Arial"/>
                <w:color w:val="auto"/>
                <w:sz w:val="18"/>
                <w:szCs w:val="18"/>
              </w:rPr>
              <w:t>179,337</w:t>
            </w:r>
          </w:p>
        </w:tc>
        <w:tc>
          <w:tcPr>
            <w:tcW w:w="810" w:type="dxa"/>
            <w:tcBorders>
              <w:top w:val="single" w:sz="4" w:space="0" w:color="auto"/>
              <w:left w:val="single" w:sz="4" w:space="0" w:color="auto"/>
              <w:bottom w:val="single" w:sz="4" w:space="0" w:color="auto"/>
              <w:right w:val="nil"/>
            </w:tcBorders>
            <w:shd w:val="clear" w:color="auto" w:fill="auto"/>
            <w:noWrap/>
            <w:vAlign w:val="bottom"/>
            <w:hideMark/>
          </w:tcPr>
          <w:p w:rsidR="001D553E" w:rsidRPr="00444E9A" w:rsidP="001D553E" w14:paraId="303A95DB" w14:textId="77777777">
            <w:pPr>
              <w:keepNext/>
              <w:keepLines/>
              <w:jc w:val="right"/>
              <w:rPr>
                <w:rFonts w:ascii="Arial" w:hAnsi="Arial"/>
                <w:color w:val="auto"/>
                <w:sz w:val="18"/>
                <w:szCs w:val="18"/>
              </w:rPr>
            </w:pPr>
            <w:r w:rsidRPr="00444E9A">
              <w:rPr>
                <w:rFonts w:ascii="Arial" w:hAnsi="Arial"/>
                <w:color w:val="auto"/>
                <w:sz w:val="18"/>
                <w:szCs w:val="18"/>
              </w:rPr>
              <w:t>20,795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53E" w:rsidRPr="00444E9A" w:rsidP="001D553E" w14:paraId="5293C91A" w14:textId="77777777">
            <w:pPr>
              <w:keepNext/>
              <w:keepLines/>
              <w:jc w:val="right"/>
              <w:rPr>
                <w:rFonts w:ascii="Arial" w:hAnsi="Arial"/>
                <w:color w:val="auto"/>
                <w:sz w:val="18"/>
                <w:szCs w:val="18"/>
              </w:rPr>
            </w:pPr>
            <w:r w:rsidRPr="00444E9A">
              <w:rPr>
                <w:rFonts w:ascii="Arial" w:hAnsi="Arial"/>
                <w:color w:val="auto"/>
                <w:sz w:val="18"/>
                <w:szCs w:val="18"/>
              </w:rPr>
              <w:t>20,856</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1D553E" w:rsidRPr="00444E9A" w:rsidP="001D553E" w14:paraId="0A96BC6C" w14:textId="77777777">
            <w:pPr>
              <w:keepNext/>
              <w:keepLines/>
              <w:jc w:val="right"/>
              <w:rPr>
                <w:rFonts w:ascii="Arial" w:hAnsi="Arial"/>
                <w:color w:val="auto"/>
                <w:sz w:val="18"/>
                <w:szCs w:val="18"/>
              </w:rPr>
            </w:pPr>
            <w:r w:rsidRPr="00444E9A">
              <w:rPr>
                <w:rFonts w:ascii="Arial" w:hAnsi="Arial"/>
                <w:color w:val="auto"/>
                <w:sz w:val="18"/>
                <w:szCs w:val="18"/>
              </w:rPr>
              <w:t>220,987</w:t>
            </w:r>
          </w:p>
        </w:tc>
        <w:tc>
          <w:tcPr>
            <w:tcW w:w="1170" w:type="dxa"/>
            <w:vMerge w:val="restart"/>
            <w:tcBorders>
              <w:top w:val="nil"/>
              <w:left w:val="nil"/>
              <w:bottom w:val="single" w:sz="4" w:space="0" w:color="auto"/>
              <w:right w:val="single" w:sz="4" w:space="0" w:color="auto"/>
            </w:tcBorders>
            <w:shd w:val="clear" w:color="auto" w:fill="auto"/>
            <w:noWrap/>
            <w:vAlign w:val="center"/>
            <w:hideMark/>
          </w:tcPr>
          <w:p w:rsidR="001D553E" w:rsidRPr="00444E9A" w:rsidP="001D553E" w14:paraId="53C723C5" w14:textId="77777777">
            <w:pPr>
              <w:keepNext/>
              <w:keepLines/>
              <w:jc w:val="right"/>
              <w:rPr>
                <w:rFonts w:ascii="Arial" w:hAnsi="Arial"/>
                <w:color w:val="auto"/>
                <w:sz w:val="18"/>
                <w:szCs w:val="18"/>
              </w:rPr>
            </w:pPr>
            <w:r w:rsidRPr="00444E9A">
              <w:rPr>
                <w:rFonts w:ascii="Arial" w:hAnsi="Arial"/>
                <w:color w:val="auto"/>
                <w:sz w:val="18"/>
                <w:szCs w:val="18"/>
              </w:rPr>
              <w:t>221,279</w:t>
            </w:r>
          </w:p>
        </w:tc>
        <w:tc>
          <w:tcPr>
            <w:tcW w:w="121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553E" w:rsidRPr="00444E9A" w:rsidP="001D553E" w14:paraId="19B420AC" w14:textId="77777777">
            <w:pPr>
              <w:keepNext/>
              <w:keepLines/>
              <w:jc w:val="right"/>
              <w:rPr>
                <w:rFonts w:ascii="Arial" w:hAnsi="Arial"/>
                <w:color w:val="auto"/>
                <w:sz w:val="18"/>
                <w:szCs w:val="18"/>
              </w:rPr>
            </w:pPr>
            <w:r w:rsidRPr="00444E9A">
              <w:rPr>
                <w:rFonts w:ascii="Arial" w:hAnsi="Arial"/>
                <w:color w:val="auto"/>
                <w:sz w:val="18"/>
                <w:szCs w:val="18"/>
              </w:rPr>
              <w:t>73,760</w:t>
            </w:r>
          </w:p>
        </w:tc>
      </w:tr>
      <w:tr w14:paraId="78FFD568" w14:textId="77777777" w:rsidTr="00B57037">
        <w:tblPrEx>
          <w:tblW w:w="8779" w:type="dxa"/>
          <w:tblInd w:w="355" w:type="dxa"/>
          <w:tblLayout w:type="fixed"/>
          <w:tblCellMar>
            <w:left w:w="115" w:type="dxa"/>
            <w:right w:w="115" w:type="dxa"/>
          </w:tblCellMar>
          <w:tblLook w:val="04A0"/>
        </w:tblPrEx>
        <w:trPr>
          <w:trHeight w:val="225"/>
        </w:trPr>
        <w:tc>
          <w:tcPr>
            <w:tcW w:w="1170" w:type="dxa"/>
            <w:vMerge/>
            <w:tcBorders>
              <w:top w:val="nil"/>
              <w:left w:val="single" w:sz="4" w:space="0" w:color="auto"/>
              <w:bottom w:val="single" w:sz="4" w:space="0" w:color="auto"/>
              <w:right w:val="nil"/>
            </w:tcBorders>
            <w:vAlign w:val="center"/>
            <w:hideMark/>
          </w:tcPr>
          <w:p w:rsidR="001D553E" w:rsidRPr="00444E9A" w:rsidP="001D553E" w14:paraId="3C0B978D" w14:textId="77777777">
            <w:pPr>
              <w:keepNext/>
              <w:keepLines/>
              <w:rPr>
                <w:rFonts w:ascii="Arial" w:hAnsi="Arial"/>
                <w:sz w:val="18"/>
                <w:szCs w:val="18"/>
              </w:rPr>
            </w:pPr>
          </w:p>
        </w:tc>
        <w:tc>
          <w:tcPr>
            <w:tcW w:w="1142" w:type="dxa"/>
            <w:tcBorders>
              <w:top w:val="nil"/>
              <w:left w:val="single" w:sz="4" w:space="0" w:color="auto"/>
              <w:bottom w:val="single" w:sz="4" w:space="0" w:color="auto"/>
              <w:right w:val="nil"/>
            </w:tcBorders>
            <w:shd w:val="clear" w:color="auto" w:fill="auto"/>
            <w:noWrap/>
            <w:vAlign w:val="bottom"/>
            <w:hideMark/>
          </w:tcPr>
          <w:p w:rsidR="001D553E" w:rsidRPr="00444E9A" w:rsidP="001D553E" w14:paraId="23C1D76A" w14:textId="5D99DDE9">
            <w:pPr>
              <w:keepNext/>
              <w:keepLines/>
              <w:rPr>
                <w:rFonts w:ascii="Arial" w:hAnsi="Arial"/>
                <w:color w:val="auto"/>
                <w:sz w:val="18"/>
                <w:szCs w:val="18"/>
              </w:rPr>
            </w:pPr>
            <w:r w:rsidRPr="00444E9A">
              <w:rPr>
                <w:rFonts w:ascii="Arial" w:hAnsi="Arial"/>
                <w:color w:val="auto"/>
                <w:sz w:val="18"/>
                <w:szCs w:val="18"/>
              </w:rPr>
              <w:t>SCs</w:t>
            </w:r>
          </w:p>
        </w:tc>
        <w:tc>
          <w:tcPr>
            <w:tcW w:w="1018" w:type="dxa"/>
            <w:tcBorders>
              <w:top w:val="single" w:sz="4" w:space="0" w:color="auto"/>
              <w:left w:val="single" w:sz="4" w:space="0" w:color="auto"/>
              <w:bottom w:val="single" w:sz="4" w:space="0" w:color="auto"/>
              <w:right w:val="nil"/>
            </w:tcBorders>
            <w:shd w:val="clear" w:color="auto" w:fill="auto"/>
            <w:noWrap/>
            <w:vAlign w:val="bottom"/>
            <w:hideMark/>
          </w:tcPr>
          <w:p w:rsidR="001D553E" w:rsidRPr="00444E9A" w:rsidP="001D553E" w14:paraId="5E71B328" w14:textId="77777777">
            <w:pPr>
              <w:keepNext/>
              <w:keepLines/>
              <w:jc w:val="right"/>
              <w:rPr>
                <w:rFonts w:ascii="Arial" w:hAnsi="Arial"/>
                <w:color w:val="auto"/>
                <w:sz w:val="18"/>
                <w:szCs w:val="18"/>
              </w:rPr>
            </w:pPr>
            <w:r w:rsidRPr="00444E9A">
              <w:rPr>
                <w:rFonts w:ascii="Arial" w:hAnsi="Arial"/>
                <w:color w:val="auto"/>
                <w:sz w:val="18"/>
                <w:szCs w:val="18"/>
              </w:rPr>
              <w:t>230</w:t>
            </w:r>
          </w:p>
        </w:tc>
        <w:tc>
          <w:tcPr>
            <w:tcW w:w="810" w:type="dxa"/>
            <w:tcBorders>
              <w:top w:val="single" w:sz="4" w:space="0" w:color="auto"/>
              <w:left w:val="single" w:sz="4" w:space="0" w:color="auto"/>
              <w:bottom w:val="single" w:sz="4" w:space="0" w:color="auto"/>
              <w:right w:val="nil"/>
            </w:tcBorders>
            <w:shd w:val="clear" w:color="auto" w:fill="auto"/>
            <w:noWrap/>
            <w:vAlign w:val="bottom"/>
            <w:hideMark/>
          </w:tcPr>
          <w:p w:rsidR="001D553E" w:rsidRPr="00444E9A" w:rsidP="001D553E" w14:paraId="4AF2E178" w14:textId="77777777">
            <w:pPr>
              <w:keepNext/>
              <w:keepLines/>
              <w:jc w:val="right"/>
              <w:rPr>
                <w:rFonts w:ascii="Arial" w:hAnsi="Arial"/>
                <w:color w:val="auto"/>
                <w:sz w:val="18"/>
                <w:szCs w:val="18"/>
              </w:rPr>
            </w:pPr>
            <w:r w:rsidRPr="00444E9A">
              <w:rPr>
                <w:rFonts w:ascii="Arial" w:hAnsi="Arial"/>
                <w:color w:val="auto"/>
                <w:sz w:val="18"/>
                <w:szCs w:val="18"/>
              </w:rPr>
              <w:t>30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53E" w:rsidRPr="00444E9A" w:rsidP="001D553E" w14:paraId="62C08D90" w14:textId="77777777">
            <w:pPr>
              <w:keepNext/>
              <w:keepLines/>
              <w:jc w:val="right"/>
              <w:rPr>
                <w:rFonts w:ascii="Arial" w:hAnsi="Arial"/>
                <w:color w:val="auto"/>
                <w:sz w:val="18"/>
                <w:szCs w:val="18"/>
              </w:rPr>
            </w:pPr>
            <w:r w:rsidRPr="00444E9A">
              <w:rPr>
                <w:rFonts w:ascii="Arial" w:hAnsi="Arial"/>
                <w:color w:val="auto"/>
                <w:sz w:val="18"/>
                <w:szCs w:val="18"/>
              </w:rPr>
              <w:t>31</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1D553E" w:rsidRPr="00444E9A" w:rsidP="001D553E" w14:paraId="1003A668" w14:textId="77777777">
            <w:pPr>
              <w:keepNext/>
              <w:keepLines/>
              <w:jc w:val="right"/>
              <w:rPr>
                <w:rFonts w:ascii="Arial" w:hAnsi="Arial"/>
                <w:color w:val="auto"/>
                <w:sz w:val="18"/>
                <w:szCs w:val="18"/>
              </w:rPr>
            </w:pPr>
            <w:r w:rsidRPr="00444E9A">
              <w:rPr>
                <w:rFonts w:ascii="Arial" w:hAnsi="Arial"/>
                <w:color w:val="auto"/>
                <w:sz w:val="18"/>
                <w:szCs w:val="18"/>
              </w:rPr>
              <w:t>292</w:t>
            </w:r>
          </w:p>
        </w:tc>
        <w:tc>
          <w:tcPr>
            <w:tcW w:w="1170" w:type="dxa"/>
            <w:vMerge/>
            <w:tcBorders>
              <w:top w:val="nil"/>
              <w:left w:val="nil"/>
              <w:bottom w:val="single" w:sz="4" w:space="0" w:color="auto"/>
              <w:right w:val="single" w:sz="4" w:space="0" w:color="auto"/>
            </w:tcBorders>
            <w:vAlign w:val="center"/>
            <w:hideMark/>
          </w:tcPr>
          <w:p w:rsidR="001D553E" w:rsidRPr="00444E9A" w:rsidP="001D553E" w14:paraId="77139621" w14:textId="77777777">
            <w:pPr>
              <w:keepNext/>
              <w:keepLines/>
              <w:rPr>
                <w:rFonts w:ascii="Arial" w:hAnsi="Arial"/>
                <w:color w:val="auto"/>
                <w:sz w:val="18"/>
                <w:szCs w:val="18"/>
              </w:rPr>
            </w:pPr>
          </w:p>
        </w:tc>
        <w:tc>
          <w:tcPr>
            <w:tcW w:w="1219" w:type="dxa"/>
            <w:vMerge/>
            <w:tcBorders>
              <w:top w:val="nil"/>
              <w:left w:val="single" w:sz="4" w:space="0" w:color="auto"/>
              <w:bottom w:val="single" w:sz="4" w:space="0" w:color="auto"/>
              <w:right w:val="single" w:sz="4" w:space="0" w:color="auto"/>
            </w:tcBorders>
            <w:vAlign w:val="center"/>
            <w:hideMark/>
          </w:tcPr>
          <w:p w:rsidR="001D553E" w:rsidRPr="00444E9A" w:rsidP="001D553E" w14:paraId="45737297" w14:textId="77777777">
            <w:pPr>
              <w:keepNext/>
              <w:keepLines/>
              <w:rPr>
                <w:rFonts w:ascii="Arial" w:hAnsi="Arial"/>
                <w:color w:val="auto"/>
                <w:sz w:val="18"/>
                <w:szCs w:val="18"/>
              </w:rPr>
            </w:pPr>
          </w:p>
        </w:tc>
      </w:tr>
      <w:tr w14:paraId="41C59E44" w14:textId="77777777" w:rsidTr="00B57037">
        <w:tblPrEx>
          <w:tblW w:w="8779" w:type="dxa"/>
          <w:tblInd w:w="355" w:type="dxa"/>
          <w:tblLayout w:type="fixed"/>
          <w:tblCellMar>
            <w:left w:w="115" w:type="dxa"/>
            <w:right w:w="115" w:type="dxa"/>
          </w:tblCellMar>
          <w:tblLook w:val="04A0"/>
        </w:tblPrEx>
        <w:trPr>
          <w:trHeight w:val="225"/>
        </w:trPr>
        <w:tc>
          <w:tcPr>
            <w:tcW w:w="1170" w:type="dxa"/>
            <w:tcBorders>
              <w:top w:val="single" w:sz="4" w:space="0" w:color="auto"/>
              <w:left w:val="single" w:sz="4" w:space="0" w:color="auto"/>
              <w:bottom w:val="nil"/>
              <w:right w:val="single" w:sz="4" w:space="0" w:color="auto"/>
            </w:tcBorders>
            <w:shd w:val="clear" w:color="auto" w:fill="auto"/>
            <w:noWrap/>
            <w:vAlign w:val="center"/>
            <w:hideMark/>
          </w:tcPr>
          <w:p w:rsidR="001D553E" w:rsidRPr="00444E9A" w:rsidP="001D553E" w14:paraId="09AAECB9" w14:textId="77777777">
            <w:pPr>
              <w:keepNext/>
              <w:keepLines/>
              <w:rPr>
                <w:rFonts w:ascii="Arial" w:hAnsi="Arial"/>
                <w:color w:val="auto"/>
                <w:sz w:val="18"/>
                <w:szCs w:val="18"/>
              </w:rPr>
            </w:pPr>
            <w:r w:rsidRPr="00444E9A">
              <w:rPr>
                <w:rFonts w:ascii="Arial" w:hAnsi="Arial"/>
                <w:color w:val="auto"/>
                <w:sz w:val="18"/>
                <w:szCs w:val="18"/>
              </w:rPr>
              <w:t xml:space="preserve">OTRB </w:t>
            </w:r>
          </w:p>
        </w:tc>
        <w:tc>
          <w:tcPr>
            <w:tcW w:w="1142" w:type="dxa"/>
            <w:tcBorders>
              <w:top w:val="nil"/>
              <w:left w:val="single" w:sz="4" w:space="0" w:color="auto"/>
              <w:bottom w:val="nil"/>
              <w:right w:val="nil"/>
            </w:tcBorders>
            <w:shd w:val="clear" w:color="auto" w:fill="auto"/>
            <w:noWrap/>
            <w:vAlign w:val="bottom"/>
            <w:hideMark/>
          </w:tcPr>
          <w:p w:rsidR="001D553E" w:rsidRPr="00444E9A" w:rsidP="001D553E" w14:paraId="7D482515" w14:textId="39E1D9D7">
            <w:pPr>
              <w:keepNext/>
              <w:keepLines/>
              <w:rPr>
                <w:rFonts w:ascii="Arial" w:hAnsi="Arial"/>
                <w:color w:val="auto"/>
                <w:sz w:val="18"/>
                <w:szCs w:val="18"/>
              </w:rPr>
            </w:pPr>
            <w:r w:rsidRPr="00444E9A">
              <w:rPr>
                <w:rFonts w:ascii="Arial" w:hAnsi="Arial"/>
                <w:color w:val="auto"/>
                <w:sz w:val="18"/>
                <w:szCs w:val="18"/>
              </w:rPr>
              <w:t>SC</w:t>
            </w:r>
          </w:p>
        </w:tc>
        <w:tc>
          <w:tcPr>
            <w:tcW w:w="1018" w:type="dxa"/>
            <w:tcBorders>
              <w:top w:val="nil"/>
              <w:left w:val="single" w:sz="4" w:space="0" w:color="auto"/>
              <w:bottom w:val="single" w:sz="4" w:space="0" w:color="auto"/>
              <w:right w:val="single" w:sz="4" w:space="0" w:color="auto"/>
            </w:tcBorders>
            <w:shd w:val="clear" w:color="auto" w:fill="auto"/>
            <w:noWrap/>
            <w:vAlign w:val="bottom"/>
            <w:hideMark/>
          </w:tcPr>
          <w:p w:rsidR="001D553E" w:rsidRPr="00444E9A" w:rsidP="001D553E" w14:paraId="53C39974" w14:textId="77777777">
            <w:pPr>
              <w:keepNext/>
              <w:keepLines/>
              <w:jc w:val="right"/>
              <w:rPr>
                <w:rFonts w:ascii="Arial" w:hAnsi="Arial"/>
                <w:color w:val="auto"/>
                <w:sz w:val="18"/>
                <w:szCs w:val="18"/>
              </w:rPr>
            </w:pPr>
            <w:r w:rsidRPr="00444E9A">
              <w:rPr>
                <w:rFonts w:ascii="Arial" w:hAnsi="Arial"/>
                <w:color w:val="auto"/>
                <w:sz w:val="18"/>
                <w:szCs w:val="18"/>
              </w:rPr>
              <w:t>444</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rsidR="001D553E" w:rsidRPr="00444E9A" w:rsidP="001D553E" w14:paraId="11E2D6AD" w14:textId="77777777">
            <w:pPr>
              <w:keepNext/>
              <w:keepLines/>
              <w:jc w:val="right"/>
              <w:rPr>
                <w:rFonts w:ascii="Arial" w:hAnsi="Arial"/>
                <w:color w:val="auto"/>
                <w:sz w:val="18"/>
                <w:szCs w:val="18"/>
              </w:rPr>
            </w:pPr>
            <w:r w:rsidRPr="00444E9A">
              <w:rPr>
                <w:rFonts w:ascii="Arial" w:hAnsi="Arial"/>
                <w:color w:val="auto"/>
                <w:sz w:val="18"/>
                <w:szCs w:val="18"/>
              </w:rPr>
              <w:t>60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1D553E" w:rsidRPr="00444E9A" w:rsidP="001D553E" w14:paraId="46527507" w14:textId="77777777">
            <w:pPr>
              <w:keepNext/>
              <w:keepLines/>
              <w:jc w:val="right"/>
              <w:rPr>
                <w:rFonts w:ascii="Arial" w:hAnsi="Arial"/>
                <w:color w:val="auto"/>
                <w:sz w:val="18"/>
                <w:szCs w:val="18"/>
              </w:rPr>
            </w:pPr>
            <w:r w:rsidRPr="00444E9A">
              <w:rPr>
                <w:rFonts w:ascii="Arial" w:hAnsi="Arial"/>
                <w:color w:val="auto"/>
                <w:sz w:val="18"/>
                <w:szCs w:val="18"/>
              </w:rPr>
              <w:t>61</w:t>
            </w:r>
          </w:p>
        </w:tc>
        <w:tc>
          <w:tcPr>
            <w:tcW w:w="1080" w:type="dxa"/>
            <w:tcBorders>
              <w:top w:val="nil"/>
              <w:left w:val="nil"/>
              <w:bottom w:val="single" w:sz="4" w:space="0" w:color="auto"/>
              <w:right w:val="single" w:sz="4" w:space="0" w:color="auto"/>
            </w:tcBorders>
            <w:shd w:val="clear" w:color="auto" w:fill="auto"/>
            <w:noWrap/>
            <w:vAlign w:val="bottom"/>
            <w:hideMark/>
          </w:tcPr>
          <w:p w:rsidR="001D553E" w:rsidRPr="00444E9A" w:rsidP="001D553E" w14:paraId="646060A3" w14:textId="77777777">
            <w:pPr>
              <w:keepNext/>
              <w:keepLines/>
              <w:jc w:val="right"/>
              <w:rPr>
                <w:rFonts w:ascii="Arial" w:hAnsi="Arial"/>
                <w:color w:val="auto"/>
                <w:sz w:val="18"/>
                <w:szCs w:val="18"/>
              </w:rPr>
            </w:pPr>
            <w:r w:rsidRPr="00444E9A">
              <w:rPr>
                <w:rFonts w:ascii="Arial" w:hAnsi="Arial"/>
                <w:color w:val="auto"/>
                <w:sz w:val="18"/>
                <w:szCs w:val="18"/>
              </w:rPr>
              <w:t>564</w:t>
            </w:r>
          </w:p>
        </w:tc>
        <w:tc>
          <w:tcPr>
            <w:tcW w:w="1170" w:type="dxa"/>
            <w:tcBorders>
              <w:top w:val="nil"/>
              <w:left w:val="nil"/>
              <w:bottom w:val="single" w:sz="4" w:space="0" w:color="auto"/>
              <w:right w:val="single" w:sz="4" w:space="0" w:color="auto"/>
            </w:tcBorders>
            <w:shd w:val="clear" w:color="auto" w:fill="auto"/>
            <w:noWrap/>
            <w:vAlign w:val="bottom"/>
            <w:hideMark/>
          </w:tcPr>
          <w:p w:rsidR="001D553E" w:rsidRPr="00444E9A" w:rsidP="001D553E" w14:paraId="606837E9" w14:textId="77777777">
            <w:pPr>
              <w:keepNext/>
              <w:keepLines/>
              <w:jc w:val="right"/>
              <w:rPr>
                <w:rFonts w:ascii="Arial" w:hAnsi="Arial"/>
                <w:color w:val="auto"/>
                <w:sz w:val="18"/>
                <w:szCs w:val="18"/>
              </w:rPr>
            </w:pPr>
            <w:r w:rsidRPr="00444E9A">
              <w:rPr>
                <w:rFonts w:ascii="Arial" w:hAnsi="Arial"/>
                <w:color w:val="auto"/>
                <w:sz w:val="18"/>
                <w:szCs w:val="18"/>
              </w:rPr>
              <w:t>564</w:t>
            </w:r>
          </w:p>
        </w:tc>
        <w:tc>
          <w:tcPr>
            <w:tcW w:w="1219" w:type="dxa"/>
            <w:tcBorders>
              <w:top w:val="nil"/>
              <w:left w:val="nil"/>
              <w:bottom w:val="single" w:sz="4" w:space="0" w:color="auto"/>
              <w:right w:val="single" w:sz="4" w:space="0" w:color="auto"/>
            </w:tcBorders>
            <w:shd w:val="clear" w:color="auto" w:fill="auto"/>
            <w:noWrap/>
            <w:vAlign w:val="bottom"/>
            <w:hideMark/>
          </w:tcPr>
          <w:p w:rsidR="001D553E" w:rsidRPr="00444E9A" w:rsidP="001D553E" w14:paraId="1935D8AA" w14:textId="77777777">
            <w:pPr>
              <w:keepNext/>
              <w:keepLines/>
              <w:jc w:val="right"/>
              <w:rPr>
                <w:rFonts w:ascii="Arial" w:hAnsi="Arial"/>
                <w:color w:val="auto"/>
                <w:sz w:val="18"/>
                <w:szCs w:val="18"/>
              </w:rPr>
            </w:pPr>
            <w:r w:rsidRPr="00444E9A">
              <w:rPr>
                <w:rFonts w:ascii="Arial" w:hAnsi="Arial"/>
                <w:color w:val="auto"/>
                <w:sz w:val="18"/>
                <w:szCs w:val="18"/>
              </w:rPr>
              <w:t>188</w:t>
            </w:r>
          </w:p>
        </w:tc>
      </w:tr>
      <w:tr w14:paraId="01765AC3" w14:textId="77777777" w:rsidTr="00B57037">
        <w:tblPrEx>
          <w:tblW w:w="8779" w:type="dxa"/>
          <w:tblInd w:w="355" w:type="dxa"/>
          <w:tblLayout w:type="fixed"/>
          <w:tblCellMar>
            <w:left w:w="115" w:type="dxa"/>
            <w:right w:w="115" w:type="dxa"/>
          </w:tblCellMar>
          <w:tblLook w:val="04A0"/>
        </w:tblPrEx>
        <w:trPr>
          <w:trHeight w:val="225"/>
        </w:trPr>
        <w:tc>
          <w:tcPr>
            <w:tcW w:w="1170" w:type="dxa"/>
            <w:tcBorders>
              <w:top w:val="single" w:sz="4" w:space="0" w:color="auto"/>
              <w:left w:val="single" w:sz="4" w:space="0" w:color="auto"/>
              <w:bottom w:val="single" w:sz="4" w:space="0" w:color="auto"/>
              <w:right w:val="nil"/>
            </w:tcBorders>
            <w:shd w:val="clear" w:color="auto" w:fill="auto"/>
            <w:noWrap/>
            <w:vAlign w:val="bottom"/>
            <w:hideMark/>
          </w:tcPr>
          <w:p w:rsidR="001D553E" w:rsidRPr="00444E9A" w:rsidP="001D553E" w14:paraId="55556C7F" w14:textId="77777777">
            <w:pPr>
              <w:keepNext/>
              <w:keepLines/>
              <w:rPr>
                <w:rFonts w:ascii="Arial" w:hAnsi="Arial"/>
                <w:b/>
                <w:bCs/>
                <w:color w:val="auto"/>
                <w:sz w:val="18"/>
                <w:szCs w:val="18"/>
              </w:rPr>
            </w:pPr>
            <w:r w:rsidRPr="00444E9A">
              <w:rPr>
                <w:rFonts w:ascii="Arial" w:hAnsi="Arial"/>
                <w:b/>
                <w:bCs/>
                <w:color w:val="auto"/>
                <w:sz w:val="18"/>
                <w:szCs w:val="18"/>
              </w:rPr>
              <w:t>Total</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rsidR="001D553E" w:rsidRPr="00444E9A" w:rsidP="001D553E" w14:paraId="49301D27" w14:textId="77777777">
            <w:pPr>
              <w:keepNext/>
              <w:keepLines/>
              <w:rPr>
                <w:rFonts w:ascii="Arial" w:hAnsi="Arial"/>
                <w:color w:val="auto"/>
                <w:sz w:val="18"/>
                <w:szCs w:val="18"/>
              </w:rPr>
            </w:pPr>
            <w:r w:rsidRPr="00444E9A">
              <w:rPr>
                <w:rFonts w:ascii="Arial" w:hAnsi="Arial"/>
                <w:color w:val="auto"/>
                <w:sz w:val="18"/>
                <w:szCs w:val="18"/>
              </w:rPr>
              <w:t> </w:t>
            </w:r>
          </w:p>
        </w:tc>
        <w:tc>
          <w:tcPr>
            <w:tcW w:w="1018" w:type="dxa"/>
            <w:tcBorders>
              <w:top w:val="nil"/>
              <w:left w:val="nil"/>
              <w:bottom w:val="single" w:sz="4" w:space="0" w:color="auto"/>
              <w:right w:val="single" w:sz="4" w:space="0" w:color="auto"/>
            </w:tcBorders>
            <w:shd w:val="clear" w:color="auto" w:fill="auto"/>
            <w:noWrap/>
            <w:vAlign w:val="bottom"/>
            <w:hideMark/>
          </w:tcPr>
          <w:p w:rsidR="001D553E" w:rsidRPr="00444E9A" w:rsidP="001D553E" w14:paraId="55DB32EA" w14:textId="77777777">
            <w:pPr>
              <w:keepNext/>
              <w:keepLines/>
              <w:jc w:val="right"/>
              <w:rPr>
                <w:rFonts w:ascii="Arial" w:hAnsi="Arial"/>
                <w:b/>
                <w:bCs/>
                <w:color w:val="auto"/>
                <w:sz w:val="18"/>
                <w:szCs w:val="18"/>
              </w:rPr>
            </w:pPr>
            <w:r w:rsidRPr="00444E9A">
              <w:rPr>
                <w:rFonts w:ascii="Arial" w:hAnsi="Arial"/>
                <w:b/>
                <w:bCs/>
                <w:color w:val="auto"/>
                <w:sz w:val="18"/>
                <w:szCs w:val="18"/>
              </w:rPr>
              <w:t>303,640</w:t>
            </w:r>
          </w:p>
        </w:tc>
        <w:tc>
          <w:tcPr>
            <w:tcW w:w="810" w:type="dxa"/>
            <w:tcBorders>
              <w:top w:val="nil"/>
              <w:left w:val="nil"/>
              <w:bottom w:val="single" w:sz="4" w:space="0" w:color="auto"/>
              <w:right w:val="single" w:sz="4" w:space="0" w:color="auto"/>
            </w:tcBorders>
            <w:shd w:val="clear" w:color="auto" w:fill="auto"/>
            <w:noWrap/>
            <w:vAlign w:val="bottom"/>
            <w:hideMark/>
          </w:tcPr>
          <w:p w:rsidR="001D553E" w:rsidRPr="00444E9A" w:rsidP="001D553E" w14:paraId="553D1B5D" w14:textId="77777777">
            <w:pPr>
              <w:keepNext/>
              <w:keepLines/>
              <w:jc w:val="right"/>
              <w:rPr>
                <w:rFonts w:ascii="Arial" w:hAnsi="Arial"/>
                <w:b/>
                <w:bCs/>
                <w:color w:val="auto"/>
                <w:sz w:val="18"/>
                <w:szCs w:val="18"/>
              </w:rPr>
            </w:pPr>
            <w:r w:rsidRPr="00444E9A">
              <w:rPr>
                <w:rFonts w:ascii="Arial" w:hAnsi="Arial"/>
                <w:b/>
                <w:bCs/>
                <w:color w:val="auto"/>
                <w:sz w:val="18"/>
                <w:szCs w:val="18"/>
              </w:rPr>
              <w:t>25,860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53E" w:rsidRPr="00444E9A" w:rsidP="001D553E" w14:paraId="244FAF41" w14:textId="77777777">
            <w:pPr>
              <w:keepNext/>
              <w:keepLines/>
              <w:jc w:val="right"/>
              <w:rPr>
                <w:rFonts w:ascii="Arial" w:hAnsi="Arial"/>
                <w:b/>
                <w:bCs/>
                <w:color w:val="auto"/>
                <w:sz w:val="18"/>
                <w:szCs w:val="18"/>
              </w:rPr>
            </w:pPr>
            <w:r w:rsidRPr="00444E9A">
              <w:rPr>
                <w:rFonts w:ascii="Arial" w:hAnsi="Arial"/>
                <w:b/>
                <w:bCs/>
                <w:color w:val="auto"/>
                <w:sz w:val="18"/>
                <w:szCs w:val="18"/>
              </w:rPr>
              <w:t>25,870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1D553E" w:rsidRPr="00444E9A" w:rsidP="001D553E" w14:paraId="20031CBE" w14:textId="77777777">
            <w:pPr>
              <w:keepNext/>
              <w:keepLines/>
              <w:jc w:val="right"/>
              <w:rPr>
                <w:rFonts w:ascii="Arial" w:hAnsi="Arial"/>
                <w:b/>
                <w:bCs/>
                <w:color w:val="auto"/>
                <w:sz w:val="18"/>
                <w:szCs w:val="18"/>
              </w:rPr>
            </w:pPr>
            <w:r w:rsidRPr="00444E9A">
              <w:rPr>
                <w:rFonts w:ascii="Arial" w:hAnsi="Arial"/>
                <w:b/>
                <w:bCs/>
                <w:color w:val="auto"/>
                <w:sz w:val="18"/>
                <w:szCs w:val="18"/>
              </w:rPr>
              <w:t>355,370</w:t>
            </w:r>
          </w:p>
        </w:tc>
        <w:tc>
          <w:tcPr>
            <w:tcW w:w="1170" w:type="dxa"/>
            <w:tcBorders>
              <w:top w:val="nil"/>
              <w:left w:val="nil"/>
              <w:bottom w:val="single" w:sz="4" w:space="0" w:color="auto"/>
              <w:right w:val="single" w:sz="4" w:space="0" w:color="auto"/>
            </w:tcBorders>
            <w:shd w:val="clear" w:color="auto" w:fill="auto"/>
            <w:noWrap/>
            <w:vAlign w:val="bottom"/>
            <w:hideMark/>
          </w:tcPr>
          <w:p w:rsidR="001D553E" w:rsidRPr="00444E9A" w:rsidP="001D553E" w14:paraId="32726D7B" w14:textId="77777777">
            <w:pPr>
              <w:keepNext/>
              <w:keepLines/>
              <w:jc w:val="right"/>
              <w:rPr>
                <w:rFonts w:ascii="Arial" w:hAnsi="Arial"/>
                <w:b/>
                <w:bCs/>
                <w:color w:val="auto"/>
                <w:sz w:val="18"/>
                <w:szCs w:val="18"/>
              </w:rPr>
            </w:pPr>
            <w:r w:rsidRPr="00444E9A">
              <w:rPr>
                <w:rFonts w:ascii="Arial" w:hAnsi="Arial"/>
                <w:b/>
                <w:bCs/>
                <w:color w:val="auto"/>
                <w:sz w:val="18"/>
                <w:szCs w:val="18"/>
              </w:rPr>
              <w:t>355,370</w:t>
            </w:r>
          </w:p>
        </w:tc>
        <w:tc>
          <w:tcPr>
            <w:tcW w:w="1219" w:type="dxa"/>
            <w:tcBorders>
              <w:top w:val="nil"/>
              <w:left w:val="nil"/>
              <w:bottom w:val="single" w:sz="4" w:space="0" w:color="auto"/>
              <w:right w:val="single" w:sz="4" w:space="0" w:color="auto"/>
            </w:tcBorders>
            <w:shd w:val="clear" w:color="auto" w:fill="auto"/>
            <w:noWrap/>
            <w:vAlign w:val="bottom"/>
            <w:hideMark/>
          </w:tcPr>
          <w:p w:rsidR="001D553E" w:rsidRPr="00444E9A" w:rsidP="001D553E" w14:paraId="6ADED3F5" w14:textId="77777777">
            <w:pPr>
              <w:keepNext/>
              <w:keepLines/>
              <w:jc w:val="right"/>
              <w:rPr>
                <w:rFonts w:ascii="Arial" w:hAnsi="Arial"/>
                <w:b/>
                <w:bCs/>
                <w:color w:val="auto"/>
                <w:sz w:val="18"/>
                <w:szCs w:val="18"/>
              </w:rPr>
            </w:pPr>
            <w:r w:rsidRPr="00444E9A">
              <w:rPr>
                <w:rFonts w:ascii="Arial" w:hAnsi="Arial"/>
                <w:b/>
                <w:bCs/>
                <w:color w:val="auto"/>
                <w:sz w:val="18"/>
                <w:szCs w:val="18"/>
              </w:rPr>
              <w:t>118,457</w:t>
            </w:r>
          </w:p>
        </w:tc>
      </w:tr>
    </w:tbl>
    <w:p w:rsidR="00265142" w:rsidRPr="00B57037" w:rsidP="00265142" w14:paraId="20AAB242" w14:textId="7F33A769">
      <w:pPr>
        <w:ind w:left="360"/>
        <w:rPr>
          <w:rFonts w:eastAsiaTheme="minorHAnsi" w:cstheme="minorBidi"/>
          <w:color w:val="auto"/>
          <w:sz w:val="20"/>
          <w:szCs w:val="22"/>
        </w:rPr>
      </w:pPr>
      <w:r w:rsidRPr="00B57037">
        <w:rPr>
          <w:rFonts w:eastAsiaTheme="minorHAnsi" w:cstheme="minorBidi"/>
          <w:color w:val="auto"/>
          <w:sz w:val="20"/>
          <w:szCs w:val="22"/>
        </w:rPr>
        <w:t>Note: Calculations may not be exact due to rounding.</w:t>
      </w:r>
    </w:p>
    <w:p w:rsidR="008A76C8" w:rsidP="00265142" w14:paraId="4E6CC62C" w14:textId="77777777">
      <w:pPr>
        <w:ind w:left="360"/>
        <w:rPr>
          <w:rFonts w:eastAsiaTheme="minorHAnsi" w:cstheme="minorBidi"/>
          <w:color w:val="auto"/>
          <w:szCs w:val="22"/>
        </w:rPr>
      </w:pPr>
    </w:p>
    <w:p w:rsidR="00B30196" w:rsidP="00265142" w14:paraId="39A94327" w14:textId="316AA93B">
      <w:pPr>
        <w:ind w:left="360"/>
        <w:rPr>
          <w:rFonts w:eastAsiaTheme="minorHAnsi" w:cstheme="minorBidi"/>
          <w:b/>
          <w:i/>
          <w:color w:val="auto"/>
          <w:szCs w:val="22"/>
        </w:rPr>
      </w:pPr>
      <w:r>
        <w:rPr>
          <w:rFonts w:eastAsiaTheme="minorHAnsi" w:cstheme="minorBidi"/>
          <w:b/>
          <w:i/>
          <w:color w:val="auto"/>
          <w:szCs w:val="22"/>
        </w:rPr>
        <w:t>Information Collection</w:t>
      </w:r>
    </w:p>
    <w:p w:rsidR="00AB0223" w:rsidP="00265142" w14:paraId="4853A960" w14:textId="2092C5C5">
      <w:pPr>
        <w:ind w:left="360"/>
        <w:rPr>
          <w:rFonts w:eastAsiaTheme="minorHAnsi" w:cstheme="minorBidi"/>
          <w:b/>
          <w:i/>
          <w:color w:val="auto"/>
          <w:szCs w:val="22"/>
        </w:rPr>
      </w:pPr>
    </w:p>
    <w:p w:rsidR="00AB0223" w:rsidP="00265142" w14:paraId="39B9C82B" w14:textId="6FBE0235">
      <w:pPr>
        <w:ind w:left="360"/>
        <w:rPr>
          <w:rFonts w:eastAsiaTheme="minorHAnsi" w:cstheme="minorBidi"/>
          <w:color w:val="auto"/>
          <w:szCs w:val="22"/>
        </w:rPr>
      </w:pPr>
      <w:r>
        <w:rPr>
          <w:rFonts w:eastAsiaTheme="minorHAnsi" w:cstheme="minorBidi"/>
          <w:color w:val="auto"/>
          <w:szCs w:val="22"/>
        </w:rPr>
        <w:t xml:space="preserve">This information collection requires that each respondent covered by this rulemaking </w:t>
      </w:r>
      <w:r w:rsidR="00A65BD5">
        <w:rPr>
          <w:rFonts w:eastAsiaTheme="minorHAnsi" w:cstheme="minorBidi"/>
          <w:color w:val="auto"/>
          <w:szCs w:val="22"/>
        </w:rPr>
        <w:t xml:space="preserve">to </w:t>
      </w:r>
      <w:r>
        <w:rPr>
          <w:rFonts w:eastAsiaTheme="minorHAnsi" w:cstheme="minorBidi"/>
          <w:color w:val="auto"/>
          <w:szCs w:val="22"/>
        </w:rPr>
        <w:t xml:space="preserve">obtain an STA for employment under the proposed § </w:t>
      </w:r>
      <w:r w:rsidRPr="00BA4FDF">
        <w:rPr>
          <w:rFonts w:eastAsiaTheme="minorHAnsi" w:cstheme="minorBidi"/>
          <w:bCs/>
          <w:color w:val="auto"/>
          <w:szCs w:val="22"/>
        </w:rPr>
        <w:t>1530</w:t>
      </w:r>
      <w:r>
        <w:rPr>
          <w:rFonts w:eastAsiaTheme="minorHAnsi" w:cstheme="minorBidi"/>
          <w:bCs/>
          <w:color w:val="auto"/>
          <w:szCs w:val="22"/>
        </w:rPr>
        <w:t>.</w:t>
      </w:r>
      <w:r>
        <w:rPr>
          <w:rStyle w:val="FootnoteReference"/>
          <w:rFonts w:eastAsiaTheme="minorHAnsi" w:cstheme="minorBidi"/>
          <w:bCs/>
          <w:color w:val="auto"/>
          <w:szCs w:val="22"/>
        </w:rPr>
        <w:footnoteReference w:id="9"/>
      </w:r>
      <w:r>
        <w:rPr>
          <w:rFonts w:eastAsiaTheme="minorHAnsi" w:cstheme="minorBidi"/>
          <w:bCs/>
          <w:color w:val="auto"/>
          <w:szCs w:val="22"/>
        </w:rPr>
        <w:t xml:space="preserve">  </w:t>
      </w:r>
      <w:r w:rsidR="00CC57CA">
        <w:rPr>
          <w:rFonts w:eastAsiaTheme="minorHAnsi" w:cstheme="minorBidi"/>
          <w:bCs/>
          <w:color w:val="auto"/>
          <w:szCs w:val="22"/>
        </w:rPr>
        <w:t xml:space="preserve">Further, under this collection, TSA requires recordkeeping whenever a respondent </w:t>
      </w:r>
      <w:r w:rsidR="00F425C6">
        <w:rPr>
          <w:rFonts w:eastAsiaTheme="minorHAnsi" w:cstheme="minorBidi"/>
          <w:bCs/>
          <w:color w:val="auto"/>
          <w:szCs w:val="22"/>
        </w:rPr>
        <w:t>undergoes an STA</w:t>
      </w:r>
      <w:r w:rsidR="00CC57CA">
        <w:rPr>
          <w:rFonts w:eastAsiaTheme="minorHAnsi" w:cstheme="minorBidi"/>
          <w:bCs/>
          <w:color w:val="auto"/>
          <w:szCs w:val="22"/>
        </w:rPr>
        <w:t xml:space="preserve">. </w:t>
      </w:r>
      <w:r w:rsidR="00DB6F01">
        <w:rPr>
          <w:rFonts w:eastAsiaTheme="minorHAnsi" w:cstheme="minorBidi"/>
          <w:bCs/>
          <w:color w:val="auto"/>
          <w:szCs w:val="22"/>
        </w:rPr>
        <w:t xml:space="preserve"> </w:t>
      </w:r>
      <w:r w:rsidR="00CC57CA">
        <w:rPr>
          <w:rFonts w:eastAsiaTheme="minorHAnsi" w:cstheme="minorBidi"/>
          <w:bCs/>
          <w:color w:val="auto"/>
          <w:szCs w:val="22"/>
        </w:rPr>
        <w:t xml:space="preserve">TSA </w:t>
      </w:r>
      <w:r w:rsidR="0034076C">
        <w:rPr>
          <w:rFonts w:eastAsiaTheme="minorHAnsi" w:cstheme="minorBidi"/>
          <w:bCs/>
          <w:color w:val="auto"/>
          <w:szCs w:val="22"/>
        </w:rPr>
        <w:t xml:space="preserve">also </w:t>
      </w:r>
      <w:r w:rsidR="00CC57CA">
        <w:rPr>
          <w:rFonts w:eastAsiaTheme="minorHAnsi" w:cstheme="minorBidi"/>
          <w:bCs/>
          <w:color w:val="auto"/>
          <w:szCs w:val="22"/>
        </w:rPr>
        <w:t xml:space="preserve">requires respondents to report disqualifying crimes under </w:t>
      </w:r>
      <w:r w:rsidR="00CC57CA">
        <w:rPr>
          <w:rFonts w:eastAsiaTheme="minorHAnsi" w:cstheme="minorBidi"/>
          <w:color w:val="auto"/>
          <w:szCs w:val="22"/>
        </w:rPr>
        <w:t xml:space="preserve">§ </w:t>
      </w:r>
      <w:r w:rsidRPr="00BA4FDF" w:rsidR="00CC57CA">
        <w:rPr>
          <w:rFonts w:eastAsiaTheme="minorHAnsi" w:cstheme="minorBidi"/>
          <w:bCs/>
          <w:color w:val="auto"/>
          <w:szCs w:val="22"/>
        </w:rPr>
        <w:t>1530</w:t>
      </w:r>
      <w:r w:rsidR="00CC57CA">
        <w:rPr>
          <w:rFonts w:eastAsiaTheme="minorHAnsi" w:cstheme="minorBidi"/>
          <w:bCs/>
          <w:color w:val="auto"/>
          <w:szCs w:val="22"/>
        </w:rPr>
        <w:t>.503 and any change in immigration status.</w:t>
      </w:r>
      <w:r w:rsidR="00826BC4">
        <w:rPr>
          <w:rFonts w:eastAsiaTheme="minorHAnsi" w:cstheme="minorBidi"/>
          <w:bCs/>
          <w:color w:val="auto"/>
          <w:szCs w:val="22"/>
        </w:rPr>
        <w:t xml:space="preserve"> </w:t>
      </w:r>
      <w:r w:rsidR="00CC57CA">
        <w:rPr>
          <w:rFonts w:eastAsiaTheme="minorHAnsi" w:cstheme="minorBidi"/>
          <w:bCs/>
          <w:color w:val="auto"/>
          <w:szCs w:val="22"/>
        </w:rPr>
        <w:t xml:space="preserve"> For applicable respondents, appeals and waivers apply to certain cases when an individual has not demonstrated their ability to meet the vetting standards.</w:t>
      </w:r>
      <w:r w:rsidR="00826BC4">
        <w:rPr>
          <w:rFonts w:eastAsiaTheme="minorHAnsi" w:cstheme="minorBidi"/>
          <w:bCs/>
          <w:color w:val="auto"/>
          <w:szCs w:val="22"/>
        </w:rPr>
        <w:t xml:space="preserve"> </w:t>
      </w:r>
      <w:r w:rsidR="00CC57CA">
        <w:rPr>
          <w:rFonts w:eastAsiaTheme="minorHAnsi" w:cstheme="minorBidi"/>
          <w:bCs/>
          <w:color w:val="auto"/>
          <w:szCs w:val="22"/>
        </w:rPr>
        <w:t xml:space="preserve"> </w:t>
      </w:r>
      <w:r w:rsidR="0034076C">
        <w:rPr>
          <w:rFonts w:eastAsiaTheme="minorHAnsi" w:cstheme="minorBidi"/>
          <w:bCs/>
          <w:color w:val="auto"/>
          <w:szCs w:val="22"/>
        </w:rPr>
        <w:t>This collection also requires respondents to report any</w:t>
      </w:r>
      <w:r w:rsidRPr="0034076C" w:rsidR="0034076C">
        <w:rPr>
          <w:rFonts w:eastAsiaTheme="minorHAnsi" w:cstheme="minorBidi"/>
          <w:color w:val="auto"/>
          <w:szCs w:val="22"/>
        </w:rPr>
        <w:t xml:space="preserve"> </w:t>
      </w:r>
      <w:r w:rsidRPr="005C5E19" w:rsidR="0034076C">
        <w:rPr>
          <w:rFonts w:eastAsiaTheme="minorHAnsi" w:cstheme="minorBidi"/>
          <w:color w:val="auto"/>
          <w:szCs w:val="22"/>
        </w:rPr>
        <w:t>changes to their legal name, current address</w:t>
      </w:r>
      <w:r w:rsidRPr="0034076C" w:rsidR="0034076C">
        <w:rPr>
          <w:rFonts w:eastAsiaTheme="minorHAnsi" w:cstheme="minorBidi"/>
          <w:color w:val="auto"/>
          <w:szCs w:val="22"/>
        </w:rPr>
        <w:t xml:space="preserve"> </w:t>
      </w:r>
      <w:r w:rsidRPr="005C5E19" w:rsidR="0034076C">
        <w:rPr>
          <w:rFonts w:eastAsiaTheme="minorHAnsi" w:cstheme="minorBidi"/>
          <w:color w:val="auto"/>
          <w:szCs w:val="22"/>
        </w:rPr>
        <w:t>and daytime phone number to TSA</w:t>
      </w:r>
      <w:r w:rsidR="0034076C">
        <w:rPr>
          <w:rFonts w:eastAsiaTheme="minorHAnsi" w:cstheme="minorBidi"/>
          <w:color w:val="auto"/>
          <w:szCs w:val="22"/>
        </w:rPr>
        <w:t>.</w:t>
      </w:r>
      <w:r w:rsidR="00826BC4">
        <w:rPr>
          <w:rFonts w:eastAsiaTheme="minorHAnsi" w:cstheme="minorBidi"/>
          <w:color w:val="auto"/>
          <w:szCs w:val="22"/>
        </w:rPr>
        <w:t xml:space="preserve"> </w:t>
      </w:r>
      <w:r w:rsidR="0034076C">
        <w:rPr>
          <w:rFonts w:eastAsiaTheme="minorHAnsi" w:cstheme="minorBidi"/>
          <w:color w:val="auto"/>
          <w:szCs w:val="22"/>
        </w:rPr>
        <w:t xml:space="preserve"> Lastly, respondents may choose to complete an optional customer satisfaction survey as part of </w:t>
      </w:r>
      <w:r w:rsidR="00A65BD5">
        <w:rPr>
          <w:rFonts w:eastAsiaTheme="minorHAnsi" w:cstheme="minorBidi"/>
          <w:color w:val="auto"/>
          <w:szCs w:val="22"/>
        </w:rPr>
        <w:t xml:space="preserve">their </w:t>
      </w:r>
      <w:r w:rsidR="0034076C">
        <w:rPr>
          <w:rFonts w:eastAsiaTheme="minorHAnsi" w:cstheme="minorBidi"/>
          <w:color w:val="auto"/>
          <w:szCs w:val="22"/>
        </w:rPr>
        <w:t>enrollment process.</w:t>
      </w:r>
    </w:p>
    <w:p w:rsidR="0034076C" w:rsidP="00265142" w14:paraId="505B5464" w14:textId="021695A6">
      <w:pPr>
        <w:ind w:left="360"/>
        <w:rPr>
          <w:rFonts w:eastAsiaTheme="minorHAnsi" w:cstheme="minorBidi"/>
          <w:color w:val="auto"/>
          <w:szCs w:val="22"/>
        </w:rPr>
      </w:pPr>
    </w:p>
    <w:p w:rsidR="00FA6526" w:rsidP="00B57037" w14:paraId="50365F2E" w14:textId="351C46A6">
      <w:pPr>
        <w:ind w:left="360"/>
        <w:rPr>
          <w:rFonts w:eastAsiaTheme="minorHAnsi" w:cstheme="minorBidi"/>
          <w:color w:val="auto"/>
          <w:szCs w:val="22"/>
        </w:rPr>
      </w:pPr>
      <w:r w:rsidRPr="00B57037">
        <w:rPr>
          <w:rFonts w:eastAsiaTheme="minorHAnsi" w:cstheme="minorBidi"/>
          <w:color w:val="auto"/>
          <w:szCs w:val="22"/>
          <w:u w:val="single"/>
        </w:rPr>
        <w:t>STA Enrollments</w:t>
      </w:r>
      <w:r w:rsidR="00C4348E">
        <w:rPr>
          <w:rFonts w:eastAsiaTheme="minorHAnsi" w:cstheme="minorBidi"/>
          <w:color w:val="auto"/>
          <w:szCs w:val="22"/>
          <w:u w:val="single"/>
        </w:rPr>
        <w:t>.</w:t>
      </w:r>
      <w:r w:rsidR="00B15903">
        <w:rPr>
          <w:rFonts w:eastAsiaTheme="minorHAnsi" w:cstheme="minorBidi"/>
          <w:color w:val="auto"/>
          <w:szCs w:val="22"/>
          <w:u w:val="single"/>
        </w:rPr>
        <w:t xml:space="preserve"> </w:t>
      </w:r>
      <w:r>
        <w:rPr>
          <w:rFonts w:eastAsiaTheme="minorHAnsi" w:cstheme="minorBidi"/>
          <w:color w:val="auto"/>
          <w:szCs w:val="22"/>
        </w:rPr>
        <w:t xml:space="preserve"> The NPRM would require that each respondent covered by this </w:t>
      </w:r>
      <w:r w:rsidR="000C3AE4">
        <w:rPr>
          <w:rFonts w:eastAsiaTheme="minorHAnsi" w:cstheme="minorBidi"/>
          <w:color w:val="auto"/>
          <w:szCs w:val="22"/>
        </w:rPr>
        <w:t>rulemaking obtain</w:t>
      </w:r>
      <w:r>
        <w:rPr>
          <w:rFonts w:eastAsiaTheme="minorHAnsi" w:cstheme="minorBidi"/>
          <w:color w:val="auto"/>
          <w:szCs w:val="22"/>
        </w:rPr>
        <w:t xml:space="preserve"> an STA for employment.</w:t>
      </w:r>
      <w:r w:rsidR="00B15903">
        <w:rPr>
          <w:rFonts w:eastAsiaTheme="minorHAnsi" w:cstheme="minorBidi"/>
          <w:color w:val="auto"/>
          <w:szCs w:val="22"/>
        </w:rPr>
        <w:t xml:space="preserve"> </w:t>
      </w:r>
      <w:r>
        <w:rPr>
          <w:rFonts w:eastAsiaTheme="minorHAnsi" w:cstheme="minorBidi"/>
          <w:color w:val="auto"/>
          <w:szCs w:val="22"/>
        </w:rPr>
        <w:t xml:space="preserve"> </w:t>
      </w:r>
      <w:r w:rsidR="00204AB6">
        <w:rPr>
          <w:rFonts w:eastAsiaTheme="minorHAnsi" w:cstheme="minorBidi"/>
          <w:color w:val="auto"/>
          <w:szCs w:val="22"/>
        </w:rPr>
        <w:t>SSEs</w:t>
      </w:r>
      <w:r>
        <w:rPr>
          <w:rFonts w:eastAsiaTheme="minorHAnsi" w:cstheme="minorBidi"/>
          <w:color w:val="auto"/>
          <w:szCs w:val="22"/>
        </w:rPr>
        <w:t xml:space="preserve"> would be required to obtain a Level 2 STA while </w:t>
      </w:r>
      <w:r w:rsidR="00204AB6">
        <w:rPr>
          <w:rFonts w:eastAsiaTheme="minorHAnsi" w:cstheme="minorBidi"/>
          <w:color w:val="auto"/>
          <w:szCs w:val="22"/>
        </w:rPr>
        <w:t>SCs</w:t>
      </w:r>
      <w:r>
        <w:rPr>
          <w:rFonts w:eastAsiaTheme="minorHAnsi" w:cstheme="minorBidi"/>
          <w:color w:val="auto"/>
          <w:szCs w:val="22"/>
        </w:rPr>
        <w:t xml:space="preserve"> would be required to obtain a Level 3 STA. </w:t>
      </w:r>
      <w:r w:rsidR="00B15903">
        <w:rPr>
          <w:rFonts w:eastAsiaTheme="minorHAnsi" w:cstheme="minorBidi"/>
          <w:color w:val="auto"/>
          <w:szCs w:val="22"/>
        </w:rPr>
        <w:t xml:space="preserve"> </w:t>
      </w:r>
      <w:r>
        <w:rPr>
          <w:rFonts w:eastAsiaTheme="minorHAnsi" w:cstheme="minorBidi"/>
          <w:color w:val="auto"/>
          <w:szCs w:val="22"/>
        </w:rPr>
        <w:t>SSEs and SCs applying for a new STAs will enroll in-person at a TSA enrollment center.</w:t>
      </w:r>
    </w:p>
    <w:p w:rsidR="00FA6526" w:rsidP="00B57037" w14:paraId="3CA40F7E" w14:textId="77777777">
      <w:pPr>
        <w:ind w:left="360"/>
        <w:rPr>
          <w:rFonts w:eastAsiaTheme="minorHAnsi" w:cstheme="minorBidi"/>
          <w:color w:val="auto"/>
          <w:szCs w:val="22"/>
        </w:rPr>
      </w:pPr>
    </w:p>
    <w:p w:rsidR="00FA6526" w:rsidP="00B57037" w14:paraId="61555006" w14:textId="26361F28">
      <w:pPr>
        <w:ind w:left="360"/>
        <w:rPr>
          <w:rFonts w:eastAsiaTheme="minorHAnsi" w:cstheme="minorBidi"/>
          <w:color w:val="auto"/>
          <w:szCs w:val="22"/>
        </w:rPr>
      </w:pPr>
      <w:r>
        <w:rPr>
          <w:rFonts w:eastAsiaTheme="minorHAnsi" w:cstheme="minorBidi"/>
          <w:color w:val="auto"/>
          <w:szCs w:val="22"/>
        </w:rPr>
        <w:t>For all new applicants, TSA estimates time burdens to complete the STA process, including familiarization with the application process, biographic data capture, identity assurance, scanning immigration documents, wait time, and round-trip travel per response.</w:t>
      </w:r>
      <w:r w:rsidR="00B15903">
        <w:rPr>
          <w:rFonts w:eastAsiaTheme="minorHAnsi" w:cstheme="minorBidi"/>
          <w:color w:val="auto"/>
          <w:szCs w:val="22"/>
        </w:rPr>
        <w:t xml:space="preserve"> </w:t>
      </w:r>
      <w:r>
        <w:rPr>
          <w:rFonts w:eastAsiaTheme="minorHAnsi" w:cstheme="minorBidi"/>
          <w:color w:val="auto"/>
          <w:szCs w:val="22"/>
        </w:rPr>
        <w:t xml:space="preserve"> TSA estimates a new in-person enrollment burden of 1.43 hours per applicant.</w:t>
      </w:r>
      <w:r w:rsidR="00B15903">
        <w:rPr>
          <w:rFonts w:eastAsiaTheme="minorHAnsi" w:cstheme="minorBidi"/>
          <w:color w:val="auto"/>
          <w:szCs w:val="22"/>
        </w:rPr>
        <w:t xml:space="preserve"> </w:t>
      </w:r>
      <w:r>
        <w:rPr>
          <w:rFonts w:eastAsiaTheme="minorHAnsi" w:cstheme="minorBidi"/>
          <w:color w:val="auto"/>
          <w:szCs w:val="22"/>
        </w:rPr>
        <w:t xml:space="preserve"> For SCs, TSA estimates an additional time burden for fingerprinting time, for a total of 1.51 hours per applicant.</w:t>
      </w:r>
    </w:p>
    <w:p w:rsidR="00FA6526" w:rsidP="00FA6526" w14:paraId="6FCC4077" w14:textId="77777777">
      <w:pPr>
        <w:rPr>
          <w:rFonts w:eastAsiaTheme="minorHAnsi" w:cstheme="minorBidi"/>
          <w:color w:val="auto"/>
          <w:szCs w:val="22"/>
        </w:rPr>
      </w:pPr>
    </w:p>
    <w:p w:rsidR="00873719" w14:paraId="60D509EE" w14:textId="6EECB5F7">
      <w:pPr>
        <w:ind w:left="360"/>
        <w:rPr>
          <w:rFonts w:eastAsiaTheme="minorHAnsi" w:cstheme="minorBidi"/>
          <w:color w:val="auto"/>
          <w:szCs w:val="22"/>
        </w:rPr>
      </w:pPr>
      <w:r>
        <w:rPr>
          <w:rFonts w:eastAsiaTheme="minorHAnsi" w:cstheme="minorBidi"/>
          <w:color w:val="auto"/>
          <w:szCs w:val="22"/>
        </w:rPr>
        <w:t>If an applicant already holds an active comparable STA,</w:t>
      </w:r>
      <w:r>
        <w:rPr>
          <w:rStyle w:val="FootnoteReference"/>
          <w:rFonts w:eastAsiaTheme="minorHAnsi" w:cstheme="minorBidi"/>
          <w:color w:val="auto"/>
          <w:szCs w:val="22"/>
        </w:rPr>
        <w:footnoteReference w:id="10"/>
      </w:r>
      <w:r>
        <w:rPr>
          <w:rFonts w:eastAsiaTheme="minorHAnsi" w:cstheme="minorBidi"/>
          <w:color w:val="auto"/>
          <w:szCs w:val="22"/>
        </w:rPr>
        <w:t xml:space="preserve"> the applicant will not have to travel to complete an in-person enrollment</w:t>
      </w:r>
      <w:r w:rsidRPr="00435564">
        <w:rPr>
          <w:rFonts w:eastAsiaTheme="minorHAnsi" w:cstheme="minorBidi"/>
          <w:color w:val="auto"/>
          <w:szCs w:val="22"/>
        </w:rPr>
        <w:t xml:space="preserve"> </w:t>
      </w:r>
      <w:r>
        <w:rPr>
          <w:rFonts w:eastAsiaTheme="minorHAnsi" w:cstheme="minorBidi"/>
          <w:color w:val="auto"/>
          <w:szCs w:val="22"/>
        </w:rPr>
        <w:t>if their STA is deemed sufficient.</w:t>
      </w:r>
      <w:r w:rsidR="00B15903">
        <w:rPr>
          <w:rFonts w:eastAsiaTheme="minorHAnsi" w:cstheme="minorBidi"/>
          <w:color w:val="auto"/>
          <w:szCs w:val="22"/>
        </w:rPr>
        <w:t xml:space="preserve"> </w:t>
      </w:r>
      <w:r>
        <w:rPr>
          <w:rFonts w:eastAsiaTheme="minorHAnsi" w:cstheme="minorBidi"/>
          <w:color w:val="auto"/>
          <w:szCs w:val="22"/>
        </w:rPr>
        <w:t xml:space="preserve"> This will vary based on the level of STA they must obtain under the rule.</w:t>
      </w:r>
      <w:r w:rsidR="00B15903">
        <w:rPr>
          <w:rFonts w:eastAsiaTheme="minorHAnsi" w:cstheme="minorBidi"/>
          <w:color w:val="auto"/>
          <w:szCs w:val="22"/>
        </w:rPr>
        <w:t xml:space="preserve"> </w:t>
      </w:r>
      <w:r>
        <w:rPr>
          <w:rFonts w:eastAsiaTheme="minorHAnsi" w:cstheme="minorBidi"/>
          <w:color w:val="auto"/>
          <w:szCs w:val="22"/>
        </w:rPr>
        <w:t xml:space="preserve"> Applicants with a comparable STA would have to enroll online, pay a reduced fee, and provide any additional required </w:t>
      </w:r>
      <w:r>
        <w:rPr>
          <w:rFonts w:eastAsiaTheme="minorHAnsi" w:cstheme="minorBidi"/>
          <w:color w:val="auto"/>
          <w:szCs w:val="22"/>
        </w:rPr>
        <w:t>information under the proposed rule.</w:t>
      </w:r>
      <w:r w:rsidR="00B15903">
        <w:rPr>
          <w:rFonts w:eastAsiaTheme="minorHAnsi" w:cstheme="minorBidi"/>
          <w:color w:val="auto"/>
          <w:szCs w:val="22"/>
        </w:rPr>
        <w:t xml:space="preserve"> </w:t>
      </w:r>
      <w:r>
        <w:rPr>
          <w:rFonts w:eastAsiaTheme="minorHAnsi" w:cstheme="minorBidi"/>
          <w:color w:val="auto"/>
          <w:szCs w:val="22"/>
        </w:rPr>
        <w:t xml:space="preserve"> </w:t>
      </w:r>
      <w:r w:rsidR="004320CB">
        <w:rPr>
          <w:rFonts w:eastAsiaTheme="minorHAnsi" w:cstheme="minorBidi"/>
          <w:color w:val="auto"/>
          <w:szCs w:val="22"/>
        </w:rPr>
        <w:t xml:space="preserve">TSA estimates 0.17 hours </w:t>
      </w:r>
      <w:r>
        <w:rPr>
          <w:rFonts w:eastAsiaTheme="minorHAnsi" w:cstheme="minorBidi"/>
          <w:color w:val="auto"/>
          <w:szCs w:val="22"/>
        </w:rPr>
        <w:t xml:space="preserve">burden </w:t>
      </w:r>
      <w:r w:rsidR="004320CB">
        <w:rPr>
          <w:rFonts w:eastAsiaTheme="minorHAnsi" w:cstheme="minorBidi"/>
          <w:color w:val="auto"/>
          <w:szCs w:val="22"/>
        </w:rPr>
        <w:t>per applicant</w:t>
      </w:r>
      <w:r>
        <w:rPr>
          <w:rFonts w:eastAsiaTheme="minorHAnsi" w:cstheme="minorBidi"/>
          <w:color w:val="auto"/>
          <w:szCs w:val="22"/>
        </w:rPr>
        <w:t xml:space="preserve"> to complete the </w:t>
      </w:r>
      <w:r w:rsidR="007B395B">
        <w:rPr>
          <w:rFonts w:eastAsiaTheme="minorHAnsi" w:cstheme="minorBidi"/>
          <w:color w:val="auto"/>
          <w:szCs w:val="22"/>
        </w:rPr>
        <w:t>initial</w:t>
      </w:r>
      <w:r>
        <w:rPr>
          <w:rFonts w:eastAsiaTheme="minorHAnsi" w:cstheme="minorBidi"/>
          <w:color w:val="auto"/>
          <w:szCs w:val="22"/>
        </w:rPr>
        <w:t xml:space="preserve"> enrollment</w:t>
      </w:r>
      <w:r w:rsidR="004320CB">
        <w:rPr>
          <w:rFonts w:eastAsiaTheme="minorHAnsi" w:cstheme="minorBidi"/>
          <w:color w:val="auto"/>
          <w:szCs w:val="22"/>
        </w:rPr>
        <w:t>.</w:t>
      </w:r>
    </w:p>
    <w:p w:rsidR="00D85B56" w14:paraId="6C636877" w14:textId="385517CF">
      <w:pPr>
        <w:ind w:left="360"/>
        <w:rPr>
          <w:rFonts w:eastAsiaTheme="minorHAnsi" w:cstheme="minorBidi"/>
          <w:color w:val="auto"/>
          <w:szCs w:val="22"/>
        </w:rPr>
      </w:pPr>
    </w:p>
    <w:p w:rsidR="00D85B56" w:rsidP="00D85B56" w14:paraId="6D3AAF30" w14:textId="15C79C39">
      <w:pPr>
        <w:pStyle w:val="ListParagraph"/>
        <w:numPr>
          <w:ilvl w:val="0"/>
          <w:numId w:val="43"/>
        </w:numPr>
        <w:rPr>
          <w:rFonts w:eastAsiaTheme="minorHAnsi" w:cstheme="minorBidi"/>
          <w:color w:val="auto"/>
          <w:szCs w:val="22"/>
        </w:rPr>
      </w:pPr>
      <w:r>
        <w:rPr>
          <w:rFonts w:eastAsiaTheme="minorHAnsi" w:cstheme="minorBidi"/>
          <w:i/>
          <w:color w:val="auto"/>
          <w:szCs w:val="22"/>
        </w:rPr>
        <w:t xml:space="preserve">Freight Railroad Owner/Operators: </w:t>
      </w:r>
      <w:r>
        <w:rPr>
          <w:rFonts w:eastAsiaTheme="minorHAnsi" w:cstheme="minorBidi"/>
          <w:color w:val="auto"/>
          <w:szCs w:val="22"/>
        </w:rPr>
        <w:t>TSA estimates</w:t>
      </w:r>
      <w:r w:rsidR="003F3A1A">
        <w:rPr>
          <w:rFonts w:eastAsiaTheme="minorHAnsi" w:cstheme="minorBidi"/>
          <w:color w:val="auto"/>
          <w:szCs w:val="22"/>
        </w:rPr>
        <w:t xml:space="preserve"> 123,964 </w:t>
      </w:r>
      <w:r>
        <w:rPr>
          <w:rFonts w:eastAsiaTheme="minorHAnsi" w:cstheme="minorBidi"/>
          <w:color w:val="auto"/>
          <w:szCs w:val="22"/>
        </w:rPr>
        <w:t xml:space="preserve">unique respondents for SSEs in freight rail over the </w:t>
      </w:r>
      <w:r w:rsidR="003F42FF">
        <w:rPr>
          <w:rFonts w:eastAsiaTheme="minorHAnsi" w:cstheme="minorBidi"/>
          <w:color w:val="auto"/>
          <w:szCs w:val="22"/>
        </w:rPr>
        <w:t>3</w:t>
      </w:r>
      <w:r>
        <w:rPr>
          <w:rFonts w:eastAsiaTheme="minorHAnsi" w:cstheme="minorBidi"/>
          <w:color w:val="auto"/>
          <w:szCs w:val="22"/>
        </w:rPr>
        <w:t xml:space="preserve">-year period. </w:t>
      </w:r>
      <w:r w:rsidR="003F42FF">
        <w:rPr>
          <w:rFonts w:eastAsiaTheme="minorHAnsi" w:cstheme="minorBidi"/>
          <w:color w:val="auto"/>
          <w:szCs w:val="22"/>
        </w:rPr>
        <w:t xml:space="preserve"> </w:t>
      </w:r>
      <w:r>
        <w:rPr>
          <w:rFonts w:eastAsiaTheme="minorHAnsi" w:cstheme="minorBidi"/>
          <w:color w:val="auto"/>
          <w:szCs w:val="22"/>
        </w:rPr>
        <w:t xml:space="preserve">TSA multiplies the number of SSE respondents by the 1.43 hour burden per applicant to calculate a </w:t>
      </w:r>
      <w:r w:rsidR="003F42FF">
        <w:rPr>
          <w:rFonts w:eastAsiaTheme="minorHAnsi" w:cstheme="minorBidi"/>
          <w:color w:val="auto"/>
          <w:szCs w:val="22"/>
        </w:rPr>
        <w:t>3</w:t>
      </w:r>
      <w:r>
        <w:rPr>
          <w:rFonts w:eastAsiaTheme="minorHAnsi" w:cstheme="minorBidi"/>
          <w:color w:val="auto"/>
          <w:szCs w:val="22"/>
        </w:rPr>
        <w:t xml:space="preserve">-year burden of 177,195 hours. </w:t>
      </w:r>
      <w:r w:rsidR="003F42FF">
        <w:rPr>
          <w:rFonts w:eastAsiaTheme="minorHAnsi" w:cstheme="minorBidi"/>
          <w:color w:val="auto"/>
          <w:szCs w:val="22"/>
        </w:rPr>
        <w:t xml:space="preserve"> </w:t>
      </w:r>
      <w:r>
        <w:rPr>
          <w:rFonts w:eastAsiaTheme="minorHAnsi" w:cstheme="minorBidi"/>
          <w:color w:val="auto"/>
          <w:szCs w:val="22"/>
        </w:rPr>
        <w:t xml:space="preserve">Next, TSA divides the </w:t>
      </w:r>
      <w:r w:rsidR="003F42FF">
        <w:rPr>
          <w:rFonts w:eastAsiaTheme="minorHAnsi" w:cstheme="minorBidi"/>
          <w:color w:val="auto"/>
          <w:szCs w:val="22"/>
        </w:rPr>
        <w:t>3</w:t>
      </w:r>
      <w:r>
        <w:rPr>
          <w:rFonts w:eastAsiaTheme="minorHAnsi" w:cstheme="minorBidi"/>
          <w:color w:val="auto"/>
          <w:szCs w:val="22"/>
        </w:rPr>
        <w:t>-year total burden by three to estimate an average annual burden of 59,065 hours.</w:t>
      </w:r>
      <w:r w:rsidR="00B15903">
        <w:rPr>
          <w:rFonts w:eastAsiaTheme="minorHAnsi" w:cstheme="minorBidi"/>
          <w:color w:val="auto"/>
          <w:szCs w:val="22"/>
        </w:rPr>
        <w:t xml:space="preserve"> </w:t>
      </w:r>
      <w:r>
        <w:rPr>
          <w:rFonts w:eastAsiaTheme="minorHAnsi" w:cstheme="minorBidi"/>
          <w:color w:val="auto"/>
          <w:szCs w:val="22"/>
        </w:rPr>
        <w:t xml:space="preserve"> TSA then multiplies the average annual burden by the $49.14 </w:t>
      </w:r>
      <w:r w:rsidR="00644419">
        <w:rPr>
          <w:rFonts w:eastAsiaTheme="minorHAnsi" w:cstheme="minorBidi"/>
          <w:color w:val="auto"/>
          <w:szCs w:val="22"/>
        </w:rPr>
        <w:t>compensation rate for SSEs in the freight railroad industry</w:t>
      </w:r>
      <w:r>
        <w:rPr>
          <w:rStyle w:val="FootnoteReference"/>
          <w:rFonts w:eastAsiaTheme="minorHAnsi" w:cstheme="minorBidi"/>
          <w:color w:val="auto"/>
          <w:szCs w:val="22"/>
        </w:rPr>
        <w:footnoteReference w:id="11"/>
      </w:r>
      <w:r w:rsidR="00644419">
        <w:rPr>
          <w:rFonts w:eastAsiaTheme="minorHAnsi" w:cstheme="minorBidi"/>
          <w:color w:val="auto"/>
          <w:szCs w:val="22"/>
        </w:rPr>
        <w:t xml:space="preserve"> to estimate an average annual cost of </w:t>
      </w:r>
      <w:r w:rsidRPr="005D1294" w:rsidR="00644419">
        <w:rPr>
          <w:rFonts w:eastAsiaTheme="minorHAnsi" w:cstheme="minorBidi"/>
          <w:color w:val="auto"/>
          <w:szCs w:val="22"/>
        </w:rPr>
        <w:t>$</w:t>
      </w:r>
      <w:r w:rsidRPr="005D1294" w:rsidR="005D1294">
        <w:rPr>
          <w:rFonts w:eastAsiaTheme="minorHAnsi" w:cstheme="minorBidi"/>
          <w:color w:val="auto"/>
          <w:szCs w:val="22"/>
        </w:rPr>
        <w:t>2,902,455</w:t>
      </w:r>
      <w:r w:rsidR="005D1294">
        <w:rPr>
          <w:rFonts w:eastAsiaTheme="minorHAnsi" w:cstheme="minorBidi"/>
          <w:color w:val="auto"/>
          <w:szCs w:val="22"/>
        </w:rPr>
        <w:t>.</w:t>
      </w:r>
    </w:p>
    <w:p w:rsidR="00D85B56" w:rsidP="00B57037" w14:paraId="21988F53" w14:textId="0993A189">
      <w:pPr>
        <w:pStyle w:val="ListParagraph"/>
        <w:ind w:left="1080"/>
        <w:rPr>
          <w:rFonts w:eastAsiaTheme="minorHAnsi" w:cstheme="minorBidi"/>
          <w:color w:val="auto"/>
          <w:szCs w:val="22"/>
        </w:rPr>
      </w:pPr>
    </w:p>
    <w:p w:rsidR="003F3A1A" w:rsidP="00B57037" w14:paraId="7FA8CB80" w14:textId="18109BB3">
      <w:pPr>
        <w:pStyle w:val="ListParagraph"/>
        <w:ind w:left="1080"/>
        <w:rPr>
          <w:rFonts w:eastAsiaTheme="minorHAnsi" w:cstheme="minorBidi"/>
          <w:color w:val="auto"/>
          <w:szCs w:val="22"/>
        </w:rPr>
      </w:pPr>
      <w:r>
        <w:rPr>
          <w:rFonts w:eastAsiaTheme="minorHAnsi" w:cstheme="minorBidi"/>
          <w:color w:val="auto"/>
          <w:szCs w:val="22"/>
        </w:rPr>
        <w:t xml:space="preserve">TSA estimates 488 unique respondents for SCs in freight rail over the </w:t>
      </w:r>
      <w:r w:rsidR="003F42FF">
        <w:rPr>
          <w:rFonts w:eastAsiaTheme="minorHAnsi" w:cstheme="minorBidi"/>
          <w:color w:val="auto"/>
          <w:szCs w:val="22"/>
        </w:rPr>
        <w:t>3</w:t>
      </w:r>
      <w:r>
        <w:rPr>
          <w:rFonts w:eastAsiaTheme="minorHAnsi" w:cstheme="minorBidi"/>
          <w:color w:val="auto"/>
          <w:szCs w:val="22"/>
        </w:rPr>
        <w:t>-year period.</w:t>
      </w:r>
      <w:r w:rsidR="003F42FF">
        <w:rPr>
          <w:rFonts w:eastAsiaTheme="minorHAnsi" w:cstheme="minorBidi"/>
          <w:color w:val="auto"/>
          <w:szCs w:val="22"/>
        </w:rPr>
        <w:t xml:space="preserve"> </w:t>
      </w:r>
      <w:r>
        <w:rPr>
          <w:rFonts w:eastAsiaTheme="minorHAnsi" w:cstheme="minorBidi"/>
          <w:color w:val="auto"/>
          <w:szCs w:val="22"/>
        </w:rPr>
        <w:t xml:space="preserve"> TSA multiplies the number of </w:t>
      </w:r>
      <w:r w:rsidR="00E95379">
        <w:rPr>
          <w:rFonts w:eastAsiaTheme="minorHAnsi" w:cstheme="minorBidi"/>
          <w:color w:val="auto"/>
          <w:szCs w:val="22"/>
        </w:rPr>
        <w:t>SC</w:t>
      </w:r>
      <w:r>
        <w:rPr>
          <w:rFonts w:eastAsiaTheme="minorHAnsi" w:cstheme="minorBidi"/>
          <w:color w:val="auto"/>
          <w:szCs w:val="22"/>
        </w:rPr>
        <w:t xml:space="preserve"> respondents by the 1.51 hour burden per applicant to calculate a </w:t>
      </w:r>
      <w:r w:rsidR="003F42FF">
        <w:rPr>
          <w:rFonts w:eastAsiaTheme="minorHAnsi" w:cstheme="minorBidi"/>
          <w:color w:val="auto"/>
          <w:szCs w:val="22"/>
        </w:rPr>
        <w:t>3</w:t>
      </w:r>
      <w:r>
        <w:rPr>
          <w:rFonts w:eastAsiaTheme="minorHAnsi" w:cstheme="minorBidi"/>
          <w:color w:val="auto"/>
          <w:szCs w:val="22"/>
        </w:rPr>
        <w:t xml:space="preserve">-year burden of 738 hours. </w:t>
      </w:r>
      <w:r w:rsidR="00B15903">
        <w:rPr>
          <w:rFonts w:eastAsiaTheme="minorHAnsi" w:cstheme="minorBidi"/>
          <w:color w:val="auto"/>
          <w:szCs w:val="22"/>
        </w:rPr>
        <w:t xml:space="preserve"> </w:t>
      </w:r>
      <w:r>
        <w:rPr>
          <w:rFonts w:eastAsiaTheme="minorHAnsi" w:cstheme="minorBidi"/>
          <w:color w:val="auto"/>
          <w:szCs w:val="22"/>
        </w:rPr>
        <w:t xml:space="preserve">Next, TSA divides the </w:t>
      </w:r>
      <w:r w:rsidR="003F42FF">
        <w:rPr>
          <w:rFonts w:eastAsiaTheme="minorHAnsi" w:cstheme="minorBidi"/>
          <w:color w:val="auto"/>
          <w:szCs w:val="22"/>
        </w:rPr>
        <w:t>3</w:t>
      </w:r>
      <w:r>
        <w:rPr>
          <w:rFonts w:eastAsiaTheme="minorHAnsi" w:cstheme="minorBidi"/>
          <w:color w:val="auto"/>
          <w:szCs w:val="22"/>
        </w:rPr>
        <w:t xml:space="preserve">-year total burden by three to estimate an </w:t>
      </w:r>
      <w:r w:rsidRPr="005D1294">
        <w:rPr>
          <w:rFonts w:eastAsiaTheme="minorHAnsi" w:cstheme="minorBidi"/>
          <w:color w:val="auto"/>
          <w:szCs w:val="22"/>
        </w:rPr>
        <w:t xml:space="preserve">average annual burden of 246 hours. </w:t>
      </w:r>
      <w:r w:rsidR="00B15903">
        <w:rPr>
          <w:rFonts w:eastAsiaTheme="minorHAnsi" w:cstheme="minorBidi"/>
          <w:color w:val="auto"/>
          <w:szCs w:val="22"/>
        </w:rPr>
        <w:t xml:space="preserve"> </w:t>
      </w:r>
      <w:r w:rsidRPr="005D1294">
        <w:rPr>
          <w:rFonts w:eastAsiaTheme="minorHAnsi" w:cstheme="minorBidi"/>
          <w:color w:val="auto"/>
          <w:szCs w:val="22"/>
        </w:rPr>
        <w:t>TSA then multiplies the average annual burden by the $</w:t>
      </w:r>
      <w:r w:rsidRPr="005D1294" w:rsidR="005D1294">
        <w:rPr>
          <w:rFonts w:eastAsiaTheme="minorHAnsi" w:cstheme="minorBidi"/>
          <w:color w:val="auto"/>
          <w:szCs w:val="22"/>
        </w:rPr>
        <w:t>92.34</w:t>
      </w:r>
      <w:r w:rsidRPr="005D1294">
        <w:rPr>
          <w:rFonts w:eastAsiaTheme="minorHAnsi" w:cstheme="minorBidi"/>
          <w:color w:val="auto"/>
          <w:szCs w:val="22"/>
        </w:rPr>
        <w:t xml:space="preserve"> compensation rate for SCs in the freight railroad industry to estimate an average annual cost of $</w:t>
      </w:r>
      <w:r w:rsidRPr="00B57037" w:rsidR="005D1294">
        <w:rPr>
          <w:rFonts w:eastAsiaTheme="minorHAnsi" w:cstheme="minorBidi"/>
          <w:color w:val="auto"/>
          <w:szCs w:val="22"/>
        </w:rPr>
        <w:t>22,724</w:t>
      </w:r>
      <w:r w:rsidRPr="005D1294">
        <w:rPr>
          <w:rFonts w:eastAsiaTheme="minorHAnsi" w:cstheme="minorBidi"/>
          <w:color w:val="auto"/>
          <w:szCs w:val="22"/>
        </w:rPr>
        <w:t>.</w:t>
      </w:r>
    </w:p>
    <w:p w:rsidR="003F3A1A" w:rsidP="00B57037" w14:paraId="1F549AFB" w14:textId="7BD43639">
      <w:pPr>
        <w:pStyle w:val="ListParagraph"/>
        <w:ind w:left="1080"/>
        <w:rPr>
          <w:rFonts w:eastAsiaTheme="minorHAnsi" w:cstheme="minorBidi"/>
          <w:color w:val="auto"/>
          <w:szCs w:val="22"/>
        </w:rPr>
      </w:pPr>
    </w:p>
    <w:p w:rsidR="00E65BE4" w:rsidP="00E65BE4" w14:paraId="6126B541" w14:textId="3A9A49C6">
      <w:pPr>
        <w:pStyle w:val="ListParagraph"/>
        <w:ind w:left="1080"/>
        <w:rPr>
          <w:rFonts w:eastAsiaTheme="minorHAnsi" w:cstheme="minorBidi"/>
          <w:color w:val="auto"/>
          <w:szCs w:val="22"/>
        </w:rPr>
      </w:pPr>
      <w:r w:rsidRPr="005D1294">
        <w:rPr>
          <w:rFonts w:eastAsiaTheme="minorHAnsi" w:cstheme="minorBidi"/>
          <w:color w:val="auto"/>
          <w:szCs w:val="22"/>
        </w:rPr>
        <w:t xml:space="preserve">Next, TSA </w:t>
      </w:r>
      <w:r w:rsidRPr="005D1294">
        <w:rPr>
          <w:rFonts w:eastAsiaTheme="minorHAnsi" w:cstheme="minorBidi"/>
          <w:color w:val="auto"/>
          <w:szCs w:val="22"/>
        </w:rPr>
        <w:t xml:space="preserve">presents </w:t>
      </w:r>
      <w:r w:rsidRPr="005D1294">
        <w:rPr>
          <w:rFonts w:eastAsiaTheme="minorHAnsi" w:cstheme="minorBidi"/>
          <w:color w:val="auto"/>
          <w:szCs w:val="22"/>
        </w:rPr>
        <w:t>the</w:t>
      </w:r>
      <w:r w:rsidRPr="005D1294">
        <w:rPr>
          <w:rFonts w:eastAsiaTheme="minorHAnsi" w:cstheme="minorBidi"/>
          <w:color w:val="auto"/>
          <w:szCs w:val="22"/>
        </w:rPr>
        <w:t xml:space="preserve"> hour burdens and average annual costs for respondents in the freight rail industry that have an active comparable STA.</w:t>
      </w:r>
      <w:r w:rsidR="00B15903">
        <w:rPr>
          <w:rFonts w:eastAsiaTheme="minorHAnsi" w:cstheme="minorBidi"/>
          <w:color w:val="auto"/>
          <w:szCs w:val="22"/>
        </w:rPr>
        <w:t xml:space="preserve"> </w:t>
      </w:r>
      <w:r w:rsidRPr="005D1294">
        <w:rPr>
          <w:rFonts w:eastAsiaTheme="minorHAnsi" w:cstheme="minorBidi"/>
          <w:color w:val="auto"/>
          <w:szCs w:val="22"/>
        </w:rPr>
        <w:t xml:space="preserve"> TSA estimates 7,997 SSE respondents with a comparable STA over the </w:t>
      </w:r>
      <w:r w:rsidR="003F42FF">
        <w:rPr>
          <w:rFonts w:eastAsiaTheme="minorHAnsi" w:cstheme="minorBidi"/>
          <w:color w:val="auto"/>
          <w:szCs w:val="22"/>
        </w:rPr>
        <w:t>3</w:t>
      </w:r>
      <w:r w:rsidRPr="005D1294">
        <w:rPr>
          <w:rFonts w:eastAsiaTheme="minorHAnsi" w:cstheme="minorBidi"/>
          <w:color w:val="auto"/>
          <w:szCs w:val="22"/>
        </w:rPr>
        <w:t>-year period.</w:t>
      </w:r>
      <w:r w:rsidR="00B15903">
        <w:rPr>
          <w:rFonts w:eastAsiaTheme="minorHAnsi" w:cstheme="minorBidi"/>
          <w:color w:val="auto"/>
          <w:szCs w:val="22"/>
        </w:rPr>
        <w:t xml:space="preserve"> </w:t>
      </w:r>
      <w:r w:rsidRPr="005D1294">
        <w:rPr>
          <w:rFonts w:eastAsiaTheme="minorHAnsi" w:cstheme="minorBidi"/>
          <w:color w:val="auto"/>
          <w:szCs w:val="22"/>
        </w:rPr>
        <w:t xml:space="preserve"> TSA multiplies the comparable SSE respondents by the 0.17 hour burden per applicant to calculate a </w:t>
      </w:r>
      <w:r w:rsidR="003F42FF">
        <w:rPr>
          <w:rFonts w:eastAsiaTheme="minorHAnsi" w:cstheme="minorBidi"/>
          <w:color w:val="auto"/>
          <w:szCs w:val="22"/>
        </w:rPr>
        <w:t>3</w:t>
      </w:r>
      <w:r w:rsidRPr="005D1294">
        <w:rPr>
          <w:rFonts w:eastAsiaTheme="minorHAnsi" w:cstheme="minorBidi"/>
          <w:color w:val="auto"/>
          <w:szCs w:val="22"/>
        </w:rPr>
        <w:t xml:space="preserve">-year burden of 1,333 hours. </w:t>
      </w:r>
      <w:r w:rsidR="00B15903">
        <w:rPr>
          <w:rFonts w:eastAsiaTheme="minorHAnsi" w:cstheme="minorBidi"/>
          <w:color w:val="auto"/>
          <w:szCs w:val="22"/>
        </w:rPr>
        <w:t xml:space="preserve"> </w:t>
      </w:r>
      <w:r w:rsidRPr="005D1294">
        <w:rPr>
          <w:rFonts w:eastAsiaTheme="minorHAnsi" w:cstheme="minorBidi"/>
          <w:color w:val="auto"/>
          <w:szCs w:val="22"/>
        </w:rPr>
        <w:t xml:space="preserve">Next, TSA divides the </w:t>
      </w:r>
      <w:r w:rsidR="003F42FF">
        <w:rPr>
          <w:rFonts w:eastAsiaTheme="minorHAnsi" w:cstheme="minorBidi"/>
          <w:color w:val="auto"/>
          <w:szCs w:val="22"/>
        </w:rPr>
        <w:t>3</w:t>
      </w:r>
      <w:r w:rsidRPr="005D1294">
        <w:rPr>
          <w:rFonts w:eastAsiaTheme="minorHAnsi" w:cstheme="minorBidi"/>
          <w:color w:val="auto"/>
          <w:szCs w:val="22"/>
        </w:rPr>
        <w:t>-year total burden by three to estimate an average annual burden of 444 hours.</w:t>
      </w:r>
      <w:r w:rsidR="00B15903">
        <w:rPr>
          <w:rFonts w:eastAsiaTheme="minorHAnsi" w:cstheme="minorBidi"/>
          <w:color w:val="auto"/>
          <w:szCs w:val="22"/>
        </w:rPr>
        <w:t xml:space="preserve"> </w:t>
      </w:r>
      <w:r w:rsidRPr="005D1294">
        <w:rPr>
          <w:rFonts w:eastAsiaTheme="minorHAnsi" w:cstheme="minorBidi"/>
          <w:color w:val="auto"/>
          <w:szCs w:val="22"/>
        </w:rPr>
        <w:t xml:space="preserve"> TSA then multiplies the average annual burden by the $49.14 compensation rate for SSEs in the freight railroad industry to estimate an average annual cost of </w:t>
      </w:r>
      <w:r w:rsidRPr="00B57037">
        <w:rPr>
          <w:rFonts w:eastAsiaTheme="minorHAnsi" w:cstheme="minorBidi"/>
          <w:color w:val="auto"/>
          <w:szCs w:val="22"/>
        </w:rPr>
        <w:t>$</w:t>
      </w:r>
      <w:r w:rsidRPr="00B57037" w:rsidR="005D1294">
        <w:rPr>
          <w:rFonts w:eastAsiaTheme="minorHAnsi" w:cstheme="minorBidi"/>
          <w:color w:val="auto"/>
          <w:szCs w:val="22"/>
        </w:rPr>
        <w:t>21,833</w:t>
      </w:r>
      <w:r w:rsidRPr="00B57037">
        <w:rPr>
          <w:rFonts w:eastAsiaTheme="minorHAnsi" w:cstheme="minorBidi"/>
          <w:color w:val="auto"/>
          <w:szCs w:val="22"/>
        </w:rPr>
        <w:t>.</w:t>
      </w:r>
    </w:p>
    <w:p w:rsidR="00E65BE4" w:rsidP="00E65BE4" w14:paraId="725D5FE5" w14:textId="1C5635CA">
      <w:pPr>
        <w:pStyle w:val="ListParagraph"/>
        <w:ind w:left="1080"/>
        <w:rPr>
          <w:rFonts w:eastAsiaTheme="minorHAnsi" w:cstheme="minorBidi"/>
          <w:color w:val="auto"/>
          <w:szCs w:val="22"/>
        </w:rPr>
      </w:pPr>
    </w:p>
    <w:p w:rsidR="00E65BE4" w:rsidP="00E65BE4" w14:paraId="325A3836" w14:textId="346397DD">
      <w:pPr>
        <w:pStyle w:val="ListParagraph"/>
        <w:ind w:left="1080"/>
        <w:rPr>
          <w:rFonts w:eastAsiaTheme="minorHAnsi" w:cstheme="minorBidi"/>
          <w:color w:val="auto"/>
          <w:szCs w:val="22"/>
        </w:rPr>
      </w:pPr>
      <w:r>
        <w:rPr>
          <w:rFonts w:eastAsiaTheme="minorHAnsi" w:cstheme="minorBidi"/>
          <w:color w:val="auto"/>
          <w:szCs w:val="22"/>
        </w:rPr>
        <w:t xml:space="preserve">TSA estimates 497 SC respondents with a comparable STA over the </w:t>
      </w:r>
      <w:r w:rsidR="003F42FF">
        <w:rPr>
          <w:rFonts w:eastAsiaTheme="minorHAnsi" w:cstheme="minorBidi"/>
          <w:color w:val="auto"/>
          <w:szCs w:val="22"/>
        </w:rPr>
        <w:t>3</w:t>
      </w:r>
      <w:r>
        <w:rPr>
          <w:rFonts w:eastAsiaTheme="minorHAnsi" w:cstheme="minorBidi"/>
          <w:color w:val="auto"/>
          <w:szCs w:val="22"/>
        </w:rPr>
        <w:t>-year period.</w:t>
      </w:r>
      <w:r w:rsidR="00B15903">
        <w:rPr>
          <w:rFonts w:eastAsiaTheme="minorHAnsi" w:cstheme="minorBidi"/>
          <w:color w:val="auto"/>
          <w:szCs w:val="22"/>
        </w:rPr>
        <w:t xml:space="preserve"> </w:t>
      </w:r>
      <w:r>
        <w:rPr>
          <w:rFonts w:eastAsiaTheme="minorHAnsi" w:cstheme="minorBidi"/>
          <w:color w:val="auto"/>
          <w:szCs w:val="22"/>
        </w:rPr>
        <w:t xml:space="preserve"> TSA multiplies the comparable SC respondents by the 0.17 hour burden per applicant to calculate a </w:t>
      </w:r>
      <w:r w:rsidR="003F42FF">
        <w:rPr>
          <w:rFonts w:eastAsiaTheme="minorHAnsi" w:cstheme="minorBidi"/>
          <w:color w:val="auto"/>
          <w:szCs w:val="22"/>
        </w:rPr>
        <w:t>3</w:t>
      </w:r>
      <w:r>
        <w:rPr>
          <w:rFonts w:eastAsiaTheme="minorHAnsi" w:cstheme="minorBidi"/>
          <w:color w:val="auto"/>
          <w:szCs w:val="22"/>
        </w:rPr>
        <w:t xml:space="preserve">-year </w:t>
      </w:r>
      <w:r w:rsidR="007B395B">
        <w:rPr>
          <w:rFonts w:eastAsiaTheme="minorHAnsi" w:cstheme="minorBidi"/>
          <w:color w:val="auto"/>
          <w:szCs w:val="22"/>
        </w:rPr>
        <w:t>burden</w:t>
      </w:r>
      <w:r>
        <w:rPr>
          <w:rFonts w:eastAsiaTheme="minorHAnsi" w:cstheme="minorBidi"/>
          <w:color w:val="auto"/>
          <w:szCs w:val="22"/>
        </w:rPr>
        <w:t xml:space="preserve"> of 83 hours.</w:t>
      </w:r>
      <w:r w:rsidR="00B15903">
        <w:rPr>
          <w:rFonts w:eastAsiaTheme="minorHAnsi" w:cstheme="minorBidi"/>
          <w:color w:val="auto"/>
          <w:szCs w:val="22"/>
        </w:rPr>
        <w:t xml:space="preserve"> </w:t>
      </w:r>
      <w:r>
        <w:rPr>
          <w:rFonts w:eastAsiaTheme="minorHAnsi" w:cstheme="minorBidi"/>
          <w:color w:val="auto"/>
          <w:szCs w:val="22"/>
        </w:rPr>
        <w:t xml:space="preserve"> </w:t>
      </w:r>
      <w:r w:rsidR="00181957">
        <w:rPr>
          <w:rFonts w:eastAsiaTheme="minorHAnsi" w:cstheme="minorBidi"/>
          <w:color w:val="auto"/>
          <w:szCs w:val="22"/>
        </w:rPr>
        <w:t xml:space="preserve">Next, TSA divides the </w:t>
      </w:r>
      <w:r w:rsidR="003F42FF">
        <w:rPr>
          <w:rFonts w:eastAsiaTheme="minorHAnsi" w:cstheme="minorBidi"/>
          <w:color w:val="auto"/>
          <w:szCs w:val="22"/>
        </w:rPr>
        <w:t>3</w:t>
      </w:r>
      <w:r w:rsidR="00181957">
        <w:rPr>
          <w:rFonts w:eastAsiaTheme="minorHAnsi" w:cstheme="minorBidi"/>
          <w:color w:val="auto"/>
          <w:szCs w:val="22"/>
        </w:rPr>
        <w:t>-year total burden by three to estimate an average annual burden of 28 hours.</w:t>
      </w:r>
      <w:r w:rsidR="00B15903">
        <w:rPr>
          <w:rFonts w:eastAsiaTheme="minorHAnsi" w:cstheme="minorBidi"/>
          <w:color w:val="auto"/>
          <w:szCs w:val="22"/>
        </w:rPr>
        <w:t xml:space="preserve"> </w:t>
      </w:r>
      <w:r w:rsidR="00181957">
        <w:rPr>
          <w:rFonts w:eastAsiaTheme="minorHAnsi" w:cstheme="minorBidi"/>
          <w:color w:val="auto"/>
          <w:szCs w:val="22"/>
        </w:rPr>
        <w:t xml:space="preserve"> </w:t>
      </w:r>
      <w:r>
        <w:rPr>
          <w:rFonts w:eastAsiaTheme="minorHAnsi" w:cstheme="minorBidi"/>
          <w:color w:val="auto"/>
          <w:szCs w:val="22"/>
        </w:rPr>
        <w:t>TSA then multiplies the average annual burden by the $</w:t>
      </w:r>
      <w:r w:rsidR="005D1294">
        <w:rPr>
          <w:rFonts w:eastAsiaTheme="minorHAnsi" w:cstheme="minorBidi"/>
          <w:color w:val="auto"/>
          <w:szCs w:val="22"/>
        </w:rPr>
        <w:t>92.34</w:t>
      </w:r>
      <w:r>
        <w:rPr>
          <w:rFonts w:eastAsiaTheme="minorHAnsi" w:cstheme="minorBidi"/>
          <w:color w:val="auto"/>
          <w:szCs w:val="22"/>
        </w:rPr>
        <w:t xml:space="preserve"> compensation rate for SCs in the freight railroad industry to estimate an average annual cost of $</w:t>
      </w:r>
      <w:r w:rsidR="005D1294">
        <w:rPr>
          <w:rFonts w:eastAsiaTheme="minorHAnsi" w:cstheme="minorBidi"/>
          <w:color w:val="auto"/>
          <w:szCs w:val="22"/>
        </w:rPr>
        <w:t>2,548.</w:t>
      </w:r>
    </w:p>
    <w:p w:rsidR="00E95379" w:rsidP="00B57037" w14:paraId="17311056" w14:textId="4D3CA72F">
      <w:pPr>
        <w:pStyle w:val="ListParagraph"/>
        <w:ind w:left="1080"/>
        <w:rPr>
          <w:rFonts w:eastAsiaTheme="minorHAnsi" w:cstheme="minorBidi"/>
          <w:color w:val="auto"/>
          <w:szCs w:val="22"/>
        </w:rPr>
      </w:pPr>
    </w:p>
    <w:p w:rsidR="00D85B56" w:rsidP="00D85B56" w14:paraId="7F5FB4C0" w14:textId="70683475">
      <w:pPr>
        <w:pStyle w:val="ListParagraph"/>
        <w:numPr>
          <w:ilvl w:val="0"/>
          <w:numId w:val="43"/>
        </w:numPr>
        <w:rPr>
          <w:rFonts w:eastAsiaTheme="minorHAnsi" w:cstheme="minorBidi"/>
          <w:color w:val="auto"/>
          <w:szCs w:val="22"/>
        </w:rPr>
      </w:pPr>
      <w:r>
        <w:rPr>
          <w:rFonts w:eastAsiaTheme="minorHAnsi" w:cstheme="minorBidi"/>
          <w:i/>
          <w:color w:val="auto"/>
          <w:szCs w:val="22"/>
        </w:rPr>
        <w:t xml:space="preserve">Freight Railroad Shippers and </w:t>
      </w:r>
      <w:r w:rsidR="007B395B">
        <w:rPr>
          <w:rFonts w:eastAsiaTheme="minorHAnsi" w:cstheme="minorBidi"/>
          <w:i/>
          <w:color w:val="auto"/>
          <w:szCs w:val="22"/>
        </w:rPr>
        <w:t>Receivers</w:t>
      </w:r>
      <w:r>
        <w:rPr>
          <w:rFonts w:eastAsiaTheme="minorHAnsi" w:cstheme="minorBidi"/>
          <w:i/>
          <w:color w:val="auto"/>
          <w:szCs w:val="22"/>
        </w:rPr>
        <w:t xml:space="preserve"> (FRSR): </w:t>
      </w:r>
      <w:r w:rsidR="00181957">
        <w:rPr>
          <w:rFonts w:eastAsiaTheme="minorHAnsi" w:cstheme="minorBidi"/>
          <w:color w:val="auto"/>
          <w:szCs w:val="22"/>
        </w:rPr>
        <w:t xml:space="preserve">TSA estimates 274 unique respondents for SCs in the FRSR industry over the </w:t>
      </w:r>
      <w:r w:rsidR="003F42FF">
        <w:rPr>
          <w:rFonts w:eastAsiaTheme="minorHAnsi" w:cstheme="minorBidi"/>
          <w:color w:val="auto"/>
          <w:szCs w:val="22"/>
        </w:rPr>
        <w:t>3</w:t>
      </w:r>
      <w:r w:rsidR="00181957">
        <w:rPr>
          <w:rFonts w:eastAsiaTheme="minorHAnsi" w:cstheme="minorBidi"/>
          <w:color w:val="auto"/>
          <w:szCs w:val="22"/>
        </w:rPr>
        <w:t>-year period.</w:t>
      </w:r>
      <w:r w:rsidR="00B15903">
        <w:rPr>
          <w:rFonts w:eastAsiaTheme="minorHAnsi" w:cstheme="minorBidi"/>
          <w:color w:val="auto"/>
          <w:szCs w:val="22"/>
        </w:rPr>
        <w:t xml:space="preserve"> </w:t>
      </w:r>
      <w:r w:rsidR="00181957">
        <w:rPr>
          <w:rFonts w:eastAsiaTheme="minorHAnsi" w:cstheme="minorBidi"/>
          <w:color w:val="auto"/>
          <w:szCs w:val="22"/>
        </w:rPr>
        <w:t xml:space="preserve"> TSA multiplies the number of SC respondents by the 1.51 hour burden per applicant to calculate a </w:t>
      </w:r>
      <w:r w:rsidR="003F42FF">
        <w:rPr>
          <w:rFonts w:eastAsiaTheme="minorHAnsi" w:cstheme="minorBidi"/>
          <w:color w:val="auto"/>
          <w:szCs w:val="22"/>
        </w:rPr>
        <w:t>3</w:t>
      </w:r>
      <w:r w:rsidR="00181957">
        <w:rPr>
          <w:rFonts w:eastAsiaTheme="minorHAnsi" w:cstheme="minorBidi"/>
          <w:color w:val="auto"/>
          <w:szCs w:val="22"/>
        </w:rPr>
        <w:t>-year burden of 414 hours.</w:t>
      </w:r>
      <w:r w:rsidR="00B15903">
        <w:rPr>
          <w:rFonts w:eastAsiaTheme="minorHAnsi" w:cstheme="minorBidi"/>
          <w:color w:val="auto"/>
          <w:szCs w:val="22"/>
        </w:rPr>
        <w:t xml:space="preserve"> </w:t>
      </w:r>
      <w:r w:rsidR="00181957">
        <w:rPr>
          <w:rFonts w:eastAsiaTheme="minorHAnsi" w:cstheme="minorBidi"/>
          <w:color w:val="auto"/>
          <w:szCs w:val="22"/>
        </w:rPr>
        <w:t xml:space="preserve"> Next, TSA divides the </w:t>
      </w:r>
      <w:r w:rsidR="003F42FF">
        <w:rPr>
          <w:rFonts w:eastAsiaTheme="minorHAnsi" w:cstheme="minorBidi"/>
          <w:color w:val="auto"/>
          <w:szCs w:val="22"/>
        </w:rPr>
        <w:t>3</w:t>
      </w:r>
      <w:r w:rsidR="00181957">
        <w:rPr>
          <w:rFonts w:eastAsiaTheme="minorHAnsi" w:cstheme="minorBidi"/>
          <w:color w:val="auto"/>
          <w:szCs w:val="22"/>
        </w:rPr>
        <w:t>-year total burden by three to estimate an average annual burden of 138 hours.</w:t>
      </w:r>
      <w:r w:rsidR="00B15903">
        <w:rPr>
          <w:rFonts w:eastAsiaTheme="minorHAnsi" w:cstheme="minorBidi"/>
          <w:color w:val="auto"/>
          <w:szCs w:val="22"/>
        </w:rPr>
        <w:t xml:space="preserve"> </w:t>
      </w:r>
      <w:r w:rsidR="00181957">
        <w:rPr>
          <w:rFonts w:eastAsiaTheme="minorHAnsi" w:cstheme="minorBidi"/>
          <w:color w:val="auto"/>
          <w:szCs w:val="22"/>
        </w:rPr>
        <w:t xml:space="preserve"> TSA then multiplies the average annual burden by </w:t>
      </w:r>
      <w:r w:rsidRPr="005D1294" w:rsidR="00181957">
        <w:rPr>
          <w:rFonts w:eastAsiaTheme="minorHAnsi" w:cstheme="minorBidi"/>
          <w:color w:val="auto"/>
          <w:szCs w:val="22"/>
        </w:rPr>
        <w:t>the $</w:t>
      </w:r>
      <w:r w:rsidRPr="005D1294" w:rsidR="005D1294">
        <w:rPr>
          <w:rFonts w:eastAsiaTheme="minorHAnsi" w:cstheme="minorBidi"/>
          <w:color w:val="auto"/>
          <w:szCs w:val="22"/>
        </w:rPr>
        <w:t>76.35</w:t>
      </w:r>
      <w:r w:rsidRPr="005D1294" w:rsidR="00181957">
        <w:rPr>
          <w:rFonts w:eastAsiaTheme="minorHAnsi" w:cstheme="minorBidi"/>
          <w:color w:val="auto"/>
          <w:szCs w:val="22"/>
        </w:rPr>
        <w:t xml:space="preserve"> compensation rate for SCs in the FRSR industry to estimate an average annual cost of $</w:t>
      </w:r>
      <w:r w:rsidRPr="005D1294" w:rsidR="005D1294">
        <w:rPr>
          <w:rFonts w:eastAsiaTheme="minorHAnsi" w:cstheme="minorBidi"/>
          <w:color w:val="auto"/>
          <w:szCs w:val="22"/>
        </w:rPr>
        <w:t>10,545</w:t>
      </w:r>
      <w:r w:rsidR="005D1294">
        <w:rPr>
          <w:rFonts w:eastAsiaTheme="minorHAnsi" w:cstheme="minorBidi"/>
          <w:color w:val="auto"/>
          <w:szCs w:val="22"/>
        </w:rPr>
        <w:t>.</w:t>
      </w:r>
    </w:p>
    <w:p w:rsidR="00181957" w:rsidP="00B57037" w14:paraId="690DFEC3" w14:textId="776C991B">
      <w:pPr>
        <w:pStyle w:val="ListParagraph"/>
        <w:ind w:left="1080"/>
        <w:rPr>
          <w:rFonts w:eastAsiaTheme="minorHAnsi" w:cstheme="minorBidi"/>
          <w:color w:val="auto"/>
          <w:szCs w:val="22"/>
        </w:rPr>
      </w:pPr>
    </w:p>
    <w:p w:rsidR="00181957" w:rsidP="00181957" w14:paraId="0835908B" w14:textId="3773EE57">
      <w:pPr>
        <w:pStyle w:val="ListParagraph"/>
        <w:ind w:left="1080"/>
        <w:rPr>
          <w:rFonts w:eastAsiaTheme="minorHAnsi" w:cstheme="minorBidi"/>
          <w:color w:val="auto"/>
          <w:szCs w:val="22"/>
        </w:rPr>
      </w:pPr>
      <w:r>
        <w:rPr>
          <w:rFonts w:eastAsiaTheme="minorHAnsi" w:cstheme="minorBidi"/>
          <w:color w:val="auto"/>
          <w:szCs w:val="22"/>
        </w:rPr>
        <w:t xml:space="preserve">Next, TSA presents the hour burdens and average annual costs for respondents in the FRSR industry that have an active comparable STA. </w:t>
      </w:r>
      <w:r w:rsidR="003F42FF">
        <w:rPr>
          <w:rFonts w:eastAsiaTheme="minorHAnsi" w:cstheme="minorBidi"/>
          <w:color w:val="auto"/>
          <w:szCs w:val="22"/>
        </w:rPr>
        <w:t xml:space="preserve"> </w:t>
      </w:r>
      <w:r>
        <w:rPr>
          <w:rFonts w:eastAsiaTheme="minorHAnsi" w:cstheme="minorBidi"/>
          <w:color w:val="auto"/>
          <w:szCs w:val="22"/>
        </w:rPr>
        <w:t xml:space="preserve">TSA estimates 308 SC </w:t>
      </w:r>
      <w:r>
        <w:rPr>
          <w:rFonts w:eastAsiaTheme="minorHAnsi" w:cstheme="minorBidi"/>
          <w:color w:val="auto"/>
          <w:szCs w:val="22"/>
        </w:rPr>
        <w:t xml:space="preserve">respondents with a comparable STA over the </w:t>
      </w:r>
      <w:r w:rsidR="003F42FF">
        <w:rPr>
          <w:rFonts w:eastAsiaTheme="minorHAnsi" w:cstheme="minorBidi"/>
          <w:color w:val="auto"/>
          <w:szCs w:val="22"/>
        </w:rPr>
        <w:t>3</w:t>
      </w:r>
      <w:r>
        <w:rPr>
          <w:rFonts w:eastAsiaTheme="minorHAnsi" w:cstheme="minorBidi"/>
          <w:color w:val="auto"/>
          <w:szCs w:val="22"/>
        </w:rPr>
        <w:t>-year period.</w:t>
      </w:r>
      <w:r w:rsidR="00B15903">
        <w:rPr>
          <w:rFonts w:eastAsiaTheme="minorHAnsi" w:cstheme="minorBidi"/>
          <w:color w:val="auto"/>
          <w:szCs w:val="22"/>
        </w:rPr>
        <w:t xml:space="preserve"> </w:t>
      </w:r>
      <w:r>
        <w:rPr>
          <w:rFonts w:eastAsiaTheme="minorHAnsi" w:cstheme="minorBidi"/>
          <w:color w:val="auto"/>
          <w:szCs w:val="22"/>
        </w:rPr>
        <w:t xml:space="preserve"> TSA multiplies the comparable </w:t>
      </w:r>
      <w:r w:rsidR="00861B3B">
        <w:rPr>
          <w:rFonts w:eastAsiaTheme="minorHAnsi" w:cstheme="minorBidi"/>
          <w:color w:val="auto"/>
          <w:szCs w:val="22"/>
        </w:rPr>
        <w:t>SC</w:t>
      </w:r>
      <w:r>
        <w:rPr>
          <w:rFonts w:eastAsiaTheme="minorHAnsi" w:cstheme="minorBidi"/>
          <w:color w:val="auto"/>
          <w:szCs w:val="22"/>
        </w:rPr>
        <w:t xml:space="preserve"> respondents by the 0.17 hour burden per applicant to calculate a </w:t>
      </w:r>
      <w:r w:rsidR="00FC0D74">
        <w:rPr>
          <w:rFonts w:eastAsiaTheme="minorHAnsi" w:cstheme="minorBidi"/>
          <w:color w:val="auto"/>
          <w:szCs w:val="22"/>
        </w:rPr>
        <w:t>3</w:t>
      </w:r>
      <w:r>
        <w:rPr>
          <w:rFonts w:eastAsiaTheme="minorHAnsi" w:cstheme="minorBidi"/>
          <w:color w:val="auto"/>
          <w:szCs w:val="22"/>
        </w:rPr>
        <w:t xml:space="preserve">-year burden of </w:t>
      </w:r>
      <w:r w:rsidR="00861B3B">
        <w:rPr>
          <w:rFonts w:eastAsiaTheme="minorHAnsi" w:cstheme="minorBidi"/>
          <w:color w:val="auto"/>
          <w:szCs w:val="22"/>
        </w:rPr>
        <w:t>51</w:t>
      </w:r>
      <w:r>
        <w:rPr>
          <w:rFonts w:eastAsiaTheme="minorHAnsi" w:cstheme="minorBidi"/>
          <w:color w:val="auto"/>
          <w:szCs w:val="22"/>
        </w:rPr>
        <w:t xml:space="preserve"> hours.</w:t>
      </w:r>
      <w:r w:rsidR="00B15903">
        <w:rPr>
          <w:rFonts w:eastAsiaTheme="minorHAnsi" w:cstheme="minorBidi"/>
          <w:color w:val="auto"/>
          <w:szCs w:val="22"/>
        </w:rPr>
        <w:t xml:space="preserve"> </w:t>
      </w:r>
      <w:r>
        <w:rPr>
          <w:rFonts w:eastAsiaTheme="minorHAnsi" w:cstheme="minorBidi"/>
          <w:color w:val="auto"/>
          <w:szCs w:val="22"/>
        </w:rPr>
        <w:t xml:space="preserve"> Next, TSA divides the </w:t>
      </w:r>
      <w:r w:rsidR="003F42FF">
        <w:rPr>
          <w:rFonts w:eastAsiaTheme="minorHAnsi" w:cstheme="minorBidi"/>
          <w:color w:val="auto"/>
          <w:szCs w:val="22"/>
        </w:rPr>
        <w:t>3</w:t>
      </w:r>
      <w:r>
        <w:rPr>
          <w:rFonts w:eastAsiaTheme="minorHAnsi" w:cstheme="minorBidi"/>
          <w:color w:val="auto"/>
          <w:szCs w:val="22"/>
        </w:rPr>
        <w:t xml:space="preserve">-year total burden by three to estimate an average annual burden of </w:t>
      </w:r>
      <w:r w:rsidR="00861B3B">
        <w:rPr>
          <w:rFonts w:eastAsiaTheme="minorHAnsi" w:cstheme="minorBidi"/>
          <w:color w:val="auto"/>
          <w:szCs w:val="22"/>
        </w:rPr>
        <w:t>17</w:t>
      </w:r>
      <w:r>
        <w:rPr>
          <w:rFonts w:eastAsiaTheme="minorHAnsi" w:cstheme="minorBidi"/>
          <w:color w:val="auto"/>
          <w:szCs w:val="22"/>
        </w:rPr>
        <w:t xml:space="preserve"> hours.</w:t>
      </w:r>
      <w:r w:rsidR="00B15903">
        <w:rPr>
          <w:rFonts w:eastAsiaTheme="minorHAnsi" w:cstheme="minorBidi"/>
          <w:color w:val="auto"/>
          <w:szCs w:val="22"/>
        </w:rPr>
        <w:t xml:space="preserve"> </w:t>
      </w:r>
      <w:r>
        <w:rPr>
          <w:rFonts w:eastAsiaTheme="minorHAnsi" w:cstheme="minorBidi"/>
          <w:color w:val="auto"/>
          <w:szCs w:val="22"/>
        </w:rPr>
        <w:t xml:space="preserve"> TSA then multiplies the average annual burden by the $</w:t>
      </w:r>
      <w:r w:rsidR="005D1294">
        <w:rPr>
          <w:rFonts w:eastAsiaTheme="minorHAnsi" w:cstheme="minorBidi"/>
          <w:color w:val="auto"/>
          <w:szCs w:val="22"/>
        </w:rPr>
        <w:t>76.35</w:t>
      </w:r>
      <w:r>
        <w:rPr>
          <w:rFonts w:eastAsiaTheme="minorHAnsi" w:cstheme="minorBidi"/>
          <w:color w:val="auto"/>
          <w:szCs w:val="22"/>
        </w:rPr>
        <w:t xml:space="preserve"> compensation rate for </w:t>
      </w:r>
      <w:r w:rsidR="00861B3B">
        <w:rPr>
          <w:rFonts w:eastAsiaTheme="minorHAnsi" w:cstheme="minorBidi"/>
          <w:color w:val="auto"/>
          <w:szCs w:val="22"/>
        </w:rPr>
        <w:t>SC</w:t>
      </w:r>
      <w:r>
        <w:rPr>
          <w:rFonts w:eastAsiaTheme="minorHAnsi" w:cstheme="minorBidi"/>
          <w:color w:val="auto"/>
          <w:szCs w:val="22"/>
        </w:rPr>
        <w:t xml:space="preserve">s in the </w:t>
      </w:r>
      <w:r w:rsidR="00861B3B">
        <w:rPr>
          <w:rFonts w:eastAsiaTheme="minorHAnsi" w:cstheme="minorBidi"/>
          <w:color w:val="auto"/>
          <w:szCs w:val="22"/>
        </w:rPr>
        <w:t>FRSR</w:t>
      </w:r>
      <w:r>
        <w:rPr>
          <w:rFonts w:eastAsiaTheme="minorHAnsi" w:cstheme="minorBidi"/>
          <w:color w:val="auto"/>
          <w:szCs w:val="22"/>
        </w:rPr>
        <w:t xml:space="preserve"> industry to estimate an average annual cost of </w:t>
      </w:r>
      <w:r w:rsidRPr="00B57037">
        <w:rPr>
          <w:rFonts w:eastAsiaTheme="minorHAnsi" w:cstheme="minorBidi"/>
          <w:color w:val="auto"/>
          <w:szCs w:val="22"/>
        </w:rPr>
        <w:t>$</w:t>
      </w:r>
      <w:r w:rsidRPr="00B57037" w:rsidR="005D1294">
        <w:rPr>
          <w:rFonts w:eastAsiaTheme="minorHAnsi" w:cstheme="minorBidi"/>
          <w:color w:val="auto"/>
          <w:szCs w:val="22"/>
        </w:rPr>
        <w:t>1,305</w:t>
      </w:r>
      <w:r w:rsidRPr="00B57037">
        <w:rPr>
          <w:rFonts w:eastAsiaTheme="minorHAnsi" w:cstheme="minorBidi"/>
          <w:color w:val="auto"/>
          <w:szCs w:val="22"/>
        </w:rPr>
        <w:t>.</w:t>
      </w:r>
    </w:p>
    <w:p w:rsidR="00181957" w:rsidRPr="00B57037" w:rsidP="00B57037" w14:paraId="1C3A9074" w14:textId="77777777">
      <w:pPr>
        <w:pStyle w:val="ListParagraph"/>
        <w:ind w:left="1080"/>
        <w:rPr>
          <w:rFonts w:eastAsiaTheme="minorHAnsi" w:cstheme="minorBidi"/>
          <w:color w:val="auto"/>
          <w:szCs w:val="22"/>
        </w:rPr>
      </w:pPr>
    </w:p>
    <w:p w:rsidR="00157149" w:rsidP="00157149" w14:paraId="1E2B2418" w14:textId="53EA7E88">
      <w:pPr>
        <w:pStyle w:val="ListParagraph"/>
        <w:numPr>
          <w:ilvl w:val="0"/>
          <w:numId w:val="43"/>
        </w:numPr>
        <w:rPr>
          <w:rFonts w:eastAsiaTheme="minorHAnsi" w:cstheme="minorBidi"/>
          <w:color w:val="auto"/>
          <w:szCs w:val="22"/>
        </w:rPr>
      </w:pPr>
      <w:r>
        <w:rPr>
          <w:rFonts w:eastAsiaTheme="minorHAnsi" w:cstheme="minorBidi"/>
          <w:i/>
          <w:color w:val="auto"/>
          <w:szCs w:val="22"/>
        </w:rPr>
        <w:t xml:space="preserve">Public Transportation and </w:t>
      </w:r>
      <w:r w:rsidR="007B395B">
        <w:rPr>
          <w:rFonts w:eastAsiaTheme="minorHAnsi" w:cstheme="minorBidi"/>
          <w:i/>
          <w:color w:val="auto"/>
          <w:szCs w:val="22"/>
        </w:rPr>
        <w:t>Passenger</w:t>
      </w:r>
      <w:r>
        <w:rPr>
          <w:rFonts w:eastAsiaTheme="minorHAnsi" w:cstheme="minorBidi"/>
          <w:i/>
          <w:color w:val="auto"/>
          <w:szCs w:val="22"/>
        </w:rPr>
        <w:t xml:space="preserve"> Railroad (PTPR) Owner/Operators:</w:t>
      </w:r>
      <w:r w:rsidRPr="00157149">
        <w:rPr>
          <w:rFonts w:eastAsiaTheme="minorHAnsi" w:cstheme="minorBidi"/>
          <w:color w:val="auto"/>
          <w:szCs w:val="22"/>
        </w:rPr>
        <w:t xml:space="preserve"> </w:t>
      </w:r>
      <w:r>
        <w:rPr>
          <w:rFonts w:eastAsiaTheme="minorHAnsi" w:cstheme="minorBidi"/>
          <w:color w:val="auto"/>
          <w:szCs w:val="22"/>
        </w:rPr>
        <w:t xml:space="preserve">TSA estimates 220,276 unique respondents for SSEs in the PTPR industry over the </w:t>
      </w:r>
      <w:r w:rsidR="003F42FF">
        <w:rPr>
          <w:rFonts w:eastAsiaTheme="minorHAnsi" w:cstheme="minorBidi"/>
          <w:color w:val="auto"/>
          <w:szCs w:val="22"/>
        </w:rPr>
        <w:t>3</w:t>
      </w:r>
      <w:r>
        <w:rPr>
          <w:rFonts w:eastAsiaTheme="minorHAnsi" w:cstheme="minorBidi"/>
          <w:color w:val="auto"/>
          <w:szCs w:val="22"/>
        </w:rPr>
        <w:t>-year period.</w:t>
      </w:r>
      <w:r w:rsidR="00B15903">
        <w:rPr>
          <w:rFonts w:eastAsiaTheme="minorHAnsi" w:cstheme="minorBidi"/>
          <w:color w:val="auto"/>
          <w:szCs w:val="22"/>
        </w:rPr>
        <w:t xml:space="preserve"> </w:t>
      </w:r>
      <w:r>
        <w:rPr>
          <w:rFonts w:eastAsiaTheme="minorHAnsi" w:cstheme="minorBidi"/>
          <w:color w:val="auto"/>
          <w:szCs w:val="22"/>
        </w:rPr>
        <w:t xml:space="preserve"> TSA multiplies the number of SSE respondents by the 1.43 hour burden per applicant to calculate a </w:t>
      </w:r>
      <w:r w:rsidR="003F42FF">
        <w:rPr>
          <w:rFonts w:eastAsiaTheme="minorHAnsi" w:cstheme="minorBidi"/>
          <w:color w:val="auto"/>
          <w:szCs w:val="22"/>
        </w:rPr>
        <w:t>3</w:t>
      </w:r>
      <w:r>
        <w:rPr>
          <w:rFonts w:eastAsiaTheme="minorHAnsi" w:cstheme="minorBidi"/>
          <w:color w:val="auto"/>
          <w:szCs w:val="22"/>
        </w:rPr>
        <w:t>-year burden of 314,865 hours.</w:t>
      </w:r>
      <w:r w:rsidR="00B15903">
        <w:rPr>
          <w:rFonts w:eastAsiaTheme="minorHAnsi" w:cstheme="minorBidi"/>
          <w:color w:val="auto"/>
          <w:szCs w:val="22"/>
        </w:rPr>
        <w:t xml:space="preserve"> </w:t>
      </w:r>
      <w:r>
        <w:rPr>
          <w:rFonts w:eastAsiaTheme="minorHAnsi" w:cstheme="minorBidi"/>
          <w:color w:val="auto"/>
          <w:szCs w:val="22"/>
        </w:rPr>
        <w:t xml:space="preserve"> Next, TSA divides the </w:t>
      </w:r>
      <w:r w:rsidR="003F42FF">
        <w:rPr>
          <w:rFonts w:eastAsiaTheme="minorHAnsi" w:cstheme="minorBidi"/>
          <w:color w:val="auto"/>
          <w:szCs w:val="22"/>
        </w:rPr>
        <w:t>3</w:t>
      </w:r>
      <w:r>
        <w:rPr>
          <w:rFonts w:eastAsiaTheme="minorHAnsi" w:cstheme="minorBidi"/>
          <w:color w:val="auto"/>
          <w:szCs w:val="22"/>
        </w:rPr>
        <w:t>-year total burden by three to estimate an average annual burden of 104,955 hours.</w:t>
      </w:r>
      <w:r w:rsidR="00B15903">
        <w:rPr>
          <w:rFonts w:eastAsiaTheme="minorHAnsi" w:cstheme="minorBidi"/>
          <w:color w:val="auto"/>
          <w:szCs w:val="22"/>
        </w:rPr>
        <w:t xml:space="preserve"> </w:t>
      </w:r>
      <w:r>
        <w:rPr>
          <w:rFonts w:eastAsiaTheme="minorHAnsi" w:cstheme="minorBidi"/>
          <w:color w:val="auto"/>
          <w:szCs w:val="22"/>
        </w:rPr>
        <w:t xml:space="preserve"> TSA then multiplies the average annual burden by the $</w:t>
      </w:r>
      <w:r w:rsidR="005D1294">
        <w:rPr>
          <w:rFonts w:eastAsiaTheme="minorHAnsi" w:cstheme="minorBidi"/>
          <w:color w:val="auto"/>
          <w:szCs w:val="22"/>
        </w:rPr>
        <w:t>38.98</w:t>
      </w:r>
      <w:r>
        <w:rPr>
          <w:rFonts w:eastAsiaTheme="minorHAnsi" w:cstheme="minorBidi"/>
          <w:color w:val="auto"/>
          <w:szCs w:val="22"/>
        </w:rPr>
        <w:t xml:space="preserve"> compensation rate for SSEs in the PTPR industry to estimate an average annual cost of </w:t>
      </w:r>
      <w:r w:rsidRPr="00B57037">
        <w:rPr>
          <w:rFonts w:eastAsiaTheme="minorHAnsi" w:cstheme="minorBidi"/>
          <w:color w:val="auto"/>
          <w:szCs w:val="22"/>
        </w:rPr>
        <w:t>$</w:t>
      </w:r>
      <w:r w:rsidRPr="005D1294" w:rsidR="005D1294">
        <w:rPr>
          <w:rFonts w:eastAsiaTheme="minorHAnsi" w:cstheme="minorBidi"/>
          <w:color w:val="auto"/>
          <w:szCs w:val="22"/>
        </w:rPr>
        <w:t>4,091,329.</w:t>
      </w:r>
    </w:p>
    <w:p w:rsidR="00157149" w:rsidP="00157149" w14:paraId="78147A7E" w14:textId="77777777">
      <w:pPr>
        <w:pStyle w:val="ListParagraph"/>
        <w:ind w:left="1080"/>
        <w:rPr>
          <w:rFonts w:eastAsiaTheme="minorHAnsi" w:cstheme="minorBidi"/>
          <w:color w:val="auto"/>
          <w:szCs w:val="22"/>
        </w:rPr>
      </w:pPr>
    </w:p>
    <w:p w:rsidR="00157149" w:rsidP="00157149" w14:paraId="44AC2271" w14:textId="44511FD0">
      <w:pPr>
        <w:pStyle w:val="ListParagraph"/>
        <w:ind w:left="1080"/>
        <w:rPr>
          <w:rFonts w:eastAsiaTheme="minorHAnsi" w:cstheme="minorBidi"/>
          <w:color w:val="auto"/>
          <w:szCs w:val="22"/>
        </w:rPr>
      </w:pPr>
      <w:r>
        <w:rPr>
          <w:rFonts w:eastAsiaTheme="minorHAnsi" w:cstheme="minorBidi"/>
          <w:color w:val="auto"/>
          <w:szCs w:val="22"/>
        </w:rPr>
        <w:t xml:space="preserve">TSA estimates 154 unique respondents for SCs in the PTPR industry over the </w:t>
      </w:r>
      <w:r w:rsidR="00FC0D74">
        <w:rPr>
          <w:rFonts w:eastAsiaTheme="minorHAnsi" w:cstheme="minorBidi"/>
          <w:color w:val="auto"/>
          <w:szCs w:val="22"/>
        </w:rPr>
        <w:t>3</w:t>
      </w:r>
      <w:r>
        <w:rPr>
          <w:rFonts w:eastAsiaTheme="minorHAnsi" w:cstheme="minorBidi"/>
          <w:color w:val="auto"/>
          <w:szCs w:val="22"/>
        </w:rPr>
        <w:t>-year period.</w:t>
      </w:r>
      <w:r w:rsidR="00B15903">
        <w:rPr>
          <w:rFonts w:eastAsiaTheme="minorHAnsi" w:cstheme="minorBidi"/>
          <w:color w:val="auto"/>
          <w:szCs w:val="22"/>
        </w:rPr>
        <w:t xml:space="preserve"> </w:t>
      </w:r>
      <w:r>
        <w:rPr>
          <w:rFonts w:eastAsiaTheme="minorHAnsi" w:cstheme="minorBidi"/>
          <w:color w:val="auto"/>
          <w:szCs w:val="22"/>
        </w:rPr>
        <w:t xml:space="preserve"> TSA multiplies the number of SC respondents by the 1.51 hour burden per applicant to calculate a </w:t>
      </w:r>
      <w:r w:rsidR="00FC0D74">
        <w:rPr>
          <w:rFonts w:eastAsiaTheme="minorHAnsi" w:cstheme="minorBidi"/>
          <w:color w:val="auto"/>
          <w:szCs w:val="22"/>
        </w:rPr>
        <w:t>3</w:t>
      </w:r>
      <w:r>
        <w:rPr>
          <w:rFonts w:eastAsiaTheme="minorHAnsi" w:cstheme="minorBidi"/>
          <w:color w:val="auto"/>
          <w:szCs w:val="22"/>
        </w:rPr>
        <w:t xml:space="preserve">-year burden of 233 hours. </w:t>
      </w:r>
      <w:r w:rsidR="00B15903">
        <w:rPr>
          <w:rFonts w:eastAsiaTheme="minorHAnsi" w:cstheme="minorBidi"/>
          <w:color w:val="auto"/>
          <w:szCs w:val="22"/>
        </w:rPr>
        <w:t xml:space="preserve"> </w:t>
      </w:r>
      <w:r>
        <w:rPr>
          <w:rFonts w:eastAsiaTheme="minorHAnsi" w:cstheme="minorBidi"/>
          <w:color w:val="auto"/>
          <w:szCs w:val="22"/>
        </w:rPr>
        <w:t xml:space="preserve">Next, TSA divides the </w:t>
      </w:r>
      <w:r w:rsidR="00FC0D74">
        <w:rPr>
          <w:rFonts w:eastAsiaTheme="minorHAnsi" w:cstheme="minorBidi"/>
          <w:color w:val="auto"/>
          <w:szCs w:val="22"/>
        </w:rPr>
        <w:t>3</w:t>
      </w:r>
      <w:r>
        <w:rPr>
          <w:rFonts w:eastAsiaTheme="minorHAnsi" w:cstheme="minorBidi"/>
          <w:color w:val="auto"/>
          <w:szCs w:val="22"/>
        </w:rPr>
        <w:t xml:space="preserve">-year total burden by three to estimate an average annual burden of 78 hours. TSA then multiplies the average annual burden by the </w:t>
      </w:r>
      <w:r w:rsidR="005D1294">
        <w:rPr>
          <w:rFonts w:eastAsiaTheme="minorHAnsi" w:cstheme="minorBidi"/>
          <w:color w:val="auto"/>
          <w:szCs w:val="22"/>
        </w:rPr>
        <w:t>$88.41</w:t>
      </w:r>
      <w:r>
        <w:rPr>
          <w:rFonts w:eastAsiaTheme="minorHAnsi" w:cstheme="minorBidi"/>
          <w:color w:val="auto"/>
          <w:szCs w:val="22"/>
        </w:rPr>
        <w:t xml:space="preserve"> compensation rate for SCs in the PTPR industry to estimate an average annual cost </w:t>
      </w:r>
      <w:r w:rsidRPr="005D1294">
        <w:rPr>
          <w:rFonts w:eastAsiaTheme="minorHAnsi" w:cstheme="minorBidi"/>
          <w:color w:val="auto"/>
          <w:szCs w:val="22"/>
        </w:rPr>
        <w:t xml:space="preserve">of </w:t>
      </w:r>
      <w:r w:rsidRPr="00B57037">
        <w:rPr>
          <w:rFonts w:eastAsiaTheme="minorHAnsi" w:cstheme="minorBidi"/>
          <w:color w:val="auto"/>
          <w:szCs w:val="22"/>
        </w:rPr>
        <w:t>$</w:t>
      </w:r>
      <w:r w:rsidRPr="00B57037" w:rsidR="005D1294">
        <w:rPr>
          <w:rFonts w:eastAsiaTheme="minorHAnsi" w:cstheme="minorBidi"/>
          <w:color w:val="auto"/>
          <w:szCs w:val="22"/>
        </w:rPr>
        <w:t>6,854</w:t>
      </w:r>
      <w:r w:rsidRPr="00B57037">
        <w:rPr>
          <w:rFonts w:eastAsiaTheme="minorHAnsi" w:cstheme="minorBidi"/>
          <w:color w:val="auto"/>
          <w:szCs w:val="22"/>
        </w:rPr>
        <w:t>.</w:t>
      </w:r>
    </w:p>
    <w:p w:rsidR="00157149" w:rsidP="00157149" w14:paraId="1AB22DD5" w14:textId="77777777">
      <w:pPr>
        <w:pStyle w:val="ListParagraph"/>
        <w:ind w:left="1080"/>
        <w:rPr>
          <w:rFonts w:eastAsiaTheme="minorHAnsi" w:cstheme="minorBidi"/>
          <w:color w:val="auto"/>
          <w:szCs w:val="22"/>
        </w:rPr>
      </w:pPr>
    </w:p>
    <w:p w:rsidR="00157149" w:rsidP="00157149" w14:paraId="4095039E" w14:textId="6F682FC8">
      <w:pPr>
        <w:pStyle w:val="ListParagraph"/>
        <w:ind w:left="1080"/>
        <w:rPr>
          <w:rFonts w:eastAsiaTheme="minorHAnsi" w:cstheme="minorBidi"/>
          <w:color w:val="auto"/>
          <w:szCs w:val="22"/>
        </w:rPr>
      </w:pPr>
      <w:r>
        <w:rPr>
          <w:rFonts w:eastAsiaTheme="minorHAnsi" w:cstheme="minorBidi"/>
          <w:color w:val="auto"/>
          <w:szCs w:val="22"/>
        </w:rPr>
        <w:t xml:space="preserve">Next, TSA presents the hour burdens and average annual costs for respondents in the PTPR industry that have an active comparable STA. TSA estimates 712 SSE respondents with a comparable STA over the </w:t>
      </w:r>
      <w:r w:rsidR="00FC0D74">
        <w:rPr>
          <w:rFonts w:eastAsiaTheme="minorHAnsi" w:cstheme="minorBidi"/>
          <w:color w:val="auto"/>
          <w:szCs w:val="22"/>
        </w:rPr>
        <w:t>3</w:t>
      </w:r>
      <w:r>
        <w:rPr>
          <w:rFonts w:eastAsiaTheme="minorHAnsi" w:cstheme="minorBidi"/>
          <w:color w:val="auto"/>
          <w:szCs w:val="22"/>
        </w:rPr>
        <w:t xml:space="preserve">-year period. </w:t>
      </w:r>
      <w:r w:rsidR="00B15903">
        <w:rPr>
          <w:rFonts w:eastAsiaTheme="minorHAnsi" w:cstheme="minorBidi"/>
          <w:color w:val="auto"/>
          <w:szCs w:val="22"/>
        </w:rPr>
        <w:t xml:space="preserve"> </w:t>
      </w:r>
      <w:r>
        <w:rPr>
          <w:rFonts w:eastAsiaTheme="minorHAnsi" w:cstheme="minorBidi"/>
          <w:color w:val="auto"/>
          <w:szCs w:val="22"/>
        </w:rPr>
        <w:t xml:space="preserve">TSA multiplies the comparable SSE respondents by the 0.17 hour burden per applicant to calculate a </w:t>
      </w:r>
      <w:r w:rsidR="00FC0D74">
        <w:rPr>
          <w:rFonts w:eastAsiaTheme="minorHAnsi" w:cstheme="minorBidi"/>
          <w:color w:val="auto"/>
          <w:szCs w:val="22"/>
        </w:rPr>
        <w:t>3</w:t>
      </w:r>
      <w:r>
        <w:rPr>
          <w:rFonts w:eastAsiaTheme="minorHAnsi" w:cstheme="minorBidi"/>
          <w:color w:val="auto"/>
          <w:szCs w:val="22"/>
        </w:rPr>
        <w:t>-year burden of 119 hours.</w:t>
      </w:r>
      <w:r w:rsidR="00B15903">
        <w:rPr>
          <w:rFonts w:eastAsiaTheme="minorHAnsi" w:cstheme="minorBidi"/>
          <w:color w:val="auto"/>
          <w:szCs w:val="22"/>
        </w:rPr>
        <w:t xml:space="preserve"> </w:t>
      </w:r>
      <w:r>
        <w:rPr>
          <w:rFonts w:eastAsiaTheme="minorHAnsi" w:cstheme="minorBidi"/>
          <w:color w:val="auto"/>
          <w:szCs w:val="22"/>
        </w:rPr>
        <w:t xml:space="preserve"> Next, TSA divides the </w:t>
      </w:r>
      <w:r w:rsidR="00FC0D74">
        <w:rPr>
          <w:rFonts w:eastAsiaTheme="minorHAnsi" w:cstheme="minorBidi"/>
          <w:color w:val="auto"/>
          <w:szCs w:val="22"/>
        </w:rPr>
        <w:t>3</w:t>
      </w:r>
      <w:r>
        <w:rPr>
          <w:rFonts w:eastAsiaTheme="minorHAnsi" w:cstheme="minorBidi"/>
          <w:color w:val="auto"/>
          <w:szCs w:val="22"/>
        </w:rPr>
        <w:t>-year total burden by three to estimate an average annual burden of 40 hours.</w:t>
      </w:r>
      <w:r w:rsidR="00B15903">
        <w:rPr>
          <w:rFonts w:eastAsiaTheme="minorHAnsi" w:cstheme="minorBidi"/>
          <w:color w:val="auto"/>
          <w:szCs w:val="22"/>
        </w:rPr>
        <w:t xml:space="preserve"> </w:t>
      </w:r>
      <w:r>
        <w:rPr>
          <w:rFonts w:eastAsiaTheme="minorHAnsi" w:cstheme="minorBidi"/>
          <w:color w:val="auto"/>
          <w:szCs w:val="22"/>
        </w:rPr>
        <w:t xml:space="preserve"> TSA then multiplies the average annual burden by t</w:t>
      </w:r>
      <w:r w:rsidRPr="005D1294">
        <w:rPr>
          <w:rFonts w:eastAsiaTheme="minorHAnsi" w:cstheme="minorBidi"/>
          <w:color w:val="auto"/>
          <w:szCs w:val="22"/>
        </w:rPr>
        <w:t xml:space="preserve">he </w:t>
      </w:r>
      <w:r w:rsidRPr="00B57037">
        <w:rPr>
          <w:rFonts w:eastAsiaTheme="minorHAnsi" w:cstheme="minorBidi"/>
          <w:color w:val="auto"/>
          <w:szCs w:val="22"/>
        </w:rPr>
        <w:t>$</w:t>
      </w:r>
      <w:r w:rsidRPr="005D1294" w:rsidR="005D1294">
        <w:rPr>
          <w:rFonts w:eastAsiaTheme="minorHAnsi" w:cstheme="minorBidi"/>
          <w:color w:val="auto"/>
          <w:szCs w:val="22"/>
        </w:rPr>
        <w:t>38.98</w:t>
      </w:r>
      <w:r w:rsidRPr="005D1294">
        <w:rPr>
          <w:rFonts w:eastAsiaTheme="minorHAnsi" w:cstheme="minorBidi"/>
          <w:color w:val="auto"/>
          <w:szCs w:val="22"/>
        </w:rPr>
        <w:t xml:space="preserve"> compensation rate for SSEs in the PTPR industry to estimate an average annual cost of </w:t>
      </w:r>
      <w:r w:rsidRPr="00B57037">
        <w:rPr>
          <w:rFonts w:eastAsiaTheme="minorHAnsi" w:cstheme="minorBidi"/>
          <w:color w:val="auto"/>
          <w:szCs w:val="22"/>
        </w:rPr>
        <w:t>$</w:t>
      </w:r>
      <w:r w:rsidRPr="00B57037" w:rsidR="005D1294">
        <w:rPr>
          <w:rFonts w:eastAsiaTheme="minorHAnsi" w:cstheme="minorBidi"/>
          <w:color w:val="auto"/>
          <w:szCs w:val="22"/>
        </w:rPr>
        <w:t>1,541</w:t>
      </w:r>
      <w:r w:rsidRPr="00B57037">
        <w:rPr>
          <w:rFonts w:eastAsiaTheme="minorHAnsi" w:cstheme="minorBidi"/>
          <w:color w:val="auto"/>
          <w:szCs w:val="22"/>
        </w:rPr>
        <w:t>.</w:t>
      </w:r>
    </w:p>
    <w:p w:rsidR="00157149" w:rsidP="00157149" w14:paraId="2FB8A9ED" w14:textId="77777777">
      <w:pPr>
        <w:pStyle w:val="ListParagraph"/>
        <w:ind w:left="1080"/>
        <w:rPr>
          <w:rFonts w:eastAsiaTheme="minorHAnsi" w:cstheme="minorBidi"/>
          <w:color w:val="auto"/>
          <w:szCs w:val="22"/>
        </w:rPr>
      </w:pPr>
    </w:p>
    <w:p w:rsidR="00157149" w:rsidP="00157149" w14:paraId="5A5BC7A8" w14:textId="6526C61B">
      <w:pPr>
        <w:pStyle w:val="ListParagraph"/>
        <w:ind w:left="1080"/>
        <w:rPr>
          <w:rFonts w:eastAsiaTheme="minorHAnsi" w:cstheme="minorBidi"/>
          <w:color w:val="auto"/>
          <w:szCs w:val="22"/>
        </w:rPr>
      </w:pPr>
      <w:r>
        <w:rPr>
          <w:rFonts w:eastAsiaTheme="minorHAnsi" w:cstheme="minorBidi"/>
          <w:color w:val="auto"/>
          <w:szCs w:val="22"/>
        </w:rPr>
        <w:t xml:space="preserve">TSA estimates 138 SC respondents with a comparable STA over the </w:t>
      </w:r>
      <w:r w:rsidR="00FC0D74">
        <w:rPr>
          <w:rFonts w:eastAsiaTheme="minorHAnsi" w:cstheme="minorBidi"/>
          <w:color w:val="auto"/>
          <w:szCs w:val="22"/>
        </w:rPr>
        <w:t>3</w:t>
      </w:r>
      <w:r>
        <w:rPr>
          <w:rFonts w:eastAsiaTheme="minorHAnsi" w:cstheme="minorBidi"/>
          <w:color w:val="auto"/>
          <w:szCs w:val="22"/>
        </w:rPr>
        <w:t>-year period.</w:t>
      </w:r>
      <w:r w:rsidR="00B15903">
        <w:rPr>
          <w:rFonts w:eastAsiaTheme="minorHAnsi" w:cstheme="minorBidi"/>
          <w:color w:val="auto"/>
          <w:szCs w:val="22"/>
        </w:rPr>
        <w:t xml:space="preserve"> </w:t>
      </w:r>
      <w:r>
        <w:rPr>
          <w:rFonts w:eastAsiaTheme="minorHAnsi" w:cstheme="minorBidi"/>
          <w:color w:val="auto"/>
          <w:szCs w:val="22"/>
        </w:rPr>
        <w:t xml:space="preserve"> TSA multiplies the comparable SC respondents by the 0.17 hour burden per applicant to calculate a </w:t>
      </w:r>
      <w:r w:rsidR="00FC0D74">
        <w:rPr>
          <w:rFonts w:eastAsiaTheme="minorHAnsi" w:cstheme="minorBidi"/>
          <w:color w:val="auto"/>
          <w:szCs w:val="22"/>
        </w:rPr>
        <w:t>3</w:t>
      </w:r>
      <w:r>
        <w:rPr>
          <w:rFonts w:eastAsiaTheme="minorHAnsi" w:cstheme="minorBidi"/>
          <w:color w:val="auto"/>
          <w:szCs w:val="22"/>
        </w:rPr>
        <w:t xml:space="preserve">-year </w:t>
      </w:r>
      <w:r w:rsidR="00F34984">
        <w:rPr>
          <w:rFonts w:eastAsiaTheme="minorHAnsi" w:cstheme="minorBidi"/>
          <w:color w:val="auto"/>
          <w:szCs w:val="22"/>
        </w:rPr>
        <w:t>burden</w:t>
      </w:r>
      <w:r>
        <w:rPr>
          <w:rFonts w:eastAsiaTheme="minorHAnsi" w:cstheme="minorBidi"/>
          <w:color w:val="auto"/>
          <w:szCs w:val="22"/>
        </w:rPr>
        <w:t xml:space="preserve"> of 23 hours.</w:t>
      </w:r>
      <w:r w:rsidR="00B15903">
        <w:rPr>
          <w:rFonts w:eastAsiaTheme="minorHAnsi" w:cstheme="minorBidi"/>
          <w:color w:val="auto"/>
          <w:szCs w:val="22"/>
        </w:rPr>
        <w:t xml:space="preserve"> </w:t>
      </w:r>
      <w:r>
        <w:rPr>
          <w:rFonts w:eastAsiaTheme="minorHAnsi" w:cstheme="minorBidi"/>
          <w:color w:val="auto"/>
          <w:szCs w:val="22"/>
        </w:rPr>
        <w:t xml:space="preserve"> Next, TSA divides the </w:t>
      </w:r>
      <w:r w:rsidR="00FC0D74">
        <w:rPr>
          <w:rFonts w:eastAsiaTheme="minorHAnsi" w:cstheme="minorBidi"/>
          <w:color w:val="auto"/>
          <w:szCs w:val="22"/>
        </w:rPr>
        <w:t>3</w:t>
      </w:r>
      <w:r>
        <w:rPr>
          <w:rFonts w:eastAsiaTheme="minorHAnsi" w:cstheme="minorBidi"/>
          <w:color w:val="auto"/>
          <w:szCs w:val="22"/>
        </w:rPr>
        <w:t>-year total burden by three to estimate an average annual burden of 8 hours.</w:t>
      </w:r>
      <w:r w:rsidR="00B15903">
        <w:rPr>
          <w:rFonts w:eastAsiaTheme="minorHAnsi" w:cstheme="minorBidi"/>
          <w:color w:val="auto"/>
          <w:szCs w:val="22"/>
        </w:rPr>
        <w:t xml:space="preserve"> </w:t>
      </w:r>
      <w:r>
        <w:rPr>
          <w:rFonts w:eastAsiaTheme="minorHAnsi" w:cstheme="minorBidi"/>
          <w:color w:val="auto"/>
          <w:szCs w:val="22"/>
        </w:rPr>
        <w:t xml:space="preserve"> TSA then multiplies the average annual burden by the $</w:t>
      </w:r>
      <w:r w:rsidR="00DD1E9E">
        <w:rPr>
          <w:rFonts w:eastAsiaTheme="minorHAnsi" w:cstheme="minorBidi"/>
          <w:color w:val="auto"/>
          <w:szCs w:val="22"/>
        </w:rPr>
        <w:t>88.41</w:t>
      </w:r>
      <w:r>
        <w:rPr>
          <w:rFonts w:eastAsiaTheme="minorHAnsi" w:cstheme="minorBidi"/>
          <w:color w:val="auto"/>
          <w:szCs w:val="22"/>
        </w:rPr>
        <w:t xml:space="preserve"> compensation rate for SCs in the PTPR industry to estimate an average annual cost of $</w:t>
      </w:r>
      <w:r w:rsidR="00DD1E9E">
        <w:rPr>
          <w:rFonts w:eastAsiaTheme="minorHAnsi" w:cstheme="minorBidi"/>
          <w:color w:val="auto"/>
          <w:szCs w:val="22"/>
        </w:rPr>
        <w:t>678.</w:t>
      </w:r>
    </w:p>
    <w:p w:rsidR="00157149" w:rsidRPr="00B57037" w:rsidP="00B57037" w14:paraId="6FB8C7EE" w14:textId="77777777">
      <w:pPr>
        <w:rPr>
          <w:rFonts w:eastAsiaTheme="minorHAnsi" w:cstheme="minorBidi"/>
          <w:color w:val="auto"/>
          <w:szCs w:val="22"/>
        </w:rPr>
      </w:pPr>
    </w:p>
    <w:p w:rsidR="00A56ED5" w:rsidP="00A56ED5" w14:paraId="04114DC7" w14:textId="46376427">
      <w:pPr>
        <w:pStyle w:val="ListParagraph"/>
        <w:numPr>
          <w:ilvl w:val="0"/>
          <w:numId w:val="43"/>
        </w:numPr>
        <w:rPr>
          <w:rFonts w:eastAsiaTheme="minorHAnsi" w:cstheme="minorBidi"/>
          <w:color w:val="auto"/>
          <w:szCs w:val="22"/>
        </w:rPr>
      </w:pPr>
      <w:r>
        <w:rPr>
          <w:rFonts w:eastAsiaTheme="minorHAnsi" w:cstheme="minorBidi"/>
          <w:i/>
          <w:color w:val="auto"/>
          <w:szCs w:val="22"/>
        </w:rPr>
        <w:t>Over-the-Road Buses (OTRB) Owner/Operators:</w:t>
      </w:r>
      <w:r>
        <w:rPr>
          <w:rFonts w:eastAsiaTheme="minorHAnsi" w:cstheme="minorBidi"/>
          <w:i/>
          <w:color w:val="auto"/>
          <w:szCs w:val="22"/>
        </w:rPr>
        <w:t xml:space="preserve"> </w:t>
      </w:r>
      <w:r>
        <w:rPr>
          <w:rFonts w:eastAsiaTheme="minorHAnsi" w:cstheme="minorBidi"/>
          <w:color w:val="auto"/>
          <w:szCs w:val="22"/>
        </w:rPr>
        <w:t xml:space="preserve">TSA estimates 197 unique respondents for SCs in the OTRB industry over the </w:t>
      </w:r>
      <w:r w:rsidR="00FC0D74">
        <w:rPr>
          <w:rFonts w:eastAsiaTheme="minorHAnsi" w:cstheme="minorBidi"/>
          <w:color w:val="auto"/>
          <w:szCs w:val="22"/>
        </w:rPr>
        <w:t>3</w:t>
      </w:r>
      <w:r>
        <w:rPr>
          <w:rFonts w:eastAsiaTheme="minorHAnsi" w:cstheme="minorBidi"/>
          <w:color w:val="auto"/>
          <w:szCs w:val="22"/>
        </w:rPr>
        <w:t>-year period.</w:t>
      </w:r>
      <w:r w:rsidR="00B15903">
        <w:rPr>
          <w:rFonts w:eastAsiaTheme="minorHAnsi" w:cstheme="minorBidi"/>
          <w:color w:val="auto"/>
          <w:szCs w:val="22"/>
        </w:rPr>
        <w:t xml:space="preserve"> </w:t>
      </w:r>
      <w:r>
        <w:rPr>
          <w:rFonts w:eastAsiaTheme="minorHAnsi" w:cstheme="minorBidi"/>
          <w:color w:val="auto"/>
          <w:szCs w:val="22"/>
        </w:rPr>
        <w:t xml:space="preserve"> TSA multiplies the number of SC respondents by the 1.51 hour burden per applicant to calculate a </w:t>
      </w:r>
      <w:r w:rsidR="00FC0D74">
        <w:rPr>
          <w:rFonts w:eastAsiaTheme="minorHAnsi" w:cstheme="minorBidi"/>
          <w:color w:val="auto"/>
          <w:szCs w:val="22"/>
        </w:rPr>
        <w:t>3</w:t>
      </w:r>
      <w:r>
        <w:rPr>
          <w:rFonts w:eastAsiaTheme="minorHAnsi" w:cstheme="minorBidi"/>
          <w:color w:val="auto"/>
          <w:szCs w:val="22"/>
        </w:rPr>
        <w:t>-year burden of 298 hours.</w:t>
      </w:r>
      <w:r w:rsidR="00B15903">
        <w:rPr>
          <w:rFonts w:eastAsiaTheme="minorHAnsi" w:cstheme="minorBidi"/>
          <w:color w:val="auto"/>
          <w:szCs w:val="22"/>
        </w:rPr>
        <w:t xml:space="preserve"> </w:t>
      </w:r>
      <w:r>
        <w:rPr>
          <w:rFonts w:eastAsiaTheme="minorHAnsi" w:cstheme="minorBidi"/>
          <w:color w:val="auto"/>
          <w:szCs w:val="22"/>
        </w:rPr>
        <w:t xml:space="preserve"> Next, TSA divides the </w:t>
      </w:r>
      <w:r w:rsidR="00FC0D74">
        <w:rPr>
          <w:rFonts w:eastAsiaTheme="minorHAnsi" w:cstheme="minorBidi"/>
          <w:color w:val="auto"/>
          <w:szCs w:val="22"/>
        </w:rPr>
        <w:t>3</w:t>
      </w:r>
      <w:r>
        <w:rPr>
          <w:rFonts w:eastAsiaTheme="minorHAnsi" w:cstheme="minorBidi"/>
          <w:color w:val="auto"/>
          <w:szCs w:val="22"/>
        </w:rPr>
        <w:t xml:space="preserve">-year total burden by three to estimate an average annual burden of 99 hours. </w:t>
      </w:r>
      <w:r w:rsidR="00B15903">
        <w:rPr>
          <w:rFonts w:eastAsiaTheme="minorHAnsi" w:cstheme="minorBidi"/>
          <w:color w:val="auto"/>
          <w:szCs w:val="22"/>
        </w:rPr>
        <w:t xml:space="preserve"> </w:t>
      </w:r>
      <w:r>
        <w:rPr>
          <w:rFonts w:eastAsiaTheme="minorHAnsi" w:cstheme="minorBidi"/>
          <w:color w:val="auto"/>
          <w:szCs w:val="22"/>
        </w:rPr>
        <w:t xml:space="preserve">TSA then multiplies the average annual burden by </w:t>
      </w:r>
      <w:r w:rsidRPr="00DD1E9E">
        <w:rPr>
          <w:rFonts w:eastAsiaTheme="minorHAnsi" w:cstheme="minorBidi"/>
          <w:color w:val="auto"/>
          <w:szCs w:val="22"/>
        </w:rPr>
        <w:t xml:space="preserve">the </w:t>
      </w:r>
      <w:r w:rsidRPr="00B57037">
        <w:rPr>
          <w:rFonts w:eastAsiaTheme="minorHAnsi" w:cstheme="minorBidi"/>
          <w:color w:val="auto"/>
          <w:szCs w:val="22"/>
        </w:rPr>
        <w:t>$</w:t>
      </w:r>
      <w:r w:rsidRPr="00DD1E9E" w:rsidR="00DD1E9E">
        <w:rPr>
          <w:rFonts w:eastAsiaTheme="minorHAnsi" w:cstheme="minorBidi"/>
          <w:color w:val="auto"/>
          <w:szCs w:val="22"/>
        </w:rPr>
        <w:t>69.63</w:t>
      </w:r>
      <w:r>
        <w:rPr>
          <w:rFonts w:eastAsiaTheme="minorHAnsi" w:cstheme="minorBidi"/>
          <w:color w:val="auto"/>
          <w:szCs w:val="22"/>
        </w:rPr>
        <w:t xml:space="preserve"> compensation rate for SCs in the OTRB industry to estimate an average </w:t>
      </w:r>
      <w:r w:rsidRPr="00DD1E9E">
        <w:rPr>
          <w:rFonts w:eastAsiaTheme="minorHAnsi" w:cstheme="minorBidi"/>
          <w:color w:val="auto"/>
          <w:szCs w:val="22"/>
        </w:rPr>
        <w:t xml:space="preserve">annual cost of </w:t>
      </w:r>
      <w:r w:rsidRPr="00B57037">
        <w:rPr>
          <w:rFonts w:eastAsiaTheme="minorHAnsi" w:cstheme="minorBidi"/>
          <w:color w:val="auto"/>
          <w:szCs w:val="22"/>
        </w:rPr>
        <w:t>$</w:t>
      </w:r>
      <w:r w:rsidRPr="00B57037" w:rsidR="00DD1E9E">
        <w:rPr>
          <w:rFonts w:eastAsiaTheme="minorHAnsi" w:cstheme="minorBidi"/>
          <w:color w:val="auto"/>
          <w:szCs w:val="22"/>
        </w:rPr>
        <w:t>6,906</w:t>
      </w:r>
      <w:r w:rsidRPr="00B57037">
        <w:rPr>
          <w:rFonts w:eastAsiaTheme="minorHAnsi" w:cstheme="minorBidi"/>
          <w:color w:val="auto"/>
          <w:szCs w:val="22"/>
        </w:rPr>
        <w:t>.</w:t>
      </w:r>
    </w:p>
    <w:p w:rsidR="00A56ED5" w:rsidP="00A56ED5" w14:paraId="26E18FC7" w14:textId="77777777">
      <w:pPr>
        <w:pStyle w:val="ListParagraph"/>
        <w:ind w:left="1080"/>
        <w:rPr>
          <w:rFonts w:eastAsiaTheme="minorHAnsi" w:cstheme="minorBidi"/>
          <w:color w:val="auto"/>
          <w:szCs w:val="22"/>
        </w:rPr>
      </w:pPr>
    </w:p>
    <w:p w:rsidR="00A56ED5" w:rsidP="00A56ED5" w14:paraId="36559FE2" w14:textId="7E675096">
      <w:pPr>
        <w:pStyle w:val="ListParagraph"/>
        <w:ind w:left="1080"/>
        <w:rPr>
          <w:rFonts w:eastAsiaTheme="minorHAnsi" w:cstheme="minorBidi"/>
          <w:color w:val="auto"/>
          <w:szCs w:val="22"/>
        </w:rPr>
      </w:pPr>
      <w:r>
        <w:rPr>
          <w:rFonts w:eastAsiaTheme="minorHAnsi" w:cstheme="minorBidi"/>
          <w:color w:val="auto"/>
          <w:szCs w:val="22"/>
        </w:rPr>
        <w:t>Next, TSA presents the hour burdens and average annual costs for respondents in the OTRB industry that have an active comparable STA.</w:t>
      </w:r>
      <w:r w:rsidR="00B15903">
        <w:rPr>
          <w:rFonts w:eastAsiaTheme="minorHAnsi" w:cstheme="minorBidi"/>
          <w:color w:val="auto"/>
          <w:szCs w:val="22"/>
        </w:rPr>
        <w:t xml:space="preserve"> </w:t>
      </w:r>
      <w:r>
        <w:rPr>
          <w:rFonts w:eastAsiaTheme="minorHAnsi" w:cstheme="minorBidi"/>
          <w:color w:val="auto"/>
          <w:szCs w:val="22"/>
        </w:rPr>
        <w:t xml:space="preserve"> TSA estimates 367 SC respondents with a comparable STA over the </w:t>
      </w:r>
      <w:r w:rsidR="00FC0D74">
        <w:rPr>
          <w:rFonts w:eastAsiaTheme="minorHAnsi" w:cstheme="minorBidi"/>
          <w:color w:val="auto"/>
          <w:szCs w:val="22"/>
        </w:rPr>
        <w:t>3</w:t>
      </w:r>
      <w:r>
        <w:rPr>
          <w:rFonts w:eastAsiaTheme="minorHAnsi" w:cstheme="minorBidi"/>
          <w:color w:val="auto"/>
          <w:szCs w:val="22"/>
        </w:rPr>
        <w:t xml:space="preserve">-year period. </w:t>
      </w:r>
      <w:r w:rsidR="00B15903">
        <w:rPr>
          <w:rFonts w:eastAsiaTheme="minorHAnsi" w:cstheme="minorBidi"/>
          <w:color w:val="auto"/>
          <w:szCs w:val="22"/>
        </w:rPr>
        <w:t xml:space="preserve"> </w:t>
      </w:r>
      <w:r>
        <w:rPr>
          <w:rFonts w:eastAsiaTheme="minorHAnsi" w:cstheme="minorBidi"/>
          <w:color w:val="auto"/>
          <w:szCs w:val="22"/>
        </w:rPr>
        <w:t xml:space="preserve">TSA multiplies the comparable SC respondents by the 0.17 hour burden per applicant to calculate a </w:t>
      </w:r>
      <w:r w:rsidR="00FC0D74">
        <w:rPr>
          <w:rFonts w:eastAsiaTheme="minorHAnsi" w:cstheme="minorBidi"/>
          <w:color w:val="auto"/>
          <w:szCs w:val="22"/>
        </w:rPr>
        <w:t>3</w:t>
      </w:r>
      <w:r>
        <w:rPr>
          <w:rFonts w:eastAsiaTheme="minorHAnsi" w:cstheme="minorBidi"/>
          <w:color w:val="auto"/>
          <w:szCs w:val="22"/>
        </w:rPr>
        <w:t>-year burden of 61 hours.</w:t>
      </w:r>
      <w:r w:rsidR="00B15903">
        <w:rPr>
          <w:rFonts w:eastAsiaTheme="minorHAnsi" w:cstheme="minorBidi"/>
          <w:color w:val="auto"/>
          <w:szCs w:val="22"/>
        </w:rPr>
        <w:t xml:space="preserve"> </w:t>
      </w:r>
      <w:r>
        <w:rPr>
          <w:rFonts w:eastAsiaTheme="minorHAnsi" w:cstheme="minorBidi"/>
          <w:color w:val="auto"/>
          <w:szCs w:val="22"/>
        </w:rPr>
        <w:t xml:space="preserve"> Next, TSA divides the </w:t>
      </w:r>
      <w:r w:rsidR="00FC0D74">
        <w:rPr>
          <w:rFonts w:eastAsiaTheme="minorHAnsi" w:cstheme="minorBidi"/>
          <w:color w:val="auto"/>
          <w:szCs w:val="22"/>
        </w:rPr>
        <w:t>3</w:t>
      </w:r>
      <w:r>
        <w:rPr>
          <w:rFonts w:eastAsiaTheme="minorHAnsi" w:cstheme="minorBidi"/>
          <w:color w:val="auto"/>
          <w:szCs w:val="22"/>
        </w:rPr>
        <w:t>-year total burden by three to estimate an average annual burden of 20 hours.</w:t>
      </w:r>
      <w:r w:rsidR="00B15903">
        <w:rPr>
          <w:rFonts w:eastAsiaTheme="minorHAnsi" w:cstheme="minorBidi"/>
          <w:color w:val="auto"/>
          <w:szCs w:val="22"/>
        </w:rPr>
        <w:t xml:space="preserve"> </w:t>
      </w:r>
      <w:r>
        <w:rPr>
          <w:rFonts w:eastAsiaTheme="minorHAnsi" w:cstheme="minorBidi"/>
          <w:color w:val="auto"/>
          <w:szCs w:val="22"/>
        </w:rPr>
        <w:t xml:space="preserve"> TSA then multiplies the average annual burden by the $</w:t>
      </w:r>
      <w:r w:rsidR="003157ED">
        <w:rPr>
          <w:rFonts w:eastAsiaTheme="minorHAnsi" w:cstheme="minorBidi"/>
          <w:color w:val="auto"/>
          <w:szCs w:val="22"/>
        </w:rPr>
        <w:t>69.63</w:t>
      </w:r>
      <w:r>
        <w:rPr>
          <w:rFonts w:eastAsiaTheme="minorHAnsi" w:cstheme="minorBidi"/>
          <w:color w:val="auto"/>
          <w:szCs w:val="22"/>
        </w:rPr>
        <w:t xml:space="preserve"> compensation rate for SCs in the OTRB industry to estimate an average annual </w:t>
      </w:r>
      <w:r w:rsidRPr="00DC0B8E">
        <w:rPr>
          <w:rFonts w:eastAsiaTheme="minorHAnsi" w:cstheme="minorBidi"/>
          <w:color w:val="auto"/>
          <w:szCs w:val="22"/>
        </w:rPr>
        <w:t xml:space="preserve">cost of </w:t>
      </w:r>
      <w:r w:rsidRPr="00B57037">
        <w:rPr>
          <w:rFonts w:eastAsiaTheme="minorHAnsi" w:cstheme="minorBidi"/>
          <w:color w:val="auto"/>
          <w:szCs w:val="22"/>
        </w:rPr>
        <w:t>$</w:t>
      </w:r>
      <w:r w:rsidRPr="00DC0B8E" w:rsidR="003157ED">
        <w:rPr>
          <w:rFonts w:eastAsiaTheme="minorHAnsi" w:cstheme="minorBidi"/>
          <w:color w:val="auto"/>
          <w:szCs w:val="22"/>
        </w:rPr>
        <w:t>1,421.</w:t>
      </w:r>
    </w:p>
    <w:p w:rsidR="00A56ED5" w:rsidRPr="00F456BE" w:rsidP="00B57037" w14:paraId="5DD686A6" w14:textId="3D0536D5">
      <w:pPr>
        <w:rPr>
          <w:rFonts w:eastAsiaTheme="minorHAnsi"/>
        </w:rPr>
      </w:pPr>
    </w:p>
    <w:p w:rsidR="00A56ED5" w:rsidP="00A56ED5" w14:paraId="4FB9265C" w14:textId="5E1E42C9">
      <w:pPr>
        <w:ind w:left="360"/>
        <w:rPr>
          <w:rFonts w:eastAsiaTheme="minorHAnsi" w:cstheme="minorBidi"/>
          <w:color w:val="auto"/>
          <w:szCs w:val="22"/>
        </w:rPr>
      </w:pPr>
      <w:r w:rsidRPr="00B57037">
        <w:rPr>
          <w:rFonts w:eastAsiaTheme="minorHAnsi" w:cstheme="minorBidi"/>
          <w:color w:val="auto"/>
          <w:szCs w:val="22"/>
          <w:u w:val="single"/>
        </w:rPr>
        <w:t>PDI Appeals</w:t>
      </w:r>
      <w:r>
        <w:rPr>
          <w:rFonts w:eastAsiaTheme="minorHAnsi" w:cstheme="minorBidi"/>
          <w:color w:val="auto"/>
          <w:szCs w:val="22"/>
        </w:rPr>
        <w:t>.</w:t>
      </w:r>
      <w:r w:rsidR="00B15903">
        <w:rPr>
          <w:rFonts w:eastAsiaTheme="minorHAnsi" w:cstheme="minorBidi"/>
          <w:color w:val="auto"/>
          <w:szCs w:val="22"/>
        </w:rPr>
        <w:t xml:space="preserve"> </w:t>
      </w:r>
      <w:r>
        <w:rPr>
          <w:rFonts w:eastAsiaTheme="minorHAnsi" w:cstheme="minorBidi"/>
          <w:color w:val="auto"/>
          <w:szCs w:val="22"/>
        </w:rPr>
        <w:t xml:space="preserve"> A PDI occurs when an STA applicant may not meet, or may no longer meet, the proposed STA standards or may need to provide additional information.</w:t>
      </w:r>
      <w:r w:rsidR="00B15903">
        <w:rPr>
          <w:rFonts w:eastAsiaTheme="minorHAnsi" w:cstheme="minorBidi"/>
          <w:color w:val="auto"/>
          <w:szCs w:val="22"/>
        </w:rPr>
        <w:t xml:space="preserve"> </w:t>
      </w:r>
      <w:r>
        <w:rPr>
          <w:rFonts w:eastAsiaTheme="minorHAnsi" w:cstheme="minorBidi"/>
          <w:color w:val="auto"/>
          <w:szCs w:val="22"/>
        </w:rPr>
        <w:t xml:space="preserve"> This may include an applicant reporting, within 24 hours of </w:t>
      </w:r>
      <w:r w:rsidR="00F34984">
        <w:rPr>
          <w:rFonts w:eastAsiaTheme="minorHAnsi" w:cstheme="minorBidi"/>
          <w:color w:val="auto"/>
          <w:szCs w:val="22"/>
        </w:rPr>
        <w:t>occurrence</w:t>
      </w:r>
      <w:r>
        <w:rPr>
          <w:rFonts w:eastAsiaTheme="minorHAnsi" w:cstheme="minorBidi"/>
          <w:color w:val="auto"/>
          <w:szCs w:val="22"/>
        </w:rPr>
        <w:t xml:space="preserve">, </w:t>
      </w:r>
      <w:r w:rsidRPr="005C5E19">
        <w:rPr>
          <w:rFonts w:eastAsiaTheme="minorHAnsi" w:cstheme="minorBidi"/>
          <w:color w:val="auto"/>
          <w:szCs w:val="22"/>
        </w:rPr>
        <w:t>an indictment, conviction, or finding of not guilty by reason of insanity, or a disqualifying crime.</w:t>
      </w:r>
      <w:r>
        <w:rPr>
          <w:rFonts w:eastAsiaTheme="minorHAnsi" w:cs="Calibri"/>
          <w:color w:val="auto"/>
          <w:sz w:val="20"/>
          <w:vertAlign w:val="superscript"/>
        </w:rPr>
        <w:footnoteReference w:id="12"/>
      </w:r>
      <w:r>
        <w:rPr>
          <w:rFonts w:eastAsiaTheme="minorHAnsi" w:cstheme="minorBidi"/>
          <w:color w:val="auto"/>
          <w:szCs w:val="22"/>
        </w:rPr>
        <w:t xml:space="preserve"> </w:t>
      </w:r>
      <w:r w:rsidR="00B15903">
        <w:rPr>
          <w:rFonts w:eastAsiaTheme="minorHAnsi" w:cstheme="minorBidi"/>
          <w:color w:val="auto"/>
          <w:szCs w:val="22"/>
        </w:rPr>
        <w:t xml:space="preserve"> </w:t>
      </w:r>
      <w:r w:rsidR="00F34984">
        <w:rPr>
          <w:rFonts w:eastAsiaTheme="minorHAnsi" w:cstheme="minorBidi"/>
          <w:color w:val="auto"/>
          <w:szCs w:val="22"/>
        </w:rPr>
        <w:t>Furthermore</w:t>
      </w:r>
      <w:r>
        <w:rPr>
          <w:rFonts w:eastAsiaTheme="minorHAnsi" w:cstheme="minorBidi"/>
          <w:color w:val="auto"/>
          <w:szCs w:val="22"/>
        </w:rPr>
        <w:t xml:space="preserve">, it may include </w:t>
      </w:r>
      <w:r w:rsidRPr="005C5E19">
        <w:rPr>
          <w:rFonts w:eastAsiaTheme="minorHAnsi" w:cstheme="minorBidi"/>
          <w:color w:val="auto"/>
          <w:szCs w:val="22"/>
        </w:rPr>
        <w:t>any change in immigration status that results in loss of lawful presence in the United States.</w:t>
      </w:r>
      <w:r w:rsidR="00B15903">
        <w:rPr>
          <w:rFonts w:eastAsiaTheme="minorHAnsi" w:cstheme="minorBidi"/>
          <w:color w:val="auto"/>
          <w:szCs w:val="22"/>
        </w:rPr>
        <w:t xml:space="preserve"> </w:t>
      </w:r>
      <w:r>
        <w:rPr>
          <w:rFonts w:eastAsiaTheme="minorHAnsi" w:cstheme="minorBidi"/>
          <w:color w:val="auto"/>
          <w:szCs w:val="22"/>
        </w:rPr>
        <w:t xml:space="preserve"> When any of these instances occur, TSA would notify the owner/operator that the individual is no longer eligible for their position, and would notify the STA applicant or STA holder about the potentially disqualifying factors.  TSA estimates the PDI appeal process to be 0.63 hour per appeal.</w:t>
      </w:r>
    </w:p>
    <w:p w:rsidR="00571738" w:rsidP="00A56ED5" w14:paraId="60129430" w14:textId="0A2A5D2B">
      <w:pPr>
        <w:ind w:left="360"/>
        <w:rPr>
          <w:rFonts w:eastAsiaTheme="minorHAnsi" w:cstheme="minorBidi"/>
          <w:color w:val="auto"/>
          <w:szCs w:val="22"/>
        </w:rPr>
      </w:pPr>
    </w:p>
    <w:p w:rsidR="005A4154" w:rsidP="005A4154" w14:paraId="2F77E1A9" w14:textId="09FBB5BF">
      <w:pPr>
        <w:pStyle w:val="ListParagraph"/>
        <w:numPr>
          <w:ilvl w:val="0"/>
          <w:numId w:val="49"/>
        </w:numPr>
        <w:rPr>
          <w:rFonts w:eastAsiaTheme="minorHAnsi" w:cstheme="minorBidi"/>
          <w:color w:val="auto"/>
          <w:szCs w:val="22"/>
        </w:rPr>
      </w:pPr>
      <w:r w:rsidRPr="00571738">
        <w:rPr>
          <w:rFonts w:eastAsiaTheme="minorHAnsi" w:cstheme="minorBidi"/>
          <w:i/>
          <w:color w:val="auto"/>
          <w:szCs w:val="22"/>
        </w:rPr>
        <w:t xml:space="preserve">Freight Railroad Owner/Operators: </w:t>
      </w:r>
      <w:r>
        <w:rPr>
          <w:rFonts w:eastAsiaTheme="minorHAnsi" w:cstheme="minorBidi"/>
          <w:color w:val="auto"/>
          <w:szCs w:val="22"/>
        </w:rPr>
        <w:t xml:space="preserve">TSA estimates 369 unique respondents for SSEs in freight rail over the </w:t>
      </w:r>
      <w:r w:rsidR="00FC0D74">
        <w:rPr>
          <w:rFonts w:eastAsiaTheme="minorHAnsi" w:cstheme="minorBidi"/>
          <w:color w:val="auto"/>
          <w:szCs w:val="22"/>
        </w:rPr>
        <w:t>3</w:t>
      </w:r>
      <w:r>
        <w:rPr>
          <w:rFonts w:eastAsiaTheme="minorHAnsi" w:cstheme="minorBidi"/>
          <w:color w:val="auto"/>
          <w:szCs w:val="22"/>
        </w:rPr>
        <w:t>-year period.</w:t>
      </w:r>
      <w:r w:rsidR="00B15903">
        <w:rPr>
          <w:rFonts w:eastAsiaTheme="minorHAnsi" w:cstheme="minorBidi"/>
          <w:color w:val="auto"/>
          <w:szCs w:val="22"/>
        </w:rPr>
        <w:t xml:space="preserve"> </w:t>
      </w:r>
      <w:r>
        <w:rPr>
          <w:rFonts w:eastAsiaTheme="minorHAnsi" w:cstheme="minorBidi"/>
          <w:color w:val="auto"/>
          <w:szCs w:val="22"/>
        </w:rPr>
        <w:t xml:space="preserve"> TSA multiplies the number of SSE respondents by the 0.63 hour burden per applicant to calculate a </w:t>
      </w:r>
      <w:r w:rsidR="00FC0D74">
        <w:rPr>
          <w:rFonts w:eastAsiaTheme="minorHAnsi" w:cstheme="minorBidi"/>
          <w:color w:val="auto"/>
          <w:szCs w:val="22"/>
        </w:rPr>
        <w:t>3</w:t>
      </w:r>
      <w:r>
        <w:rPr>
          <w:rFonts w:eastAsiaTheme="minorHAnsi" w:cstheme="minorBidi"/>
          <w:color w:val="auto"/>
          <w:szCs w:val="22"/>
        </w:rPr>
        <w:t>-year burden of 231 hours.</w:t>
      </w:r>
      <w:r w:rsidR="00B15903">
        <w:rPr>
          <w:rFonts w:eastAsiaTheme="minorHAnsi" w:cstheme="minorBidi"/>
          <w:color w:val="auto"/>
          <w:szCs w:val="22"/>
        </w:rPr>
        <w:t xml:space="preserve"> </w:t>
      </w:r>
      <w:r>
        <w:rPr>
          <w:rFonts w:eastAsiaTheme="minorHAnsi" w:cstheme="minorBidi"/>
          <w:color w:val="auto"/>
          <w:szCs w:val="22"/>
        </w:rPr>
        <w:t xml:space="preserve"> Next, TSA divides the </w:t>
      </w:r>
      <w:r w:rsidR="00FC0D74">
        <w:rPr>
          <w:rFonts w:eastAsiaTheme="minorHAnsi" w:cstheme="minorBidi"/>
          <w:color w:val="auto"/>
          <w:szCs w:val="22"/>
        </w:rPr>
        <w:t>3</w:t>
      </w:r>
      <w:r>
        <w:rPr>
          <w:rFonts w:eastAsiaTheme="minorHAnsi" w:cstheme="minorBidi"/>
          <w:color w:val="auto"/>
          <w:szCs w:val="22"/>
        </w:rPr>
        <w:t>-year total burden by three to estimate an average annual burden of 77 hours.</w:t>
      </w:r>
      <w:r w:rsidR="00B15903">
        <w:rPr>
          <w:rFonts w:eastAsiaTheme="minorHAnsi" w:cstheme="minorBidi"/>
          <w:color w:val="auto"/>
          <w:szCs w:val="22"/>
        </w:rPr>
        <w:t xml:space="preserve"> </w:t>
      </w:r>
      <w:r>
        <w:rPr>
          <w:rFonts w:eastAsiaTheme="minorHAnsi" w:cstheme="minorBidi"/>
          <w:color w:val="auto"/>
          <w:szCs w:val="22"/>
        </w:rPr>
        <w:t xml:space="preserve"> TSA then multiplies the average annual burden by the $</w:t>
      </w:r>
      <w:r w:rsidR="003157ED">
        <w:rPr>
          <w:rFonts w:eastAsiaTheme="minorHAnsi" w:cstheme="minorBidi"/>
          <w:color w:val="auto"/>
          <w:szCs w:val="22"/>
        </w:rPr>
        <w:t>49.14</w:t>
      </w:r>
      <w:r>
        <w:rPr>
          <w:rFonts w:eastAsiaTheme="minorHAnsi" w:cstheme="minorBidi"/>
          <w:color w:val="auto"/>
          <w:szCs w:val="22"/>
        </w:rPr>
        <w:t xml:space="preserve"> compensation rate for SSEs in the freight railroad industry to estimate an average annual </w:t>
      </w:r>
      <w:r w:rsidRPr="00DC0B8E">
        <w:rPr>
          <w:rFonts w:eastAsiaTheme="minorHAnsi" w:cstheme="minorBidi"/>
          <w:color w:val="auto"/>
          <w:szCs w:val="22"/>
        </w:rPr>
        <w:t xml:space="preserve">cost of </w:t>
      </w:r>
      <w:r w:rsidRPr="00B57037">
        <w:rPr>
          <w:rFonts w:eastAsiaTheme="minorHAnsi" w:cstheme="minorBidi"/>
          <w:color w:val="auto"/>
          <w:szCs w:val="22"/>
        </w:rPr>
        <w:t>$</w:t>
      </w:r>
      <w:r w:rsidRPr="00DC0B8E" w:rsidR="003157ED">
        <w:rPr>
          <w:rFonts w:eastAsiaTheme="minorHAnsi" w:cstheme="minorBidi"/>
          <w:color w:val="auto"/>
          <w:szCs w:val="22"/>
        </w:rPr>
        <w:t>3,781.</w:t>
      </w:r>
    </w:p>
    <w:p w:rsidR="005A4154" w:rsidP="005A4154" w14:paraId="2518E870" w14:textId="77777777">
      <w:pPr>
        <w:pStyle w:val="ListParagraph"/>
        <w:ind w:left="1080"/>
        <w:rPr>
          <w:rFonts w:eastAsiaTheme="minorHAnsi" w:cstheme="minorBidi"/>
          <w:color w:val="auto"/>
          <w:szCs w:val="22"/>
        </w:rPr>
      </w:pPr>
    </w:p>
    <w:p w:rsidR="005A4154" w:rsidP="005A4154" w14:paraId="4799D493" w14:textId="31699D90">
      <w:pPr>
        <w:pStyle w:val="ListParagraph"/>
        <w:ind w:left="1080"/>
        <w:rPr>
          <w:rFonts w:eastAsiaTheme="minorHAnsi" w:cstheme="minorBidi"/>
          <w:color w:val="auto"/>
          <w:szCs w:val="22"/>
        </w:rPr>
      </w:pPr>
      <w:r>
        <w:rPr>
          <w:rFonts w:eastAsiaTheme="minorHAnsi" w:cstheme="minorBidi"/>
          <w:color w:val="auto"/>
          <w:szCs w:val="22"/>
        </w:rPr>
        <w:t xml:space="preserve">Next, TSA estimates 7 unique respondents for SCs in freight rail over the </w:t>
      </w:r>
      <w:r w:rsidR="00FC0D74">
        <w:rPr>
          <w:rFonts w:eastAsiaTheme="minorHAnsi" w:cstheme="minorBidi"/>
          <w:color w:val="auto"/>
          <w:szCs w:val="22"/>
        </w:rPr>
        <w:t>3</w:t>
      </w:r>
      <w:r>
        <w:rPr>
          <w:rFonts w:eastAsiaTheme="minorHAnsi" w:cstheme="minorBidi"/>
          <w:color w:val="auto"/>
          <w:szCs w:val="22"/>
        </w:rPr>
        <w:t>-year period.</w:t>
      </w:r>
      <w:r w:rsidR="00B15903">
        <w:rPr>
          <w:rFonts w:eastAsiaTheme="minorHAnsi" w:cstheme="minorBidi"/>
          <w:color w:val="auto"/>
          <w:szCs w:val="22"/>
        </w:rPr>
        <w:t xml:space="preserve"> </w:t>
      </w:r>
      <w:r>
        <w:rPr>
          <w:rFonts w:eastAsiaTheme="minorHAnsi" w:cstheme="minorBidi"/>
          <w:color w:val="auto"/>
          <w:szCs w:val="22"/>
        </w:rPr>
        <w:t xml:space="preserve"> TSA multiplies the number of SC respondents by the 0.63 hour burden per applicant to calculate a </w:t>
      </w:r>
      <w:r w:rsidR="00FC0D74">
        <w:rPr>
          <w:rFonts w:eastAsiaTheme="minorHAnsi" w:cstheme="minorBidi"/>
          <w:color w:val="auto"/>
          <w:szCs w:val="22"/>
        </w:rPr>
        <w:t>3</w:t>
      </w:r>
      <w:r>
        <w:rPr>
          <w:rFonts w:eastAsiaTheme="minorHAnsi" w:cstheme="minorBidi"/>
          <w:color w:val="auto"/>
          <w:szCs w:val="22"/>
        </w:rPr>
        <w:t>-year burden of 4.4 hours.</w:t>
      </w:r>
      <w:r w:rsidR="00B15903">
        <w:rPr>
          <w:rFonts w:eastAsiaTheme="minorHAnsi" w:cstheme="minorBidi"/>
          <w:color w:val="auto"/>
          <w:szCs w:val="22"/>
        </w:rPr>
        <w:t xml:space="preserve"> </w:t>
      </w:r>
      <w:r>
        <w:rPr>
          <w:rFonts w:eastAsiaTheme="minorHAnsi" w:cstheme="minorBidi"/>
          <w:color w:val="auto"/>
          <w:szCs w:val="22"/>
        </w:rPr>
        <w:t xml:space="preserve"> Next, TSA divides the </w:t>
      </w:r>
      <w:r w:rsidR="00FC0D74">
        <w:rPr>
          <w:rFonts w:eastAsiaTheme="minorHAnsi" w:cstheme="minorBidi"/>
          <w:color w:val="auto"/>
          <w:szCs w:val="22"/>
        </w:rPr>
        <w:t>3</w:t>
      </w:r>
      <w:r>
        <w:rPr>
          <w:rFonts w:eastAsiaTheme="minorHAnsi" w:cstheme="minorBidi"/>
          <w:color w:val="auto"/>
          <w:szCs w:val="22"/>
        </w:rPr>
        <w:t>-year total burden by three to estimate an average annual burden of 1.5 hours.</w:t>
      </w:r>
      <w:r w:rsidR="00B15903">
        <w:rPr>
          <w:rFonts w:eastAsiaTheme="minorHAnsi" w:cstheme="minorBidi"/>
          <w:color w:val="auto"/>
          <w:szCs w:val="22"/>
        </w:rPr>
        <w:t xml:space="preserve"> </w:t>
      </w:r>
      <w:r>
        <w:rPr>
          <w:rFonts w:eastAsiaTheme="minorHAnsi" w:cstheme="minorBidi"/>
          <w:color w:val="auto"/>
          <w:szCs w:val="22"/>
        </w:rPr>
        <w:t xml:space="preserve"> TSA then multiplies the average annual </w:t>
      </w:r>
      <w:r w:rsidRPr="00DC0B8E">
        <w:rPr>
          <w:rFonts w:eastAsiaTheme="minorHAnsi" w:cstheme="minorBidi"/>
          <w:color w:val="auto"/>
          <w:szCs w:val="22"/>
        </w:rPr>
        <w:t xml:space="preserve">burden by the </w:t>
      </w:r>
      <w:r w:rsidRPr="00B57037">
        <w:rPr>
          <w:rFonts w:eastAsiaTheme="minorHAnsi" w:cstheme="minorBidi"/>
          <w:color w:val="auto"/>
          <w:szCs w:val="22"/>
        </w:rPr>
        <w:t>$</w:t>
      </w:r>
      <w:r w:rsidRPr="00DC0B8E" w:rsidR="003157ED">
        <w:rPr>
          <w:rFonts w:eastAsiaTheme="minorHAnsi" w:cstheme="minorBidi"/>
          <w:color w:val="auto"/>
          <w:szCs w:val="22"/>
        </w:rPr>
        <w:t>92.34</w:t>
      </w:r>
      <w:r w:rsidRPr="00DC0B8E">
        <w:rPr>
          <w:rFonts w:eastAsiaTheme="minorHAnsi" w:cstheme="minorBidi"/>
          <w:color w:val="auto"/>
          <w:szCs w:val="22"/>
        </w:rPr>
        <w:t xml:space="preserve"> compensation rate for SCs in the freight railroad industry to estimate an average annual cost of </w:t>
      </w:r>
      <w:r w:rsidRPr="00B57037">
        <w:rPr>
          <w:rFonts w:eastAsiaTheme="minorHAnsi" w:cstheme="minorBidi"/>
          <w:color w:val="auto"/>
          <w:szCs w:val="22"/>
        </w:rPr>
        <w:t>$</w:t>
      </w:r>
      <w:r w:rsidRPr="00B57037" w:rsidR="003157ED">
        <w:rPr>
          <w:rFonts w:eastAsiaTheme="minorHAnsi" w:cstheme="minorBidi"/>
          <w:color w:val="auto"/>
          <w:szCs w:val="22"/>
        </w:rPr>
        <w:t>135</w:t>
      </w:r>
      <w:r w:rsidRPr="00B57037">
        <w:rPr>
          <w:rFonts w:eastAsiaTheme="minorHAnsi" w:cstheme="minorBidi"/>
          <w:color w:val="auto"/>
          <w:szCs w:val="22"/>
        </w:rPr>
        <w:t>.</w:t>
      </w:r>
    </w:p>
    <w:p w:rsidR="005A4154" w:rsidP="005A4154" w14:paraId="737CD49B" w14:textId="77777777">
      <w:pPr>
        <w:pStyle w:val="ListParagraph"/>
        <w:ind w:left="1080"/>
        <w:rPr>
          <w:rFonts w:eastAsiaTheme="minorHAnsi" w:cstheme="minorBidi"/>
          <w:color w:val="auto"/>
          <w:szCs w:val="22"/>
        </w:rPr>
      </w:pPr>
    </w:p>
    <w:p w:rsidR="00571738" w:rsidRPr="00B57037" w:rsidP="00B57037" w14:paraId="02B988CF" w14:textId="44A4A48A">
      <w:pPr>
        <w:pStyle w:val="ListParagraph"/>
        <w:numPr>
          <w:ilvl w:val="0"/>
          <w:numId w:val="49"/>
        </w:numPr>
        <w:rPr>
          <w:rFonts w:eastAsiaTheme="minorHAnsi" w:cstheme="minorBidi"/>
          <w:color w:val="auto"/>
          <w:szCs w:val="22"/>
        </w:rPr>
      </w:pPr>
      <w:r>
        <w:rPr>
          <w:rFonts w:eastAsiaTheme="minorHAnsi" w:cstheme="minorBidi"/>
          <w:i/>
          <w:color w:val="auto"/>
          <w:szCs w:val="22"/>
        </w:rPr>
        <w:t xml:space="preserve">Freight Railroad Shippers and </w:t>
      </w:r>
      <w:r w:rsidR="00F34984">
        <w:rPr>
          <w:rFonts w:eastAsiaTheme="minorHAnsi" w:cstheme="minorBidi"/>
          <w:i/>
          <w:color w:val="auto"/>
          <w:szCs w:val="22"/>
        </w:rPr>
        <w:t>Receivers</w:t>
      </w:r>
      <w:r>
        <w:rPr>
          <w:rFonts w:eastAsiaTheme="minorHAnsi" w:cstheme="minorBidi"/>
          <w:i/>
          <w:color w:val="auto"/>
          <w:szCs w:val="22"/>
        </w:rPr>
        <w:t xml:space="preserve"> (FRSR): </w:t>
      </w:r>
      <w:r w:rsidR="005A4154">
        <w:rPr>
          <w:rFonts w:eastAsiaTheme="minorHAnsi" w:cstheme="minorBidi"/>
          <w:color w:val="auto"/>
          <w:szCs w:val="22"/>
        </w:rPr>
        <w:t xml:space="preserve">TSA estimates 3.9 unique respondents for SCs in the FRSR industry over the </w:t>
      </w:r>
      <w:r w:rsidR="00FC0D74">
        <w:rPr>
          <w:rFonts w:eastAsiaTheme="minorHAnsi" w:cstheme="minorBidi"/>
          <w:color w:val="auto"/>
          <w:szCs w:val="22"/>
        </w:rPr>
        <w:t>3</w:t>
      </w:r>
      <w:r w:rsidR="005A4154">
        <w:rPr>
          <w:rFonts w:eastAsiaTheme="minorHAnsi" w:cstheme="minorBidi"/>
          <w:color w:val="auto"/>
          <w:szCs w:val="22"/>
        </w:rPr>
        <w:t>-year period.</w:t>
      </w:r>
      <w:r w:rsidR="00B15903">
        <w:rPr>
          <w:rFonts w:eastAsiaTheme="minorHAnsi" w:cstheme="minorBidi"/>
          <w:color w:val="auto"/>
          <w:szCs w:val="22"/>
        </w:rPr>
        <w:t xml:space="preserve"> </w:t>
      </w:r>
      <w:r w:rsidR="005A4154">
        <w:rPr>
          <w:rFonts w:eastAsiaTheme="minorHAnsi" w:cstheme="minorBidi"/>
          <w:color w:val="auto"/>
          <w:szCs w:val="22"/>
        </w:rPr>
        <w:t xml:space="preserve"> TSA multiplies the number of SC respondents by the 0.63 hour burden per applicant to calculate a </w:t>
      </w:r>
      <w:r w:rsidR="00FC0D74">
        <w:rPr>
          <w:rFonts w:eastAsiaTheme="minorHAnsi" w:cstheme="minorBidi"/>
          <w:color w:val="auto"/>
          <w:szCs w:val="22"/>
        </w:rPr>
        <w:t>3</w:t>
      </w:r>
      <w:r w:rsidR="005A4154">
        <w:rPr>
          <w:rFonts w:eastAsiaTheme="minorHAnsi" w:cstheme="minorBidi"/>
          <w:color w:val="auto"/>
          <w:szCs w:val="22"/>
        </w:rPr>
        <w:t>-year burden of 2.5 hours.</w:t>
      </w:r>
      <w:r w:rsidR="00B15903">
        <w:rPr>
          <w:rFonts w:eastAsiaTheme="minorHAnsi" w:cstheme="minorBidi"/>
          <w:color w:val="auto"/>
          <w:szCs w:val="22"/>
        </w:rPr>
        <w:t xml:space="preserve"> </w:t>
      </w:r>
      <w:r w:rsidR="005A4154">
        <w:rPr>
          <w:rFonts w:eastAsiaTheme="minorHAnsi" w:cstheme="minorBidi"/>
          <w:color w:val="auto"/>
          <w:szCs w:val="22"/>
        </w:rPr>
        <w:t xml:space="preserve"> Next, TSA divides the </w:t>
      </w:r>
      <w:r w:rsidR="00FC0D74">
        <w:rPr>
          <w:rFonts w:eastAsiaTheme="minorHAnsi" w:cstheme="minorBidi"/>
          <w:color w:val="auto"/>
          <w:szCs w:val="22"/>
        </w:rPr>
        <w:t>3</w:t>
      </w:r>
      <w:r w:rsidR="005A4154">
        <w:rPr>
          <w:rFonts w:eastAsiaTheme="minorHAnsi" w:cstheme="minorBidi"/>
          <w:color w:val="auto"/>
          <w:szCs w:val="22"/>
        </w:rPr>
        <w:t>-year total burden by three to estimate an average annual burden of 0.8 hours.</w:t>
      </w:r>
      <w:r w:rsidR="00B15903">
        <w:rPr>
          <w:rFonts w:eastAsiaTheme="minorHAnsi" w:cstheme="minorBidi"/>
          <w:color w:val="auto"/>
          <w:szCs w:val="22"/>
        </w:rPr>
        <w:t xml:space="preserve"> </w:t>
      </w:r>
      <w:r w:rsidR="005A4154">
        <w:rPr>
          <w:rFonts w:eastAsiaTheme="minorHAnsi" w:cstheme="minorBidi"/>
          <w:color w:val="auto"/>
          <w:szCs w:val="22"/>
        </w:rPr>
        <w:t xml:space="preserve"> TSA then multiplies the average annual burden by the $</w:t>
      </w:r>
      <w:r w:rsidR="00DC0B8E">
        <w:rPr>
          <w:rFonts w:eastAsiaTheme="minorHAnsi" w:cstheme="minorBidi"/>
          <w:color w:val="auto"/>
          <w:szCs w:val="22"/>
        </w:rPr>
        <w:t>76.35</w:t>
      </w:r>
      <w:r w:rsidR="005A4154">
        <w:rPr>
          <w:rFonts w:eastAsiaTheme="minorHAnsi" w:cstheme="minorBidi"/>
          <w:color w:val="auto"/>
          <w:szCs w:val="22"/>
        </w:rPr>
        <w:t xml:space="preserve"> compensation rate for SCs in the FRSR industry to estimate an average annual </w:t>
      </w:r>
      <w:r w:rsidRPr="00DC0B8E" w:rsidR="005A4154">
        <w:rPr>
          <w:rFonts w:eastAsiaTheme="minorHAnsi" w:cstheme="minorBidi"/>
          <w:color w:val="auto"/>
          <w:szCs w:val="22"/>
        </w:rPr>
        <w:t xml:space="preserve">cost of </w:t>
      </w:r>
      <w:r w:rsidRPr="00B57037" w:rsidR="005A4154">
        <w:rPr>
          <w:rFonts w:eastAsiaTheme="minorHAnsi" w:cstheme="minorBidi"/>
          <w:color w:val="auto"/>
          <w:szCs w:val="22"/>
        </w:rPr>
        <w:t>$</w:t>
      </w:r>
      <w:r w:rsidRPr="00DC0B8E" w:rsidR="00DC0B8E">
        <w:rPr>
          <w:rFonts w:eastAsiaTheme="minorHAnsi" w:cstheme="minorBidi"/>
          <w:color w:val="auto"/>
          <w:szCs w:val="22"/>
        </w:rPr>
        <w:t>62.</w:t>
      </w:r>
    </w:p>
    <w:p w:rsidR="005A4154" w:rsidRPr="00B57037" w:rsidP="00B57037" w14:paraId="47B45DD0" w14:textId="77777777">
      <w:pPr>
        <w:pStyle w:val="ListParagraph"/>
        <w:ind w:left="1080"/>
        <w:rPr>
          <w:rFonts w:eastAsiaTheme="minorHAnsi" w:cstheme="minorBidi"/>
          <w:color w:val="auto"/>
          <w:szCs w:val="22"/>
        </w:rPr>
      </w:pPr>
    </w:p>
    <w:p w:rsidR="005A4154" w:rsidP="005A4154" w14:paraId="5BCA58F4" w14:textId="311D9739">
      <w:pPr>
        <w:pStyle w:val="ListParagraph"/>
        <w:numPr>
          <w:ilvl w:val="0"/>
          <w:numId w:val="49"/>
        </w:numPr>
        <w:rPr>
          <w:rFonts w:eastAsiaTheme="minorHAnsi" w:cstheme="minorBidi"/>
          <w:color w:val="auto"/>
          <w:szCs w:val="22"/>
        </w:rPr>
      </w:pPr>
      <w:r w:rsidRPr="00571738">
        <w:rPr>
          <w:rFonts w:eastAsiaTheme="minorHAnsi" w:cstheme="minorBidi"/>
          <w:i/>
          <w:color w:val="auto"/>
          <w:szCs w:val="22"/>
        </w:rPr>
        <w:t xml:space="preserve">Public Transportation and </w:t>
      </w:r>
      <w:r w:rsidRPr="00571738" w:rsidR="00F34984">
        <w:rPr>
          <w:rFonts w:eastAsiaTheme="minorHAnsi" w:cstheme="minorBidi"/>
          <w:i/>
          <w:color w:val="auto"/>
          <w:szCs w:val="22"/>
        </w:rPr>
        <w:t>Passenger</w:t>
      </w:r>
      <w:r w:rsidRPr="00571738">
        <w:rPr>
          <w:rFonts w:eastAsiaTheme="minorHAnsi" w:cstheme="minorBidi"/>
          <w:i/>
          <w:color w:val="auto"/>
          <w:szCs w:val="22"/>
        </w:rPr>
        <w:t xml:space="preserve"> Railroad (PTPR) Owner/Operators:</w:t>
      </w:r>
      <w:r w:rsidR="00B15903">
        <w:rPr>
          <w:rFonts w:eastAsiaTheme="minorHAnsi" w:cstheme="minorBidi"/>
          <w:i/>
          <w:color w:val="auto"/>
          <w:szCs w:val="22"/>
        </w:rPr>
        <w:t xml:space="preserve"> </w:t>
      </w:r>
      <w:r w:rsidRPr="00571738">
        <w:rPr>
          <w:rFonts w:eastAsiaTheme="minorHAnsi" w:cstheme="minorBidi"/>
          <w:color w:val="auto"/>
          <w:szCs w:val="22"/>
        </w:rPr>
        <w:t xml:space="preserve"> </w:t>
      </w:r>
      <w:r>
        <w:rPr>
          <w:rFonts w:eastAsiaTheme="minorHAnsi" w:cstheme="minorBidi"/>
          <w:color w:val="auto"/>
          <w:szCs w:val="22"/>
        </w:rPr>
        <w:t xml:space="preserve">TSA estimates 656 unique respondents for SSEs in the PTPR industry over the </w:t>
      </w:r>
      <w:r w:rsidR="00FC0D74">
        <w:rPr>
          <w:rFonts w:eastAsiaTheme="minorHAnsi" w:cstheme="minorBidi"/>
          <w:color w:val="auto"/>
          <w:szCs w:val="22"/>
        </w:rPr>
        <w:t>3</w:t>
      </w:r>
      <w:r>
        <w:rPr>
          <w:rFonts w:eastAsiaTheme="minorHAnsi" w:cstheme="minorBidi"/>
          <w:color w:val="auto"/>
          <w:szCs w:val="22"/>
        </w:rPr>
        <w:t>-year period.</w:t>
      </w:r>
      <w:r w:rsidR="00B15903">
        <w:rPr>
          <w:rFonts w:eastAsiaTheme="minorHAnsi" w:cstheme="minorBidi"/>
          <w:color w:val="auto"/>
          <w:szCs w:val="22"/>
        </w:rPr>
        <w:t xml:space="preserve"> </w:t>
      </w:r>
      <w:r>
        <w:rPr>
          <w:rFonts w:eastAsiaTheme="minorHAnsi" w:cstheme="minorBidi"/>
          <w:color w:val="auto"/>
          <w:szCs w:val="22"/>
        </w:rPr>
        <w:t xml:space="preserve"> TSA multiplies the number of SSE respondents by the 0.63 hour burden per </w:t>
      </w:r>
      <w:r>
        <w:rPr>
          <w:rFonts w:eastAsiaTheme="minorHAnsi" w:cstheme="minorBidi"/>
          <w:color w:val="auto"/>
          <w:szCs w:val="22"/>
        </w:rPr>
        <w:t xml:space="preserve">applicant to calculate a </w:t>
      </w:r>
      <w:r w:rsidR="00FC0D74">
        <w:rPr>
          <w:rFonts w:eastAsiaTheme="minorHAnsi" w:cstheme="minorBidi"/>
          <w:color w:val="auto"/>
          <w:szCs w:val="22"/>
        </w:rPr>
        <w:t>3</w:t>
      </w:r>
      <w:r>
        <w:rPr>
          <w:rFonts w:eastAsiaTheme="minorHAnsi" w:cstheme="minorBidi"/>
          <w:color w:val="auto"/>
          <w:szCs w:val="22"/>
        </w:rPr>
        <w:t xml:space="preserve">-year burden of </w:t>
      </w:r>
      <w:r w:rsidR="00B50BBB">
        <w:rPr>
          <w:rFonts w:eastAsiaTheme="minorHAnsi" w:cstheme="minorBidi"/>
          <w:color w:val="auto"/>
          <w:szCs w:val="22"/>
        </w:rPr>
        <w:t>410</w:t>
      </w:r>
      <w:r>
        <w:rPr>
          <w:rFonts w:eastAsiaTheme="minorHAnsi" w:cstheme="minorBidi"/>
          <w:color w:val="auto"/>
          <w:szCs w:val="22"/>
        </w:rPr>
        <w:t xml:space="preserve"> hours. </w:t>
      </w:r>
      <w:r w:rsidR="00C4348E">
        <w:rPr>
          <w:rFonts w:eastAsiaTheme="minorHAnsi" w:cstheme="minorBidi"/>
          <w:color w:val="auto"/>
          <w:szCs w:val="22"/>
        </w:rPr>
        <w:t xml:space="preserve"> </w:t>
      </w:r>
      <w:r>
        <w:rPr>
          <w:rFonts w:eastAsiaTheme="minorHAnsi" w:cstheme="minorBidi"/>
          <w:color w:val="auto"/>
          <w:szCs w:val="22"/>
        </w:rPr>
        <w:t xml:space="preserve">Next, TSA divides the </w:t>
      </w:r>
      <w:r w:rsidR="00FC0D74">
        <w:rPr>
          <w:rFonts w:eastAsiaTheme="minorHAnsi" w:cstheme="minorBidi"/>
          <w:color w:val="auto"/>
          <w:szCs w:val="22"/>
        </w:rPr>
        <w:t>3</w:t>
      </w:r>
      <w:r>
        <w:rPr>
          <w:rFonts w:eastAsiaTheme="minorHAnsi" w:cstheme="minorBidi"/>
          <w:color w:val="auto"/>
          <w:szCs w:val="22"/>
        </w:rPr>
        <w:t xml:space="preserve">-year total burden by three to estimate an average annual burden of </w:t>
      </w:r>
      <w:r w:rsidR="00B50BBB">
        <w:rPr>
          <w:rFonts w:eastAsiaTheme="minorHAnsi" w:cstheme="minorBidi"/>
          <w:color w:val="auto"/>
          <w:szCs w:val="22"/>
        </w:rPr>
        <w:t>13</w:t>
      </w:r>
      <w:r>
        <w:rPr>
          <w:rFonts w:eastAsiaTheme="minorHAnsi" w:cstheme="minorBidi"/>
          <w:color w:val="auto"/>
          <w:szCs w:val="22"/>
        </w:rPr>
        <w:t>7 hours.</w:t>
      </w:r>
      <w:r w:rsidR="00C4348E">
        <w:rPr>
          <w:rFonts w:eastAsiaTheme="minorHAnsi" w:cstheme="minorBidi"/>
          <w:color w:val="auto"/>
          <w:szCs w:val="22"/>
        </w:rPr>
        <w:t xml:space="preserve"> </w:t>
      </w:r>
      <w:r>
        <w:rPr>
          <w:rFonts w:eastAsiaTheme="minorHAnsi" w:cstheme="minorBidi"/>
          <w:color w:val="auto"/>
          <w:szCs w:val="22"/>
        </w:rPr>
        <w:t xml:space="preserve"> TSA then multiplies the average annual burden by the $</w:t>
      </w:r>
      <w:r w:rsidR="00DC0B8E">
        <w:rPr>
          <w:rFonts w:eastAsiaTheme="minorHAnsi" w:cstheme="minorBidi"/>
          <w:color w:val="auto"/>
          <w:szCs w:val="22"/>
        </w:rPr>
        <w:t>38.98</w:t>
      </w:r>
      <w:r>
        <w:rPr>
          <w:rFonts w:eastAsiaTheme="minorHAnsi" w:cstheme="minorBidi"/>
          <w:color w:val="auto"/>
          <w:szCs w:val="22"/>
        </w:rPr>
        <w:t xml:space="preserve"> compensation rate for SSEs in the </w:t>
      </w:r>
      <w:r w:rsidR="00B50BBB">
        <w:rPr>
          <w:rFonts w:eastAsiaTheme="minorHAnsi" w:cstheme="minorBidi"/>
          <w:color w:val="auto"/>
          <w:szCs w:val="22"/>
        </w:rPr>
        <w:t>PTPR</w:t>
      </w:r>
      <w:r>
        <w:rPr>
          <w:rFonts w:eastAsiaTheme="minorHAnsi" w:cstheme="minorBidi"/>
          <w:color w:val="auto"/>
          <w:szCs w:val="22"/>
        </w:rPr>
        <w:t xml:space="preserve"> industry to estimate an average annual cost of </w:t>
      </w:r>
      <w:r w:rsidRPr="00B57037">
        <w:rPr>
          <w:rFonts w:eastAsiaTheme="minorHAnsi" w:cstheme="minorBidi"/>
          <w:color w:val="auto"/>
          <w:szCs w:val="22"/>
        </w:rPr>
        <w:t>$</w:t>
      </w:r>
      <w:r w:rsidRPr="00DC0B8E" w:rsidR="00DC0B8E">
        <w:rPr>
          <w:rFonts w:eastAsiaTheme="minorHAnsi" w:cstheme="minorBidi"/>
          <w:color w:val="auto"/>
          <w:szCs w:val="22"/>
        </w:rPr>
        <w:t>5,330.</w:t>
      </w:r>
    </w:p>
    <w:p w:rsidR="005A4154" w:rsidP="005A4154" w14:paraId="7CC36B2B" w14:textId="77777777">
      <w:pPr>
        <w:pStyle w:val="ListParagraph"/>
        <w:ind w:left="1080"/>
        <w:rPr>
          <w:rFonts w:eastAsiaTheme="minorHAnsi" w:cstheme="minorBidi"/>
          <w:color w:val="auto"/>
          <w:szCs w:val="22"/>
        </w:rPr>
      </w:pPr>
    </w:p>
    <w:p w:rsidR="005A4154" w:rsidP="005A4154" w14:paraId="6FF34B5A" w14:textId="737BE764">
      <w:pPr>
        <w:pStyle w:val="ListParagraph"/>
        <w:ind w:left="1080"/>
        <w:rPr>
          <w:rFonts w:eastAsiaTheme="minorHAnsi" w:cstheme="minorBidi"/>
          <w:color w:val="auto"/>
          <w:szCs w:val="22"/>
        </w:rPr>
      </w:pPr>
      <w:r>
        <w:rPr>
          <w:rFonts w:eastAsiaTheme="minorHAnsi" w:cstheme="minorBidi"/>
          <w:color w:val="auto"/>
          <w:szCs w:val="22"/>
        </w:rPr>
        <w:t>Next, T</w:t>
      </w:r>
      <w:r w:rsidR="00B50BBB">
        <w:rPr>
          <w:rFonts w:eastAsiaTheme="minorHAnsi" w:cstheme="minorBidi"/>
          <w:color w:val="auto"/>
          <w:szCs w:val="22"/>
        </w:rPr>
        <w:t>SA estimates 2.2</w:t>
      </w:r>
      <w:r>
        <w:rPr>
          <w:rFonts w:eastAsiaTheme="minorHAnsi" w:cstheme="minorBidi"/>
          <w:color w:val="auto"/>
          <w:szCs w:val="22"/>
        </w:rPr>
        <w:t xml:space="preserve"> unique respondents for SCs in </w:t>
      </w:r>
      <w:r w:rsidR="00B50BBB">
        <w:rPr>
          <w:rFonts w:eastAsiaTheme="minorHAnsi" w:cstheme="minorBidi"/>
          <w:color w:val="auto"/>
          <w:szCs w:val="22"/>
        </w:rPr>
        <w:t>the PTPR industry</w:t>
      </w:r>
      <w:r>
        <w:rPr>
          <w:rFonts w:eastAsiaTheme="minorHAnsi" w:cstheme="minorBidi"/>
          <w:color w:val="auto"/>
          <w:szCs w:val="22"/>
        </w:rPr>
        <w:t xml:space="preserve"> over the </w:t>
      </w:r>
      <w:r w:rsidR="00FC0D74">
        <w:rPr>
          <w:rFonts w:eastAsiaTheme="minorHAnsi" w:cstheme="minorBidi"/>
          <w:color w:val="auto"/>
          <w:szCs w:val="22"/>
        </w:rPr>
        <w:t>3</w:t>
      </w:r>
      <w:r>
        <w:rPr>
          <w:rFonts w:eastAsiaTheme="minorHAnsi" w:cstheme="minorBidi"/>
          <w:color w:val="auto"/>
          <w:szCs w:val="22"/>
        </w:rPr>
        <w:t xml:space="preserve">-year period. </w:t>
      </w:r>
      <w:r w:rsidR="00C4348E">
        <w:rPr>
          <w:rFonts w:eastAsiaTheme="minorHAnsi" w:cstheme="minorBidi"/>
          <w:color w:val="auto"/>
          <w:szCs w:val="22"/>
        </w:rPr>
        <w:t xml:space="preserve"> </w:t>
      </w:r>
      <w:r>
        <w:rPr>
          <w:rFonts w:eastAsiaTheme="minorHAnsi" w:cstheme="minorBidi"/>
          <w:color w:val="auto"/>
          <w:szCs w:val="22"/>
        </w:rPr>
        <w:t>TSA multiplies the number of SC respondents by the 0.63 hour burden per applicant to calc</w:t>
      </w:r>
      <w:r w:rsidR="00B50BBB">
        <w:rPr>
          <w:rFonts w:eastAsiaTheme="minorHAnsi" w:cstheme="minorBidi"/>
          <w:color w:val="auto"/>
          <w:szCs w:val="22"/>
        </w:rPr>
        <w:t xml:space="preserve">ulate a </w:t>
      </w:r>
      <w:r w:rsidR="00FC0D74">
        <w:rPr>
          <w:rFonts w:eastAsiaTheme="minorHAnsi" w:cstheme="minorBidi"/>
          <w:color w:val="auto"/>
          <w:szCs w:val="22"/>
        </w:rPr>
        <w:t>3</w:t>
      </w:r>
      <w:r w:rsidR="00B50BBB">
        <w:rPr>
          <w:rFonts w:eastAsiaTheme="minorHAnsi" w:cstheme="minorBidi"/>
          <w:color w:val="auto"/>
          <w:szCs w:val="22"/>
        </w:rPr>
        <w:t>-year burden of 1.4</w:t>
      </w:r>
      <w:r>
        <w:rPr>
          <w:rFonts w:eastAsiaTheme="minorHAnsi" w:cstheme="minorBidi"/>
          <w:color w:val="auto"/>
          <w:szCs w:val="22"/>
        </w:rPr>
        <w:t xml:space="preserve"> hours. </w:t>
      </w:r>
      <w:r w:rsidR="00FC0D74">
        <w:rPr>
          <w:rFonts w:eastAsiaTheme="minorHAnsi" w:cstheme="minorBidi"/>
          <w:color w:val="auto"/>
          <w:szCs w:val="22"/>
        </w:rPr>
        <w:t xml:space="preserve"> </w:t>
      </w:r>
      <w:r>
        <w:rPr>
          <w:rFonts w:eastAsiaTheme="minorHAnsi" w:cstheme="minorBidi"/>
          <w:color w:val="auto"/>
          <w:szCs w:val="22"/>
        </w:rPr>
        <w:t xml:space="preserve">Next, TSA divides the </w:t>
      </w:r>
      <w:r w:rsidR="00FC0D74">
        <w:rPr>
          <w:rFonts w:eastAsiaTheme="minorHAnsi" w:cstheme="minorBidi"/>
          <w:color w:val="auto"/>
          <w:szCs w:val="22"/>
        </w:rPr>
        <w:t>3</w:t>
      </w:r>
      <w:r>
        <w:rPr>
          <w:rFonts w:eastAsiaTheme="minorHAnsi" w:cstheme="minorBidi"/>
          <w:color w:val="auto"/>
          <w:szCs w:val="22"/>
        </w:rPr>
        <w:t>-year total burden by three to estimate an average annual burden</w:t>
      </w:r>
      <w:r w:rsidR="00B50BBB">
        <w:rPr>
          <w:rFonts w:eastAsiaTheme="minorHAnsi" w:cstheme="minorBidi"/>
          <w:color w:val="auto"/>
          <w:szCs w:val="22"/>
        </w:rPr>
        <w:t xml:space="preserve"> of 0</w:t>
      </w:r>
      <w:r>
        <w:rPr>
          <w:rFonts w:eastAsiaTheme="minorHAnsi" w:cstheme="minorBidi"/>
          <w:color w:val="auto"/>
          <w:szCs w:val="22"/>
        </w:rPr>
        <w:t xml:space="preserve">.5 hours. </w:t>
      </w:r>
      <w:r w:rsidR="00FC0D74">
        <w:rPr>
          <w:rFonts w:eastAsiaTheme="minorHAnsi" w:cstheme="minorBidi"/>
          <w:color w:val="auto"/>
          <w:szCs w:val="22"/>
        </w:rPr>
        <w:t xml:space="preserve"> </w:t>
      </w:r>
      <w:r>
        <w:rPr>
          <w:rFonts w:eastAsiaTheme="minorHAnsi" w:cstheme="minorBidi"/>
          <w:color w:val="auto"/>
          <w:szCs w:val="22"/>
        </w:rPr>
        <w:t xml:space="preserve">TSA then multiplies the average annual burden by </w:t>
      </w:r>
      <w:r w:rsidRPr="00DC0B8E">
        <w:rPr>
          <w:rFonts w:eastAsiaTheme="minorHAnsi" w:cstheme="minorBidi"/>
          <w:color w:val="auto"/>
          <w:szCs w:val="22"/>
        </w:rPr>
        <w:t xml:space="preserve">the </w:t>
      </w:r>
      <w:r w:rsidRPr="00B57037">
        <w:rPr>
          <w:rFonts w:eastAsiaTheme="minorHAnsi" w:cstheme="minorBidi"/>
          <w:color w:val="auto"/>
          <w:szCs w:val="22"/>
        </w:rPr>
        <w:t>$</w:t>
      </w:r>
      <w:r w:rsidRPr="00DC0B8E" w:rsidR="00DC0B8E">
        <w:rPr>
          <w:rFonts w:eastAsiaTheme="minorHAnsi" w:cstheme="minorBidi"/>
          <w:color w:val="auto"/>
          <w:szCs w:val="22"/>
        </w:rPr>
        <w:t>88.41</w:t>
      </w:r>
      <w:r w:rsidRPr="00DC0B8E">
        <w:rPr>
          <w:rFonts w:eastAsiaTheme="minorHAnsi" w:cstheme="minorBidi"/>
          <w:color w:val="auto"/>
          <w:szCs w:val="22"/>
        </w:rPr>
        <w:t xml:space="preserve"> compensation rate for SCs in the </w:t>
      </w:r>
      <w:r w:rsidRPr="00DC0B8E" w:rsidR="00B50BBB">
        <w:rPr>
          <w:rFonts w:eastAsiaTheme="minorHAnsi" w:cstheme="minorBidi"/>
          <w:color w:val="auto"/>
          <w:szCs w:val="22"/>
        </w:rPr>
        <w:t>PTPR</w:t>
      </w:r>
      <w:r w:rsidRPr="00DC0B8E">
        <w:rPr>
          <w:rFonts w:eastAsiaTheme="minorHAnsi" w:cstheme="minorBidi"/>
          <w:color w:val="auto"/>
          <w:szCs w:val="22"/>
        </w:rPr>
        <w:t xml:space="preserve"> industry to estimate an average annual cost of </w:t>
      </w:r>
      <w:r w:rsidRPr="00B57037">
        <w:rPr>
          <w:rFonts w:eastAsiaTheme="minorHAnsi" w:cstheme="minorBidi"/>
          <w:color w:val="auto"/>
          <w:szCs w:val="22"/>
        </w:rPr>
        <w:t>$</w:t>
      </w:r>
      <w:r w:rsidRPr="00B57037" w:rsidR="00DC0B8E">
        <w:rPr>
          <w:rFonts w:eastAsiaTheme="minorHAnsi" w:cstheme="minorBidi"/>
          <w:color w:val="auto"/>
          <w:szCs w:val="22"/>
        </w:rPr>
        <w:t>41</w:t>
      </w:r>
      <w:r w:rsidRPr="00B57037">
        <w:rPr>
          <w:rFonts w:eastAsiaTheme="minorHAnsi" w:cstheme="minorBidi"/>
          <w:color w:val="auto"/>
          <w:szCs w:val="22"/>
        </w:rPr>
        <w:t>.</w:t>
      </w:r>
    </w:p>
    <w:p w:rsidR="005A4154" w:rsidRPr="00571738" w:rsidP="00B57037" w14:paraId="2EC0221F" w14:textId="77777777">
      <w:pPr>
        <w:pStyle w:val="ListParagraph"/>
        <w:ind w:left="1080"/>
        <w:rPr>
          <w:rFonts w:eastAsiaTheme="minorHAnsi" w:cstheme="minorBidi"/>
          <w:color w:val="auto"/>
          <w:szCs w:val="22"/>
        </w:rPr>
      </w:pPr>
    </w:p>
    <w:p w:rsidR="00571738" w:rsidRPr="00B30196" w:rsidP="00B57037" w14:paraId="63CBFDBD" w14:textId="29633111">
      <w:pPr>
        <w:pStyle w:val="ListParagraph"/>
        <w:numPr>
          <w:ilvl w:val="0"/>
          <w:numId w:val="49"/>
        </w:numPr>
        <w:rPr>
          <w:rFonts w:eastAsiaTheme="minorHAnsi" w:cstheme="minorBidi"/>
          <w:color w:val="auto"/>
          <w:szCs w:val="22"/>
        </w:rPr>
      </w:pPr>
      <w:r>
        <w:rPr>
          <w:rFonts w:eastAsiaTheme="minorHAnsi" w:cstheme="minorBidi"/>
          <w:i/>
          <w:color w:val="auto"/>
          <w:szCs w:val="22"/>
        </w:rPr>
        <w:t>Over-the-Road Buses (OTRB) Owner/Operators:</w:t>
      </w:r>
      <w:r w:rsidRPr="00204AB6">
        <w:rPr>
          <w:rFonts w:eastAsiaTheme="minorHAnsi" w:cstheme="minorBidi"/>
          <w:color w:val="auto"/>
          <w:szCs w:val="22"/>
        </w:rPr>
        <w:t xml:space="preserve"> </w:t>
      </w:r>
      <w:r w:rsidR="005A4154">
        <w:rPr>
          <w:rFonts w:eastAsiaTheme="minorHAnsi" w:cstheme="minorBidi"/>
          <w:color w:val="auto"/>
          <w:szCs w:val="22"/>
        </w:rPr>
        <w:t xml:space="preserve">TSA estimates 2.8 unique respondents for SCs in the OTRB industry over the </w:t>
      </w:r>
      <w:r w:rsidR="00FC0D74">
        <w:rPr>
          <w:rFonts w:eastAsiaTheme="minorHAnsi" w:cstheme="minorBidi"/>
          <w:color w:val="auto"/>
          <w:szCs w:val="22"/>
        </w:rPr>
        <w:t>3</w:t>
      </w:r>
      <w:r w:rsidR="005A4154">
        <w:rPr>
          <w:rFonts w:eastAsiaTheme="minorHAnsi" w:cstheme="minorBidi"/>
          <w:color w:val="auto"/>
          <w:szCs w:val="22"/>
        </w:rPr>
        <w:t xml:space="preserve">-year period. </w:t>
      </w:r>
      <w:r w:rsidR="00C4348E">
        <w:rPr>
          <w:rFonts w:eastAsiaTheme="minorHAnsi" w:cstheme="minorBidi"/>
          <w:color w:val="auto"/>
          <w:szCs w:val="22"/>
        </w:rPr>
        <w:t xml:space="preserve"> </w:t>
      </w:r>
      <w:r w:rsidR="005A4154">
        <w:rPr>
          <w:rFonts w:eastAsiaTheme="minorHAnsi" w:cstheme="minorBidi"/>
          <w:color w:val="auto"/>
          <w:szCs w:val="22"/>
        </w:rPr>
        <w:t xml:space="preserve">TSA multiplies the number of SC respondents by the 0.63 hour burden per applicant to calculate a </w:t>
      </w:r>
      <w:r w:rsidR="00FC0D74">
        <w:rPr>
          <w:rFonts w:eastAsiaTheme="minorHAnsi" w:cstheme="minorBidi"/>
          <w:color w:val="auto"/>
          <w:szCs w:val="22"/>
        </w:rPr>
        <w:t>3</w:t>
      </w:r>
      <w:r w:rsidR="005A4154">
        <w:rPr>
          <w:rFonts w:eastAsiaTheme="minorHAnsi" w:cstheme="minorBidi"/>
          <w:color w:val="auto"/>
          <w:szCs w:val="22"/>
        </w:rPr>
        <w:t xml:space="preserve">-year burden of 1.8 hours. </w:t>
      </w:r>
      <w:r w:rsidR="00C4348E">
        <w:rPr>
          <w:rFonts w:eastAsiaTheme="minorHAnsi" w:cstheme="minorBidi"/>
          <w:color w:val="auto"/>
          <w:szCs w:val="22"/>
        </w:rPr>
        <w:t xml:space="preserve"> </w:t>
      </w:r>
      <w:r w:rsidR="005A4154">
        <w:rPr>
          <w:rFonts w:eastAsiaTheme="minorHAnsi" w:cstheme="minorBidi"/>
          <w:color w:val="auto"/>
          <w:szCs w:val="22"/>
        </w:rPr>
        <w:t xml:space="preserve">Next, TSA divides the </w:t>
      </w:r>
      <w:r w:rsidR="00FC0D74">
        <w:rPr>
          <w:rFonts w:eastAsiaTheme="minorHAnsi" w:cstheme="minorBidi"/>
          <w:color w:val="auto"/>
          <w:szCs w:val="22"/>
        </w:rPr>
        <w:t>3</w:t>
      </w:r>
      <w:r w:rsidR="005A4154">
        <w:rPr>
          <w:rFonts w:eastAsiaTheme="minorHAnsi" w:cstheme="minorBidi"/>
          <w:color w:val="auto"/>
          <w:szCs w:val="22"/>
        </w:rPr>
        <w:t xml:space="preserve">-year total burden by three to estimate an average annual burden of 0.6 hours. </w:t>
      </w:r>
      <w:r w:rsidR="00C4348E">
        <w:rPr>
          <w:rFonts w:eastAsiaTheme="minorHAnsi" w:cstheme="minorBidi"/>
          <w:color w:val="auto"/>
          <w:szCs w:val="22"/>
        </w:rPr>
        <w:t xml:space="preserve"> </w:t>
      </w:r>
      <w:r w:rsidR="005A4154">
        <w:rPr>
          <w:rFonts w:eastAsiaTheme="minorHAnsi" w:cstheme="minorBidi"/>
          <w:color w:val="auto"/>
          <w:szCs w:val="22"/>
        </w:rPr>
        <w:t>TSA then multiplies the average annual burden by the $</w:t>
      </w:r>
      <w:r w:rsidR="00DC0B8E">
        <w:rPr>
          <w:rFonts w:eastAsiaTheme="minorHAnsi" w:cstheme="minorBidi"/>
          <w:color w:val="auto"/>
          <w:szCs w:val="22"/>
        </w:rPr>
        <w:t>69.</w:t>
      </w:r>
      <w:r w:rsidRPr="00DC0B8E" w:rsidR="00DC0B8E">
        <w:rPr>
          <w:rFonts w:eastAsiaTheme="minorHAnsi" w:cstheme="minorBidi"/>
          <w:color w:val="auto"/>
          <w:szCs w:val="22"/>
        </w:rPr>
        <w:t>63</w:t>
      </w:r>
      <w:r w:rsidRPr="00DC0B8E" w:rsidR="005A4154">
        <w:rPr>
          <w:rFonts w:eastAsiaTheme="minorHAnsi" w:cstheme="minorBidi"/>
          <w:color w:val="auto"/>
          <w:szCs w:val="22"/>
        </w:rPr>
        <w:t xml:space="preserve"> compensation rate for SCs in the OTRB industry to estimate an average annual cost of </w:t>
      </w:r>
      <w:r w:rsidRPr="00B57037" w:rsidR="005A4154">
        <w:rPr>
          <w:rFonts w:eastAsiaTheme="minorHAnsi" w:cstheme="minorBidi"/>
          <w:color w:val="auto"/>
          <w:szCs w:val="22"/>
        </w:rPr>
        <w:t>$</w:t>
      </w:r>
      <w:r w:rsidRPr="00B57037" w:rsidR="00DC0B8E">
        <w:rPr>
          <w:rFonts w:eastAsiaTheme="minorHAnsi" w:cstheme="minorBidi"/>
          <w:color w:val="auto"/>
          <w:szCs w:val="22"/>
        </w:rPr>
        <w:t>41.</w:t>
      </w:r>
    </w:p>
    <w:p w:rsidR="00A56ED5" w:rsidP="00A56ED5" w14:paraId="0D0167D3" w14:textId="77777777">
      <w:pPr>
        <w:ind w:left="360"/>
        <w:rPr>
          <w:rFonts w:eastAsiaTheme="minorHAnsi" w:cstheme="minorBidi"/>
          <w:color w:val="auto"/>
          <w:szCs w:val="22"/>
        </w:rPr>
      </w:pPr>
    </w:p>
    <w:p w:rsidR="00A56ED5" w:rsidRPr="00664F5A" w:rsidP="00A56ED5" w14:paraId="09F8B94F" w14:textId="670F9672">
      <w:pPr>
        <w:ind w:left="360"/>
        <w:rPr>
          <w:rFonts w:eastAsiaTheme="minorHAnsi" w:cstheme="minorBidi"/>
          <w:color w:val="auto"/>
          <w:szCs w:val="22"/>
        </w:rPr>
      </w:pPr>
      <w:r w:rsidRPr="00B57037">
        <w:rPr>
          <w:rFonts w:eastAsiaTheme="minorHAnsi" w:cstheme="minorBidi"/>
          <w:color w:val="auto"/>
          <w:szCs w:val="22"/>
          <w:u w:val="single"/>
        </w:rPr>
        <w:t>PDI Waivers.</w:t>
      </w:r>
      <w:r>
        <w:rPr>
          <w:rFonts w:eastAsiaTheme="minorHAnsi" w:cstheme="minorBidi"/>
          <w:color w:val="auto"/>
          <w:szCs w:val="22"/>
        </w:rPr>
        <w:t xml:space="preserve"> </w:t>
      </w:r>
      <w:r w:rsidR="00C4348E">
        <w:rPr>
          <w:rFonts w:eastAsiaTheme="minorHAnsi" w:cstheme="minorBidi"/>
          <w:color w:val="auto"/>
          <w:szCs w:val="22"/>
        </w:rPr>
        <w:t xml:space="preserve"> </w:t>
      </w:r>
      <w:r w:rsidRPr="00664F5A">
        <w:rPr>
          <w:rFonts w:eastAsiaTheme="minorHAnsi" w:cstheme="minorBidi"/>
          <w:color w:val="auto"/>
          <w:szCs w:val="22"/>
        </w:rPr>
        <w:t xml:space="preserve">Respondents have the option to inquire about the factors that led to a PDI by requesting a PDI waiver. </w:t>
      </w:r>
      <w:r w:rsidR="00C4348E">
        <w:rPr>
          <w:rFonts w:eastAsiaTheme="minorHAnsi" w:cstheme="minorBidi"/>
          <w:color w:val="auto"/>
          <w:szCs w:val="22"/>
        </w:rPr>
        <w:t xml:space="preserve"> </w:t>
      </w:r>
      <w:r w:rsidRPr="00664F5A">
        <w:rPr>
          <w:rFonts w:eastAsiaTheme="minorHAnsi" w:cstheme="minorBidi"/>
          <w:color w:val="auto"/>
          <w:szCs w:val="22"/>
        </w:rPr>
        <w:t>TSA estimates the PDI waiver process to be 4.13 hours per applicant.</w:t>
      </w:r>
    </w:p>
    <w:p w:rsidR="00A56ED5" w:rsidP="00B57037" w14:paraId="76C3AC96" w14:textId="24667852">
      <w:pPr>
        <w:ind w:left="360"/>
        <w:rPr>
          <w:rFonts w:eastAsiaTheme="minorHAnsi" w:cstheme="minorBidi"/>
          <w:color w:val="auto"/>
          <w:szCs w:val="22"/>
          <w:u w:val="single"/>
        </w:rPr>
      </w:pPr>
    </w:p>
    <w:p w:rsidR="00571738" w:rsidP="00571738" w14:paraId="1BDB6089" w14:textId="07A6406F">
      <w:pPr>
        <w:pStyle w:val="ListParagraph"/>
        <w:numPr>
          <w:ilvl w:val="0"/>
          <w:numId w:val="45"/>
        </w:numPr>
        <w:rPr>
          <w:rFonts w:eastAsiaTheme="minorHAnsi" w:cstheme="minorBidi"/>
          <w:color w:val="auto"/>
          <w:szCs w:val="22"/>
        </w:rPr>
      </w:pPr>
      <w:r w:rsidRPr="001837D9">
        <w:rPr>
          <w:rFonts w:eastAsiaTheme="minorHAnsi" w:cstheme="minorBidi"/>
          <w:i/>
          <w:color w:val="auto"/>
          <w:szCs w:val="22"/>
        </w:rPr>
        <w:t xml:space="preserve">Freight Railroad Owner/Operators: </w:t>
      </w:r>
      <w:r w:rsidR="0094535F">
        <w:rPr>
          <w:rFonts w:eastAsiaTheme="minorHAnsi" w:cstheme="minorBidi"/>
          <w:color w:val="auto"/>
          <w:szCs w:val="22"/>
        </w:rPr>
        <w:t xml:space="preserve">TSA estimates 1.2 unique respondents for SCs in freight rail over the </w:t>
      </w:r>
      <w:r w:rsidR="00FC0D74">
        <w:rPr>
          <w:rFonts w:eastAsiaTheme="minorHAnsi" w:cstheme="minorBidi"/>
          <w:color w:val="auto"/>
          <w:szCs w:val="22"/>
        </w:rPr>
        <w:t>3</w:t>
      </w:r>
      <w:r w:rsidR="0094535F">
        <w:rPr>
          <w:rFonts w:eastAsiaTheme="minorHAnsi" w:cstheme="minorBidi"/>
          <w:color w:val="auto"/>
          <w:szCs w:val="22"/>
        </w:rPr>
        <w:t>-year period.</w:t>
      </w:r>
      <w:r w:rsidR="00C4348E">
        <w:rPr>
          <w:rFonts w:eastAsiaTheme="minorHAnsi" w:cstheme="minorBidi"/>
          <w:color w:val="auto"/>
          <w:szCs w:val="22"/>
        </w:rPr>
        <w:t xml:space="preserve"> </w:t>
      </w:r>
      <w:r w:rsidR="0094535F">
        <w:rPr>
          <w:rFonts w:eastAsiaTheme="minorHAnsi" w:cstheme="minorBidi"/>
          <w:color w:val="auto"/>
          <w:szCs w:val="22"/>
        </w:rPr>
        <w:t xml:space="preserve"> TSA multiplies the number of SC respondents by the 4.13 hour burden per applicant to calculate a </w:t>
      </w:r>
      <w:r w:rsidR="00FC0D74">
        <w:rPr>
          <w:rFonts w:eastAsiaTheme="minorHAnsi" w:cstheme="minorBidi"/>
          <w:color w:val="auto"/>
          <w:szCs w:val="22"/>
        </w:rPr>
        <w:t>3</w:t>
      </w:r>
      <w:r w:rsidR="0094535F">
        <w:rPr>
          <w:rFonts w:eastAsiaTheme="minorHAnsi" w:cstheme="minorBidi"/>
          <w:color w:val="auto"/>
          <w:szCs w:val="22"/>
        </w:rPr>
        <w:t xml:space="preserve">-year burden of 4.8 hours. </w:t>
      </w:r>
      <w:r w:rsidR="00FC0D74">
        <w:rPr>
          <w:rFonts w:eastAsiaTheme="minorHAnsi" w:cstheme="minorBidi"/>
          <w:color w:val="auto"/>
          <w:szCs w:val="22"/>
        </w:rPr>
        <w:t xml:space="preserve"> </w:t>
      </w:r>
      <w:r w:rsidR="0094535F">
        <w:rPr>
          <w:rFonts w:eastAsiaTheme="minorHAnsi" w:cstheme="minorBidi"/>
          <w:color w:val="auto"/>
          <w:szCs w:val="22"/>
        </w:rPr>
        <w:t xml:space="preserve">Next, TSA divides the </w:t>
      </w:r>
      <w:r w:rsidR="00FC0D74">
        <w:rPr>
          <w:rFonts w:eastAsiaTheme="minorHAnsi" w:cstheme="minorBidi"/>
          <w:color w:val="auto"/>
          <w:szCs w:val="22"/>
        </w:rPr>
        <w:t>3</w:t>
      </w:r>
      <w:r w:rsidR="0094535F">
        <w:rPr>
          <w:rFonts w:eastAsiaTheme="minorHAnsi" w:cstheme="minorBidi"/>
          <w:color w:val="auto"/>
          <w:szCs w:val="22"/>
        </w:rPr>
        <w:t xml:space="preserve">-year total burden by three to estimate an average annual burden of 1.6 hours. </w:t>
      </w:r>
      <w:r w:rsidR="00C4348E">
        <w:rPr>
          <w:rFonts w:eastAsiaTheme="minorHAnsi" w:cstheme="minorBidi"/>
          <w:color w:val="auto"/>
          <w:szCs w:val="22"/>
        </w:rPr>
        <w:t xml:space="preserve"> </w:t>
      </w:r>
      <w:r w:rsidR="0094535F">
        <w:rPr>
          <w:rFonts w:eastAsiaTheme="minorHAnsi" w:cstheme="minorBidi"/>
          <w:color w:val="auto"/>
          <w:szCs w:val="22"/>
        </w:rPr>
        <w:t>TSA then multiplies the average annual burden by the $</w:t>
      </w:r>
      <w:r w:rsidR="00C906A2">
        <w:rPr>
          <w:rFonts w:eastAsiaTheme="minorHAnsi" w:cstheme="minorBidi"/>
          <w:color w:val="auto"/>
          <w:szCs w:val="22"/>
        </w:rPr>
        <w:t xml:space="preserve">92.34 </w:t>
      </w:r>
      <w:r w:rsidR="0094535F">
        <w:rPr>
          <w:rFonts w:eastAsiaTheme="minorHAnsi" w:cstheme="minorBidi"/>
          <w:color w:val="auto"/>
          <w:szCs w:val="22"/>
        </w:rPr>
        <w:t xml:space="preserve">compensation rate for SCs in freight rail to estimate an average annual </w:t>
      </w:r>
      <w:r w:rsidRPr="00C906A2" w:rsidR="0094535F">
        <w:rPr>
          <w:rFonts w:eastAsiaTheme="minorHAnsi" w:cstheme="minorBidi"/>
          <w:color w:val="auto"/>
          <w:szCs w:val="22"/>
        </w:rPr>
        <w:t xml:space="preserve">cost of </w:t>
      </w:r>
      <w:r w:rsidRPr="00B57037" w:rsidR="0094535F">
        <w:rPr>
          <w:rFonts w:eastAsiaTheme="minorHAnsi" w:cstheme="minorBidi"/>
          <w:color w:val="auto"/>
          <w:szCs w:val="22"/>
        </w:rPr>
        <w:t>$</w:t>
      </w:r>
      <w:r w:rsidRPr="00C906A2" w:rsidR="00C906A2">
        <w:rPr>
          <w:rFonts w:eastAsiaTheme="minorHAnsi" w:cstheme="minorBidi"/>
          <w:color w:val="auto"/>
          <w:szCs w:val="22"/>
        </w:rPr>
        <w:t>148.</w:t>
      </w:r>
    </w:p>
    <w:p w:rsidR="0094535F" w:rsidRPr="001837D9" w:rsidP="00B57037" w14:paraId="1DFEA49C" w14:textId="77777777">
      <w:pPr>
        <w:pStyle w:val="ListParagraph"/>
        <w:ind w:left="1080"/>
        <w:rPr>
          <w:rFonts w:eastAsiaTheme="minorHAnsi" w:cstheme="minorBidi"/>
          <w:color w:val="auto"/>
          <w:szCs w:val="22"/>
        </w:rPr>
      </w:pPr>
    </w:p>
    <w:p w:rsidR="00571738" w:rsidP="00571738" w14:paraId="4A13268F" w14:textId="2F088946">
      <w:pPr>
        <w:pStyle w:val="ListParagraph"/>
        <w:numPr>
          <w:ilvl w:val="0"/>
          <w:numId w:val="45"/>
        </w:numPr>
        <w:rPr>
          <w:rFonts w:eastAsiaTheme="minorHAnsi" w:cstheme="minorBidi"/>
          <w:color w:val="auto"/>
          <w:szCs w:val="22"/>
        </w:rPr>
      </w:pPr>
      <w:r>
        <w:rPr>
          <w:rFonts w:eastAsiaTheme="minorHAnsi" w:cstheme="minorBidi"/>
          <w:i/>
          <w:color w:val="auto"/>
          <w:szCs w:val="22"/>
        </w:rPr>
        <w:t xml:space="preserve">Freight Railroad Shippers and </w:t>
      </w:r>
      <w:r w:rsidR="00F34984">
        <w:rPr>
          <w:rFonts w:eastAsiaTheme="minorHAnsi" w:cstheme="minorBidi"/>
          <w:i/>
          <w:color w:val="auto"/>
          <w:szCs w:val="22"/>
        </w:rPr>
        <w:t>Receivers</w:t>
      </w:r>
      <w:r>
        <w:rPr>
          <w:rFonts w:eastAsiaTheme="minorHAnsi" w:cstheme="minorBidi"/>
          <w:i/>
          <w:color w:val="auto"/>
          <w:szCs w:val="22"/>
        </w:rPr>
        <w:t xml:space="preserve"> (FRSR): </w:t>
      </w:r>
      <w:r w:rsidR="0094535F">
        <w:rPr>
          <w:rFonts w:eastAsiaTheme="minorHAnsi" w:cstheme="minorBidi"/>
          <w:color w:val="auto"/>
          <w:szCs w:val="22"/>
        </w:rPr>
        <w:t xml:space="preserve">TSA estimates 0.7 unique respondents for SCs in the FRSR industry over the </w:t>
      </w:r>
      <w:r w:rsidR="00FC0D74">
        <w:rPr>
          <w:rFonts w:eastAsiaTheme="minorHAnsi" w:cstheme="minorBidi"/>
          <w:color w:val="auto"/>
          <w:szCs w:val="22"/>
        </w:rPr>
        <w:t>3</w:t>
      </w:r>
      <w:r w:rsidR="0094535F">
        <w:rPr>
          <w:rFonts w:eastAsiaTheme="minorHAnsi" w:cstheme="minorBidi"/>
          <w:color w:val="auto"/>
          <w:szCs w:val="22"/>
        </w:rPr>
        <w:t xml:space="preserve">-year period. </w:t>
      </w:r>
      <w:r w:rsidR="00C4348E">
        <w:rPr>
          <w:rFonts w:eastAsiaTheme="minorHAnsi" w:cstheme="minorBidi"/>
          <w:color w:val="auto"/>
          <w:szCs w:val="22"/>
        </w:rPr>
        <w:t xml:space="preserve"> </w:t>
      </w:r>
      <w:r w:rsidR="0094535F">
        <w:rPr>
          <w:rFonts w:eastAsiaTheme="minorHAnsi" w:cstheme="minorBidi"/>
          <w:color w:val="auto"/>
          <w:szCs w:val="22"/>
        </w:rPr>
        <w:t xml:space="preserve">TSA multiplies the number of SC respondents by the 4.13 hour burden per applicant to calculate a </w:t>
      </w:r>
      <w:r w:rsidR="00FC0D74">
        <w:rPr>
          <w:rFonts w:eastAsiaTheme="minorHAnsi" w:cstheme="minorBidi"/>
          <w:color w:val="auto"/>
          <w:szCs w:val="22"/>
        </w:rPr>
        <w:t>3</w:t>
      </w:r>
      <w:r w:rsidR="0094535F">
        <w:rPr>
          <w:rFonts w:eastAsiaTheme="minorHAnsi" w:cstheme="minorBidi"/>
          <w:color w:val="auto"/>
          <w:szCs w:val="22"/>
        </w:rPr>
        <w:t xml:space="preserve">-year burden of 2.7 hours. </w:t>
      </w:r>
      <w:r w:rsidR="00C4348E">
        <w:rPr>
          <w:rFonts w:eastAsiaTheme="minorHAnsi" w:cstheme="minorBidi"/>
          <w:color w:val="auto"/>
          <w:szCs w:val="22"/>
        </w:rPr>
        <w:t xml:space="preserve"> </w:t>
      </w:r>
      <w:r w:rsidR="0094535F">
        <w:rPr>
          <w:rFonts w:eastAsiaTheme="minorHAnsi" w:cstheme="minorBidi"/>
          <w:color w:val="auto"/>
          <w:szCs w:val="22"/>
        </w:rPr>
        <w:t xml:space="preserve">Next, TSA divides the </w:t>
      </w:r>
      <w:r w:rsidR="00FC0D74">
        <w:rPr>
          <w:rFonts w:eastAsiaTheme="minorHAnsi" w:cstheme="minorBidi"/>
          <w:color w:val="auto"/>
          <w:szCs w:val="22"/>
        </w:rPr>
        <w:t>3</w:t>
      </w:r>
      <w:r w:rsidR="0094535F">
        <w:rPr>
          <w:rFonts w:eastAsiaTheme="minorHAnsi" w:cstheme="minorBidi"/>
          <w:color w:val="auto"/>
          <w:szCs w:val="22"/>
        </w:rPr>
        <w:t xml:space="preserve">-year total burden by three to estimate an average annual burden of 0.9 hours. </w:t>
      </w:r>
      <w:r w:rsidR="00C4348E">
        <w:rPr>
          <w:rFonts w:eastAsiaTheme="minorHAnsi" w:cstheme="minorBidi"/>
          <w:color w:val="auto"/>
          <w:szCs w:val="22"/>
        </w:rPr>
        <w:t xml:space="preserve"> </w:t>
      </w:r>
      <w:r w:rsidR="0094535F">
        <w:rPr>
          <w:rFonts w:eastAsiaTheme="minorHAnsi" w:cstheme="minorBidi"/>
          <w:color w:val="auto"/>
          <w:szCs w:val="22"/>
        </w:rPr>
        <w:t>TSA then multiplies the average annual burden by the $</w:t>
      </w:r>
      <w:r w:rsidR="00C906A2">
        <w:rPr>
          <w:rFonts w:eastAsiaTheme="minorHAnsi" w:cstheme="minorBidi"/>
          <w:color w:val="auto"/>
          <w:szCs w:val="22"/>
        </w:rPr>
        <w:t>76.35</w:t>
      </w:r>
      <w:r w:rsidR="0094535F">
        <w:rPr>
          <w:rFonts w:eastAsiaTheme="minorHAnsi" w:cstheme="minorBidi"/>
          <w:color w:val="auto"/>
          <w:szCs w:val="22"/>
        </w:rPr>
        <w:t xml:space="preserve"> compensation rate for SCs in the FRSR industry to estimate an average annual cost </w:t>
      </w:r>
      <w:r w:rsidRPr="00C906A2" w:rsidR="0094535F">
        <w:rPr>
          <w:rFonts w:eastAsiaTheme="minorHAnsi" w:cstheme="minorBidi"/>
          <w:color w:val="auto"/>
          <w:szCs w:val="22"/>
        </w:rPr>
        <w:t xml:space="preserve">of </w:t>
      </w:r>
      <w:r w:rsidRPr="00B57037" w:rsidR="0094535F">
        <w:rPr>
          <w:rFonts w:eastAsiaTheme="minorHAnsi" w:cstheme="minorBidi"/>
          <w:color w:val="auto"/>
          <w:szCs w:val="22"/>
        </w:rPr>
        <w:t>$</w:t>
      </w:r>
      <w:r w:rsidRPr="00C906A2" w:rsidR="00C906A2">
        <w:rPr>
          <w:rFonts w:eastAsiaTheme="minorHAnsi" w:cstheme="minorBidi"/>
          <w:color w:val="auto"/>
          <w:szCs w:val="22"/>
        </w:rPr>
        <w:t>69.</w:t>
      </w:r>
    </w:p>
    <w:p w:rsidR="0094535F" w:rsidRPr="00B57037" w:rsidP="00B57037" w14:paraId="69325F26" w14:textId="77777777">
      <w:pPr>
        <w:pStyle w:val="ListParagraph"/>
        <w:ind w:left="1080"/>
        <w:rPr>
          <w:rFonts w:eastAsiaTheme="minorHAnsi" w:cstheme="minorBidi"/>
          <w:color w:val="auto"/>
          <w:szCs w:val="22"/>
        </w:rPr>
      </w:pPr>
    </w:p>
    <w:p w:rsidR="00571738" w:rsidP="00571738" w14:paraId="5BBB1E07" w14:textId="4752008A">
      <w:pPr>
        <w:pStyle w:val="ListParagraph"/>
        <w:numPr>
          <w:ilvl w:val="0"/>
          <w:numId w:val="45"/>
        </w:numPr>
        <w:rPr>
          <w:rFonts w:eastAsiaTheme="minorHAnsi" w:cstheme="minorBidi"/>
          <w:color w:val="auto"/>
          <w:szCs w:val="22"/>
        </w:rPr>
      </w:pPr>
      <w:r w:rsidRPr="001837D9">
        <w:rPr>
          <w:rFonts w:eastAsiaTheme="minorHAnsi" w:cstheme="minorBidi"/>
          <w:i/>
          <w:color w:val="auto"/>
          <w:szCs w:val="22"/>
        </w:rPr>
        <w:t xml:space="preserve">Public Transportation and </w:t>
      </w:r>
      <w:r w:rsidRPr="001837D9" w:rsidR="00F34984">
        <w:rPr>
          <w:rFonts w:eastAsiaTheme="minorHAnsi" w:cstheme="minorBidi"/>
          <w:i/>
          <w:color w:val="auto"/>
          <w:szCs w:val="22"/>
        </w:rPr>
        <w:t>Passenger</w:t>
      </w:r>
      <w:r w:rsidRPr="001837D9">
        <w:rPr>
          <w:rFonts w:eastAsiaTheme="minorHAnsi" w:cstheme="minorBidi"/>
          <w:i/>
          <w:color w:val="auto"/>
          <w:szCs w:val="22"/>
        </w:rPr>
        <w:t xml:space="preserve"> Railroad (PTPR) Owner/Operators:</w:t>
      </w:r>
      <w:r w:rsidRPr="001837D9">
        <w:rPr>
          <w:rFonts w:eastAsiaTheme="minorHAnsi" w:cstheme="minorBidi"/>
          <w:color w:val="auto"/>
          <w:szCs w:val="22"/>
        </w:rPr>
        <w:t xml:space="preserve"> </w:t>
      </w:r>
      <w:r w:rsidR="0094535F">
        <w:rPr>
          <w:rFonts w:eastAsiaTheme="minorHAnsi" w:cstheme="minorBidi"/>
          <w:color w:val="auto"/>
          <w:szCs w:val="22"/>
        </w:rPr>
        <w:t xml:space="preserve">TSA estimates 0.4 unique respondents for SCs in the PTPR industry over the </w:t>
      </w:r>
      <w:r w:rsidR="00FC0D74">
        <w:rPr>
          <w:rFonts w:eastAsiaTheme="minorHAnsi" w:cstheme="minorBidi"/>
          <w:color w:val="auto"/>
          <w:szCs w:val="22"/>
        </w:rPr>
        <w:t>3</w:t>
      </w:r>
      <w:r w:rsidR="0094535F">
        <w:rPr>
          <w:rFonts w:eastAsiaTheme="minorHAnsi" w:cstheme="minorBidi"/>
          <w:color w:val="auto"/>
          <w:szCs w:val="22"/>
        </w:rPr>
        <w:t>-year period.</w:t>
      </w:r>
      <w:r w:rsidR="00C4348E">
        <w:rPr>
          <w:rFonts w:eastAsiaTheme="minorHAnsi" w:cstheme="minorBidi"/>
          <w:color w:val="auto"/>
          <w:szCs w:val="22"/>
        </w:rPr>
        <w:t xml:space="preserve"> </w:t>
      </w:r>
      <w:r w:rsidR="0094535F">
        <w:rPr>
          <w:rFonts w:eastAsiaTheme="minorHAnsi" w:cstheme="minorBidi"/>
          <w:color w:val="auto"/>
          <w:szCs w:val="22"/>
        </w:rPr>
        <w:t xml:space="preserve"> TSA multiplies the number of SC respondents by the 4.13 hour burden per applicant to calculate a </w:t>
      </w:r>
      <w:r w:rsidR="00FC0D74">
        <w:rPr>
          <w:rFonts w:eastAsiaTheme="minorHAnsi" w:cstheme="minorBidi"/>
          <w:color w:val="auto"/>
          <w:szCs w:val="22"/>
        </w:rPr>
        <w:t>3</w:t>
      </w:r>
      <w:r w:rsidR="0094535F">
        <w:rPr>
          <w:rFonts w:eastAsiaTheme="minorHAnsi" w:cstheme="minorBidi"/>
          <w:color w:val="auto"/>
          <w:szCs w:val="22"/>
        </w:rPr>
        <w:t xml:space="preserve">-year burden of 1.5 hours. </w:t>
      </w:r>
      <w:r w:rsidR="00C4348E">
        <w:rPr>
          <w:rFonts w:eastAsiaTheme="minorHAnsi" w:cstheme="minorBidi"/>
          <w:color w:val="auto"/>
          <w:szCs w:val="22"/>
        </w:rPr>
        <w:t xml:space="preserve"> </w:t>
      </w:r>
      <w:r w:rsidR="0094535F">
        <w:rPr>
          <w:rFonts w:eastAsiaTheme="minorHAnsi" w:cstheme="minorBidi"/>
          <w:color w:val="auto"/>
          <w:szCs w:val="22"/>
        </w:rPr>
        <w:t xml:space="preserve">Next, TSA divides the </w:t>
      </w:r>
      <w:r w:rsidR="00FC0D74">
        <w:rPr>
          <w:rFonts w:eastAsiaTheme="minorHAnsi" w:cstheme="minorBidi"/>
          <w:color w:val="auto"/>
          <w:szCs w:val="22"/>
        </w:rPr>
        <w:t>3</w:t>
      </w:r>
      <w:r w:rsidR="0094535F">
        <w:rPr>
          <w:rFonts w:eastAsiaTheme="minorHAnsi" w:cstheme="minorBidi"/>
          <w:color w:val="auto"/>
          <w:szCs w:val="22"/>
        </w:rPr>
        <w:t xml:space="preserve">-year total burden by three to estimate an average annual burden of 0.5 hours. </w:t>
      </w:r>
      <w:r w:rsidR="00C4348E">
        <w:rPr>
          <w:rFonts w:eastAsiaTheme="minorHAnsi" w:cstheme="minorBidi"/>
          <w:color w:val="auto"/>
          <w:szCs w:val="22"/>
        </w:rPr>
        <w:t xml:space="preserve"> </w:t>
      </w:r>
      <w:r w:rsidR="0094535F">
        <w:rPr>
          <w:rFonts w:eastAsiaTheme="minorHAnsi" w:cstheme="minorBidi"/>
          <w:color w:val="auto"/>
          <w:szCs w:val="22"/>
        </w:rPr>
        <w:t>TSA then multiplies the average annual burden by the $</w:t>
      </w:r>
      <w:r w:rsidR="00C906A2">
        <w:rPr>
          <w:rFonts w:eastAsiaTheme="minorHAnsi" w:cstheme="minorBidi"/>
          <w:color w:val="auto"/>
          <w:szCs w:val="22"/>
        </w:rPr>
        <w:t>88.41</w:t>
      </w:r>
      <w:r w:rsidR="0094535F">
        <w:rPr>
          <w:rFonts w:eastAsiaTheme="minorHAnsi" w:cstheme="minorBidi"/>
          <w:color w:val="auto"/>
          <w:szCs w:val="22"/>
        </w:rPr>
        <w:t xml:space="preserve"> compensation rate for SCs in the PTPR industry to estimate an average annual cost </w:t>
      </w:r>
      <w:r w:rsidRPr="00C906A2" w:rsidR="0094535F">
        <w:rPr>
          <w:rFonts w:eastAsiaTheme="minorHAnsi" w:cstheme="minorBidi"/>
          <w:color w:val="auto"/>
          <w:szCs w:val="22"/>
        </w:rPr>
        <w:t xml:space="preserve">of </w:t>
      </w:r>
      <w:r w:rsidRPr="00B57037" w:rsidR="0094535F">
        <w:rPr>
          <w:rFonts w:eastAsiaTheme="minorHAnsi" w:cstheme="minorBidi"/>
          <w:color w:val="auto"/>
          <w:szCs w:val="22"/>
        </w:rPr>
        <w:t>$</w:t>
      </w:r>
      <w:r w:rsidRPr="00C906A2" w:rsidR="00C906A2">
        <w:rPr>
          <w:rFonts w:eastAsiaTheme="minorHAnsi" w:cstheme="minorBidi"/>
          <w:color w:val="auto"/>
          <w:szCs w:val="22"/>
        </w:rPr>
        <w:t>45.</w:t>
      </w:r>
    </w:p>
    <w:p w:rsidR="0094535F" w:rsidRPr="001837D9" w:rsidP="00B57037" w14:paraId="4D64D68A" w14:textId="77777777">
      <w:pPr>
        <w:pStyle w:val="ListParagraph"/>
        <w:ind w:left="1080"/>
        <w:rPr>
          <w:rFonts w:eastAsiaTheme="minorHAnsi" w:cstheme="minorBidi"/>
          <w:color w:val="auto"/>
          <w:szCs w:val="22"/>
        </w:rPr>
      </w:pPr>
    </w:p>
    <w:p w:rsidR="00571738" w:rsidRPr="00B30196" w:rsidP="00571738" w14:paraId="347BE9D4" w14:textId="329830C6">
      <w:pPr>
        <w:pStyle w:val="ListParagraph"/>
        <w:numPr>
          <w:ilvl w:val="0"/>
          <w:numId w:val="45"/>
        </w:numPr>
        <w:rPr>
          <w:rFonts w:eastAsiaTheme="minorHAnsi" w:cstheme="minorBidi"/>
          <w:color w:val="auto"/>
          <w:szCs w:val="22"/>
        </w:rPr>
      </w:pPr>
      <w:r>
        <w:rPr>
          <w:rFonts w:eastAsiaTheme="minorHAnsi" w:cstheme="minorBidi"/>
          <w:i/>
          <w:color w:val="auto"/>
          <w:szCs w:val="22"/>
        </w:rPr>
        <w:t>Over-the-Road Buses (OTRB) Owner/Operators:</w:t>
      </w:r>
      <w:r w:rsidRPr="00204AB6">
        <w:rPr>
          <w:rFonts w:eastAsiaTheme="minorHAnsi" w:cstheme="minorBidi"/>
          <w:color w:val="auto"/>
          <w:szCs w:val="22"/>
        </w:rPr>
        <w:t xml:space="preserve"> </w:t>
      </w:r>
      <w:r w:rsidR="0094535F">
        <w:rPr>
          <w:rFonts w:eastAsiaTheme="minorHAnsi" w:cstheme="minorBidi"/>
          <w:color w:val="auto"/>
          <w:szCs w:val="22"/>
        </w:rPr>
        <w:t xml:space="preserve">TSA estimates 0.5 unique respondents for SCs in the OTRB industry over the </w:t>
      </w:r>
      <w:r w:rsidR="00FC0D74">
        <w:rPr>
          <w:rFonts w:eastAsiaTheme="minorHAnsi" w:cstheme="minorBidi"/>
          <w:color w:val="auto"/>
          <w:szCs w:val="22"/>
        </w:rPr>
        <w:t>3</w:t>
      </w:r>
      <w:r w:rsidR="0094535F">
        <w:rPr>
          <w:rFonts w:eastAsiaTheme="minorHAnsi" w:cstheme="minorBidi"/>
          <w:color w:val="auto"/>
          <w:szCs w:val="22"/>
        </w:rPr>
        <w:t xml:space="preserve">-year period. </w:t>
      </w:r>
      <w:r w:rsidR="00C4348E">
        <w:rPr>
          <w:rFonts w:eastAsiaTheme="minorHAnsi" w:cstheme="minorBidi"/>
          <w:color w:val="auto"/>
          <w:szCs w:val="22"/>
        </w:rPr>
        <w:t xml:space="preserve"> </w:t>
      </w:r>
      <w:r w:rsidR="0094535F">
        <w:rPr>
          <w:rFonts w:eastAsiaTheme="minorHAnsi" w:cstheme="minorBidi"/>
          <w:color w:val="auto"/>
          <w:szCs w:val="22"/>
        </w:rPr>
        <w:t xml:space="preserve">TSA multiplies the number of SC respondents by the 4.13 hour burden per applicant to calculate a </w:t>
      </w:r>
      <w:r w:rsidR="00FC0D74">
        <w:rPr>
          <w:rFonts w:eastAsiaTheme="minorHAnsi" w:cstheme="minorBidi"/>
          <w:color w:val="auto"/>
          <w:szCs w:val="22"/>
        </w:rPr>
        <w:t>3</w:t>
      </w:r>
      <w:r w:rsidR="0094535F">
        <w:rPr>
          <w:rFonts w:eastAsiaTheme="minorHAnsi" w:cstheme="minorBidi"/>
          <w:color w:val="auto"/>
          <w:szCs w:val="22"/>
        </w:rPr>
        <w:t>-year burden of 1.9 hours.</w:t>
      </w:r>
      <w:r w:rsidR="00FC0D74">
        <w:rPr>
          <w:rFonts w:eastAsiaTheme="minorHAnsi" w:cstheme="minorBidi"/>
          <w:color w:val="auto"/>
          <w:szCs w:val="22"/>
        </w:rPr>
        <w:t xml:space="preserve"> </w:t>
      </w:r>
      <w:r w:rsidR="0094535F">
        <w:rPr>
          <w:rFonts w:eastAsiaTheme="minorHAnsi" w:cstheme="minorBidi"/>
          <w:color w:val="auto"/>
          <w:szCs w:val="22"/>
        </w:rPr>
        <w:t xml:space="preserve"> Next, TSA divides the </w:t>
      </w:r>
      <w:r w:rsidR="00FC0D74">
        <w:rPr>
          <w:rFonts w:eastAsiaTheme="minorHAnsi" w:cstheme="minorBidi"/>
          <w:color w:val="auto"/>
          <w:szCs w:val="22"/>
        </w:rPr>
        <w:t>3</w:t>
      </w:r>
      <w:r w:rsidR="0094535F">
        <w:rPr>
          <w:rFonts w:eastAsiaTheme="minorHAnsi" w:cstheme="minorBidi"/>
          <w:color w:val="auto"/>
          <w:szCs w:val="22"/>
        </w:rPr>
        <w:t xml:space="preserve">-year total burden by three to </w:t>
      </w:r>
      <w:r w:rsidRPr="00C906A2" w:rsidR="0094535F">
        <w:rPr>
          <w:rFonts w:eastAsiaTheme="minorHAnsi" w:cstheme="minorBidi"/>
          <w:color w:val="auto"/>
          <w:szCs w:val="22"/>
        </w:rPr>
        <w:t xml:space="preserve">estimate an average annual burden of 0.6 hours. </w:t>
      </w:r>
      <w:r w:rsidR="00C4348E">
        <w:rPr>
          <w:rFonts w:eastAsiaTheme="minorHAnsi" w:cstheme="minorBidi"/>
          <w:color w:val="auto"/>
          <w:szCs w:val="22"/>
        </w:rPr>
        <w:t xml:space="preserve"> </w:t>
      </w:r>
      <w:r w:rsidRPr="00C906A2" w:rsidR="0094535F">
        <w:rPr>
          <w:rFonts w:eastAsiaTheme="minorHAnsi" w:cstheme="minorBidi"/>
          <w:color w:val="auto"/>
          <w:szCs w:val="22"/>
        </w:rPr>
        <w:t>TSA then multiplies the average annual burden by the $</w:t>
      </w:r>
      <w:r w:rsidRPr="00C906A2" w:rsidR="00C906A2">
        <w:rPr>
          <w:rFonts w:eastAsiaTheme="minorHAnsi" w:cstheme="minorBidi"/>
          <w:color w:val="auto"/>
          <w:szCs w:val="22"/>
        </w:rPr>
        <w:t>69.63</w:t>
      </w:r>
      <w:r w:rsidRPr="00C906A2" w:rsidR="0094535F">
        <w:rPr>
          <w:rFonts w:eastAsiaTheme="minorHAnsi" w:cstheme="minorBidi"/>
          <w:color w:val="auto"/>
          <w:szCs w:val="22"/>
        </w:rPr>
        <w:t xml:space="preserve"> compensation rate for SCs in the OTRB industry to estimate an average annual cost of </w:t>
      </w:r>
      <w:r w:rsidRPr="00B57037" w:rsidR="0094535F">
        <w:rPr>
          <w:rFonts w:eastAsiaTheme="minorHAnsi" w:cstheme="minorBidi"/>
          <w:color w:val="auto"/>
          <w:szCs w:val="22"/>
        </w:rPr>
        <w:t>$</w:t>
      </w:r>
      <w:r w:rsidRPr="00C906A2" w:rsidR="00C906A2">
        <w:rPr>
          <w:rFonts w:eastAsiaTheme="minorHAnsi" w:cstheme="minorBidi"/>
          <w:color w:val="auto"/>
          <w:szCs w:val="22"/>
        </w:rPr>
        <w:t>45</w:t>
      </w:r>
      <w:r w:rsidR="00C906A2">
        <w:rPr>
          <w:rFonts w:eastAsiaTheme="minorHAnsi" w:cstheme="minorBidi"/>
          <w:color w:val="auto"/>
          <w:szCs w:val="22"/>
        </w:rPr>
        <w:t>.</w:t>
      </w:r>
    </w:p>
    <w:p w:rsidR="00571738" w:rsidP="00B57037" w14:paraId="28FD47F8" w14:textId="77777777">
      <w:pPr>
        <w:ind w:left="360"/>
        <w:rPr>
          <w:rFonts w:eastAsiaTheme="minorHAnsi" w:cstheme="minorBidi"/>
          <w:color w:val="auto"/>
          <w:szCs w:val="22"/>
          <w:u w:val="single"/>
        </w:rPr>
      </w:pPr>
    </w:p>
    <w:p w:rsidR="00873719" w:rsidP="00B57037" w14:paraId="0B244FE5" w14:textId="3BCF7362">
      <w:pPr>
        <w:ind w:left="360"/>
        <w:rPr>
          <w:rFonts w:eastAsiaTheme="minorHAnsi" w:cstheme="minorBidi"/>
          <w:color w:val="auto"/>
          <w:szCs w:val="22"/>
        </w:rPr>
      </w:pPr>
      <w:r>
        <w:rPr>
          <w:rFonts w:eastAsiaTheme="minorHAnsi" w:cstheme="minorBidi"/>
          <w:color w:val="auto"/>
          <w:szCs w:val="22"/>
          <w:u w:val="single"/>
        </w:rPr>
        <w:t>Recordkeeping.</w:t>
      </w:r>
      <w:r w:rsidR="00C4348E">
        <w:rPr>
          <w:rFonts w:eastAsiaTheme="minorHAnsi" w:cstheme="minorBidi"/>
          <w:color w:val="auto"/>
          <w:szCs w:val="22"/>
          <w:u w:val="single"/>
        </w:rPr>
        <w:t xml:space="preserve"> </w:t>
      </w:r>
      <w:r>
        <w:rPr>
          <w:rFonts w:eastAsiaTheme="minorHAnsi" w:cstheme="minorBidi"/>
          <w:color w:val="auto"/>
          <w:szCs w:val="22"/>
        </w:rPr>
        <w:t xml:space="preserve"> The NPRM requires that </w:t>
      </w:r>
      <w:r>
        <w:rPr>
          <w:rFonts w:eastAsiaTheme="minorHAnsi" w:cstheme="minorBidi"/>
          <w:color w:val="auto"/>
          <w:szCs w:val="22"/>
        </w:rPr>
        <w:t>recordkeeping occur whenever vetting of an employee or security coordinator is required due to the hiring of new personnel, promotions into affected positions, and staff turnover.  TSA estimates the recordkeeping time burden to be 0.08 hours per instance.</w:t>
      </w:r>
    </w:p>
    <w:p w:rsidR="00A56ED5" w:rsidP="00B57037" w14:paraId="353FCC17" w14:textId="382D1CF3">
      <w:pPr>
        <w:ind w:left="360"/>
        <w:rPr>
          <w:rFonts w:eastAsiaTheme="minorHAnsi" w:cstheme="minorBidi"/>
          <w:color w:val="auto"/>
          <w:szCs w:val="22"/>
        </w:rPr>
      </w:pPr>
    </w:p>
    <w:p w:rsidR="00571738" w:rsidP="00571738" w14:paraId="04CE9734" w14:textId="2B744B5D">
      <w:pPr>
        <w:pStyle w:val="ListParagraph"/>
        <w:numPr>
          <w:ilvl w:val="0"/>
          <w:numId w:val="46"/>
        </w:numPr>
        <w:rPr>
          <w:rFonts w:eastAsiaTheme="minorHAnsi" w:cstheme="minorBidi"/>
          <w:color w:val="auto"/>
          <w:szCs w:val="22"/>
        </w:rPr>
      </w:pPr>
      <w:r w:rsidRPr="001837D9">
        <w:rPr>
          <w:rFonts w:eastAsiaTheme="minorHAnsi" w:cstheme="minorBidi"/>
          <w:i/>
          <w:color w:val="auto"/>
          <w:szCs w:val="22"/>
        </w:rPr>
        <w:t>Freight Railroad Owner/Operators:</w:t>
      </w:r>
      <w:r w:rsidR="00C4348E">
        <w:rPr>
          <w:rFonts w:eastAsiaTheme="minorHAnsi" w:cstheme="minorBidi"/>
          <w:i/>
          <w:color w:val="auto"/>
          <w:szCs w:val="22"/>
        </w:rPr>
        <w:t xml:space="preserve"> </w:t>
      </w:r>
      <w:r w:rsidR="00E53125">
        <w:rPr>
          <w:rFonts w:eastAsiaTheme="minorHAnsi" w:cstheme="minorBidi"/>
          <w:color w:val="auto"/>
          <w:szCs w:val="22"/>
        </w:rPr>
        <w:t xml:space="preserve">TSA estimates 131,961 unique respondents for SSEs in freight rail over the </w:t>
      </w:r>
      <w:r w:rsidR="00FC0D74">
        <w:rPr>
          <w:rFonts w:eastAsiaTheme="minorHAnsi" w:cstheme="minorBidi"/>
          <w:color w:val="auto"/>
          <w:szCs w:val="22"/>
        </w:rPr>
        <w:t>3</w:t>
      </w:r>
      <w:r w:rsidR="00E53125">
        <w:rPr>
          <w:rFonts w:eastAsiaTheme="minorHAnsi" w:cstheme="minorBidi"/>
          <w:color w:val="auto"/>
          <w:szCs w:val="22"/>
        </w:rPr>
        <w:t>-year period.</w:t>
      </w:r>
      <w:r w:rsidR="00C4348E">
        <w:rPr>
          <w:rFonts w:eastAsiaTheme="minorHAnsi" w:cstheme="minorBidi"/>
          <w:color w:val="auto"/>
          <w:szCs w:val="22"/>
        </w:rPr>
        <w:t xml:space="preserve"> </w:t>
      </w:r>
      <w:r w:rsidR="00E53125">
        <w:rPr>
          <w:rFonts w:eastAsiaTheme="minorHAnsi" w:cstheme="minorBidi"/>
          <w:color w:val="auto"/>
          <w:szCs w:val="22"/>
        </w:rPr>
        <w:t xml:space="preserve"> TSA multiplies the number of SSE respondents by the 0.08 hour burden per applicant to calculate a </w:t>
      </w:r>
      <w:r w:rsidR="00FC0D74">
        <w:rPr>
          <w:rFonts w:eastAsiaTheme="minorHAnsi" w:cstheme="minorBidi"/>
          <w:color w:val="auto"/>
          <w:szCs w:val="22"/>
        </w:rPr>
        <w:t>3</w:t>
      </w:r>
      <w:r w:rsidR="00E53125">
        <w:rPr>
          <w:rFonts w:eastAsiaTheme="minorHAnsi" w:cstheme="minorBidi"/>
          <w:color w:val="auto"/>
          <w:szCs w:val="22"/>
        </w:rPr>
        <w:t xml:space="preserve">-year burden of 10,997 hours. </w:t>
      </w:r>
      <w:r w:rsidR="00C4348E">
        <w:rPr>
          <w:rFonts w:eastAsiaTheme="minorHAnsi" w:cstheme="minorBidi"/>
          <w:color w:val="auto"/>
          <w:szCs w:val="22"/>
        </w:rPr>
        <w:t xml:space="preserve"> </w:t>
      </w:r>
      <w:r w:rsidR="00E53125">
        <w:rPr>
          <w:rFonts w:eastAsiaTheme="minorHAnsi" w:cstheme="minorBidi"/>
          <w:color w:val="auto"/>
          <w:szCs w:val="22"/>
        </w:rPr>
        <w:t xml:space="preserve">Next, TSA divides the </w:t>
      </w:r>
      <w:r w:rsidR="00FC0D74">
        <w:rPr>
          <w:rFonts w:eastAsiaTheme="minorHAnsi" w:cstheme="minorBidi"/>
          <w:color w:val="auto"/>
          <w:szCs w:val="22"/>
        </w:rPr>
        <w:t>3</w:t>
      </w:r>
      <w:r w:rsidR="00E53125">
        <w:rPr>
          <w:rFonts w:eastAsiaTheme="minorHAnsi" w:cstheme="minorBidi"/>
          <w:color w:val="auto"/>
          <w:szCs w:val="22"/>
        </w:rPr>
        <w:t xml:space="preserve">-year total burden by three to estimate an average annual </w:t>
      </w:r>
      <w:r w:rsidR="00C8697C">
        <w:rPr>
          <w:rFonts w:eastAsiaTheme="minorHAnsi" w:cstheme="minorBidi"/>
          <w:color w:val="auto"/>
          <w:szCs w:val="22"/>
        </w:rPr>
        <w:t>burden</w:t>
      </w:r>
      <w:r w:rsidR="00E53125">
        <w:rPr>
          <w:rFonts w:eastAsiaTheme="minorHAnsi" w:cstheme="minorBidi"/>
          <w:color w:val="auto"/>
          <w:szCs w:val="22"/>
        </w:rPr>
        <w:t xml:space="preserve"> of 3,666 hours.</w:t>
      </w:r>
      <w:r w:rsidR="00C4348E">
        <w:rPr>
          <w:rFonts w:eastAsiaTheme="minorHAnsi" w:cstheme="minorBidi"/>
          <w:color w:val="auto"/>
          <w:szCs w:val="22"/>
        </w:rPr>
        <w:t xml:space="preserve"> </w:t>
      </w:r>
      <w:r w:rsidR="00E53125">
        <w:rPr>
          <w:rFonts w:eastAsiaTheme="minorHAnsi" w:cstheme="minorBidi"/>
          <w:color w:val="auto"/>
          <w:szCs w:val="22"/>
        </w:rPr>
        <w:t xml:space="preserve"> TSA then multiplies the average annual burden by the $</w:t>
      </w:r>
      <w:r w:rsidR="00C906A2">
        <w:rPr>
          <w:rFonts w:eastAsiaTheme="minorHAnsi" w:cstheme="minorBidi"/>
          <w:color w:val="auto"/>
          <w:szCs w:val="22"/>
        </w:rPr>
        <w:t>38.20</w:t>
      </w:r>
      <w:r w:rsidR="00E53125">
        <w:rPr>
          <w:rFonts w:eastAsiaTheme="minorHAnsi" w:cstheme="minorBidi"/>
          <w:color w:val="auto"/>
          <w:szCs w:val="22"/>
        </w:rPr>
        <w:t xml:space="preserve"> compensation rate for </w:t>
      </w:r>
      <w:r w:rsidR="00C906A2">
        <w:rPr>
          <w:rFonts w:eastAsiaTheme="minorHAnsi" w:cstheme="minorBidi"/>
          <w:color w:val="auto"/>
          <w:szCs w:val="22"/>
        </w:rPr>
        <w:t>administrative assistant</w:t>
      </w:r>
      <w:r w:rsidR="00E53125">
        <w:rPr>
          <w:rFonts w:eastAsiaTheme="minorHAnsi" w:cstheme="minorBidi"/>
          <w:color w:val="auto"/>
          <w:szCs w:val="22"/>
        </w:rPr>
        <w:t>s in freight rail to estimate an average annual cost of $</w:t>
      </w:r>
      <w:r w:rsidR="00C906A2">
        <w:rPr>
          <w:rFonts w:eastAsiaTheme="minorHAnsi" w:cstheme="minorBidi"/>
          <w:color w:val="auto"/>
          <w:szCs w:val="22"/>
        </w:rPr>
        <w:t>140,019</w:t>
      </w:r>
      <w:r w:rsidR="00E53125">
        <w:rPr>
          <w:rFonts w:eastAsiaTheme="minorHAnsi" w:cstheme="minorBidi"/>
          <w:color w:val="auto"/>
          <w:szCs w:val="22"/>
        </w:rPr>
        <w:t xml:space="preserve">. </w:t>
      </w:r>
    </w:p>
    <w:p w:rsidR="00E53125" w:rsidP="00B57037" w14:paraId="1648EBEE" w14:textId="435C337E">
      <w:pPr>
        <w:pStyle w:val="ListParagraph"/>
        <w:ind w:left="1080"/>
        <w:rPr>
          <w:rFonts w:eastAsiaTheme="minorHAnsi" w:cstheme="minorBidi"/>
          <w:i/>
          <w:color w:val="auto"/>
          <w:szCs w:val="22"/>
        </w:rPr>
      </w:pPr>
    </w:p>
    <w:p w:rsidR="00E53125" w:rsidRPr="00B84A54" w:rsidP="00B57037" w14:paraId="43304C81" w14:textId="535CBF76">
      <w:pPr>
        <w:pStyle w:val="ListParagraph"/>
        <w:ind w:left="1080"/>
        <w:rPr>
          <w:rFonts w:eastAsiaTheme="minorHAnsi" w:cstheme="minorBidi"/>
          <w:color w:val="auto"/>
          <w:szCs w:val="22"/>
        </w:rPr>
      </w:pPr>
      <w:r>
        <w:rPr>
          <w:rFonts w:eastAsiaTheme="minorHAnsi" w:cstheme="minorBidi"/>
          <w:color w:val="auto"/>
          <w:szCs w:val="22"/>
        </w:rPr>
        <w:t xml:space="preserve">Next, TSA estimates 984 unique respondents for SCs in freight rail over the </w:t>
      </w:r>
      <w:r w:rsidR="00FC0D74">
        <w:rPr>
          <w:rFonts w:eastAsiaTheme="minorHAnsi" w:cstheme="minorBidi"/>
          <w:color w:val="auto"/>
          <w:szCs w:val="22"/>
        </w:rPr>
        <w:t>3</w:t>
      </w:r>
      <w:r>
        <w:rPr>
          <w:rFonts w:eastAsiaTheme="minorHAnsi" w:cstheme="minorBidi"/>
          <w:color w:val="auto"/>
          <w:szCs w:val="22"/>
        </w:rPr>
        <w:t>-year period.</w:t>
      </w:r>
      <w:r w:rsidR="00C4348E">
        <w:rPr>
          <w:rFonts w:eastAsiaTheme="minorHAnsi" w:cstheme="minorBidi"/>
          <w:color w:val="auto"/>
          <w:szCs w:val="22"/>
        </w:rPr>
        <w:t xml:space="preserve"> </w:t>
      </w:r>
      <w:r>
        <w:rPr>
          <w:rFonts w:eastAsiaTheme="minorHAnsi" w:cstheme="minorBidi"/>
          <w:color w:val="auto"/>
          <w:szCs w:val="22"/>
        </w:rPr>
        <w:t xml:space="preserve"> TSA multiplies the number of SC respondents by the 0.08 hour burden per applicant to calculate a </w:t>
      </w:r>
      <w:r w:rsidR="00FC0D74">
        <w:rPr>
          <w:rFonts w:eastAsiaTheme="minorHAnsi" w:cstheme="minorBidi"/>
          <w:color w:val="auto"/>
          <w:szCs w:val="22"/>
        </w:rPr>
        <w:t>3</w:t>
      </w:r>
      <w:r>
        <w:rPr>
          <w:rFonts w:eastAsiaTheme="minorHAnsi" w:cstheme="minorBidi"/>
          <w:color w:val="auto"/>
          <w:szCs w:val="22"/>
        </w:rPr>
        <w:t xml:space="preserve">-year burden of 82 hours. </w:t>
      </w:r>
      <w:r w:rsidR="00C4348E">
        <w:rPr>
          <w:rFonts w:eastAsiaTheme="minorHAnsi" w:cstheme="minorBidi"/>
          <w:color w:val="auto"/>
          <w:szCs w:val="22"/>
        </w:rPr>
        <w:t xml:space="preserve"> </w:t>
      </w:r>
      <w:r>
        <w:rPr>
          <w:rFonts w:eastAsiaTheme="minorHAnsi" w:cstheme="minorBidi"/>
          <w:color w:val="auto"/>
          <w:szCs w:val="22"/>
        </w:rPr>
        <w:t xml:space="preserve">Next, TSA divides the </w:t>
      </w:r>
      <w:r w:rsidR="00FC0D74">
        <w:rPr>
          <w:rFonts w:eastAsiaTheme="minorHAnsi" w:cstheme="minorBidi"/>
          <w:color w:val="auto"/>
          <w:szCs w:val="22"/>
        </w:rPr>
        <w:t>3</w:t>
      </w:r>
      <w:r>
        <w:rPr>
          <w:rFonts w:eastAsiaTheme="minorHAnsi" w:cstheme="minorBidi"/>
          <w:color w:val="auto"/>
          <w:szCs w:val="22"/>
        </w:rPr>
        <w:t xml:space="preserve">-year total burden by three to estimate an </w:t>
      </w:r>
      <w:r w:rsidR="00C8697C">
        <w:rPr>
          <w:rFonts w:eastAsiaTheme="minorHAnsi" w:cstheme="minorBidi"/>
          <w:color w:val="auto"/>
          <w:szCs w:val="22"/>
        </w:rPr>
        <w:t>average annual burden of 27 hours. TSA then multiplies the average annual burden by the $</w:t>
      </w:r>
      <w:r w:rsidR="00C906A2">
        <w:rPr>
          <w:rFonts w:eastAsiaTheme="minorHAnsi" w:cstheme="minorBidi"/>
          <w:color w:val="auto"/>
          <w:szCs w:val="22"/>
        </w:rPr>
        <w:t>38.20</w:t>
      </w:r>
      <w:r w:rsidR="00C8697C">
        <w:rPr>
          <w:rFonts w:eastAsiaTheme="minorHAnsi" w:cstheme="minorBidi"/>
          <w:color w:val="auto"/>
          <w:szCs w:val="22"/>
        </w:rPr>
        <w:t xml:space="preserve"> compensation rate for </w:t>
      </w:r>
      <w:r w:rsidR="00C906A2">
        <w:rPr>
          <w:rFonts w:eastAsiaTheme="minorHAnsi" w:cstheme="minorBidi"/>
          <w:color w:val="auto"/>
          <w:szCs w:val="22"/>
        </w:rPr>
        <w:t xml:space="preserve">administrative assistants </w:t>
      </w:r>
      <w:r w:rsidR="00C8697C">
        <w:rPr>
          <w:rFonts w:eastAsiaTheme="minorHAnsi" w:cstheme="minorBidi"/>
          <w:color w:val="auto"/>
          <w:szCs w:val="22"/>
        </w:rPr>
        <w:t>in freight rail to estimate an average annual cost of $</w:t>
      </w:r>
      <w:r w:rsidR="00C906A2">
        <w:rPr>
          <w:rFonts w:eastAsiaTheme="minorHAnsi" w:cstheme="minorBidi"/>
          <w:color w:val="auto"/>
          <w:szCs w:val="22"/>
        </w:rPr>
        <w:t>1,044</w:t>
      </w:r>
      <w:r w:rsidR="00C8697C">
        <w:rPr>
          <w:rFonts w:eastAsiaTheme="minorHAnsi" w:cstheme="minorBidi"/>
          <w:color w:val="auto"/>
          <w:szCs w:val="22"/>
        </w:rPr>
        <w:t>.</w:t>
      </w:r>
    </w:p>
    <w:p w:rsidR="00E53125" w:rsidRPr="001837D9" w:rsidP="00B57037" w14:paraId="1D35680B" w14:textId="77777777">
      <w:pPr>
        <w:pStyle w:val="ListParagraph"/>
        <w:ind w:left="1080"/>
        <w:rPr>
          <w:rFonts w:eastAsiaTheme="minorHAnsi" w:cstheme="minorBidi"/>
          <w:color w:val="auto"/>
          <w:szCs w:val="22"/>
        </w:rPr>
      </w:pPr>
    </w:p>
    <w:p w:rsidR="00C8697C" w:rsidRPr="00B84A54" w14:paraId="6AFAF52B" w14:textId="17F4D3BB">
      <w:pPr>
        <w:pStyle w:val="ListParagraph"/>
        <w:numPr>
          <w:ilvl w:val="0"/>
          <w:numId w:val="46"/>
        </w:numPr>
        <w:rPr>
          <w:rFonts w:eastAsiaTheme="minorHAnsi" w:cstheme="minorBidi"/>
          <w:color w:val="auto"/>
          <w:szCs w:val="22"/>
        </w:rPr>
      </w:pPr>
      <w:r w:rsidRPr="00B84A54">
        <w:rPr>
          <w:rFonts w:eastAsiaTheme="minorHAnsi" w:cstheme="minorBidi"/>
          <w:i/>
          <w:color w:val="auto"/>
          <w:szCs w:val="22"/>
        </w:rPr>
        <w:t xml:space="preserve">Freight Railroad Shippers and </w:t>
      </w:r>
      <w:r w:rsidRPr="00B84A54" w:rsidR="00F34984">
        <w:rPr>
          <w:rFonts w:eastAsiaTheme="minorHAnsi" w:cstheme="minorBidi"/>
          <w:i/>
          <w:color w:val="auto"/>
          <w:szCs w:val="22"/>
        </w:rPr>
        <w:t>Receivers</w:t>
      </w:r>
      <w:r w:rsidRPr="00B84A54">
        <w:rPr>
          <w:rFonts w:eastAsiaTheme="minorHAnsi" w:cstheme="minorBidi"/>
          <w:i/>
          <w:color w:val="auto"/>
          <w:szCs w:val="22"/>
        </w:rPr>
        <w:t xml:space="preserve"> (FRSR): </w:t>
      </w:r>
      <w:r w:rsidRPr="00B84A54">
        <w:rPr>
          <w:rFonts w:eastAsiaTheme="minorHAnsi" w:cstheme="minorBidi"/>
          <w:color w:val="auto"/>
          <w:szCs w:val="22"/>
        </w:rPr>
        <w:t xml:space="preserve">TSA estimates 581 unique respondents for SCs in the FRSR industry over the </w:t>
      </w:r>
      <w:r w:rsidR="00FC0D74">
        <w:rPr>
          <w:rFonts w:eastAsiaTheme="minorHAnsi" w:cstheme="minorBidi"/>
          <w:color w:val="auto"/>
          <w:szCs w:val="22"/>
        </w:rPr>
        <w:t>3</w:t>
      </w:r>
      <w:r w:rsidRPr="00B84A54">
        <w:rPr>
          <w:rFonts w:eastAsiaTheme="minorHAnsi" w:cstheme="minorBidi"/>
          <w:color w:val="auto"/>
          <w:szCs w:val="22"/>
        </w:rPr>
        <w:t>-year period.</w:t>
      </w:r>
      <w:r w:rsidR="00C4348E">
        <w:rPr>
          <w:rFonts w:eastAsiaTheme="minorHAnsi" w:cstheme="minorBidi"/>
          <w:color w:val="auto"/>
          <w:szCs w:val="22"/>
        </w:rPr>
        <w:t xml:space="preserve"> </w:t>
      </w:r>
      <w:r w:rsidRPr="00B84A54">
        <w:rPr>
          <w:rFonts w:eastAsiaTheme="minorHAnsi" w:cstheme="minorBidi"/>
          <w:color w:val="auto"/>
          <w:szCs w:val="22"/>
        </w:rPr>
        <w:t xml:space="preserve"> TSA multiplies the number of SC respondents by the 0.08 hour burden per applicant to calculate a </w:t>
      </w:r>
      <w:r w:rsidR="00FC0D74">
        <w:rPr>
          <w:rFonts w:eastAsiaTheme="minorHAnsi" w:cstheme="minorBidi"/>
          <w:color w:val="auto"/>
          <w:szCs w:val="22"/>
        </w:rPr>
        <w:t>3</w:t>
      </w:r>
      <w:r w:rsidRPr="00B84A54">
        <w:rPr>
          <w:rFonts w:eastAsiaTheme="minorHAnsi" w:cstheme="minorBidi"/>
          <w:color w:val="auto"/>
          <w:szCs w:val="22"/>
        </w:rPr>
        <w:t>-year burden of 48 hours.</w:t>
      </w:r>
      <w:r w:rsidR="00C4348E">
        <w:rPr>
          <w:rFonts w:eastAsiaTheme="minorHAnsi" w:cstheme="minorBidi"/>
          <w:color w:val="auto"/>
          <w:szCs w:val="22"/>
        </w:rPr>
        <w:t xml:space="preserve"> </w:t>
      </w:r>
      <w:r w:rsidRPr="00B84A54">
        <w:rPr>
          <w:rFonts w:eastAsiaTheme="minorHAnsi" w:cstheme="minorBidi"/>
          <w:color w:val="auto"/>
          <w:szCs w:val="22"/>
        </w:rPr>
        <w:t xml:space="preserve"> Next, TSA divides the </w:t>
      </w:r>
      <w:r w:rsidR="00FC0D74">
        <w:rPr>
          <w:rFonts w:eastAsiaTheme="minorHAnsi" w:cstheme="minorBidi"/>
          <w:color w:val="auto"/>
          <w:szCs w:val="22"/>
        </w:rPr>
        <w:t>3</w:t>
      </w:r>
      <w:r w:rsidRPr="00B84A54">
        <w:rPr>
          <w:rFonts w:eastAsiaTheme="minorHAnsi" w:cstheme="minorBidi"/>
          <w:color w:val="auto"/>
          <w:szCs w:val="22"/>
        </w:rPr>
        <w:t xml:space="preserve">-year total burden by three to estimate an average annual burden of 16 hours. </w:t>
      </w:r>
      <w:r w:rsidR="00C4348E">
        <w:rPr>
          <w:rFonts w:eastAsiaTheme="minorHAnsi" w:cstheme="minorBidi"/>
          <w:color w:val="auto"/>
          <w:szCs w:val="22"/>
        </w:rPr>
        <w:t xml:space="preserve"> </w:t>
      </w:r>
      <w:r w:rsidRPr="00B84A54">
        <w:rPr>
          <w:rFonts w:eastAsiaTheme="minorHAnsi" w:cstheme="minorBidi"/>
          <w:color w:val="auto"/>
          <w:szCs w:val="22"/>
        </w:rPr>
        <w:t xml:space="preserve">TSA then multiplies the average annual burden by the </w:t>
      </w:r>
      <w:r w:rsidRPr="00C906A2">
        <w:rPr>
          <w:rFonts w:eastAsiaTheme="minorHAnsi" w:cstheme="minorBidi"/>
          <w:color w:val="auto"/>
          <w:szCs w:val="22"/>
        </w:rPr>
        <w:t>$</w:t>
      </w:r>
      <w:r w:rsidRPr="00C906A2" w:rsidR="00C906A2">
        <w:rPr>
          <w:rFonts w:eastAsiaTheme="minorHAnsi" w:cstheme="minorBidi"/>
          <w:color w:val="auto"/>
          <w:szCs w:val="22"/>
        </w:rPr>
        <w:t>30.42</w:t>
      </w:r>
      <w:r w:rsidRPr="00C906A2">
        <w:rPr>
          <w:rFonts w:eastAsiaTheme="minorHAnsi" w:cstheme="minorBidi"/>
          <w:color w:val="auto"/>
          <w:szCs w:val="22"/>
        </w:rPr>
        <w:t xml:space="preserve"> compensation rate for </w:t>
      </w:r>
      <w:r w:rsidRPr="00C906A2" w:rsidR="00C906A2">
        <w:rPr>
          <w:rFonts w:eastAsiaTheme="minorHAnsi" w:cstheme="minorBidi"/>
          <w:color w:val="auto"/>
          <w:szCs w:val="22"/>
        </w:rPr>
        <w:t xml:space="preserve">administrative assistants </w:t>
      </w:r>
      <w:r w:rsidRPr="00C906A2">
        <w:rPr>
          <w:rFonts w:eastAsiaTheme="minorHAnsi" w:cstheme="minorBidi"/>
          <w:color w:val="auto"/>
          <w:szCs w:val="22"/>
        </w:rPr>
        <w:t>in the FRSR industry to estimate an average annual cost of $</w:t>
      </w:r>
      <w:r w:rsidRPr="00B57037" w:rsidR="00C906A2">
        <w:rPr>
          <w:rFonts w:eastAsiaTheme="minorHAnsi" w:cstheme="minorBidi"/>
          <w:color w:val="auto"/>
          <w:szCs w:val="22"/>
        </w:rPr>
        <w:t>491</w:t>
      </w:r>
      <w:r w:rsidRPr="00C906A2">
        <w:rPr>
          <w:rFonts w:eastAsiaTheme="minorHAnsi" w:cstheme="minorBidi"/>
          <w:color w:val="auto"/>
          <w:szCs w:val="22"/>
        </w:rPr>
        <w:t>.</w:t>
      </w:r>
    </w:p>
    <w:p w:rsidR="00C8697C" w:rsidRPr="001837D9" w:rsidP="00B57037" w14:paraId="5D951A93" w14:textId="77777777">
      <w:pPr>
        <w:pStyle w:val="ListParagraph"/>
        <w:ind w:left="1080"/>
        <w:rPr>
          <w:rFonts w:eastAsiaTheme="minorHAnsi" w:cstheme="minorBidi"/>
          <w:color w:val="auto"/>
          <w:szCs w:val="22"/>
        </w:rPr>
      </w:pPr>
    </w:p>
    <w:p w:rsidR="00B84A54" w:rsidRPr="00C906A2" w14:paraId="46B72AD7" w14:textId="28A35A44">
      <w:pPr>
        <w:pStyle w:val="ListParagraph"/>
        <w:numPr>
          <w:ilvl w:val="0"/>
          <w:numId w:val="46"/>
        </w:numPr>
        <w:rPr>
          <w:rFonts w:eastAsiaTheme="minorHAnsi" w:cstheme="minorBidi"/>
          <w:color w:val="auto"/>
          <w:szCs w:val="22"/>
        </w:rPr>
      </w:pPr>
      <w:r w:rsidRPr="001837D9">
        <w:rPr>
          <w:rFonts w:eastAsiaTheme="minorHAnsi" w:cstheme="minorBidi"/>
          <w:i/>
          <w:color w:val="auto"/>
          <w:szCs w:val="22"/>
        </w:rPr>
        <w:t xml:space="preserve">Public Transportation and </w:t>
      </w:r>
      <w:r w:rsidRPr="001837D9" w:rsidR="00F34984">
        <w:rPr>
          <w:rFonts w:eastAsiaTheme="minorHAnsi" w:cstheme="minorBidi"/>
          <w:i/>
          <w:color w:val="auto"/>
          <w:szCs w:val="22"/>
        </w:rPr>
        <w:t>Passenger</w:t>
      </w:r>
      <w:r w:rsidRPr="001837D9">
        <w:rPr>
          <w:rFonts w:eastAsiaTheme="minorHAnsi" w:cstheme="minorBidi"/>
          <w:i/>
          <w:color w:val="auto"/>
          <w:szCs w:val="22"/>
        </w:rPr>
        <w:t xml:space="preserve"> Railroad (PTPR) Owner/Operators:</w:t>
      </w:r>
      <w:r w:rsidR="00C4348E">
        <w:rPr>
          <w:rFonts w:eastAsiaTheme="minorHAnsi" w:cstheme="minorBidi"/>
          <w:i/>
          <w:color w:val="auto"/>
          <w:szCs w:val="22"/>
        </w:rPr>
        <w:t xml:space="preserve"> </w:t>
      </w:r>
      <w:r w:rsidR="00C8697C">
        <w:rPr>
          <w:rFonts w:eastAsiaTheme="minorHAnsi" w:cstheme="minorBidi"/>
          <w:color w:val="auto"/>
          <w:szCs w:val="22"/>
        </w:rPr>
        <w:t xml:space="preserve">TSA estimates 220,987 unique respondents for SSEs in the PTPR industry </w:t>
      </w:r>
      <w:r>
        <w:rPr>
          <w:rFonts w:eastAsiaTheme="minorHAnsi" w:cstheme="minorBidi"/>
          <w:color w:val="auto"/>
          <w:szCs w:val="22"/>
        </w:rPr>
        <w:t xml:space="preserve">over the </w:t>
      </w:r>
      <w:r w:rsidR="00FC0D74">
        <w:rPr>
          <w:rFonts w:eastAsiaTheme="minorHAnsi" w:cstheme="minorBidi"/>
          <w:color w:val="auto"/>
          <w:szCs w:val="22"/>
        </w:rPr>
        <w:t>3</w:t>
      </w:r>
      <w:r>
        <w:rPr>
          <w:rFonts w:eastAsiaTheme="minorHAnsi" w:cstheme="minorBidi"/>
          <w:color w:val="auto"/>
          <w:szCs w:val="22"/>
        </w:rPr>
        <w:t>-year period.</w:t>
      </w:r>
      <w:r w:rsidR="00C4348E">
        <w:rPr>
          <w:rFonts w:eastAsiaTheme="minorHAnsi" w:cstheme="minorBidi"/>
          <w:color w:val="auto"/>
          <w:szCs w:val="22"/>
        </w:rPr>
        <w:t xml:space="preserve"> </w:t>
      </w:r>
      <w:r>
        <w:rPr>
          <w:rFonts w:eastAsiaTheme="minorHAnsi" w:cstheme="minorBidi"/>
          <w:color w:val="auto"/>
          <w:szCs w:val="22"/>
        </w:rPr>
        <w:t xml:space="preserve"> TSA </w:t>
      </w:r>
      <w:r w:rsidR="00F34984">
        <w:rPr>
          <w:rFonts w:eastAsiaTheme="minorHAnsi" w:cstheme="minorBidi"/>
          <w:color w:val="auto"/>
          <w:szCs w:val="22"/>
        </w:rPr>
        <w:t>multiples</w:t>
      </w:r>
      <w:r>
        <w:rPr>
          <w:rFonts w:eastAsiaTheme="minorHAnsi" w:cstheme="minorBidi"/>
          <w:color w:val="auto"/>
          <w:szCs w:val="22"/>
        </w:rPr>
        <w:t xml:space="preserve"> the number of SSE respondents by the 0.08 hour burden per applicant to calculate a </w:t>
      </w:r>
      <w:r w:rsidR="00FC0D74">
        <w:rPr>
          <w:rFonts w:eastAsiaTheme="minorHAnsi" w:cstheme="minorBidi"/>
          <w:color w:val="auto"/>
          <w:szCs w:val="22"/>
        </w:rPr>
        <w:t>3</w:t>
      </w:r>
      <w:r>
        <w:rPr>
          <w:rFonts w:eastAsiaTheme="minorHAnsi" w:cstheme="minorBidi"/>
          <w:color w:val="auto"/>
          <w:szCs w:val="22"/>
        </w:rPr>
        <w:t xml:space="preserve">-year </w:t>
      </w:r>
      <w:r w:rsidR="00F34984">
        <w:rPr>
          <w:rFonts w:eastAsiaTheme="minorHAnsi" w:cstheme="minorBidi"/>
          <w:color w:val="auto"/>
          <w:szCs w:val="22"/>
        </w:rPr>
        <w:t>burden</w:t>
      </w:r>
      <w:r>
        <w:rPr>
          <w:rFonts w:eastAsiaTheme="minorHAnsi" w:cstheme="minorBidi"/>
          <w:color w:val="auto"/>
          <w:szCs w:val="22"/>
        </w:rPr>
        <w:t xml:space="preserve"> of 18,416 hours.</w:t>
      </w:r>
      <w:r w:rsidR="00C4348E">
        <w:rPr>
          <w:rFonts w:eastAsiaTheme="minorHAnsi" w:cstheme="minorBidi"/>
          <w:color w:val="auto"/>
          <w:szCs w:val="22"/>
        </w:rPr>
        <w:t xml:space="preserve"> </w:t>
      </w:r>
      <w:r>
        <w:rPr>
          <w:rFonts w:eastAsiaTheme="minorHAnsi" w:cstheme="minorBidi"/>
          <w:color w:val="auto"/>
          <w:szCs w:val="22"/>
        </w:rPr>
        <w:t xml:space="preserve"> Next, TSA divides the </w:t>
      </w:r>
      <w:r w:rsidR="00FC0D74">
        <w:rPr>
          <w:rFonts w:eastAsiaTheme="minorHAnsi" w:cstheme="minorBidi"/>
          <w:color w:val="auto"/>
          <w:szCs w:val="22"/>
        </w:rPr>
        <w:t>3</w:t>
      </w:r>
      <w:r>
        <w:rPr>
          <w:rFonts w:eastAsiaTheme="minorHAnsi" w:cstheme="minorBidi"/>
          <w:color w:val="auto"/>
          <w:szCs w:val="22"/>
        </w:rPr>
        <w:t xml:space="preserve">-year total burden by three to estimate an average annual burden of 6,139 hours. </w:t>
      </w:r>
      <w:r w:rsidR="00FC0D74">
        <w:rPr>
          <w:rFonts w:eastAsiaTheme="minorHAnsi" w:cstheme="minorBidi"/>
          <w:color w:val="auto"/>
          <w:szCs w:val="22"/>
        </w:rPr>
        <w:t xml:space="preserve"> </w:t>
      </w:r>
      <w:r>
        <w:rPr>
          <w:rFonts w:eastAsiaTheme="minorHAnsi" w:cstheme="minorBidi"/>
          <w:color w:val="auto"/>
          <w:szCs w:val="22"/>
        </w:rPr>
        <w:t xml:space="preserve">TSA then multiplies the average annual burden </w:t>
      </w:r>
      <w:r w:rsidRPr="00C906A2">
        <w:rPr>
          <w:rFonts w:eastAsiaTheme="minorHAnsi" w:cstheme="minorBidi"/>
          <w:color w:val="auto"/>
          <w:szCs w:val="22"/>
        </w:rPr>
        <w:t>by the $</w:t>
      </w:r>
      <w:r w:rsidRPr="00C906A2" w:rsidR="00C906A2">
        <w:rPr>
          <w:rFonts w:eastAsiaTheme="minorHAnsi" w:cstheme="minorBidi"/>
          <w:color w:val="auto"/>
          <w:szCs w:val="22"/>
        </w:rPr>
        <w:t>38.96</w:t>
      </w:r>
      <w:r w:rsidRPr="00C906A2">
        <w:rPr>
          <w:rFonts w:eastAsiaTheme="minorHAnsi" w:cstheme="minorBidi"/>
          <w:color w:val="auto"/>
          <w:szCs w:val="22"/>
        </w:rPr>
        <w:t xml:space="preserve"> compensation rate for </w:t>
      </w:r>
      <w:r w:rsidRPr="00C906A2" w:rsidR="00C906A2">
        <w:rPr>
          <w:rFonts w:eastAsiaTheme="minorHAnsi" w:cstheme="minorBidi"/>
          <w:color w:val="auto"/>
          <w:szCs w:val="22"/>
        </w:rPr>
        <w:t xml:space="preserve">administrative assistants </w:t>
      </w:r>
      <w:r w:rsidRPr="00C906A2">
        <w:rPr>
          <w:rFonts w:eastAsiaTheme="minorHAnsi" w:cstheme="minorBidi"/>
          <w:color w:val="auto"/>
          <w:szCs w:val="22"/>
        </w:rPr>
        <w:t>in the PTPR industry to estimate an average annual cost of $</w:t>
      </w:r>
      <w:r w:rsidRPr="00C906A2" w:rsidR="00C906A2">
        <w:rPr>
          <w:rFonts w:eastAsiaTheme="minorHAnsi" w:cstheme="minorBidi"/>
          <w:color w:val="auto"/>
          <w:szCs w:val="22"/>
        </w:rPr>
        <w:t>239,184</w:t>
      </w:r>
      <w:r w:rsidRPr="00C906A2">
        <w:rPr>
          <w:rFonts w:eastAsiaTheme="minorHAnsi" w:cstheme="minorBidi"/>
          <w:color w:val="auto"/>
          <w:szCs w:val="22"/>
        </w:rPr>
        <w:t>.</w:t>
      </w:r>
    </w:p>
    <w:p w:rsidR="00B84A54" w:rsidP="00B57037" w14:paraId="6DE6A482" w14:textId="21BB1803">
      <w:pPr>
        <w:pStyle w:val="ListParagraph"/>
        <w:ind w:left="1080"/>
        <w:rPr>
          <w:rFonts w:eastAsiaTheme="minorHAnsi" w:cstheme="minorBidi"/>
          <w:i/>
          <w:color w:val="auto"/>
          <w:szCs w:val="22"/>
        </w:rPr>
      </w:pPr>
    </w:p>
    <w:p w:rsidR="00B84A54" w:rsidRPr="00B57037" w:rsidP="00B57037" w14:paraId="2194F86B" w14:textId="607E0D88">
      <w:pPr>
        <w:pStyle w:val="ListParagraph"/>
        <w:ind w:left="1080"/>
        <w:rPr>
          <w:rFonts w:eastAsiaTheme="minorHAnsi" w:cstheme="minorBidi"/>
          <w:color w:val="auto"/>
          <w:szCs w:val="22"/>
        </w:rPr>
      </w:pPr>
      <w:r>
        <w:rPr>
          <w:rFonts w:eastAsiaTheme="minorHAnsi" w:cstheme="minorBidi"/>
          <w:color w:val="auto"/>
          <w:szCs w:val="22"/>
        </w:rPr>
        <w:t xml:space="preserve">Next, TSA estimates 292 unique responses for SCs in the PTPR industry over the </w:t>
      </w:r>
      <w:r w:rsidR="00FC0D74">
        <w:rPr>
          <w:rFonts w:eastAsiaTheme="minorHAnsi" w:cstheme="minorBidi"/>
          <w:color w:val="auto"/>
          <w:szCs w:val="22"/>
        </w:rPr>
        <w:t>3</w:t>
      </w:r>
      <w:r>
        <w:rPr>
          <w:rFonts w:eastAsiaTheme="minorHAnsi" w:cstheme="minorBidi"/>
          <w:color w:val="auto"/>
          <w:szCs w:val="22"/>
        </w:rPr>
        <w:t>-year period.</w:t>
      </w:r>
      <w:r w:rsidR="00C4348E">
        <w:rPr>
          <w:rFonts w:eastAsiaTheme="minorHAnsi" w:cstheme="minorBidi"/>
          <w:color w:val="auto"/>
          <w:szCs w:val="22"/>
        </w:rPr>
        <w:t xml:space="preserve"> </w:t>
      </w:r>
      <w:r>
        <w:rPr>
          <w:rFonts w:eastAsiaTheme="minorHAnsi" w:cstheme="minorBidi"/>
          <w:color w:val="auto"/>
          <w:szCs w:val="22"/>
        </w:rPr>
        <w:t xml:space="preserve"> TSA multiplies the number of SC respondents by the 0.08 hour burden per applicant to calculate a </w:t>
      </w:r>
      <w:r w:rsidR="00FC0D74">
        <w:rPr>
          <w:rFonts w:eastAsiaTheme="minorHAnsi" w:cstheme="minorBidi"/>
          <w:color w:val="auto"/>
          <w:szCs w:val="22"/>
        </w:rPr>
        <w:t>3</w:t>
      </w:r>
      <w:r>
        <w:rPr>
          <w:rFonts w:eastAsiaTheme="minorHAnsi" w:cstheme="minorBidi"/>
          <w:color w:val="auto"/>
          <w:szCs w:val="22"/>
        </w:rPr>
        <w:t>-year burden of 24 hours.</w:t>
      </w:r>
      <w:r w:rsidR="00C4348E">
        <w:rPr>
          <w:rFonts w:eastAsiaTheme="minorHAnsi" w:cstheme="minorBidi"/>
          <w:color w:val="auto"/>
          <w:szCs w:val="22"/>
        </w:rPr>
        <w:t xml:space="preserve"> </w:t>
      </w:r>
      <w:r>
        <w:rPr>
          <w:rFonts w:eastAsiaTheme="minorHAnsi" w:cstheme="minorBidi"/>
          <w:color w:val="auto"/>
          <w:szCs w:val="22"/>
        </w:rPr>
        <w:t xml:space="preserve"> Next, TSA divides the </w:t>
      </w:r>
      <w:r w:rsidR="00FC0D74">
        <w:rPr>
          <w:rFonts w:eastAsiaTheme="minorHAnsi" w:cstheme="minorBidi"/>
          <w:color w:val="auto"/>
          <w:szCs w:val="22"/>
        </w:rPr>
        <w:t>3</w:t>
      </w:r>
      <w:r>
        <w:rPr>
          <w:rFonts w:eastAsiaTheme="minorHAnsi" w:cstheme="minorBidi"/>
          <w:color w:val="auto"/>
          <w:szCs w:val="22"/>
        </w:rPr>
        <w:t>-year total burden by three to estimate an average annual burden of 8 hours.</w:t>
      </w:r>
      <w:r w:rsidR="00FC0D74">
        <w:rPr>
          <w:rFonts w:eastAsiaTheme="minorHAnsi" w:cstheme="minorBidi"/>
          <w:color w:val="auto"/>
          <w:szCs w:val="22"/>
        </w:rPr>
        <w:t xml:space="preserve"> </w:t>
      </w:r>
      <w:r>
        <w:rPr>
          <w:rFonts w:eastAsiaTheme="minorHAnsi" w:cstheme="minorBidi"/>
          <w:color w:val="auto"/>
          <w:szCs w:val="22"/>
        </w:rPr>
        <w:t xml:space="preserve"> TSA then multiplies the average an</w:t>
      </w:r>
      <w:r w:rsidRPr="00C906A2">
        <w:rPr>
          <w:rFonts w:eastAsiaTheme="minorHAnsi" w:cstheme="minorBidi"/>
          <w:color w:val="auto"/>
          <w:szCs w:val="22"/>
        </w:rPr>
        <w:t>nual burden by the $</w:t>
      </w:r>
      <w:r w:rsidRPr="00C906A2" w:rsidR="00C906A2">
        <w:rPr>
          <w:rFonts w:eastAsiaTheme="minorHAnsi" w:cstheme="minorBidi"/>
          <w:color w:val="auto"/>
          <w:szCs w:val="22"/>
        </w:rPr>
        <w:t>38.96</w:t>
      </w:r>
      <w:r w:rsidRPr="00C906A2">
        <w:rPr>
          <w:rFonts w:eastAsiaTheme="minorHAnsi" w:cstheme="minorBidi"/>
          <w:color w:val="auto"/>
          <w:szCs w:val="22"/>
        </w:rPr>
        <w:t xml:space="preserve"> compensation rate for </w:t>
      </w:r>
      <w:r w:rsidRPr="00C906A2" w:rsidR="00C906A2">
        <w:rPr>
          <w:rFonts w:eastAsiaTheme="minorHAnsi" w:cstheme="minorBidi"/>
          <w:color w:val="auto"/>
          <w:szCs w:val="22"/>
        </w:rPr>
        <w:t xml:space="preserve">administrative assistants </w:t>
      </w:r>
      <w:r w:rsidRPr="00C906A2">
        <w:rPr>
          <w:rFonts w:eastAsiaTheme="minorHAnsi" w:cstheme="minorBidi"/>
          <w:color w:val="auto"/>
          <w:szCs w:val="22"/>
        </w:rPr>
        <w:t>in the PTPR industry to estimate an average annual cost of $</w:t>
      </w:r>
      <w:r w:rsidRPr="00C906A2" w:rsidR="00C906A2">
        <w:rPr>
          <w:rFonts w:eastAsiaTheme="minorHAnsi" w:cstheme="minorBidi"/>
          <w:color w:val="auto"/>
          <w:szCs w:val="22"/>
        </w:rPr>
        <w:t>316</w:t>
      </w:r>
      <w:r w:rsidRPr="00C906A2">
        <w:rPr>
          <w:rFonts w:eastAsiaTheme="minorHAnsi" w:cstheme="minorBidi"/>
          <w:color w:val="auto"/>
          <w:szCs w:val="22"/>
        </w:rPr>
        <w:t>.</w:t>
      </w:r>
    </w:p>
    <w:p w:rsidR="00C8697C" w:rsidRPr="001837D9" w:rsidP="00B57037" w14:paraId="73F7EB9E" w14:textId="77777777">
      <w:pPr>
        <w:pStyle w:val="ListParagraph"/>
        <w:ind w:left="1080"/>
        <w:rPr>
          <w:rFonts w:eastAsiaTheme="minorHAnsi" w:cstheme="minorBidi"/>
          <w:color w:val="auto"/>
          <w:szCs w:val="22"/>
        </w:rPr>
      </w:pPr>
    </w:p>
    <w:p w:rsidR="00571738" w:rsidRPr="00B30196" w:rsidP="00571738" w14:paraId="56C37610" w14:textId="2B7FF2CA">
      <w:pPr>
        <w:pStyle w:val="ListParagraph"/>
        <w:numPr>
          <w:ilvl w:val="0"/>
          <w:numId w:val="46"/>
        </w:numPr>
        <w:rPr>
          <w:rFonts w:eastAsiaTheme="minorHAnsi" w:cstheme="minorBidi"/>
          <w:color w:val="auto"/>
          <w:szCs w:val="22"/>
        </w:rPr>
      </w:pPr>
      <w:r>
        <w:rPr>
          <w:rFonts w:eastAsiaTheme="minorHAnsi" w:cstheme="minorBidi"/>
          <w:i/>
          <w:color w:val="auto"/>
          <w:szCs w:val="22"/>
        </w:rPr>
        <w:t>Over-the-Road Buses (OTRB) Owner/Operators:</w:t>
      </w:r>
      <w:r w:rsidRPr="00204AB6">
        <w:rPr>
          <w:rFonts w:eastAsiaTheme="minorHAnsi" w:cstheme="minorBidi"/>
          <w:color w:val="auto"/>
          <w:szCs w:val="22"/>
        </w:rPr>
        <w:t xml:space="preserve"> </w:t>
      </w:r>
      <w:r w:rsidR="0095480E">
        <w:rPr>
          <w:rFonts w:eastAsiaTheme="minorHAnsi" w:cstheme="minorBidi"/>
          <w:color w:val="auto"/>
          <w:szCs w:val="22"/>
        </w:rPr>
        <w:t xml:space="preserve">TSA estimates 564 unique responses for SCs in the OTRB industry over the </w:t>
      </w:r>
      <w:r w:rsidR="00FC0D74">
        <w:rPr>
          <w:rFonts w:eastAsiaTheme="minorHAnsi" w:cstheme="minorBidi"/>
          <w:color w:val="auto"/>
          <w:szCs w:val="22"/>
        </w:rPr>
        <w:t>3</w:t>
      </w:r>
      <w:r w:rsidR="0095480E">
        <w:rPr>
          <w:rFonts w:eastAsiaTheme="minorHAnsi" w:cstheme="minorBidi"/>
          <w:color w:val="auto"/>
          <w:szCs w:val="22"/>
        </w:rPr>
        <w:t>-year period.</w:t>
      </w:r>
      <w:r w:rsidR="00C4348E">
        <w:rPr>
          <w:rFonts w:eastAsiaTheme="minorHAnsi" w:cstheme="minorBidi"/>
          <w:color w:val="auto"/>
          <w:szCs w:val="22"/>
        </w:rPr>
        <w:t xml:space="preserve"> </w:t>
      </w:r>
      <w:r w:rsidR="0095480E">
        <w:rPr>
          <w:rFonts w:eastAsiaTheme="minorHAnsi" w:cstheme="minorBidi"/>
          <w:color w:val="auto"/>
          <w:szCs w:val="22"/>
        </w:rPr>
        <w:t xml:space="preserve"> TSA multiplies the number of SC respondents by the 0.08 hour burden per applicant to calculate a </w:t>
      </w:r>
      <w:r w:rsidR="00FC0D74">
        <w:rPr>
          <w:rFonts w:eastAsiaTheme="minorHAnsi" w:cstheme="minorBidi"/>
          <w:color w:val="auto"/>
          <w:szCs w:val="22"/>
        </w:rPr>
        <w:t>3</w:t>
      </w:r>
      <w:r w:rsidR="0095480E">
        <w:rPr>
          <w:rFonts w:eastAsiaTheme="minorHAnsi" w:cstheme="minorBidi"/>
          <w:color w:val="auto"/>
          <w:szCs w:val="22"/>
        </w:rPr>
        <w:t>-year burden of 47 hours.</w:t>
      </w:r>
      <w:r w:rsidR="00C4348E">
        <w:rPr>
          <w:rFonts w:eastAsiaTheme="minorHAnsi" w:cstheme="minorBidi"/>
          <w:color w:val="auto"/>
          <w:szCs w:val="22"/>
        </w:rPr>
        <w:t xml:space="preserve"> </w:t>
      </w:r>
      <w:r w:rsidR="0095480E">
        <w:rPr>
          <w:rFonts w:eastAsiaTheme="minorHAnsi" w:cstheme="minorBidi"/>
          <w:color w:val="auto"/>
          <w:szCs w:val="22"/>
        </w:rPr>
        <w:t xml:space="preserve"> Next, TSA divides the </w:t>
      </w:r>
      <w:r w:rsidR="00FC0D74">
        <w:rPr>
          <w:rFonts w:eastAsiaTheme="minorHAnsi" w:cstheme="minorBidi"/>
          <w:color w:val="auto"/>
          <w:szCs w:val="22"/>
        </w:rPr>
        <w:t>3</w:t>
      </w:r>
      <w:r w:rsidR="0095480E">
        <w:rPr>
          <w:rFonts w:eastAsiaTheme="minorHAnsi" w:cstheme="minorBidi"/>
          <w:color w:val="auto"/>
          <w:szCs w:val="22"/>
        </w:rPr>
        <w:t>-year total burden by three to estimate an average annual burden of 16 hours.</w:t>
      </w:r>
      <w:r w:rsidR="00C4348E">
        <w:rPr>
          <w:rFonts w:eastAsiaTheme="minorHAnsi" w:cstheme="minorBidi"/>
          <w:color w:val="auto"/>
          <w:szCs w:val="22"/>
        </w:rPr>
        <w:t xml:space="preserve"> </w:t>
      </w:r>
      <w:r w:rsidR="0095480E">
        <w:rPr>
          <w:rFonts w:eastAsiaTheme="minorHAnsi" w:cstheme="minorBidi"/>
          <w:color w:val="auto"/>
          <w:szCs w:val="22"/>
        </w:rPr>
        <w:t xml:space="preserve"> TSA then multiplies the average annual burden by the </w:t>
      </w:r>
      <w:r w:rsidRPr="00C906A2" w:rsidR="0095480E">
        <w:rPr>
          <w:rFonts w:eastAsiaTheme="minorHAnsi" w:cstheme="minorBidi"/>
          <w:color w:val="auto"/>
          <w:szCs w:val="22"/>
        </w:rPr>
        <w:t>$</w:t>
      </w:r>
      <w:r w:rsidRPr="00C906A2" w:rsidR="00C906A2">
        <w:rPr>
          <w:rFonts w:eastAsiaTheme="minorHAnsi" w:cstheme="minorBidi"/>
          <w:color w:val="auto"/>
          <w:szCs w:val="22"/>
        </w:rPr>
        <w:t>27.87</w:t>
      </w:r>
      <w:r w:rsidRPr="00C906A2" w:rsidR="0095480E">
        <w:rPr>
          <w:rFonts w:eastAsiaTheme="minorHAnsi" w:cstheme="minorBidi"/>
          <w:color w:val="auto"/>
          <w:szCs w:val="22"/>
        </w:rPr>
        <w:t xml:space="preserve"> compensation for </w:t>
      </w:r>
      <w:r w:rsidRPr="00C906A2" w:rsidR="00C906A2">
        <w:rPr>
          <w:rFonts w:eastAsiaTheme="minorHAnsi" w:cstheme="minorBidi"/>
          <w:color w:val="auto"/>
          <w:szCs w:val="22"/>
        </w:rPr>
        <w:t xml:space="preserve">administrative assistants </w:t>
      </w:r>
      <w:r w:rsidRPr="00C906A2" w:rsidR="0095480E">
        <w:rPr>
          <w:rFonts w:eastAsiaTheme="minorHAnsi" w:cstheme="minorBidi"/>
          <w:color w:val="auto"/>
          <w:szCs w:val="22"/>
        </w:rPr>
        <w:t>in the OTRB industry to estimate an average annual cost of $</w:t>
      </w:r>
      <w:r w:rsidRPr="00C906A2" w:rsidR="00C906A2">
        <w:rPr>
          <w:rFonts w:eastAsiaTheme="minorHAnsi" w:cstheme="minorBidi"/>
          <w:color w:val="auto"/>
          <w:szCs w:val="22"/>
        </w:rPr>
        <w:t>437.</w:t>
      </w:r>
    </w:p>
    <w:p w:rsidR="00265142" w:rsidRPr="00B57037" w:rsidP="00B57037" w14:paraId="4C712622" w14:textId="32AB6D24">
      <w:pPr>
        <w:rPr>
          <w:rFonts w:eastAsiaTheme="minorHAnsi" w:cstheme="minorBidi"/>
          <w:color w:val="auto"/>
          <w:szCs w:val="22"/>
          <w:highlight w:val="yellow"/>
        </w:rPr>
      </w:pPr>
    </w:p>
    <w:p w:rsidR="00D8698E" w:rsidP="00B57037" w14:paraId="7586DC1C" w14:textId="449169AF">
      <w:pPr>
        <w:ind w:left="360"/>
        <w:rPr>
          <w:rFonts w:eastAsiaTheme="minorHAnsi" w:cstheme="minorBidi"/>
          <w:color w:val="auto"/>
          <w:szCs w:val="22"/>
        </w:rPr>
      </w:pPr>
      <w:r w:rsidRPr="00B57037">
        <w:rPr>
          <w:rFonts w:eastAsiaTheme="minorHAnsi" w:cstheme="minorBidi"/>
          <w:color w:val="auto"/>
          <w:szCs w:val="22"/>
          <w:u w:val="single"/>
        </w:rPr>
        <w:t>Contact Information Updates.</w:t>
      </w:r>
      <w:r>
        <w:rPr>
          <w:rFonts w:eastAsiaTheme="minorHAnsi" w:cstheme="minorBidi"/>
          <w:color w:val="auto"/>
          <w:szCs w:val="22"/>
        </w:rPr>
        <w:t xml:space="preserve"> </w:t>
      </w:r>
      <w:r w:rsidR="00C4348E">
        <w:rPr>
          <w:rFonts w:eastAsiaTheme="minorHAnsi" w:cstheme="minorBidi"/>
          <w:color w:val="auto"/>
          <w:szCs w:val="22"/>
        </w:rPr>
        <w:t xml:space="preserve"> </w:t>
      </w:r>
      <w:r w:rsidRPr="00664F5A" w:rsidR="00664F5A">
        <w:rPr>
          <w:rFonts w:eastAsiaTheme="minorHAnsi" w:cstheme="minorBidi"/>
          <w:color w:val="auto"/>
          <w:szCs w:val="22"/>
        </w:rPr>
        <w:t xml:space="preserve">Respondents would undergo contact information updates to report any changes to their legal name, current address (mailing address and residential, if different), and daytime phone number to TSA. </w:t>
      </w:r>
      <w:r w:rsidR="00C4348E">
        <w:rPr>
          <w:rFonts w:eastAsiaTheme="minorHAnsi" w:cstheme="minorBidi"/>
          <w:color w:val="auto"/>
          <w:szCs w:val="22"/>
        </w:rPr>
        <w:t xml:space="preserve"> </w:t>
      </w:r>
      <w:r w:rsidRPr="00664F5A">
        <w:rPr>
          <w:rFonts w:eastAsiaTheme="minorHAnsi" w:cstheme="minorBidi"/>
          <w:color w:val="auto"/>
          <w:szCs w:val="22"/>
        </w:rPr>
        <w:t xml:space="preserve">TSA estimates the </w:t>
      </w:r>
      <w:r w:rsidR="00F34984">
        <w:rPr>
          <w:rFonts w:eastAsiaTheme="minorHAnsi" w:cstheme="minorBidi"/>
          <w:color w:val="auto"/>
          <w:szCs w:val="22"/>
        </w:rPr>
        <w:t>contact</w:t>
      </w:r>
      <w:r w:rsidR="00BD626B">
        <w:rPr>
          <w:rFonts w:eastAsiaTheme="minorHAnsi" w:cstheme="minorBidi"/>
          <w:color w:val="auto"/>
          <w:szCs w:val="22"/>
        </w:rPr>
        <w:t xml:space="preserve"> information update to be 0.09 per instance.</w:t>
      </w:r>
    </w:p>
    <w:p w:rsidR="00571738" w:rsidP="00B57037" w14:paraId="1FB7D584" w14:textId="525E6B6B">
      <w:pPr>
        <w:ind w:left="360"/>
        <w:rPr>
          <w:rFonts w:eastAsiaTheme="minorHAnsi" w:cstheme="minorBidi"/>
          <w:color w:val="auto"/>
          <w:szCs w:val="22"/>
        </w:rPr>
      </w:pPr>
    </w:p>
    <w:p w:rsidR="00AC477F" w:rsidP="00571738" w14:paraId="2770C719" w14:textId="355A23A1">
      <w:pPr>
        <w:pStyle w:val="ListParagraph"/>
        <w:numPr>
          <w:ilvl w:val="0"/>
          <w:numId w:val="47"/>
        </w:numPr>
        <w:rPr>
          <w:rFonts w:eastAsiaTheme="minorHAnsi" w:cstheme="minorBidi"/>
          <w:color w:val="auto"/>
          <w:szCs w:val="22"/>
        </w:rPr>
      </w:pPr>
      <w:r w:rsidRPr="001837D9">
        <w:rPr>
          <w:rFonts w:eastAsiaTheme="minorHAnsi" w:cstheme="minorBidi"/>
          <w:i/>
          <w:color w:val="auto"/>
          <w:szCs w:val="22"/>
        </w:rPr>
        <w:t xml:space="preserve">Freight Railroad Owner/Operators: </w:t>
      </w:r>
      <w:r>
        <w:rPr>
          <w:rFonts w:eastAsiaTheme="minorHAnsi" w:cstheme="minorBidi"/>
          <w:color w:val="auto"/>
          <w:szCs w:val="22"/>
        </w:rPr>
        <w:t>TSA estimates 36,700 unique respondents for SSEs in freight rail over</w:t>
      </w:r>
      <w:r w:rsidR="00B560F3">
        <w:rPr>
          <w:rFonts w:eastAsiaTheme="minorHAnsi" w:cstheme="minorBidi"/>
          <w:color w:val="auto"/>
          <w:szCs w:val="22"/>
        </w:rPr>
        <w:t xml:space="preserve"> the</w:t>
      </w:r>
      <w:r>
        <w:rPr>
          <w:rFonts w:eastAsiaTheme="minorHAnsi" w:cstheme="minorBidi"/>
          <w:color w:val="auto"/>
          <w:szCs w:val="22"/>
        </w:rPr>
        <w:t xml:space="preserve"> </w:t>
      </w:r>
      <w:r w:rsidR="00FC0D74">
        <w:rPr>
          <w:rFonts w:eastAsiaTheme="minorHAnsi" w:cstheme="minorBidi"/>
          <w:color w:val="auto"/>
          <w:szCs w:val="22"/>
        </w:rPr>
        <w:t>3</w:t>
      </w:r>
      <w:r>
        <w:rPr>
          <w:rFonts w:eastAsiaTheme="minorHAnsi" w:cstheme="minorBidi"/>
          <w:color w:val="auto"/>
          <w:szCs w:val="22"/>
        </w:rPr>
        <w:t>-year period.</w:t>
      </w:r>
      <w:r w:rsidR="006705F5">
        <w:rPr>
          <w:rFonts w:eastAsiaTheme="minorHAnsi" w:cstheme="minorBidi"/>
          <w:color w:val="auto"/>
          <w:szCs w:val="22"/>
        </w:rPr>
        <w:t xml:space="preserve"> </w:t>
      </w:r>
      <w:r>
        <w:rPr>
          <w:rFonts w:eastAsiaTheme="minorHAnsi" w:cstheme="minorBidi"/>
          <w:color w:val="auto"/>
          <w:szCs w:val="22"/>
        </w:rPr>
        <w:t xml:space="preserve"> TSA multiplies the number of SSE respondents by the 0.09 hour burden per applicant to calculate a </w:t>
      </w:r>
      <w:r w:rsidR="00FC0D74">
        <w:rPr>
          <w:rFonts w:eastAsiaTheme="minorHAnsi" w:cstheme="minorBidi"/>
          <w:color w:val="auto"/>
          <w:szCs w:val="22"/>
        </w:rPr>
        <w:t>3</w:t>
      </w:r>
      <w:r>
        <w:rPr>
          <w:rFonts w:eastAsiaTheme="minorHAnsi" w:cstheme="minorBidi"/>
          <w:color w:val="auto"/>
          <w:szCs w:val="22"/>
        </w:rPr>
        <w:t>-year burden of 3,303 hours.</w:t>
      </w:r>
      <w:r w:rsidR="006705F5">
        <w:rPr>
          <w:rFonts w:eastAsiaTheme="minorHAnsi" w:cstheme="minorBidi"/>
          <w:color w:val="auto"/>
          <w:szCs w:val="22"/>
        </w:rPr>
        <w:t xml:space="preserve"> </w:t>
      </w:r>
      <w:r>
        <w:rPr>
          <w:rFonts w:eastAsiaTheme="minorHAnsi" w:cstheme="minorBidi"/>
          <w:color w:val="auto"/>
          <w:szCs w:val="22"/>
        </w:rPr>
        <w:t xml:space="preserve"> Next, TSA divides the </w:t>
      </w:r>
      <w:r w:rsidR="00FC0D74">
        <w:rPr>
          <w:rFonts w:eastAsiaTheme="minorHAnsi" w:cstheme="minorBidi"/>
          <w:color w:val="auto"/>
          <w:szCs w:val="22"/>
        </w:rPr>
        <w:t>3</w:t>
      </w:r>
      <w:r>
        <w:rPr>
          <w:rFonts w:eastAsiaTheme="minorHAnsi" w:cstheme="minorBidi"/>
          <w:color w:val="auto"/>
          <w:szCs w:val="22"/>
        </w:rPr>
        <w:t>-year total burden by three to estimate an average annual burden of 1,101 hours.</w:t>
      </w:r>
      <w:r w:rsidR="006705F5">
        <w:rPr>
          <w:rFonts w:eastAsiaTheme="minorHAnsi" w:cstheme="minorBidi"/>
          <w:color w:val="auto"/>
          <w:szCs w:val="22"/>
        </w:rPr>
        <w:t xml:space="preserve"> </w:t>
      </w:r>
      <w:r>
        <w:rPr>
          <w:rFonts w:eastAsiaTheme="minorHAnsi" w:cstheme="minorBidi"/>
          <w:color w:val="auto"/>
          <w:szCs w:val="22"/>
        </w:rPr>
        <w:t xml:space="preserve"> TSA then multiplies the average annual burden by </w:t>
      </w:r>
      <w:r w:rsidRPr="003C5D54">
        <w:rPr>
          <w:rFonts w:eastAsiaTheme="minorHAnsi" w:cstheme="minorBidi"/>
          <w:color w:val="auto"/>
          <w:szCs w:val="22"/>
        </w:rPr>
        <w:t>the $</w:t>
      </w:r>
      <w:r w:rsidRPr="003C5D54" w:rsidR="009856DA">
        <w:rPr>
          <w:rFonts w:eastAsiaTheme="minorHAnsi" w:cstheme="minorBidi"/>
          <w:color w:val="auto"/>
          <w:szCs w:val="22"/>
        </w:rPr>
        <w:t>49.14</w:t>
      </w:r>
      <w:r w:rsidRPr="003C5D54">
        <w:rPr>
          <w:rFonts w:eastAsiaTheme="minorHAnsi" w:cstheme="minorBidi"/>
          <w:color w:val="auto"/>
          <w:szCs w:val="22"/>
        </w:rPr>
        <w:t xml:space="preserve"> compensation rate for SSEs in freight rail to estimate an average annual cost of $</w:t>
      </w:r>
      <w:r w:rsidRPr="00B57037" w:rsidR="009856DA">
        <w:rPr>
          <w:rFonts w:eastAsiaTheme="minorHAnsi" w:cstheme="minorBidi"/>
          <w:color w:val="auto"/>
          <w:szCs w:val="22"/>
        </w:rPr>
        <w:t>54,103</w:t>
      </w:r>
      <w:r w:rsidRPr="003C5D54">
        <w:rPr>
          <w:rFonts w:eastAsiaTheme="minorHAnsi" w:cstheme="minorBidi"/>
          <w:color w:val="auto"/>
          <w:szCs w:val="22"/>
        </w:rPr>
        <w:t>.</w:t>
      </w:r>
    </w:p>
    <w:p w:rsidR="00571738" w:rsidP="00B57037" w14:paraId="2263FC6C" w14:textId="7CA2F9C7">
      <w:pPr>
        <w:pStyle w:val="ListParagraph"/>
        <w:ind w:left="1080"/>
        <w:rPr>
          <w:rFonts w:eastAsiaTheme="minorHAnsi" w:cstheme="minorBidi"/>
          <w:color w:val="auto"/>
          <w:szCs w:val="22"/>
        </w:rPr>
      </w:pPr>
    </w:p>
    <w:p w:rsidR="00AC477F" w:rsidP="00B57037" w14:paraId="0A66FEE9" w14:textId="38B769DE">
      <w:pPr>
        <w:pStyle w:val="ListParagraph"/>
        <w:ind w:left="1080"/>
        <w:rPr>
          <w:rFonts w:eastAsiaTheme="minorHAnsi" w:cstheme="minorBidi"/>
          <w:color w:val="auto"/>
          <w:szCs w:val="22"/>
        </w:rPr>
      </w:pPr>
      <w:r>
        <w:rPr>
          <w:rFonts w:eastAsiaTheme="minorHAnsi" w:cstheme="minorBidi"/>
          <w:color w:val="auto"/>
          <w:szCs w:val="22"/>
        </w:rPr>
        <w:t xml:space="preserve">Next, TSA estimates </w:t>
      </w:r>
      <w:r w:rsidR="00B560F3">
        <w:rPr>
          <w:rFonts w:eastAsiaTheme="minorHAnsi" w:cstheme="minorBidi"/>
          <w:color w:val="auto"/>
          <w:szCs w:val="22"/>
        </w:rPr>
        <w:t xml:space="preserve">275 unique respondents for SCs in freight rail over the </w:t>
      </w:r>
      <w:r w:rsidR="00FC0D74">
        <w:rPr>
          <w:rFonts w:eastAsiaTheme="minorHAnsi" w:cstheme="minorBidi"/>
          <w:color w:val="auto"/>
          <w:szCs w:val="22"/>
        </w:rPr>
        <w:t>3</w:t>
      </w:r>
      <w:r w:rsidR="00B560F3">
        <w:rPr>
          <w:rFonts w:eastAsiaTheme="minorHAnsi" w:cstheme="minorBidi"/>
          <w:color w:val="auto"/>
          <w:szCs w:val="22"/>
        </w:rPr>
        <w:t>-year period.</w:t>
      </w:r>
      <w:r w:rsidR="006D3B28">
        <w:rPr>
          <w:rFonts w:eastAsiaTheme="minorHAnsi" w:cstheme="minorBidi"/>
          <w:color w:val="auto"/>
          <w:szCs w:val="22"/>
        </w:rPr>
        <w:t xml:space="preserve"> </w:t>
      </w:r>
      <w:r w:rsidR="006705F5">
        <w:rPr>
          <w:rFonts w:eastAsiaTheme="minorHAnsi" w:cstheme="minorBidi"/>
          <w:color w:val="auto"/>
          <w:szCs w:val="22"/>
        </w:rPr>
        <w:t xml:space="preserve"> </w:t>
      </w:r>
      <w:r w:rsidR="006D3B28">
        <w:rPr>
          <w:rFonts w:eastAsiaTheme="minorHAnsi" w:cstheme="minorBidi"/>
          <w:color w:val="auto"/>
          <w:szCs w:val="22"/>
        </w:rPr>
        <w:t xml:space="preserve">TSA multiplies the number of SC respondents by the 0.09 hour burden per applicant to calculate a </w:t>
      </w:r>
      <w:r w:rsidR="00FC0D74">
        <w:rPr>
          <w:rFonts w:eastAsiaTheme="minorHAnsi" w:cstheme="minorBidi"/>
          <w:color w:val="auto"/>
          <w:szCs w:val="22"/>
        </w:rPr>
        <w:t>3</w:t>
      </w:r>
      <w:r w:rsidR="006D3B28">
        <w:rPr>
          <w:rFonts w:eastAsiaTheme="minorHAnsi" w:cstheme="minorBidi"/>
          <w:color w:val="auto"/>
          <w:szCs w:val="22"/>
        </w:rPr>
        <w:t xml:space="preserve">-year burden of 25 hours. </w:t>
      </w:r>
      <w:r w:rsidR="006705F5">
        <w:rPr>
          <w:rFonts w:eastAsiaTheme="minorHAnsi" w:cstheme="minorBidi"/>
          <w:color w:val="auto"/>
          <w:szCs w:val="22"/>
        </w:rPr>
        <w:t xml:space="preserve"> </w:t>
      </w:r>
      <w:r w:rsidR="006D3B28">
        <w:rPr>
          <w:rFonts w:eastAsiaTheme="minorHAnsi" w:cstheme="minorBidi"/>
          <w:color w:val="auto"/>
          <w:szCs w:val="22"/>
        </w:rPr>
        <w:t xml:space="preserve">Next, TSA divides the </w:t>
      </w:r>
      <w:r w:rsidR="00FC0D74">
        <w:rPr>
          <w:rFonts w:eastAsiaTheme="minorHAnsi" w:cstheme="minorBidi"/>
          <w:color w:val="auto"/>
          <w:szCs w:val="22"/>
        </w:rPr>
        <w:t>3</w:t>
      </w:r>
      <w:r w:rsidR="006D3B28">
        <w:rPr>
          <w:rFonts w:eastAsiaTheme="minorHAnsi" w:cstheme="minorBidi"/>
          <w:color w:val="auto"/>
          <w:szCs w:val="22"/>
        </w:rPr>
        <w:t>-year total burden by three to estimate an average annual burden of 8 hours.</w:t>
      </w:r>
      <w:r w:rsidR="006705F5">
        <w:rPr>
          <w:rFonts w:eastAsiaTheme="minorHAnsi" w:cstheme="minorBidi"/>
          <w:color w:val="auto"/>
          <w:szCs w:val="22"/>
        </w:rPr>
        <w:t xml:space="preserve"> </w:t>
      </w:r>
      <w:r w:rsidR="006D3B28">
        <w:rPr>
          <w:rFonts w:eastAsiaTheme="minorHAnsi" w:cstheme="minorBidi"/>
          <w:color w:val="auto"/>
          <w:szCs w:val="22"/>
        </w:rPr>
        <w:t xml:space="preserve"> TSA then multiplies the average annual burden by the </w:t>
      </w:r>
      <w:r w:rsidRPr="003C5D54" w:rsidR="006D3B28">
        <w:rPr>
          <w:rFonts w:eastAsiaTheme="minorHAnsi" w:cstheme="minorBidi"/>
          <w:color w:val="auto"/>
          <w:szCs w:val="22"/>
        </w:rPr>
        <w:t>$</w:t>
      </w:r>
      <w:r w:rsidRPr="003C5D54" w:rsidR="009856DA">
        <w:rPr>
          <w:rFonts w:eastAsiaTheme="minorHAnsi" w:cstheme="minorBidi"/>
          <w:color w:val="auto"/>
          <w:szCs w:val="22"/>
        </w:rPr>
        <w:t>92.34</w:t>
      </w:r>
      <w:r w:rsidRPr="003C5D54" w:rsidR="006D3B28">
        <w:rPr>
          <w:rFonts w:eastAsiaTheme="minorHAnsi" w:cstheme="minorBidi"/>
          <w:color w:val="auto"/>
          <w:szCs w:val="22"/>
        </w:rPr>
        <w:t xml:space="preserve"> compensation rate for SCs in the freight rail to estimate an average annual cost of $</w:t>
      </w:r>
      <w:r w:rsidRPr="003C5D54" w:rsidR="009856DA">
        <w:rPr>
          <w:rFonts w:eastAsiaTheme="minorHAnsi" w:cstheme="minorBidi"/>
          <w:color w:val="auto"/>
          <w:szCs w:val="22"/>
        </w:rPr>
        <w:t>761</w:t>
      </w:r>
      <w:r w:rsidRPr="003C5D54" w:rsidR="006D3B28">
        <w:rPr>
          <w:rFonts w:eastAsiaTheme="minorHAnsi" w:cstheme="minorBidi"/>
          <w:color w:val="auto"/>
          <w:szCs w:val="22"/>
        </w:rPr>
        <w:t>.</w:t>
      </w:r>
    </w:p>
    <w:p w:rsidR="00AC477F" w:rsidRPr="001837D9" w:rsidP="00B57037" w14:paraId="55A5E39C" w14:textId="77777777">
      <w:pPr>
        <w:pStyle w:val="ListParagraph"/>
        <w:ind w:left="1080"/>
        <w:rPr>
          <w:rFonts w:eastAsiaTheme="minorHAnsi" w:cstheme="minorBidi"/>
          <w:color w:val="auto"/>
          <w:szCs w:val="22"/>
        </w:rPr>
      </w:pPr>
    </w:p>
    <w:p w:rsidR="00571738" w:rsidP="00571738" w14:paraId="70D7718E" w14:textId="3CCF212E">
      <w:pPr>
        <w:pStyle w:val="ListParagraph"/>
        <w:numPr>
          <w:ilvl w:val="0"/>
          <w:numId w:val="47"/>
        </w:numPr>
        <w:rPr>
          <w:rFonts w:eastAsiaTheme="minorHAnsi" w:cstheme="minorBidi"/>
          <w:color w:val="auto"/>
          <w:szCs w:val="22"/>
        </w:rPr>
      </w:pPr>
      <w:r>
        <w:rPr>
          <w:rFonts w:eastAsiaTheme="minorHAnsi" w:cstheme="minorBidi"/>
          <w:i/>
          <w:color w:val="auto"/>
          <w:szCs w:val="22"/>
        </w:rPr>
        <w:t xml:space="preserve">Freight Railroad Shippers and </w:t>
      </w:r>
      <w:r w:rsidR="00F34984">
        <w:rPr>
          <w:rFonts w:eastAsiaTheme="minorHAnsi" w:cstheme="minorBidi"/>
          <w:i/>
          <w:color w:val="auto"/>
          <w:szCs w:val="22"/>
        </w:rPr>
        <w:t>Receivers</w:t>
      </w:r>
      <w:r>
        <w:rPr>
          <w:rFonts w:eastAsiaTheme="minorHAnsi" w:cstheme="minorBidi"/>
          <w:i/>
          <w:color w:val="auto"/>
          <w:szCs w:val="22"/>
        </w:rPr>
        <w:t xml:space="preserve"> (FRSR): </w:t>
      </w:r>
      <w:r w:rsidR="00F73EA9">
        <w:rPr>
          <w:rFonts w:eastAsiaTheme="minorHAnsi" w:cstheme="minorBidi"/>
          <w:color w:val="auto"/>
          <w:szCs w:val="22"/>
        </w:rPr>
        <w:t>TSA estimates 153 unique respondents</w:t>
      </w:r>
      <w:r w:rsidR="00614C23">
        <w:rPr>
          <w:rFonts w:eastAsiaTheme="minorHAnsi" w:cstheme="minorBidi"/>
          <w:color w:val="auto"/>
          <w:szCs w:val="22"/>
        </w:rPr>
        <w:t xml:space="preserve"> for SCs in the FRSR industry</w:t>
      </w:r>
      <w:r w:rsidR="00F73EA9">
        <w:rPr>
          <w:rFonts w:eastAsiaTheme="minorHAnsi" w:cstheme="minorBidi"/>
          <w:color w:val="auto"/>
          <w:szCs w:val="22"/>
        </w:rPr>
        <w:t xml:space="preserve"> over the </w:t>
      </w:r>
      <w:r w:rsidR="00FC0D74">
        <w:rPr>
          <w:rFonts w:eastAsiaTheme="minorHAnsi" w:cstheme="minorBidi"/>
          <w:color w:val="auto"/>
          <w:szCs w:val="22"/>
        </w:rPr>
        <w:t>3</w:t>
      </w:r>
      <w:r w:rsidR="00F73EA9">
        <w:rPr>
          <w:rFonts w:eastAsiaTheme="minorHAnsi" w:cstheme="minorBidi"/>
          <w:color w:val="auto"/>
          <w:szCs w:val="22"/>
        </w:rPr>
        <w:t xml:space="preserve">-year period. </w:t>
      </w:r>
      <w:r w:rsidR="006705F5">
        <w:rPr>
          <w:rFonts w:eastAsiaTheme="minorHAnsi" w:cstheme="minorBidi"/>
          <w:color w:val="auto"/>
          <w:szCs w:val="22"/>
        </w:rPr>
        <w:t xml:space="preserve"> </w:t>
      </w:r>
      <w:r w:rsidR="006F696B">
        <w:rPr>
          <w:rFonts w:eastAsiaTheme="minorHAnsi" w:cstheme="minorBidi"/>
          <w:color w:val="auto"/>
          <w:szCs w:val="22"/>
        </w:rPr>
        <w:t xml:space="preserve">TSA multiplies the number of </w:t>
      </w:r>
      <w:r w:rsidR="00614C23">
        <w:rPr>
          <w:rFonts w:eastAsiaTheme="minorHAnsi" w:cstheme="minorBidi"/>
          <w:color w:val="auto"/>
          <w:szCs w:val="22"/>
        </w:rPr>
        <w:t>SC</w:t>
      </w:r>
      <w:r w:rsidR="006F696B">
        <w:rPr>
          <w:rFonts w:eastAsiaTheme="minorHAnsi" w:cstheme="minorBidi"/>
          <w:color w:val="auto"/>
          <w:szCs w:val="22"/>
        </w:rPr>
        <w:t xml:space="preserve"> respondents by the 0.09</w:t>
      </w:r>
      <w:r w:rsidR="00614C23">
        <w:rPr>
          <w:rFonts w:eastAsiaTheme="minorHAnsi" w:cstheme="minorBidi"/>
          <w:color w:val="auto"/>
          <w:szCs w:val="22"/>
        </w:rPr>
        <w:t xml:space="preserve"> hour burden per applicant to calculate a </w:t>
      </w:r>
      <w:r w:rsidR="00FC0D74">
        <w:rPr>
          <w:rFonts w:eastAsiaTheme="minorHAnsi" w:cstheme="minorBidi"/>
          <w:color w:val="auto"/>
          <w:szCs w:val="22"/>
        </w:rPr>
        <w:t>3</w:t>
      </w:r>
      <w:r w:rsidR="00614C23">
        <w:rPr>
          <w:rFonts w:eastAsiaTheme="minorHAnsi" w:cstheme="minorBidi"/>
          <w:color w:val="auto"/>
          <w:szCs w:val="22"/>
        </w:rPr>
        <w:t>-year burden of 14 hours.</w:t>
      </w:r>
      <w:r w:rsidR="006705F5">
        <w:rPr>
          <w:rFonts w:eastAsiaTheme="minorHAnsi" w:cstheme="minorBidi"/>
          <w:color w:val="auto"/>
          <w:szCs w:val="22"/>
        </w:rPr>
        <w:t xml:space="preserve"> </w:t>
      </w:r>
      <w:r w:rsidR="00614C23">
        <w:rPr>
          <w:rFonts w:eastAsiaTheme="minorHAnsi" w:cstheme="minorBidi"/>
          <w:color w:val="auto"/>
          <w:szCs w:val="22"/>
        </w:rPr>
        <w:t xml:space="preserve"> Next, TSA divides the </w:t>
      </w:r>
      <w:r w:rsidR="00FC0D74">
        <w:rPr>
          <w:rFonts w:eastAsiaTheme="minorHAnsi" w:cstheme="minorBidi"/>
          <w:color w:val="auto"/>
          <w:szCs w:val="22"/>
        </w:rPr>
        <w:t>3</w:t>
      </w:r>
      <w:r w:rsidR="00614C23">
        <w:rPr>
          <w:rFonts w:eastAsiaTheme="minorHAnsi" w:cstheme="minorBidi"/>
          <w:color w:val="auto"/>
          <w:szCs w:val="22"/>
        </w:rPr>
        <w:t xml:space="preserve">-year total burden by three to estimate an average annual burden of 5 hours. </w:t>
      </w:r>
      <w:r w:rsidR="006705F5">
        <w:rPr>
          <w:rFonts w:eastAsiaTheme="minorHAnsi" w:cstheme="minorBidi"/>
          <w:color w:val="auto"/>
          <w:szCs w:val="22"/>
        </w:rPr>
        <w:t xml:space="preserve"> </w:t>
      </w:r>
      <w:r w:rsidR="00614C23">
        <w:rPr>
          <w:rFonts w:eastAsiaTheme="minorHAnsi" w:cstheme="minorBidi"/>
          <w:color w:val="auto"/>
          <w:szCs w:val="22"/>
        </w:rPr>
        <w:t xml:space="preserve">TSA then multiplies the average annual burden by the </w:t>
      </w:r>
      <w:r w:rsidRPr="003C5D54" w:rsidR="00614C23">
        <w:rPr>
          <w:rFonts w:eastAsiaTheme="minorHAnsi" w:cstheme="minorBidi"/>
          <w:color w:val="auto"/>
          <w:szCs w:val="22"/>
        </w:rPr>
        <w:t>$</w:t>
      </w:r>
      <w:r w:rsidRPr="003C5D54" w:rsidR="009856DA">
        <w:rPr>
          <w:rFonts w:eastAsiaTheme="minorHAnsi" w:cstheme="minorBidi"/>
          <w:color w:val="auto"/>
          <w:szCs w:val="22"/>
        </w:rPr>
        <w:t>76.35</w:t>
      </w:r>
      <w:r w:rsidRPr="003C5D54" w:rsidR="00614C23">
        <w:rPr>
          <w:rFonts w:eastAsiaTheme="minorHAnsi" w:cstheme="minorBidi"/>
          <w:color w:val="auto"/>
          <w:szCs w:val="22"/>
        </w:rPr>
        <w:t xml:space="preserve"> compensation rate for SCs in the FRSR industry to estimate an average annual cost of $</w:t>
      </w:r>
      <w:r w:rsidRPr="003C5D54" w:rsidR="009856DA">
        <w:rPr>
          <w:rFonts w:eastAsiaTheme="minorHAnsi" w:cstheme="minorBidi"/>
          <w:color w:val="auto"/>
          <w:szCs w:val="22"/>
        </w:rPr>
        <w:t>351</w:t>
      </w:r>
      <w:r w:rsidRPr="003C5D54" w:rsidR="00614C23">
        <w:rPr>
          <w:rFonts w:eastAsiaTheme="minorHAnsi" w:cstheme="minorBidi"/>
          <w:color w:val="auto"/>
          <w:szCs w:val="22"/>
        </w:rPr>
        <w:t>.</w:t>
      </w:r>
    </w:p>
    <w:p w:rsidR="00F73EA9" w:rsidRPr="001837D9" w:rsidP="00B57037" w14:paraId="29368A61" w14:textId="77777777">
      <w:pPr>
        <w:pStyle w:val="ListParagraph"/>
        <w:ind w:left="1080"/>
        <w:rPr>
          <w:rFonts w:eastAsiaTheme="minorHAnsi" w:cstheme="minorBidi"/>
          <w:color w:val="auto"/>
          <w:szCs w:val="22"/>
        </w:rPr>
      </w:pPr>
    </w:p>
    <w:p w:rsidR="00050C5B" w14:paraId="522C6AD1" w14:textId="0234F777">
      <w:pPr>
        <w:pStyle w:val="ListParagraph"/>
        <w:numPr>
          <w:ilvl w:val="0"/>
          <w:numId w:val="47"/>
        </w:numPr>
        <w:rPr>
          <w:rFonts w:eastAsiaTheme="minorHAnsi" w:cstheme="minorBidi"/>
          <w:color w:val="auto"/>
          <w:szCs w:val="22"/>
        </w:rPr>
      </w:pPr>
      <w:r w:rsidRPr="001837D9">
        <w:rPr>
          <w:rFonts w:eastAsiaTheme="minorHAnsi" w:cstheme="minorBidi"/>
          <w:i/>
          <w:color w:val="auto"/>
          <w:szCs w:val="22"/>
        </w:rPr>
        <w:t xml:space="preserve">Public Transportation and </w:t>
      </w:r>
      <w:r w:rsidRPr="001837D9" w:rsidR="00F34984">
        <w:rPr>
          <w:rFonts w:eastAsiaTheme="minorHAnsi" w:cstheme="minorBidi"/>
          <w:i/>
          <w:color w:val="auto"/>
          <w:szCs w:val="22"/>
        </w:rPr>
        <w:t>Passenger</w:t>
      </w:r>
      <w:r w:rsidRPr="001837D9">
        <w:rPr>
          <w:rFonts w:eastAsiaTheme="minorHAnsi" w:cstheme="minorBidi"/>
          <w:i/>
          <w:color w:val="auto"/>
          <w:szCs w:val="22"/>
        </w:rPr>
        <w:t xml:space="preserve"> Railroad (PTPR) Owner/Operators:</w:t>
      </w:r>
      <w:r w:rsidRPr="001837D9">
        <w:rPr>
          <w:rFonts w:eastAsiaTheme="minorHAnsi" w:cstheme="minorBidi"/>
          <w:color w:val="auto"/>
          <w:szCs w:val="22"/>
        </w:rPr>
        <w:t xml:space="preserve"> </w:t>
      </w:r>
      <w:r w:rsidR="00D16483">
        <w:rPr>
          <w:rFonts w:eastAsiaTheme="minorHAnsi" w:cstheme="minorBidi"/>
          <w:color w:val="auto"/>
          <w:szCs w:val="22"/>
        </w:rPr>
        <w:t xml:space="preserve">TSA estimates 54,600 unique respondents for SSEs in the PTPR industry over the </w:t>
      </w:r>
      <w:r w:rsidR="00FC0D74">
        <w:rPr>
          <w:rFonts w:eastAsiaTheme="minorHAnsi" w:cstheme="minorBidi"/>
          <w:color w:val="auto"/>
          <w:szCs w:val="22"/>
        </w:rPr>
        <w:t>3</w:t>
      </w:r>
      <w:r w:rsidR="00D16483">
        <w:rPr>
          <w:rFonts w:eastAsiaTheme="minorHAnsi" w:cstheme="minorBidi"/>
          <w:color w:val="auto"/>
          <w:szCs w:val="22"/>
        </w:rPr>
        <w:t xml:space="preserve">-year </w:t>
      </w:r>
      <w:r w:rsidR="00D16483">
        <w:rPr>
          <w:rFonts w:eastAsiaTheme="minorHAnsi" w:cstheme="minorBidi"/>
          <w:color w:val="auto"/>
          <w:szCs w:val="22"/>
        </w:rPr>
        <w:t xml:space="preserve">period. </w:t>
      </w:r>
      <w:r w:rsidR="00FC0D74">
        <w:rPr>
          <w:rFonts w:eastAsiaTheme="minorHAnsi" w:cstheme="minorBidi"/>
          <w:color w:val="auto"/>
          <w:szCs w:val="22"/>
        </w:rPr>
        <w:t xml:space="preserve"> </w:t>
      </w:r>
      <w:r w:rsidR="00D16483">
        <w:rPr>
          <w:rFonts w:eastAsiaTheme="minorHAnsi" w:cstheme="minorBidi"/>
          <w:color w:val="auto"/>
          <w:szCs w:val="22"/>
        </w:rPr>
        <w:t xml:space="preserve">TSA multiplies the number of SC respondents by the 0.09 hour burden per applicant to calculate a </w:t>
      </w:r>
      <w:r w:rsidR="00FC0D74">
        <w:rPr>
          <w:rFonts w:eastAsiaTheme="minorHAnsi" w:cstheme="minorBidi"/>
          <w:color w:val="auto"/>
          <w:szCs w:val="22"/>
        </w:rPr>
        <w:t>3</w:t>
      </w:r>
      <w:r w:rsidR="00D16483">
        <w:rPr>
          <w:rFonts w:eastAsiaTheme="minorHAnsi" w:cstheme="minorBidi"/>
          <w:color w:val="auto"/>
          <w:szCs w:val="22"/>
        </w:rPr>
        <w:t xml:space="preserve">-year burden of </w:t>
      </w:r>
      <w:r w:rsidR="008A0D6D">
        <w:rPr>
          <w:rFonts w:eastAsiaTheme="minorHAnsi" w:cstheme="minorBidi"/>
          <w:color w:val="auto"/>
          <w:szCs w:val="22"/>
        </w:rPr>
        <w:t>4,9</w:t>
      </w:r>
      <w:r w:rsidR="00D16483">
        <w:rPr>
          <w:rFonts w:eastAsiaTheme="minorHAnsi" w:cstheme="minorBidi"/>
          <w:color w:val="auto"/>
          <w:szCs w:val="22"/>
        </w:rPr>
        <w:t xml:space="preserve">14 hours. </w:t>
      </w:r>
      <w:r w:rsidR="006705F5">
        <w:rPr>
          <w:rFonts w:eastAsiaTheme="minorHAnsi" w:cstheme="minorBidi"/>
          <w:color w:val="auto"/>
          <w:szCs w:val="22"/>
        </w:rPr>
        <w:t xml:space="preserve"> </w:t>
      </w:r>
      <w:r w:rsidR="00D16483">
        <w:rPr>
          <w:rFonts w:eastAsiaTheme="minorHAnsi" w:cstheme="minorBidi"/>
          <w:color w:val="auto"/>
          <w:szCs w:val="22"/>
        </w:rPr>
        <w:t xml:space="preserve">Next, TSA divides the </w:t>
      </w:r>
      <w:r w:rsidR="00FC0D74">
        <w:rPr>
          <w:rFonts w:eastAsiaTheme="minorHAnsi" w:cstheme="minorBidi"/>
          <w:color w:val="auto"/>
          <w:szCs w:val="22"/>
        </w:rPr>
        <w:t>3</w:t>
      </w:r>
      <w:r w:rsidR="00D16483">
        <w:rPr>
          <w:rFonts w:eastAsiaTheme="minorHAnsi" w:cstheme="minorBidi"/>
          <w:color w:val="auto"/>
          <w:szCs w:val="22"/>
        </w:rPr>
        <w:t xml:space="preserve">-year total burden by three to estimate an average annual burden of </w:t>
      </w:r>
      <w:r w:rsidR="008A0D6D">
        <w:rPr>
          <w:rFonts w:eastAsiaTheme="minorHAnsi" w:cstheme="minorBidi"/>
          <w:color w:val="auto"/>
          <w:szCs w:val="22"/>
        </w:rPr>
        <w:t>1</w:t>
      </w:r>
      <w:r w:rsidR="00D16483">
        <w:rPr>
          <w:rFonts w:eastAsiaTheme="minorHAnsi" w:cstheme="minorBidi"/>
          <w:color w:val="auto"/>
          <w:szCs w:val="22"/>
        </w:rPr>
        <w:t>,</w:t>
      </w:r>
      <w:r w:rsidR="008A0D6D">
        <w:rPr>
          <w:rFonts w:eastAsiaTheme="minorHAnsi" w:cstheme="minorBidi"/>
          <w:color w:val="auto"/>
          <w:szCs w:val="22"/>
        </w:rPr>
        <w:t>638</w:t>
      </w:r>
      <w:r w:rsidR="00D16483">
        <w:rPr>
          <w:rFonts w:eastAsiaTheme="minorHAnsi" w:cstheme="minorBidi"/>
          <w:color w:val="auto"/>
          <w:szCs w:val="22"/>
        </w:rPr>
        <w:t xml:space="preserve">. </w:t>
      </w:r>
      <w:r w:rsidR="006705F5">
        <w:rPr>
          <w:rFonts w:eastAsiaTheme="minorHAnsi" w:cstheme="minorBidi"/>
          <w:color w:val="auto"/>
          <w:szCs w:val="22"/>
        </w:rPr>
        <w:t xml:space="preserve"> </w:t>
      </w:r>
      <w:r w:rsidR="00D16483">
        <w:rPr>
          <w:rFonts w:eastAsiaTheme="minorHAnsi" w:cstheme="minorBidi"/>
          <w:color w:val="auto"/>
          <w:szCs w:val="22"/>
        </w:rPr>
        <w:t>TSA then multiplies the average annual burden by the $</w:t>
      </w:r>
      <w:r w:rsidR="003C5D54">
        <w:rPr>
          <w:rFonts w:eastAsiaTheme="minorHAnsi" w:cstheme="minorBidi"/>
          <w:color w:val="auto"/>
          <w:szCs w:val="22"/>
        </w:rPr>
        <w:t>38.98</w:t>
      </w:r>
      <w:r w:rsidR="00D16483">
        <w:rPr>
          <w:rFonts w:eastAsiaTheme="minorHAnsi" w:cstheme="minorBidi"/>
          <w:color w:val="auto"/>
          <w:szCs w:val="22"/>
        </w:rPr>
        <w:t xml:space="preserve"> compensation rate for SSEs in the PTPR industry to estimate an average annual cost </w:t>
      </w:r>
      <w:r w:rsidRPr="003C5D54" w:rsidR="00D16483">
        <w:rPr>
          <w:rFonts w:eastAsiaTheme="minorHAnsi" w:cstheme="minorBidi"/>
          <w:color w:val="auto"/>
          <w:szCs w:val="22"/>
        </w:rPr>
        <w:t>of $</w:t>
      </w:r>
      <w:r w:rsidRPr="00B57037" w:rsidR="003C5D54">
        <w:rPr>
          <w:rFonts w:eastAsiaTheme="minorHAnsi" w:cstheme="minorBidi"/>
          <w:color w:val="auto"/>
          <w:szCs w:val="22"/>
        </w:rPr>
        <w:t>63,853</w:t>
      </w:r>
      <w:r w:rsidRPr="003C5D54" w:rsidR="00D16483">
        <w:rPr>
          <w:rFonts w:eastAsiaTheme="minorHAnsi" w:cstheme="minorBidi"/>
          <w:color w:val="auto"/>
          <w:szCs w:val="22"/>
        </w:rPr>
        <w:t>.</w:t>
      </w:r>
    </w:p>
    <w:p w:rsidR="00050C5B" w:rsidP="00B57037" w14:paraId="2B216AC6" w14:textId="3FE09485">
      <w:pPr>
        <w:pStyle w:val="ListParagraph"/>
        <w:ind w:left="1080"/>
        <w:rPr>
          <w:rFonts w:eastAsiaTheme="minorHAnsi" w:cstheme="minorBidi"/>
          <w:color w:val="auto"/>
          <w:szCs w:val="22"/>
        </w:rPr>
      </w:pPr>
    </w:p>
    <w:p w:rsidR="00050C5B" w:rsidP="00B57037" w14:paraId="25AE77A1" w14:textId="742C0FCE">
      <w:pPr>
        <w:pStyle w:val="ListParagraph"/>
        <w:ind w:left="1080"/>
        <w:rPr>
          <w:rFonts w:eastAsiaTheme="minorHAnsi" w:cstheme="minorBidi"/>
          <w:color w:val="auto"/>
          <w:szCs w:val="22"/>
        </w:rPr>
      </w:pPr>
      <w:r>
        <w:rPr>
          <w:rFonts w:eastAsiaTheme="minorHAnsi" w:cstheme="minorBidi"/>
          <w:color w:val="auto"/>
          <w:szCs w:val="22"/>
        </w:rPr>
        <w:t xml:space="preserve">Next, TSA estimates 71 unique respondents for SCs in </w:t>
      </w:r>
      <w:r w:rsidR="007B3408">
        <w:rPr>
          <w:rFonts w:eastAsiaTheme="minorHAnsi" w:cstheme="minorBidi"/>
          <w:color w:val="auto"/>
          <w:szCs w:val="22"/>
        </w:rPr>
        <w:t xml:space="preserve">the </w:t>
      </w:r>
      <w:r>
        <w:rPr>
          <w:rFonts w:eastAsiaTheme="minorHAnsi" w:cstheme="minorBidi"/>
          <w:color w:val="auto"/>
          <w:szCs w:val="22"/>
        </w:rPr>
        <w:t xml:space="preserve">PTPR industry over the </w:t>
      </w:r>
      <w:r w:rsidR="00FC0D74">
        <w:rPr>
          <w:rFonts w:eastAsiaTheme="minorHAnsi" w:cstheme="minorBidi"/>
          <w:color w:val="auto"/>
          <w:szCs w:val="22"/>
        </w:rPr>
        <w:t>3</w:t>
      </w:r>
      <w:r>
        <w:rPr>
          <w:rFonts w:eastAsiaTheme="minorHAnsi" w:cstheme="minorBidi"/>
          <w:color w:val="auto"/>
          <w:szCs w:val="22"/>
        </w:rPr>
        <w:t>-year period.</w:t>
      </w:r>
      <w:r w:rsidR="006705F5">
        <w:rPr>
          <w:rFonts w:eastAsiaTheme="minorHAnsi" w:cstheme="minorBidi"/>
          <w:color w:val="auto"/>
          <w:szCs w:val="22"/>
        </w:rPr>
        <w:t xml:space="preserve"> </w:t>
      </w:r>
      <w:r>
        <w:rPr>
          <w:rFonts w:eastAsiaTheme="minorHAnsi" w:cstheme="minorBidi"/>
          <w:color w:val="auto"/>
          <w:szCs w:val="22"/>
        </w:rPr>
        <w:t xml:space="preserve"> TSA multiplies the number of SC respondents by the 0.09 </w:t>
      </w:r>
      <w:r w:rsidR="00F34984">
        <w:rPr>
          <w:rFonts w:eastAsiaTheme="minorHAnsi" w:cstheme="minorBidi"/>
          <w:color w:val="auto"/>
          <w:szCs w:val="22"/>
        </w:rPr>
        <w:t>hour burden</w:t>
      </w:r>
      <w:r>
        <w:rPr>
          <w:rFonts w:eastAsiaTheme="minorHAnsi" w:cstheme="minorBidi"/>
          <w:color w:val="auto"/>
          <w:szCs w:val="22"/>
        </w:rPr>
        <w:t xml:space="preserve"> per applicant to calculate a </w:t>
      </w:r>
      <w:r w:rsidR="00FC0D74">
        <w:rPr>
          <w:rFonts w:eastAsiaTheme="minorHAnsi" w:cstheme="minorBidi"/>
          <w:color w:val="auto"/>
          <w:szCs w:val="22"/>
        </w:rPr>
        <w:t>3</w:t>
      </w:r>
      <w:r>
        <w:rPr>
          <w:rFonts w:eastAsiaTheme="minorHAnsi" w:cstheme="minorBidi"/>
          <w:color w:val="auto"/>
          <w:szCs w:val="22"/>
        </w:rPr>
        <w:t>-year burden of 6 hours.</w:t>
      </w:r>
      <w:r w:rsidR="006705F5">
        <w:rPr>
          <w:rFonts w:eastAsiaTheme="minorHAnsi" w:cstheme="minorBidi"/>
          <w:color w:val="auto"/>
          <w:szCs w:val="22"/>
        </w:rPr>
        <w:t xml:space="preserve"> </w:t>
      </w:r>
      <w:r>
        <w:rPr>
          <w:rFonts w:eastAsiaTheme="minorHAnsi" w:cstheme="minorBidi"/>
          <w:color w:val="auto"/>
          <w:szCs w:val="22"/>
        </w:rPr>
        <w:t xml:space="preserve"> </w:t>
      </w:r>
      <w:r w:rsidR="007B3408">
        <w:rPr>
          <w:rFonts w:eastAsiaTheme="minorHAnsi" w:cstheme="minorBidi"/>
          <w:color w:val="auto"/>
          <w:szCs w:val="22"/>
        </w:rPr>
        <w:t xml:space="preserve">Next, TSA divides the </w:t>
      </w:r>
      <w:r w:rsidR="00FC0D74">
        <w:rPr>
          <w:rFonts w:eastAsiaTheme="minorHAnsi" w:cstheme="minorBidi"/>
          <w:color w:val="auto"/>
          <w:szCs w:val="22"/>
        </w:rPr>
        <w:t>3</w:t>
      </w:r>
      <w:r w:rsidR="007B3408">
        <w:rPr>
          <w:rFonts w:eastAsiaTheme="minorHAnsi" w:cstheme="minorBidi"/>
          <w:color w:val="auto"/>
          <w:szCs w:val="22"/>
        </w:rPr>
        <w:t xml:space="preserve">-year total burden by three to estimate an average annual burden of 2 hours. TSA then multiplies the average annual burden by the </w:t>
      </w:r>
      <w:r w:rsidRPr="000D35F8" w:rsidR="007B3408">
        <w:rPr>
          <w:rFonts w:eastAsiaTheme="minorHAnsi" w:cstheme="minorBidi"/>
          <w:color w:val="auto"/>
          <w:szCs w:val="22"/>
        </w:rPr>
        <w:t>$</w:t>
      </w:r>
      <w:r w:rsidRPr="000D35F8" w:rsidR="000D35F8">
        <w:rPr>
          <w:rFonts w:eastAsiaTheme="minorHAnsi" w:cstheme="minorBidi"/>
          <w:color w:val="auto"/>
          <w:szCs w:val="22"/>
        </w:rPr>
        <w:t>88.41</w:t>
      </w:r>
      <w:r w:rsidR="000D35F8">
        <w:rPr>
          <w:rFonts w:eastAsiaTheme="minorHAnsi" w:cstheme="minorBidi"/>
          <w:color w:val="auto"/>
          <w:szCs w:val="22"/>
        </w:rPr>
        <w:t xml:space="preserve"> </w:t>
      </w:r>
      <w:r w:rsidR="007B3408">
        <w:rPr>
          <w:rFonts w:eastAsiaTheme="minorHAnsi" w:cstheme="minorBidi"/>
          <w:color w:val="auto"/>
          <w:szCs w:val="22"/>
        </w:rPr>
        <w:t xml:space="preserve">compensation rate for SCs in the PTPR industry to estimate an average annual </w:t>
      </w:r>
      <w:r w:rsidRPr="000D35F8" w:rsidR="007B3408">
        <w:rPr>
          <w:rFonts w:eastAsiaTheme="minorHAnsi" w:cstheme="minorBidi"/>
          <w:color w:val="auto"/>
          <w:szCs w:val="22"/>
        </w:rPr>
        <w:t>cost of $</w:t>
      </w:r>
      <w:r w:rsidRPr="000D35F8" w:rsidR="000D35F8">
        <w:rPr>
          <w:rFonts w:eastAsiaTheme="minorHAnsi" w:cstheme="minorBidi"/>
          <w:color w:val="auto"/>
          <w:szCs w:val="22"/>
        </w:rPr>
        <w:t>189</w:t>
      </w:r>
      <w:r w:rsidRPr="000D35F8" w:rsidR="007B3408">
        <w:rPr>
          <w:rFonts w:eastAsiaTheme="minorHAnsi" w:cstheme="minorBidi"/>
          <w:color w:val="auto"/>
          <w:szCs w:val="22"/>
        </w:rPr>
        <w:t>.</w:t>
      </w:r>
    </w:p>
    <w:p w:rsidR="00050C5B" w:rsidRPr="00B57037" w:rsidP="00B57037" w14:paraId="7914A466" w14:textId="77777777">
      <w:pPr>
        <w:pStyle w:val="ListParagraph"/>
        <w:ind w:left="1080"/>
        <w:rPr>
          <w:rFonts w:eastAsiaTheme="minorHAnsi" w:cstheme="minorBidi"/>
          <w:color w:val="auto"/>
          <w:szCs w:val="22"/>
        </w:rPr>
      </w:pPr>
    </w:p>
    <w:p w:rsidR="00571738" w:rsidRPr="00B30196" w:rsidP="00571738" w14:paraId="01F48F9F" w14:textId="08A9C492">
      <w:pPr>
        <w:pStyle w:val="ListParagraph"/>
        <w:numPr>
          <w:ilvl w:val="0"/>
          <w:numId w:val="47"/>
        </w:numPr>
        <w:rPr>
          <w:rFonts w:eastAsiaTheme="minorHAnsi" w:cstheme="minorBidi"/>
          <w:color w:val="auto"/>
          <w:szCs w:val="22"/>
        </w:rPr>
      </w:pPr>
      <w:r>
        <w:rPr>
          <w:rFonts w:eastAsiaTheme="minorHAnsi" w:cstheme="minorBidi"/>
          <w:i/>
          <w:color w:val="auto"/>
          <w:szCs w:val="22"/>
        </w:rPr>
        <w:t>Over-the-Road Buses (OTRB) Owner/Operators:</w:t>
      </w:r>
      <w:r w:rsidRPr="00204AB6">
        <w:rPr>
          <w:rFonts w:eastAsiaTheme="minorHAnsi" w:cstheme="minorBidi"/>
          <w:color w:val="auto"/>
          <w:szCs w:val="22"/>
        </w:rPr>
        <w:t xml:space="preserve"> </w:t>
      </w:r>
      <w:r w:rsidR="007B3408">
        <w:rPr>
          <w:rFonts w:eastAsiaTheme="minorHAnsi" w:cstheme="minorBidi"/>
          <w:color w:val="auto"/>
          <w:szCs w:val="22"/>
        </w:rPr>
        <w:t xml:space="preserve">TSA estimates 137 unique </w:t>
      </w:r>
      <w:r w:rsidR="00F34984">
        <w:rPr>
          <w:rFonts w:eastAsiaTheme="minorHAnsi" w:cstheme="minorBidi"/>
          <w:color w:val="auto"/>
          <w:szCs w:val="22"/>
        </w:rPr>
        <w:t>respondents</w:t>
      </w:r>
      <w:r w:rsidR="007B3408">
        <w:rPr>
          <w:rFonts w:eastAsiaTheme="minorHAnsi" w:cstheme="minorBidi"/>
          <w:color w:val="auto"/>
          <w:szCs w:val="22"/>
        </w:rPr>
        <w:t xml:space="preserve"> for SC in the OTRB industry</w:t>
      </w:r>
      <w:r w:rsidR="009A4D70">
        <w:rPr>
          <w:rFonts w:eastAsiaTheme="minorHAnsi" w:cstheme="minorBidi"/>
          <w:color w:val="auto"/>
          <w:szCs w:val="22"/>
        </w:rPr>
        <w:t xml:space="preserve"> over the </w:t>
      </w:r>
      <w:r w:rsidR="00FC0D74">
        <w:rPr>
          <w:rFonts w:eastAsiaTheme="minorHAnsi" w:cstheme="minorBidi"/>
          <w:color w:val="auto"/>
          <w:szCs w:val="22"/>
        </w:rPr>
        <w:t>3</w:t>
      </w:r>
      <w:r w:rsidR="009A4D70">
        <w:rPr>
          <w:rFonts w:eastAsiaTheme="minorHAnsi" w:cstheme="minorBidi"/>
          <w:color w:val="auto"/>
          <w:szCs w:val="22"/>
        </w:rPr>
        <w:t xml:space="preserve">-year period. </w:t>
      </w:r>
      <w:r w:rsidR="006705F5">
        <w:rPr>
          <w:rFonts w:eastAsiaTheme="minorHAnsi" w:cstheme="minorBidi"/>
          <w:color w:val="auto"/>
          <w:szCs w:val="22"/>
        </w:rPr>
        <w:t xml:space="preserve"> </w:t>
      </w:r>
      <w:r w:rsidR="009A4D70">
        <w:rPr>
          <w:rFonts w:eastAsiaTheme="minorHAnsi" w:cstheme="minorBidi"/>
          <w:color w:val="auto"/>
          <w:szCs w:val="22"/>
        </w:rPr>
        <w:t xml:space="preserve">TSA multiplies the number of SC respondents by the 0.09 hour burden per applicant to calculate a </w:t>
      </w:r>
      <w:r w:rsidR="00FC0D74">
        <w:rPr>
          <w:rFonts w:eastAsiaTheme="minorHAnsi" w:cstheme="minorBidi"/>
          <w:color w:val="auto"/>
          <w:szCs w:val="22"/>
        </w:rPr>
        <w:t>3</w:t>
      </w:r>
      <w:r w:rsidR="009A4D70">
        <w:rPr>
          <w:rFonts w:eastAsiaTheme="minorHAnsi" w:cstheme="minorBidi"/>
          <w:color w:val="auto"/>
          <w:szCs w:val="22"/>
        </w:rPr>
        <w:t>-year burden of 12 hours.</w:t>
      </w:r>
      <w:r w:rsidR="006705F5">
        <w:rPr>
          <w:rFonts w:eastAsiaTheme="minorHAnsi" w:cstheme="minorBidi"/>
          <w:color w:val="auto"/>
          <w:szCs w:val="22"/>
        </w:rPr>
        <w:t xml:space="preserve"> </w:t>
      </w:r>
      <w:r w:rsidR="009A4D70">
        <w:rPr>
          <w:rFonts w:eastAsiaTheme="minorHAnsi" w:cstheme="minorBidi"/>
          <w:color w:val="auto"/>
          <w:szCs w:val="22"/>
        </w:rPr>
        <w:t xml:space="preserve"> Next, TSA divides the </w:t>
      </w:r>
      <w:r w:rsidR="00FC0D74">
        <w:rPr>
          <w:rFonts w:eastAsiaTheme="minorHAnsi" w:cstheme="minorBidi"/>
          <w:color w:val="auto"/>
          <w:szCs w:val="22"/>
        </w:rPr>
        <w:t>3</w:t>
      </w:r>
      <w:r w:rsidR="009A4D70">
        <w:rPr>
          <w:rFonts w:eastAsiaTheme="minorHAnsi" w:cstheme="minorBidi"/>
          <w:color w:val="auto"/>
          <w:szCs w:val="22"/>
        </w:rPr>
        <w:t xml:space="preserve">-year total burden by three to estimate an average annual burden of </w:t>
      </w:r>
      <w:r w:rsidR="008A0D6D">
        <w:rPr>
          <w:rFonts w:eastAsiaTheme="minorHAnsi" w:cstheme="minorBidi"/>
          <w:color w:val="auto"/>
          <w:szCs w:val="22"/>
        </w:rPr>
        <w:t xml:space="preserve">4 </w:t>
      </w:r>
      <w:r w:rsidR="009A4D70">
        <w:rPr>
          <w:rFonts w:eastAsiaTheme="minorHAnsi" w:cstheme="minorBidi"/>
          <w:color w:val="auto"/>
          <w:szCs w:val="22"/>
        </w:rPr>
        <w:t>hours.</w:t>
      </w:r>
      <w:r w:rsidR="006705F5">
        <w:rPr>
          <w:rFonts w:eastAsiaTheme="minorHAnsi" w:cstheme="minorBidi"/>
          <w:color w:val="auto"/>
          <w:szCs w:val="22"/>
        </w:rPr>
        <w:t xml:space="preserve"> </w:t>
      </w:r>
      <w:r w:rsidR="009A4D70">
        <w:rPr>
          <w:rFonts w:eastAsiaTheme="minorHAnsi" w:cstheme="minorBidi"/>
          <w:color w:val="auto"/>
          <w:szCs w:val="22"/>
        </w:rPr>
        <w:t xml:space="preserve"> TSA then multiplies the average annual burden by the </w:t>
      </w:r>
      <w:r w:rsidRPr="000D35F8" w:rsidR="009A4D70">
        <w:rPr>
          <w:rFonts w:eastAsiaTheme="minorHAnsi" w:cstheme="minorBidi"/>
          <w:color w:val="auto"/>
          <w:szCs w:val="22"/>
        </w:rPr>
        <w:t>$</w:t>
      </w:r>
      <w:r w:rsidRPr="000D35F8" w:rsidR="000D35F8">
        <w:rPr>
          <w:rFonts w:eastAsiaTheme="minorHAnsi" w:cstheme="minorBidi"/>
          <w:color w:val="auto"/>
          <w:szCs w:val="22"/>
        </w:rPr>
        <w:t>69.63</w:t>
      </w:r>
      <w:r w:rsidRPr="000D35F8" w:rsidR="009A4D70">
        <w:rPr>
          <w:rFonts w:eastAsiaTheme="minorHAnsi" w:cstheme="minorBidi"/>
          <w:color w:val="auto"/>
          <w:szCs w:val="22"/>
        </w:rPr>
        <w:t xml:space="preserve"> compensation rate for SCs in the OTRB industry to estimate an average annual cost of $</w:t>
      </w:r>
      <w:r w:rsidRPr="000D35F8" w:rsidR="000D35F8">
        <w:rPr>
          <w:rFonts w:eastAsiaTheme="minorHAnsi" w:cstheme="minorBidi"/>
          <w:color w:val="auto"/>
          <w:szCs w:val="22"/>
        </w:rPr>
        <w:t>287</w:t>
      </w:r>
      <w:r w:rsidRPr="000D35F8" w:rsidR="009A4D70">
        <w:rPr>
          <w:rFonts w:eastAsiaTheme="minorHAnsi" w:cstheme="minorBidi"/>
          <w:color w:val="auto"/>
          <w:szCs w:val="22"/>
        </w:rPr>
        <w:t>.</w:t>
      </w:r>
    </w:p>
    <w:p w:rsidR="00571738" w:rsidP="00B57037" w14:paraId="0B4BC277" w14:textId="77777777">
      <w:pPr>
        <w:ind w:left="360"/>
        <w:rPr>
          <w:rFonts w:eastAsiaTheme="minorHAnsi" w:cstheme="minorBidi"/>
          <w:color w:val="auto"/>
          <w:szCs w:val="22"/>
        </w:rPr>
      </w:pPr>
    </w:p>
    <w:p w:rsidR="00D8698E" w:rsidP="000C1CCA" w14:paraId="143F8F7E" w14:textId="1B40A10B">
      <w:pPr>
        <w:keepNext/>
        <w:numPr>
          <w:ilvl w:val="2"/>
          <w:numId w:val="0"/>
        </w:numPr>
        <w:tabs>
          <w:tab w:val="left" w:pos="0"/>
          <w:tab w:val="left" w:pos="360"/>
          <w:tab w:val="left" w:pos="900"/>
        </w:tabs>
        <w:spacing w:before="120" w:after="240"/>
        <w:ind w:left="360"/>
        <w:outlineLvl w:val="2"/>
        <w:rPr>
          <w:rFonts w:eastAsiaTheme="minorHAnsi" w:cstheme="minorBidi"/>
          <w:color w:val="auto"/>
          <w:szCs w:val="22"/>
        </w:rPr>
      </w:pPr>
      <w:r w:rsidRPr="00B57037">
        <w:rPr>
          <w:rFonts w:eastAsiaTheme="minorHAnsi" w:cstheme="minorBidi"/>
          <w:color w:val="auto"/>
          <w:szCs w:val="22"/>
          <w:u w:val="single"/>
        </w:rPr>
        <w:t>STA Customer Satisfaction Survey</w:t>
      </w:r>
      <w:r>
        <w:rPr>
          <w:rFonts w:eastAsiaTheme="minorHAnsi" w:cstheme="minorBidi"/>
          <w:color w:val="auto"/>
          <w:szCs w:val="22"/>
        </w:rPr>
        <w:t>.</w:t>
      </w:r>
      <w:r w:rsidR="006705F5">
        <w:rPr>
          <w:rFonts w:eastAsiaTheme="minorHAnsi" w:cstheme="minorBidi"/>
          <w:color w:val="auto"/>
          <w:szCs w:val="22"/>
        </w:rPr>
        <w:t xml:space="preserve"> </w:t>
      </w:r>
      <w:r>
        <w:rPr>
          <w:rFonts w:eastAsiaTheme="minorHAnsi" w:cstheme="minorBidi"/>
          <w:color w:val="auto"/>
          <w:szCs w:val="22"/>
        </w:rPr>
        <w:t xml:space="preserve"> </w:t>
      </w:r>
      <w:r w:rsidR="00BD626B">
        <w:rPr>
          <w:rFonts w:eastAsiaTheme="minorHAnsi" w:cstheme="minorBidi"/>
          <w:color w:val="auto"/>
          <w:szCs w:val="22"/>
        </w:rPr>
        <w:t xml:space="preserve">Respondents may submit </w:t>
      </w:r>
      <w:r>
        <w:rPr>
          <w:rFonts w:eastAsiaTheme="minorHAnsi" w:cstheme="minorBidi"/>
          <w:color w:val="auto"/>
          <w:szCs w:val="22"/>
        </w:rPr>
        <w:t>a</w:t>
      </w:r>
      <w:r w:rsidR="00FE2168">
        <w:rPr>
          <w:rFonts w:eastAsiaTheme="minorHAnsi" w:cstheme="minorBidi"/>
          <w:color w:val="auto"/>
          <w:szCs w:val="22"/>
        </w:rPr>
        <w:t>n optional</w:t>
      </w:r>
      <w:r>
        <w:rPr>
          <w:rFonts w:eastAsiaTheme="minorHAnsi" w:cstheme="minorBidi"/>
          <w:color w:val="auto"/>
          <w:szCs w:val="22"/>
        </w:rPr>
        <w:t xml:space="preserve"> </w:t>
      </w:r>
      <w:r w:rsidR="00BD626B">
        <w:rPr>
          <w:rFonts w:eastAsiaTheme="minorHAnsi" w:cstheme="minorBidi"/>
          <w:color w:val="auto"/>
          <w:szCs w:val="22"/>
        </w:rPr>
        <w:t xml:space="preserve">customer satisfaction survey when </w:t>
      </w:r>
      <w:r>
        <w:rPr>
          <w:rFonts w:eastAsiaTheme="minorHAnsi" w:cstheme="minorBidi"/>
          <w:color w:val="auto"/>
          <w:szCs w:val="22"/>
        </w:rPr>
        <w:t>completing the STA enrollment process</w:t>
      </w:r>
      <w:r w:rsidRPr="00873719" w:rsidR="00BD626B">
        <w:rPr>
          <w:rFonts w:eastAsiaTheme="minorHAnsi" w:cstheme="minorBidi"/>
          <w:color w:val="auto"/>
          <w:szCs w:val="22"/>
        </w:rPr>
        <w:t xml:space="preserve">. </w:t>
      </w:r>
      <w:r w:rsidR="006705F5">
        <w:rPr>
          <w:rFonts w:eastAsiaTheme="minorHAnsi" w:cstheme="minorBidi"/>
          <w:color w:val="auto"/>
          <w:szCs w:val="22"/>
        </w:rPr>
        <w:t xml:space="preserve"> </w:t>
      </w:r>
      <w:r w:rsidRPr="00873719">
        <w:rPr>
          <w:rFonts w:eastAsiaTheme="minorHAnsi" w:cstheme="minorBidi"/>
          <w:color w:val="auto"/>
          <w:szCs w:val="22"/>
        </w:rPr>
        <w:t xml:space="preserve">TSA estimates the </w:t>
      </w:r>
      <w:r>
        <w:rPr>
          <w:rFonts w:eastAsiaTheme="minorHAnsi" w:cstheme="minorBidi"/>
          <w:color w:val="auto"/>
          <w:szCs w:val="22"/>
        </w:rPr>
        <w:t xml:space="preserve">burden to complete the survey </w:t>
      </w:r>
      <w:r w:rsidRPr="00873719">
        <w:rPr>
          <w:rFonts w:eastAsiaTheme="minorHAnsi" w:cstheme="minorBidi"/>
          <w:color w:val="auto"/>
          <w:szCs w:val="22"/>
        </w:rPr>
        <w:t>to be 0.08 hours per applicant.</w:t>
      </w:r>
    </w:p>
    <w:p w:rsidR="00571738" w:rsidP="00571738" w14:paraId="03D5203D" w14:textId="58DDA8D1">
      <w:pPr>
        <w:pStyle w:val="ListParagraph"/>
        <w:numPr>
          <w:ilvl w:val="0"/>
          <w:numId w:val="48"/>
        </w:numPr>
        <w:rPr>
          <w:rFonts w:eastAsiaTheme="minorHAnsi" w:cstheme="minorBidi"/>
          <w:color w:val="auto"/>
          <w:szCs w:val="22"/>
        </w:rPr>
      </w:pPr>
      <w:r w:rsidRPr="001837D9">
        <w:rPr>
          <w:rFonts w:eastAsiaTheme="minorHAnsi" w:cstheme="minorBidi"/>
          <w:i/>
          <w:color w:val="auto"/>
          <w:szCs w:val="22"/>
        </w:rPr>
        <w:t xml:space="preserve">Freight Railroad Owner/Operators: </w:t>
      </w:r>
      <w:r w:rsidR="008E2883">
        <w:rPr>
          <w:rFonts w:eastAsiaTheme="minorHAnsi" w:cstheme="minorBidi"/>
          <w:color w:val="auto"/>
          <w:szCs w:val="22"/>
        </w:rPr>
        <w:t>TSA estimates 43,387 unique respondents for SSEs in freight railr</w:t>
      </w:r>
      <w:r w:rsidR="00E25526">
        <w:rPr>
          <w:rFonts w:eastAsiaTheme="minorHAnsi" w:cstheme="minorBidi"/>
          <w:color w:val="auto"/>
          <w:szCs w:val="22"/>
        </w:rPr>
        <w:t xml:space="preserve">oad </w:t>
      </w:r>
      <w:r w:rsidR="008E2883">
        <w:rPr>
          <w:rFonts w:eastAsiaTheme="minorHAnsi" w:cstheme="minorBidi"/>
          <w:color w:val="auto"/>
          <w:szCs w:val="22"/>
        </w:rPr>
        <w:t xml:space="preserve">over the </w:t>
      </w:r>
      <w:r w:rsidR="00FC0D74">
        <w:rPr>
          <w:rFonts w:eastAsiaTheme="minorHAnsi" w:cstheme="minorBidi"/>
          <w:color w:val="auto"/>
          <w:szCs w:val="22"/>
        </w:rPr>
        <w:t>3</w:t>
      </w:r>
      <w:r w:rsidR="008E2883">
        <w:rPr>
          <w:rFonts w:eastAsiaTheme="minorHAnsi" w:cstheme="minorBidi"/>
          <w:color w:val="auto"/>
          <w:szCs w:val="22"/>
        </w:rPr>
        <w:t xml:space="preserve">-year period. </w:t>
      </w:r>
      <w:r w:rsidR="006705F5">
        <w:rPr>
          <w:rFonts w:eastAsiaTheme="minorHAnsi" w:cstheme="minorBidi"/>
          <w:color w:val="auto"/>
          <w:szCs w:val="22"/>
        </w:rPr>
        <w:t xml:space="preserve"> </w:t>
      </w:r>
      <w:r w:rsidR="008E2883">
        <w:rPr>
          <w:rFonts w:eastAsiaTheme="minorHAnsi" w:cstheme="minorBidi"/>
          <w:color w:val="auto"/>
          <w:szCs w:val="22"/>
        </w:rPr>
        <w:t>TSA multiplies the number of respondents by the 0.0</w:t>
      </w:r>
      <w:r w:rsidR="00E25526">
        <w:rPr>
          <w:rFonts w:eastAsiaTheme="minorHAnsi" w:cstheme="minorBidi"/>
          <w:color w:val="auto"/>
          <w:szCs w:val="22"/>
        </w:rPr>
        <w:t>8</w:t>
      </w:r>
      <w:r w:rsidR="008E2883">
        <w:rPr>
          <w:rFonts w:eastAsiaTheme="minorHAnsi" w:cstheme="minorBidi"/>
          <w:color w:val="auto"/>
          <w:szCs w:val="22"/>
        </w:rPr>
        <w:t xml:space="preserve"> hour burden per applicant to calculate a </w:t>
      </w:r>
      <w:r w:rsidR="00FC0D74">
        <w:rPr>
          <w:rFonts w:eastAsiaTheme="minorHAnsi" w:cstheme="minorBidi"/>
          <w:color w:val="auto"/>
          <w:szCs w:val="22"/>
        </w:rPr>
        <w:t>3</w:t>
      </w:r>
      <w:r w:rsidR="008E2883">
        <w:rPr>
          <w:rFonts w:eastAsiaTheme="minorHAnsi" w:cstheme="minorBidi"/>
          <w:color w:val="auto"/>
          <w:szCs w:val="22"/>
        </w:rPr>
        <w:t>-year burden of 3,616 hours.</w:t>
      </w:r>
      <w:r w:rsidR="006705F5">
        <w:rPr>
          <w:rFonts w:eastAsiaTheme="minorHAnsi" w:cstheme="minorBidi"/>
          <w:color w:val="auto"/>
          <w:szCs w:val="22"/>
        </w:rPr>
        <w:t xml:space="preserve"> </w:t>
      </w:r>
      <w:r w:rsidR="008E2883">
        <w:rPr>
          <w:rFonts w:eastAsiaTheme="minorHAnsi" w:cstheme="minorBidi"/>
          <w:color w:val="auto"/>
          <w:szCs w:val="22"/>
        </w:rPr>
        <w:t xml:space="preserve"> Next, TSA divides the three-year total burden by three to estimate an average annual burden of 1,205 hours. </w:t>
      </w:r>
      <w:r w:rsidR="006705F5">
        <w:rPr>
          <w:rFonts w:eastAsiaTheme="minorHAnsi" w:cstheme="minorBidi"/>
          <w:color w:val="auto"/>
          <w:szCs w:val="22"/>
        </w:rPr>
        <w:t xml:space="preserve"> </w:t>
      </w:r>
      <w:r w:rsidR="008E2883">
        <w:rPr>
          <w:rFonts w:eastAsiaTheme="minorHAnsi" w:cstheme="minorBidi"/>
          <w:color w:val="auto"/>
          <w:szCs w:val="22"/>
        </w:rPr>
        <w:t xml:space="preserve">TSA then multiplies the average annual burden by the </w:t>
      </w:r>
      <w:r w:rsidRPr="000D35F8" w:rsidR="008E2883">
        <w:rPr>
          <w:rFonts w:eastAsiaTheme="minorHAnsi" w:cstheme="minorBidi"/>
          <w:color w:val="auto"/>
          <w:szCs w:val="22"/>
        </w:rPr>
        <w:t>$</w:t>
      </w:r>
      <w:r w:rsidRPr="000D35F8" w:rsidR="000D35F8">
        <w:rPr>
          <w:rFonts w:eastAsiaTheme="minorHAnsi" w:cstheme="minorBidi"/>
          <w:color w:val="auto"/>
          <w:szCs w:val="22"/>
        </w:rPr>
        <w:t>49.14</w:t>
      </w:r>
      <w:r w:rsidRPr="000D35F8" w:rsidR="008E2883">
        <w:rPr>
          <w:rFonts w:eastAsiaTheme="minorHAnsi" w:cstheme="minorBidi"/>
          <w:color w:val="auto"/>
          <w:szCs w:val="22"/>
        </w:rPr>
        <w:t xml:space="preserve"> compensation rate for SSEs in freight rule to estimate an average annual cost of $</w:t>
      </w:r>
      <w:r w:rsidRPr="000D35F8" w:rsidR="000D35F8">
        <w:rPr>
          <w:rFonts w:eastAsiaTheme="minorHAnsi" w:cstheme="minorBidi"/>
          <w:color w:val="auto"/>
          <w:szCs w:val="22"/>
        </w:rPr>
        <w:t>59,224</w:t>
      </w:r>
      <w:r w:rsidRPr="000D35F8" w:rsidR="008E2883">
        <w:rPr>
          <w:rFonts w:eastAsiaTheme="minorHAnsi" w:cstheme="minorBidi"/>
          <w:color w:val="auto"/>
          <w:szCs w:val="22"/>
        </w:rPr>
        <w:t>.</w:t>
      </w:r>
    </w:p>
    <w:p w:rsidR="00E25526" w:rsidP="00B57037" w14:paraId="3807D901" w14:textId="318FAC60">
      <w:pPr>
        <w:pStyle w:val="ListParagraph"/>
        <w:ind w:left="1080"/>
        <w:rPr>
          <w:rFonts w:eastAsiaTheme="minorHAnsi" w:cstheme="minorBidi"/>
          <w:i/>
          <w:color w:val="auto"/>
          <w:szCs w:val="22"/>
        </w:rPr>
      </w:pPr>
    </w:p>
    <w:p w:rsidR="00E25526" w:rsidRPr="00AA0A30" w:rsidP="00B57037" w14:paraId="6FD4A3BB" w14:textId="20B26161">
      <w:pPr>
        <w:pStyle w:val="ListParagraph"/>
        <w:ind w:left="1080"/>
        <w:rPr>
          <w:rFonts w:eastAsiaTheme="minorHAnsi" w:cstheme="minorBidi"/>
          <w:color w:val="auto"/>
          <w:szCs w:val="22"/>
        </w:rPr>
      </w:pPr>
      <w:r>
        <w:rPr>
          <w:rFonts w:eastAsiaTheme="minorHAnsi" w:cstheme="minorBidi"/>
          <w:color w:val="auto"/>
          <w:szCs w:val="22"/>
        </w:rPr>
        <w:t xml:space="preserve">Next, TSA estimates 171 unique respondents for SCs in freight rail over the </w:t>
      </w:r>
      <w:r w:rsidR="00FC0D74">
        <w:rPr>
          <w:rFonts w:eastAsiaTheme="minorHAnsi" w:cstheme="minorBidi"/>
          <w:color w:val="auto"/>
          <w:szCs w:val="22"/>
        </w:rPr>
        <w:t>3</w:t>
      </w:r>
      <w:r>
        <w:rPr>
          <w:rFonts w:eastAsiaTheme="minorHAnsi" w:cstheme="minorBidi"/>
          <w:color w:val="auto"/>
          <w:szCs w:val="22"/>
        </w:rPr>
        <w:t xml:space="preserve">-year period. </w:t>
      </w:r>
      <w:r w:rsidR="006705F5">
        <w:rPr>
          <w:rFonts w:eastAsiaTheme="minorHAnsi" w:cstheme="minorBidi"/>
          <w:color w:val="auto"/>
          <w:szCs w:val="22"/>
        </w:rPr>
        <w:t xml:space="preserve"> </w:t>
      </w:r>
      <w:r>
        <w:rPr>
          <w:rFonts w:eastAsiaTheme="minorHAnsi" w:cstheme="minorBidi"/>
          <w:color w:val="auto"/>
          <w:szCs w:val="22"/>
        </w:rPr>
        <w:t xml:space="preserve">TSA multiplies the number of respondents by the 0.08 hour burden per applicant to calculate a </w:t>
      </w:r>
      <w:r w:rsidR="00FC0D74">
        <w:rPr>
          <w:rFonts w:eastAsiaTheme="minorHAnsi" w:cstheme="minorBidi"/>
          <w:color w:val="auto"/>
          <w:szCs w:val="22"/>
        </w:rPr>
        <w:t>3</w:t>
      </w:r>
      <w:r>
        <w:rPr>
          <w:rFonts w:eastAsiaTheme="minorHAnsi" w:cstheme="minorBidi"/>
          <w:color w:val="auto"/>
          <w:szCs w:val="22"/>
        </w:rPr>
        <w:t xml:space="preserve">-year burden of 14 hours. </w:t>
      </w:r>
      <w:r w:rsidR="006705F5">
        <w:rPr>
          <w:rFonts w:eastAsiaTheme="minorHAnsi" w:cstheme="minorBidi"/>
          <w:color w:val="auto"/>
          <w:szCs w:val="22"/>
        </w:rPr>
        <w:t xml:space="preserve"> </w:t>
      </w:r>
      <w:r>
        <w:rPr>
          <w:rFonts w:eastAsiaTheme="minorHAnsi" w:cstheme="minorBidi"/>
          <w:color w:val="auto"/>
          <w:szCs w:val="22"/>
        </w:rPr>
        <w:t xml:space="preserve">Next, TSA divides the </w:t>
      </w:r>
      <w:r w:rsidR="00FC0D74">
        <w:rPr>
          <w:rFonts w:eastAsiaTheme="minorHAnsi" w:cstheme="minorBidi"/>
          <w:color w:val="auto"/>
          <w:szCs w:val="22"/>
        </w:rPr>
        <w:t>3</w:t>
      </w:r>
      <w:r>
        <w:rPr>
          <w:rFonts w:eastAsiaTheme="minorHAnsi" w:cstheme="minorBidi"/>
          <w:color w:val="auto"/>
          <w:szCs w:val="22"/>
        </w:rPr>
        <w:t xml:space="preserve">-year total burden by three to estimate an average annual burden of 5 hours. </w:t>
      </w:r>
      <w:r w:rsidR="006705F5">
        <w:rPr>
          <w:rFonts w:eastAsiaTheme="minorHAnsi" w:cstheme="minorBidi"/>
          <w:color w:val="auto"/>
          <w:szCs w:val="22"/>
        </w:rPr>
        <w:t xml:space="preserve"> </w:t>
      </w:r>
      <w:r>
        <w:rPr>
          <w:rFonts w:eastAsiaTheme="minorHAnsi" w:cstheme="minorBidi"/>
          <w:color w:val="auto"/>
          <w:szCs w:val="22"/>
        </w:rPr>
        <w:t xml:space="preserve">TSA then multiplies the average annual burden by the </w:t>
      </w:r>
      <w:r w:rsidRPr="000D35F8">
        <w:rPr>
          <w:rFonts w:eastAsiaTheme="minorHAnsi" w:cstheme="minorBidi"/>
          <w:color w:val="auto"/>
          <w:szCs w:val="22"/>
        </w:rPr>
        <w:t>$</w:t>
      </w:r>
      <w:r w:rsidRPr="000D35F8" w:rsidR="000D35F8">
        <w:rPr>
          <w:rFonts w:eastAsiaTheme="minorHAnsi" w:cstheme="minorBidi"/>
          <w:color w:val="auto"/>
          <w:szCs w:val="22"/>
        </w:rPr>
        <w:t>92.34</w:t>
      </w:r>
      <w:r w:rsidRPr="000D35F8">
        <w:rPr>
          <w:rFonts w:eastAsiaTheme="minorHAnsi" w:cstheme="minorBidi"/>
          <w:color w:val="auto"/>
          <w:szCs w:val="22"/>
        </w:rPr>
        <w:t xml:space="preserve"> compensation rate for SCs in freight rail to estimate an average annual cost of $</w:t>
      </w:r>
      <w:r w:rsidRPr="000D35F8" w:rsidR="000D35F8">
        <w:rPr>
          <w:rFonts w:eastAsiaTheme="minorHAnsi" w:cstheme="minorBidi"/>
          <w:color w:val="auto"/>
          <w:szCs w:val="22"/>
        </w:rPr>
        <w:t>438</w:t>
      </w:r>
      <w:r w:rsidRPr="000D35F8">
        <w:rPr>
          <w:rFonts w:eastAsiaTheme="minorHAnsi" w:cstheme="minorBidi"/>
          <w:color w:val="auto"/>
          <w:szCs w:val="22"/>
        </w:rPr>
        <w:t>.</w:t>
      </w:r>
    </w:p>
    <w:p w:rsidR="008E2883" w:rsidRPr="001837D9" w:rsidP="00B57037" w14:paraId="42CD7FAC" w14:textId="77777777">
      <w:pPr>
        <w:pStyle w:val="ListParagraph"/>
        <w:ind w:left="1080"/>
        <w:rPr>
          <w:rFonts w:eastAsiaTheme="minorHAnsi" w:cstheme="minorBidi"/>
          <w:color w:val="auto"/>
          <w:szCs w:val="22"/>
        </w:rPr>
      </w:pPr>
    </w:p>
    <w:p w:rsidR="00571738" w:rsidRPr="00B57037" w:rsidP="00571738" w14:paraId="22427CF5" w14:textId="3299A9B5">
      <w:pPr>
        <w:pStyle w:val="ListParagraph"/>
        <w:numPr>
          <w:ilvl w:val="0"/>
          <w:numId w:val="48"/>
        </w:numPr>
        <w:rPr>
          <w:rFonts w:eastAsiaTheme="minorHAnsi" w:cstheme="minorBidi"/>
          <w:color w:val="auto"/>
          <w:szCs w:val="22"/>
        </w:rPr>
      </w:pPr>
      <w:r>
        <w:rPr>
          <w:rFonts w:eastAsiaTheme="minorHAnsi" w:cstheme="minorBidi"/>
          <w:i/>
          <w:color w:val="auto"/>
          <w:szCs w:val="22"/>
        </w:rPr>
        <w:t xml:space="preserve">Freight Railroad Shippers and </w:t>
      </w:r>
      <w:r w:rsidR="00F34984">
        <w:rPr>
          <w:rFonts w:eastAsiaTheme="minorHAnsi" w:cstheme="minorBidi"/>
          <w:i/>
          <w:color w:val="auto"/>
          <w:szCs w:val="22"/>
        </w:rPr>
        <w:t>Receivers</w:t>
      </w:r>
      <w:r>
        <w:rPr>
          <w:rFonts w:eastAsiaTheme="minorHAnsi" w:cstheme="minorBidi"/>
          <w:i/>
          <w:color w:val="auto"/>
          <w:szCs w:val="22"/>
        </w:rPr>
        <w:t xml:space="preserve"> (FRSR): </w:t>
      </w:r>
      <w:r w:rsidR="008E2883">
        <w:rPr>
          <w:rFonts w:eastAsiaTheme="minorHAnsi" w:cstheme="minorBidi"/>
          <w:color w:val="auto"/>
          <w:szCs w:val="22"/>
        </w:rPr>
        <w:t xml:space="preserve">TSA estimates 96 unique respondents for SCs in the FRSR industry over the </w:t>
      </w:r>
      <w:r w:rsidR="00FC0D74">
        <w:rPr>
          <w:rFonts w:eastAsiaTheme="minorHAnsi" w:cstheme="minorBidi"/>
          <w:color w:val="auto"/>
          <w:szCs w:val="22"/>
        </w:rPr>
        <w:t>3</w:t>
      </w:r>
      <w:r w:rsidR="008E2883">
        <w:rPr>
          <w:rFonts w:eastAsiaTheme="minorHAnsi" w:cstheme="minorBidi"/>
          <w:color w:val="auto"/>
          <w:szCs w:val="22"/>
        </w:rPr>
        <w:t xml:space="preserve">-year period. </w:t>
      </w:r>
      <w:r w:rsidR="006705F5">
        <w:rPr>
          <w:rFonts w:eastAsiaTheme="minorHAnsi" w:cstheme="minorBidi"/>
          <w:color w:val="auto"/>
          <w:szCs w:val="22"/>
        </w:rPr>
        <w:t xml:space="preserve"> </w:t>
      </w:r>
      <w:r w:rsidR="008E2883">
        <w:rPr>
          <w:rFonts w:eastAsiaTheme="minorHAnsi" w:cstheme="minorBidi"/>
          <w:color w:val="auto"/>
          <w:szCs w:val="22"/>
        </w:rPr>
        <w:t xml:space="preserve">TSA multiplies the number of </w:t>
      </w:r>
      <w:r w:rsidR="00F34984">
        <w:rPr>
          <w:rFonts w:eastAsiaTheme="minorHAnsi" w:cstheme="minorBidi"/>
          <w:color w:val="auto"/>
          <w:szCs w:val="22"/>
        </w:rPr>
        <w:t>respondents</w:t>
      </w:r>
      <w:r w:rsidR="008E2883">
        <w:rPr>
          <w:rFonts w:eastAsiaTheme="minorHAnsi" w:cstheme="minorBidi"/>
          <w:color w:val="auto"/>
          <w:szCs w:val="22"/>
        </w:rPr>
        <w:t xml:space="preserve"> by the 0.08</w:t>
      </w:r>
      <w:r w:rsidR="00E25526">
        <w:rPr>
          <w:rFonts w:eastAsiaTheme="minorHAnsi" w:cstheme="minorBidi"/>
          <w:color w:val="auto"/>
          <w:szCs w:val="22"/>
        </w:rPr>
        <w:t xml:space="preserve"> hour burden per applicant to calculate</w:t>
      </w:r>
      <w:r w:rsidR="008E2883">
        <w:rPr>
          <w:rFonts w:eastAsiaTheme="minorHAnsi" w:cstheme="minorBidi"/>
          <w:color w:val="auto"/>
          <w:szCs w:val="22"/>
        </w:rPr>
        <w:t xml:space="preserve"> a </w:t>
      </w:r>
      <w:r w:rsidR="00FC0D74">
        <w:rPr>
          <w:rFonts w:eastAsiaTheme="minorHAnsi" w:cstheme="minorBidi"/>
          <w:color w:val="auto"/>
          <w:szCs w:val="22"/>
        </w:rPr>
        <w:t>3</w:t>
      </w:r>
      <w:r w:rsidR="008E2883">
        <w:rPr>
          <w:rFonts w:eastAsiaTheme="minorHAnsi" w:cstheme="minorBidi"/>
          <w:color w:val="auto"/>
          <w:szCs w:val="22"/>
        </w:rPr>
        <w:t>-year burden of 8 hours.</w:t>
      </w:r>
      <w:r w:rsidR="006705F5">
        <w:rPr>
          <w:rFonts w:eastAsiaTheme="minorHAnsi" w:cstheme="minorBidi"/>
          <w:color w:val="auto"/>
          <w:szCs w:val="22"/>
        </w:rPr>
        <w:t xml:space="preserve"> </w:t>
      </w:r>
      <w:r w:rsidR="008E2883">
        <w:rPr>
          <w:rFonts w:eastAsiaTheme="minorHAnsi" w:cstheme="minorBidi"/>
          <w:color w:val="auto"/>
          <w:szCs w:val="22"/>
        </w:rPr>
        <w:t xml:space="preserve"> Next, TSA divides the </w:t>
      </w:r>
      <w:r w:rsidR="00FC0D74">
        <w:rPr>
          <w:rFonts w:eastAsiaTheme="minorHAnsi" w:cstheme="minorBidi"/>
          <w:color w:val="auto"/>
          <w:szCs w:val="22"/>
        </w:rPr>
        <w:t>3</w:t>
      </w:r>
      <w:r w:rsidR="008E2883">
        <w:rPr>
          <w:rFonts w:eastAsiaTheme="minorHAnsi" w:cstheme="minorBidi"/>
          <w:color w:val="auto"/>
          <w:szCs w:val="22"/>
        </w:rPr>
        <w:t xml:space="preserve">-year total burden by three to estimate an average annual burden of 3 hours. </w:t>
      </w:r>
      <w:r w:rsidR="006705F5">
        <w:rPr>
          <w:rFonts w:eastAsiaTheme="minorHAnsi" w:cstheme="minorBidi"/>
          <w:color w:val="auto"/>
          <w:szCs w:val="22"/>
        </w:rPr>
        <w:t xml:space="preserve"> </w:t>
      </w:r>
      <w:r w:rsidR="008E2883">
        <w:rPr>
          <w:rFonts w:eastAsiaTheme="minorHAnsi" w:cstheme="minorBidi"/>
          <w:color w:val="auto"/>
          <w:szCs w:val="22"/>
        </w:rPr>
        <w:t xml:space="preserve">TSA then multiplies the average annual burden by </w:t>
      </w:r>
      <w:r w:rsidR="008E2883">
        <w:rPr>
          <w:rFonts w:eastAsiaTheme="minorHAnsi" w:cstheme="minorBidi"/>
          <w:color w:val="auto"/>
          <w:szCs w:val="22"/>
        </w:rPr>
        <w:t xml:space="preserve">the </w:t>
      </w:r>
      <w:r w:rsidRPr="000D35F8" w:rsidR="008E2883">
        <w:rPr>
          <w:rFonts w:eastAsiaTheme="minorHAnsi" w:cstheme="minorBidi"/>
          <w:color w:val="auto"/>
          <w:szCs w:val="22"/>
        </w:rPr>
        <w:t>$</w:t>
      </w:r>
      <w:r w:rsidRPr="000D35F8" w:rsidR="000D35F8">
        <w:rPr>
          <w:rFonts w:eastAsiaTheme="minorHAnsi" w:cstheme="minorBidi"/>
          <w:color w:val="auto"/>
          <w:szCs w:val="22"/>
        </w:rPr>
        <w:t>76.35</w:t>
      </w:r>
      <w:r w:rsidRPr="000D35F8" w:rsidR="008E2883">
        <w:rPr>
          <w:rFonts w:eastAsiaTheme="minorHAnsi" w:cstheme="minorBidi"/>
          <w:color w:val="auto"/>
          <w:szCs w:val="22"/>
        </w:rPr>
        <w:t xml:space="preserve"> compensation rate for SCs in the FRSR industry to estimate an average annual cost of $</w:t>
      </w:r>
      <w:r w:rsidRPr="00B57037" w:rsidR="000D35F8">
        <w:rPr>
          <w:rFonts w:eastAsiaTheme="minorHAnsi" w:cstheme="minorBidi"/>
          <w:color w:val="auto"/>
          <w:szCs w:val="22"/>
        </w:rPr>
        <w:t>203</w:t>
      </w:r>
      <w:r w:rsidRPr="000D35F8" w:rsidR="008E2883">
        <w:rPr>
          <w:rFonts w:eastAsiaTheme="minorHAnsi" w:cstheme="minorBidi"/>
          <w:color w:val="auto"/>
          <w:szCs w:val="22"/>
        </w:rPr>
        <w:t>.</w:t>
      </w:r>
    </w:p>
    <w:p w:rsidR="008E2883" w:rsidRPr="00B57037" w:rsidP="00B57037" w14:paraId="687E09CA" w14:textId="77777777">
      <w:pPr>
        <w:rPr>
          <w:rFonts w:eastAsiaTheme="minorHAnsi" w:cstheme="minorBidi"/>
          <w:color w:val="auto"/>
          <w:szCs w:val="22"/>
        </w:rPr>
      </w:pPr>
    </w:p>
    <w:p w:rsidR="00E25526" w:rsidP="00E25526" w14:paraId="3F1F882A" w14:textId="577AD979">
      <w:pPr>
        <w:pStyle w:val="ListParagraph"/>
        <w:numPr>
          <w:ilvl w:val="0"/>
          <w:numId w:val="48"/>
        </w:numPr>
        <w:rPr>
          <w:rFonts w:eastAsiaTheme="minorHAnsi" w:cstheme="minorBidi"/>
          <w:color w:val="auto"/>
          <w:szCs w:val="22"/>
        </w:rPr>
      </w:pPr>
      <w:r w:rsidRPr="001837D9">
        <w:rPr>
          <w:rFonts w:eastAsiaTheme="minorHAnsi" w:cstheme="minorBidi"/>
          <w:i/>
          <w:color w:val="auto"/>
          <w:szCs w:val="22"/>
        </w:rPr>
        <w:t xml:space="preserve">Public Transportation and </w:t>
      </w:r>
      <w:r w:rsidRPr="001837D9" w:rsidR="00F34984">
        <w:rPr>
          <w:rFonts w:eastAsiaTheme="minorHAnsi" w:cstheme="minorBidi"/>
          <w:i/>
          <w:color w:val="auto"/>
          <w:szCs w:val="22"/>
        </w:rPr>
        <w:t>Passenger</w:t>
      </w:r>
      <w:r w:rsidRPr="001837D9">
        <w:rPr>
          <w:rFonts w:eastAsiaTheme="minorHAnsi" w:cstheme="minorBidi"/>
          <w:i/>
          <w:color w:val="auto"/>
          <w:szCs w:val="22"/>
        </w:rPr>
        <w:t xml:space="preserve"> Railroad (PTPR) Owner/Operators:</w:t>
      </w:r>
      <w:r w:rsidR="006705F5">
        <w:rPr>
          <w:rFonts w:eastAsiaTheme="minorHAnsi" w:cstheme="minorBidi"/>
          <w:i/>
          <w:color w:val="auto"/>
          <w:szCs w:val="22"/>
        </w:rPr>
        <w:t xml:space="preserve"> </w:t>
      </w:r>
      <w:r>
        <w:rPr>
          <w:rFonts w:eastAsiaTheme="minorHAnsi" w:cstheme="minorBidi"/>
          <w:color w:val="auto"/>
          <w:szCs w:val="22"/>
        </w:rPr>
        <w:t xml:space="preserve">TSA estimates 77,097 unique respondents for SSEs in the PTPR industry over the </w:t>
      </w:r>
      <w:r w:rsidR="00FC0D74">
        <w:rPr>
          <w:rFonts w:eastAsiaTheme="minorHAnsi" w:cstheme="minorBidi"/>
          <w:color w:val="auto"/>
          <w:szCs w:val="22"/>
        </w:rPr>
        <w:t>3</w:t>
      </w:r>
      <w:r>
        <w:rPr>
          <w:rFonts w:eastAsiaTheme="minorHAnsi" w:cstheme="minorBidi"/>
          <w:color w:val="auto"/>
          <w:szCs w:val="22"/>
        </w:rPr>
        <w:t>-year period.</w:t>
      </w:r>
      <w:r w:rsidR="006705F5">
        <w:rPr>
          <w:rFonts w:eastAsiaTheme="minorHAnsi" w:cstheme="minorBidi"/>
          <w:color w:val="auto"/>
          <w:szCs w:val="22"/>
        </w:rPr>
        <w:t xml:space="preserve"> </w:t>
      </w:r>
      <w:r>
        <w:rPr>
          <w:rFonts w:eastAsiaTheme="minorHAnsi" w:cstheme="minorBidi"/>
          <w:color w:val="auto"/>
          <w:szCs w:val="22"/>
        </w:rPr>
        <w:t xml:space="preserve"> TSA multiplies the number of respondents by the 0.08 hour burden per applicant to calculate a </w:t>
      </w:r>
      <w:r w:rsidR="00FC0D74">
        <w:rPr>
          <w:rFonts w:eastAsiaTheme="minorHAnsi" w:cstheme="minorBidi"/>
          <w:color w:val="auto"/>
          <w:szCs w:val="22"/>
        </w:rPr>
        <w:t>3</w:t>
      </w:r>
      <w:r>
        <w:rPr>
          <w:rFonts w:eastAsiaTheme="minorHAnsi" w:cstheme="minorBidi"/>
          <w:color w:val="auto"/>
          <w:szCs w:val="22"/>
        </w:rPr>
        <w:t xml:space="preserve">-year burden of 6,425 hours. </w:t>
      </w:r>
      <w:r w:rsidR="00FC0D74">
        <w:rPr>
          <w:rFonts w:eastAsiaTheme="minorHAnsi" w:cstheme="minorBidi"/>
          <w:color w:val="auto"/>
          <w:szCs w:val="22"/>
        </w:rPr>
        <w:t xml:space="preserve"> </w:t>
      </w:r>
      <w:r>
        <w:rPr>
          <w:rFonts w:eastAsiaTheme="minorHAnsi" w:cstheme="minorBidi"/>
          <w:color w:val="auto"/>
          <w:szCs w:val="22"/>
        </w:rPr>
        <w:t xml:space="preserve">Next, TSA divides the </w:t>
      </w:r>
      <w:r w:rsidR="00FC0D74">
        <w:rPr>
          <w:rFonts w:eastAsiaTheme="minorHAnsi" w:cstheme="minorBidi"/>
          <w:color w:val="auto"/>
          <w:szCs w:val="22"/>
        </w:rPr>
        <w:t>3</w:t>
      </w:r>
      <w:r>
        <w:rPr>
          <w:rFonts w:eastAsiaTheme="minorHAnsi" w:cstheme="minorBidi"/>
          <w:color w:val="auto"/>
          <w:szCs w:val="22"/>
        </w:rPr>
        <w:t xml:space="preserve">-year total burden by three to estimate an average annual burden of 2,142 hours. </w:t>
      </w:r>
      <w:r w:rsidR="00FC0D74">
        <w:rPr>
          <w:rFonts w:eastAsiaTheme="minorHAnsi" w:cstheme="minorBidi"/>
          <w:color w:val="auto"/>
          <w:szCs w:val="22"/>
        </w:rPr>
        <w:t xml:space="preserve"> </w:t>
      </w:r>
      <w:r>
        <w:rPr>
          <w:rFonts w:eastAsiaTheme="minorHAnsi" w:cstheme="minorBidi"/>
          <w:color w:val="auto"/>
          <w:szCs w:val="22"/>
        </w:rPr>
        <w:t xml:space="preserve">TSA then multiplies the average annual burden by </w:t>
      </w:r>
      <w:r w:rsidRPr="000D35F8">
        <w:rPr>
          <w:rFonts w:eastAsiaTheme="minorHAnsi" w:cstheme="minorBidi"/>
          <w:color w:val="auto"/>
          <w:szCs w:val="22"/>
        </w:rPr>
        <w:t xml:space="preserve">the </w:t>
      </w:r>
      <w:r w:rsidRPr="00B57037">
        <w:rPr>
          <w:rFonts w:eastAsiaTheme="minorHAnsi" w:cstheme="minorBidi"/>
          <w:color w:val="auto"/>
          <w:szCs w:val="22"/>
        </w:rPr>
        <w:t>$</w:t>
      </w:r>
      <w:r w:rsidRPr="000D35F8" w:rsidR="000D35F8">
        <w:rPr>
          <w:rFonts w:eastAsiaTheme="minorHAnsi" w:cstheme="minorBidi"/>
          <w:color w:val="auto"/>
          <w:szCs w:val="22"/>
        </w:rPr>
        <w:t>38.98</w:t>
      </w:r>
      <w:r w:rsidRPr="000D35F8">
        <w:rPr>
          <w:rFonts w:eastAsiaTheme="minorHAnsi" w:cstheme="minorBidi"/>
          <w:color w:val="auto"/>
          <w:szCs w:val="22"/>
        </w:rPr>
        <w:t xml:space="preserve"> compensation rate for SSEs in the PTPR industry to estimate an average annual cost of </w:t>
      </w:r>
      <w:r w:rsidRPr="00B57037">
        <w:rPr>
          <w:rFonts w:eastAsiaTheme="minorHAnsi" w:cstheme="minorBidi"/>
          <w:color w:val="auto"/>
          <w:szCs w:val="22"/>
        </w:rPr>
        <w:t>$</w:t>
      </w:r>
      <w:r w:rsidR="00F625AF">
        <w:rPr>
          <w:rFonts w:eastAsiaTheme="minorHAnsi" w:cstheme="minorBidi"/>
          <w:color w:val="auto"/>
          <w:szCs w:val="22"/>
        </w:rPr>
        <w:t>83,482</w:t>
      </w:r>
      <w:r w:rsidRPr="000D35F8">
        <w:rPr>
          <w:rFonts w:eastAsiaTheme="minorHAnsi" w:cstheme="minorBidi"/>
          <w:color w:val="auto"/>
          <w:szCs w:val="22"/>
        </w:rPr>
        <w:t>.</w:t>
      </w:r>
    </w:p>
    <w:p w:rsidR="00571738" w:rsidP="00B57037" w14:paraId="6BC090B4" w14:textId="019A77D3">
      <w:pPr>
        <w:pStyle w:val="ListParagraph"/>
        <w:ind w:left="1080"/>
        <w:rPr>
          <w:rFonts w:eastAsiaTheme="minorHAnsi" w:cstheme="minorBidi"/>
          <w:color w:val="auto"/>
          <w:szCs w:val="22"/>
        </w:rPr>
      </w:pPr>
    </w:p>
    <w:p w:rsidR="00E25526" w:rsidRPr="00B86192" w:rsidP="00E25526" w14:paraId="4DB0BF0A" w14:textId="121DF077">
      <w:pPr>
        <w:pStyle w:val="ListParagraph"/>
        <w:ind w:left="1080"/>
        <w:rPr>
          <w:rFonts w:eastAsiaTheme="minorHAnsi" w:cstheme="minorBidi"/>
          <w:color w:val="auto"/>
          <w:szCs w:val="22"/>
        </w:rPr>
      </w:pPr>
      <w:r>
        <w:rPr>
          <w:rFonts w:eastAsiaTheme="minorHAnsi" w:cstheme="minorBidi"/>
          <w:color w:val="auto"/>
          <w:szCs w:val="22"/>
        </w:rPr>
        <w:t xml:space="preserve">Next, TSA estimates 54 unique respondents for SCs in the PTPR industry over the </w:t>
      </w:r>
      <w:r w:rsidR="00FC0D74">
        <w:rPr>
          <w:rFonts w:eastAsiaTheme="minorHAnsi" w:cstheme="minorBidi"/>
          <w:color w:val="auto"/>
          <w:szCs w:val="22"/>
        </w:rPr>
        <w:t>3</w:t>
      </w:r>
      <w:r>
        <w:rPr>
          <w:rFonts w:eastAsiaTheme="minorHAnsi" w:cstheme="minorBidi"/>
          <w:color w:val="auto"/>
          <w:szCs w:val="22"/>
        </w:rPr>
        <w:t xml:space="preserve">-year period. </w:t>
      </w:r>
      <w:r w:rsidR="006705F5">
        <w:rPr>
          <w:rFonts w:eastAsiaTheme="minorHAnsi" w:cstheme="minorBidi"/>
          <w:color w:val="auto"/>
          <w:szCs w:val="22"/>
        </w:rPr>
        <w:t xml:space="preserve"> </w:t>
      </w:r>
      <w:r>
        <w:rPr>
          <w:rFonts w:eastAsiaTheme="minorHAnsi" w:cstheme="minorBidi"/>
          <w:color w:val="auto"/>
          <w:szCs w:val="22"/>
        </w:rPr>
        <w:t xml:space="preserve">TSA multiplies the number of respondents by the 0.08 hour burden per applicant to calculate a </w:t>
      </w:r>
      <w:r w:rsidR="00FC0D74">
        <w:rPr>
          <w:rFonts w:eastAsiaTheme="minorHAnsi" w:cstheme="minorBidi"/>
          <w:color w:val="auto"/>
          <w:szCs w:val="22"/>
        </w:rPr>
        <w:t>3</w:t>
      </w:r>
      <w:r>
        <w:rPr>
          <w:rFonts w:eastAsiaTheme="minorHAnsi" w:cstheme="minorBidi"/>
          <w:color w:val="auto"/>
          <w:szCs w:val="22"/>
        </w:rPr>
        <w:t xml:space="preserve">-year burden of 4 hours. </w:t>
      </w:r>
      <w:r w:rsidR="006705F5">
        <w:rPr>
          <w:rFonts w:eastAsiaTheme="minorHAnsi" w:cstheme="minorBidi"/>
          <w:color w:val="auto"/>
          <w:szCs w:val="22"/>
        </w:rPr>
        <w:t xml:space="preserve"> </w:t>
      </w:r>
      <w:r>
        <w:rPr>
          <w:rFonts w:eastAsiaTheme="minorHAnsi" w:cstheme="minorBidi"/>
          <w:color w:val="auto"/>
          <w:szCs w:val="22"/>
        </w:rPr>
        <w:t xml:space="preserve">Next, TSA divides the </w:t>
      </w:r>
      <w:r w:rsidR="00FC0D74">
        <w:rPr>
          <w:rFonts w:eastAsiaTheme="minorHAnsi" w:cstheme="minorBidi"/>
          <w:color w:val="auto"/>
          <w:szCs w:val="22"/>
        </w:rPr>
        <w:t>3</w:t>
      </w:r>
      <w:r>
        <w:rPr>
          <w:rFonts w:eastAsiaTheme="minorHAnsi" w:cstheme="minorBidi"/>
          <w:color w:val="auto"/>
          <w:szCs w:val="22"/>
        </w:rPr>
        <w:t>-year total burden by three to estimate an average annual burden of 1 hour.</w:t>
      </w:r>
      <w:r w:rsidR="006705F5">
        <w:rPr>
          <w:rFonts w:eastAsiaTheme="minorHAnsi" w:cstheme="minorBidi"/>
          <w:color w:val="auto"/>
          <w:szCs w:val="22"/>
        </w:rPr>
        <w:t xml:space="preserve"> </w:t>
      </w:r>
      <w:r>
        <w:rPr>
          <w:rFonts w:eastAsiaTheme="minorHAnsi" w:cstheme="minorBidi"/>
          <w:color w:val="auto"/>
          <w:szCs w:val="22"/>
        </w:rPr>
        <w:t xml:space="preserve"> TSA then multiplies the average annual burden by the </w:t>
      </w:r>
      <w:r w:rsidRPr="00B57037">
        <w:rPr>
          <w:rFonts w:eastAsiaTheme="minorHAnsi" w:cstheme="minorBidi"/>
          <w:color w:val="auto"/>
          <w:szCs w:val="22"/>
        </w:rPr>
        <w:t>$</w:t>
      </w:r>
      <w:r w:rsidRPr="000D35F8" w:rsidR="000D35F8">
        <w:rPr>
          <w:rFonts w:eastAsiaTheme="minorHAnsi" w:cstheme="minorBidi"/>
          <w:color w:val="auto"/>
          <w:szCs w:val="22"/>
        </w:rPr>
        <w:t>88.41</w:t>
      </w:r>
      <w:r w:rsidRPr="000D35F8">
        <w:rPr>
          <w:rFonts w:eastAsiaTheme="minorHAnsi" w:cstheme="minorBidi"/>
          <w:color w:val="auto"/>
          <w:szCs w:val="22"/>
        </w:rPr>
        <w:t xml:space="preserve"> compensation rate for SCs in the PTPR industry to estimate an average annual cost of </w:t>
      </w:r>
      <w:r w:rsidRPr="00B57037">
        <w:rPr>
          <w:rFonts w:eastAsiaTheme="minorHAnsi" w:cstheme="minorBidi"/>
          <w:color w:val="auto"/>
          <w:szCs w:val="22"/>
        </w:rPr>
        <w:t>$</w:t>
      </w:r>
      <w:r w:rsidRPr="000D35F8" w:rsidR="000D35F8">
        <w:rPr>
          <w:rFonts w:eastAsiaTheme="minorHAnsi" w:cstheme="minorBidi"/>
          <w:color w:val="auto"/>
          <w:szCs w:val="22"/>
        </w:rPr>
        <w:t>132</w:t>
      </w:r>
      <w:r w:rsidRPr="000D35F8">
        <w:rPr>
          <w:rFonts w:eastAsiaTheme="minorHAnsi" w:cstheme="minorBidi"/>
          <w:color w:val="auto"/>
          <w:szCs w:val="22"/>
        </w:rPr>
        <w:t>.</w:t>
      </w:r>
    </w:p>
    <w:p w:rsidR="00E25526" w:rsidRPr="001837D9" w:rsidP="00B57037" w14:paraId="1EB4683D" w14:textId="77777777">
      <w:pPr>
        <w:pStyle w:val="ListParagraph"/>
        <w:ind w:left="1080"/>
        <w:rPr>
          <w:rFonts w:eastAsiaTheme="minorHAnsi" w:cstheme="minorBidi"/>
          <w:color w:val="auto"/>
          <w:szCs w:val="22"/>
        </w:rPr>
      </w:pPr>
    </w:p>
    <w:p w:rsidR="00571738" w:rsidP="00B57037" w14:paraId="3DE5AF93" w14:textId="3347DAA8">
      <w:pPr>
        <w:pStyle w:val="ListParagraph"/>
        <w:numPr>
          <w:ilvl w:val="0"/>
          <w:numId w:val="48"/>
        </w:numPr>
        <w:rPr>
          <w:rFonts w:eastAsiaTheme="minorHAnsi" w:cstheme="minorBidi"/>
          <w:color w:val="auto"/>
          <w:szCs w:val="22"/>
        </w:rPr>
      </w:pPr>
      <w:r>
        <w:rPr>
          <w:rFonts w:eastAsiaTheme="minorHAnsi" w:cstheme="minorBidi"/>
          <w:i/>
          <w:color w:val="auto"/>
          <w:szCs w:val="22"/>
        </w:rPr>
        <w:t>Over-the-Road Buses (OTRB) Owner/Operators:</w:t>
      </w:r>
      <w:r w:rsidRPr="00204AB6">
        <w:rPr>
          <w:rFonts w:eastAsiaTheme="minorHAnsi" w:cstheme="minorBidi"/>
          <w:color w:val="auto"/>
          <w:szCs w:val="22"/>
        </w:rPr>
        <w:t xml:space="preserve"> </w:t>
      </w:r>
      <w:r w:rsidR="00E25526">
        <w:rPr>
          <w:rFonts w:eastAsiaTheme="minorHAnsi" w:cstheme="minorBidi"/>
          <w:color w:val="auto"/>
          <w:szCs w:val="22"/>
        </w:rPr>
        <w:t xml:space="preserve">TSA estimates 69 unique respondents for SCs in the OTRB industry over the </w:t>
      </w:r>
      <w:r w:rsidR="00FC0D74">
        <w:rPr>
          <w:rFonts w:eastAsiaTheme="minorHAnsi" w:cstheme="minorBidi"/>
          <w:color w:val="auto"/>
          <w:szCs w:val="22"/>
        </w:rPr>
        <w:t>3</w:t>
      </w:r>
      <w:r w:rsidR="00E25526">
        <w:rPr>
          <w:rFonts w:eastAsiaTheme="minorHAnsi" w:cstheme="minorBidi"/>
          <w:color w:val="auto"/>
          <w:szCs w:val="22"/>
        </w:rPr>
        <w:t xml:space="preserve">-year period. </w:t>
      </w:r>
      <w:r w:rsidR="006705F5">
        <w:rPr>
          <w:rFonts w:eastAsiaTheme="minorHAnsi" w:cstheme="minorBidi"/>
          <w:color w:val="auto"/>
          <w:szCs w:val="22"/>
        </w:rPr>
        <w:t xml:space="preserve"> </w:t>
      </w:r>
      <w:r w:rsidR="00E25526">
        <w:rPr>
          <w:rFonts w:eastAsiaTheme="minorHAnsi" w:cstheme="minorBidi"/>
          <w:color w:val="auto"/>
          <w:szCs w:val="22"/>
        </w:rPr>
        <w:t xml:space="preserve">TSA multiplies the number of </w:t>
      </w:r>
      <w:r w:rsidR="00F34984">
        <w:rPr>
          <w:rFonts w:eastAsiaTheme="minorHAnsi" w:cstheme="minorBidi"/>
          <w:color w:val="auto"/>
          <w:szCs w:val="22"/>
        </w:rPr>
        <w:t>respondents</w:t>
      </w:r>
      <w:r w:rsidR="00E25526">
        <w:rPr>
          <w:rFonts w:eastAsiaTheme="minorHAnsi" w:cstheme="minorBidi"/>
          <w:color w:val="auto"/>
          <w:szCs w:val="22"/>
        </w:rPr>
        <w:t xml:space="preserve"> by the 0.08 hour burden per applicant to calculate a </w:t>
      </w:r>
      <w:r w:rsidR="00FC0D74">
        <w:rPr>
          <w:rFonts w:eastAsiaTheme="minorHAnsi" w:cstheme="minorBidi"/>
          <w:color w:val="auto"/>
          <w:szCs w:val="22"/>
        </w:rPr>
        <w:t>3</w:t>
      </w:r>
      <w:r w:rsidR="00E25526">
        <w:rPr>
          <w:rFonts w:eastAsiaTheme="minorHAnsi" w:cstheme="minorBidi"/>
          <w:color w:val="auto"/>
          <w:szCs w:val="22"/>
        </w:rPr>
        <w:t xml:space="preserve">-year burden of 6 hours. </w:t>
      </w:r>
      <w:r w:rsidR="006705F5">
        <w:rPr>
          <w:rFonts w:eastAsiaTheme="minorHAnsi" w:cstheme="minorBidi"/>
          <w:color w:val="auto"/>
          <w:szCs w:val="22"/>
        </w:rPr>
        <w:t xml:space="preserve"> </w:t>
      </w:r>
      <w:r w:rsidR="00E25526">
        <w:rPr>
          <w:rFonts w:eastAsiaTheme="minorHAnsi" w:cstheme="minorBidi"/>
          <w:color w:val="auto"/>
          <w:szCs w:val="22"/>
        </w:rPr>
        <w:t xml:space="preserve">Next, TSA divides the </w:t>
      </w:r>
      <w:r w:rsidR="00FC0D74">
        <w:rPr>
          <w:rFonts w:eastAsiaTheme="minorHAnsi" w:cstheme="minorBidi"/>
          <w:color w:val="auto"/>
          <w:szCs w:val="22"/>
        </w:rPr>
        <w:t>3</w:t>
      </w:r>
      <w:r w:rsidR="00E25526">
        <w:rPr>
          <w:rFonts w:eastAsiaTheme="minorHAnsi" w:cstheme="minorBidi"/>
          <w:color w:val="auto"/>
          <w:szCs w:val="22"/>
        </w:rPr>
        <w:t xml:space="preserve">-year total burden by three to estimate an average annual burden of 2 hours. </w:t>
      </w:r>
      <w:r w:rsidR="006705F5">
        <w:rPr>
          <w:rFonts w:eastAsiaTheme="minorHAnsi" w:cstheme="minorBidi"/>
          <w:color w:val="auto"/>
          <w:szCs w:val="22"/>
        </w:rPr>
        <w:t xml:space="preserve"> </w:t>
      </w:r>
      <w:r w:rsidR="00E25526">
        <w:rPr>
          <w:rFonts w:eastAsiaTheme="minorHAnsi" w:cstheme="minorBidi"/>
          <w:color w:val="auto"/>
          <w:szCs w:val="22"/>
        </w:rPr>
        <w:t xml:space="preserve">TSA then multiplies the average annual burden by </w:t>
      </w:r>
      <w:r w:rsidRPr="000D35F8" w:rsidR="00E25526">
        <w:rPr>
          <w:rFonts w:eastAsiaTheme="minorHAnsi" w:cstheme="minorBidi"/>
          <w:color w:val="auto"/>
          <w:szCs w:val="22"/>
        </w:rPr>
        <w:t xml:space="preserve">the </w:t>
      </w:r>
      <w:r w:rsidRPr="00B57037" w:rsidR="00E25526">
        <w:rPr>
          <w:rFonts w:eastAsiaTheme="minorHAnsi" w:cstheme="minorBidi"/>
          <w:color w:val="auto"/>
          <w:szCs w:val="22"/>
        </w:rPr>
        <w:t>$</w:t>
      </w:r>
      <w:r w:rsidRPr="000D35F8" w:rsidR="000D35F8">
        <w:rPr>
          <w:rFonts w:eastAsiaTheme="minorHAnsi" w:cstheme="minorBidi"/>
          <w:color w:val="auto"/>
          <w:szCs w:val="22"/>
        </w:rPr>
        <w:t>69.63</w:t>
      </w:r>
      <w:r w:rsidRPr="000D35F8" w:rsidR="00E25526">
        <w:rPr>
          <w:rFonts w:eastAsiaTheme="minorHAnsi" w:cstheme="minorBidi"/>
          <w:color w:val="auto"/>
          <w:szCs w:val="22"/>
        </w:rPr>
        <w:t xml:space="preserve"> compensation rate for SCs in the OTRB industry to estimate an average annual cost of $</w:t>
      </w:r>
      <w:r w:rsidRPr="00B57037" w:rsidR="000D35F8">
        <w:rPr>
          <w:rFonts w:eastAsiaTheme="minorHAnsi" w:cstheme="minorBidi"/>
          <w:color w:val="auto"/>
          <w:szCs w:val="22"/>
        </w:rPr>
        <w:t>133</w:t>
      </w:r>
      <w:r w:rsidRPr="00B57037" w:rsidR="00E25526">
        <w:rPr>
          <w:rFonts w:eastAsiaTheme="minorHAnsi" w:cstheme="minorBidi"/>
          <w:color w:val="auto"/>
          <w:szCs w:val="22"/>
        </w:rPr>
        <w:t>.</w:t>
      </w:r>
    </w:p>
    <w:p w:rsidR="00571738" w:rsidRPr="00B57037" w:rsidP="00B57037" w14:paraId="2F983411" w14:textId="77777777">
      <w:pPr>
        <w:pStyle w:val="ListParagraph"/>
        <w:ind w:left="1080"/>
        <w:rPr>
          <w:rFonts w:eastAsiaTheme="minorHAnsi" w:cstheme="minorBidi"/>
          <w:color w:val="auto"/>
          <w:szCs w:val="22"/>
        </w:rPr>
      </w:pPr>
    </w:p>
    <w:p w:rsidR="00BA4FDF" w:rsidRPr="00B57037" w:rsidP="00B57037" w14:paraId="0D6E002E" w14:textId="44E38B86">
      <w:pPr>
        <w:keepNext/>
        <w:numPr>
          <w:ilvl w:val="2"/>
          <w:numId w:val="0"/>
        </w:numPr>
        <w:tabs>
          <w:tab w:val="left" w:pos="0"/>
          <w:tab w:val="left" w:pos="900"/>
          <w:tab w:val="left" w:pos="1080"/>
        </w:tabs>
        <w:spacing w:before="120" w:after="240"/>
        <w:ind w:left="1080"/>
        <w:outlineLvl w:val="2"/>
        <w:rPr>
          <w:rFonts w:ascii="Times New Roman Bold" w:eastAsia="MS Mincho" w:hAnsi="Times New Roman Bold" w:cstheme="minorBidi" w:hint="eastAsia"/>
          <w:bCs/>
          <w:i/>
          <w:color w:val="auto"/>
          <w:szCs w:val="24"/>
        </w:rPr>
      </w:pPr>
      <w:r w:rsidRPr="00B57037">
        <w:rPr>
          <w:rFonts w:ascii="Times New Roman Bold" w:eastAsia="MS Mincho" w:hAnsi="Times New Roman Bold" w:cstheme="minorBidi" w:hint="eastAsia"/>
          <w:bCs/>
          <w:i/>
          <w:color w:val="auto"/>
          <w:szCs w:val="24"/>
        </w:rPr>
        <w:t xml:space="preserve">Summary of Total </w:t>
      </w:r>
      <w:r w:rsidRPr="00B57037">
        <w:rPr>
          <w:rFonts w:ascii="Times New Roman Bold" w:eastAsia="MS Mincho" w:hAnsi="Times New Roman Bold" w:cstheme="minorBidi" w:hint="eastAsia"/>
          <w:bCs/>
          <w:i/>
          <w:color w:val="auto"/>
          <w:szCs w:val="24"/>
        </w:rPr>
        <w:t>Responses and Time Burden</w:t>
      </w:r>
      <w:bookmarkEnd w:id="2"/>
      <w:bookmarkEnd w:id="3"/>
      <w:r w:rsidR="00A80961">
        <w:rPr>
          <w:rFonts w:ascii="Times New Roman Bold" w:eastAsia="MS Mincho" w:hAnsi="Times New Roman Bold" w:cstheme="minorBidi"/>
          <w:bCs/>
          <w:i/>
          <w:color w:val="auto"/>
          <w:szCs w:val="24"/>
        </w:rPr>
        <w:t>, and Average Annual Cost Burden</w:t>
      </w:r>
    </w:p>
    <w:p w:rsidR="00BA4FDF" w:rsidRPr="00BA4FDF" w:rsidP="00B57037" w14:paraId="5009A5D3" w14:textId="127AA621">
      <w:pPr>
        <w:ind w:left="1080"/>
        <w:rPr>
          <w:rFonts w:eastAsiaTheme="minorHAnsi" w:cstheme="minorBidi"/>
          <w:color w:val="auto"/>
          <w:szCs w:val="22"/>
        </w:rPr>
      </w:pPr>
      <w:r w:rsidRPr="00BA4FDF">
        <w:rPr>
          <w:rFonts w:eastAsiaTheme="minorHAnsi" w:cstheme="minorBidi"/>
          <w:color w:val="auto"/>
          <w:szCs w:val="22"/>
        </w:rPr>
        <w:t xml:space="preserve">TSA estimates </w:t>
      </w:r>
      <w:r w:rsidR="00A80961">
        <w:rPr>
          <w:rFonts w:eastAsiaTheme="minorHAnsi" w:cstheme="minorBidi"/>
          <w:color w:val="auto"/>
          <w:szCs w:val="22"/>
        </w:rPr>
        <w:t>924,594 unique</w:t>
      </w:r>
      <w:r w:rsidRPr="00BA4FDF" w:rsidR="00A80961">
        <w:rPr>
          <w:rFonts w:eastAsiaTheme="minorHAnsi" w:cstheme="minorBidi"/>
          <w:color w:val="auto"/>
          <w:szCs w:val="22"/>
        </w:rPr>
        <w:t xml:space="preserve"> </w:t>
      </w:r>
      <w:r w:rsidR="00A80961">
        <w:rPr>
          <w:rFonts w:eastAsiaTheme="minorHAnsi" w:cstheme="minorBidi"/>
          <w:color w:val="auto"/>
          <w:szCs w:val="22"/>
        </w:rPr>
        <w:t xml:space="preserve">respondents over the </w:t>
      </w:r>
      <w:r w:rsidR="00FC0D74">
        <w:rPr>
          <w:rFonts w:eastAsiaTheme="minorHAnsi" w:cstheme="minorBidi"/>
          <w:color w:val="auto"/>
          <w:szCs w:val="22"/>
        </w:rPr>
        <w:t>3</w:t>
      </w:r>
      <w:r w:rsidR="00A80961">
        <w:rPr>
          <w:rFonts w:eastAsiaTheme="minorHAnsi" w:cstheme="minorBidi"/>
          <w:color w:val="auto"/>
          <w:szCs w:val="22"/>
        </w:rPr>
        <w:t xml:space="preserve">-year period of the collection </w:t>
      </w:r>
      <w:r w:rsidRPr="00BA4FDF">
        <w:rPr>
          <w:rFonts w:eastAsiaTheme="minorHAnsi" w:cstheme="minorBidi"/>
          <w:color w:val="auto"/>
          <w:szCs w:val="22"/>
        </w:rPr>
        <w:t>(</w:t>
      </w:r>
      <w:r w:rsidR="00537546">
        <w:rPr>
          <w:rFonts w:eastAsiaTheme="minorHAnsi" w:cstheme="minorBidi"/>
          <w:color w:val="auto"/>
          <w:szCs w:val="22"/>
        </w:rPr>
        <w:t>346,801</w:t>
      </w:r>
      <w:r w:rsidRPr="00BA4FDF">
        <w:rPr>
          <w:rFonts w:eastAsiaTheme="minorHAnsi" w:cstheme="minorBidi"/>
          <w:color w:val="auto"/>
          <w:szCs w:val="22"/>
        </w:rPr>
        <w:t xml:space="preserve"> freight rail, </w:t>
      </w:r>
      <w:r w:rsidR="00537546">
        <w:rPr>
          <w:rFonts w:eastAsiaTheme="minorHAnsi" w:cstheme="minorBidi"/>
          <w:color w:val="auto"/>
          <w:szCs w:val="22"/>
        </w:rPr>
        <w:t xml:space="preserve">1,417 FRSR, 575,039 </w:t>
      </w:r>
      <w:r w:rsidRPr="00BA4FDF">
        <w:rPr>
          <w:rFonts w:eastAsiaTheme="minorHAnsi" w:cstheme="minorBidi"/>
          <w:color w:val="auto"/>
          <w:szCs w:val="22"/>
        </w:rPr>
        <w:t xml:space="preserve">PTPR, and </w:t>
      </w:r>
      <w:r w:rsidR="00C63026">
        <w:rPr>
          <w:rFonts w:eastAsiaTheme="minorHAnsi" w:cstheme="minorBidi"/>
          <w:color w:val="auto"/>
          <w:szCs w:val="22"/>
        </w:rPr>
        <w:t>1</w:t>
      </w:r>
      <w:r w:rsidR="00537546">
        <w:rPr>
          <w:rFonts w:eastAsiaTheme="minorHAnsi" w:cstheme="minorBidi"/>
          <w:color w:val="auto"/>
          <w:szCs w:val="22"/>
        </w:rPr>
        <w:t>,337</w:t>
      </w:r>
      <w:r w:rsidRPr="00BA4FDF">
        <w:rPr>
          <w:rFonts w:eastAsiaTheme="minorHAnsi" w:cstheme="minorBidi"/>
          <w:color w:val="auto"/>
          <w:szCs w:val="22"/>
        </w:rPr>
        <w:t xml:space="preserve"> OTRB responses)</w:t>
      </w:r>
      <w:r w:rsidR="00A80961">
        <w:rPr>
          <w:rFonts w:eastAsiaTheme="minorHAnsi" w:cstheme="minorBidi"/>
          <w:color w:val="auto"/>
          <w:szCs w:val="22"/>
        </w:rPr>
        <w:t xml:space="preserve"> and </w:t>
      </w:r>
      <w:r w:rsidRPr="00BA4FDF">
        <w:rPr>
          <w:rFonts w:eastAsiaTheme="minorHAnsi" w:cstheme="minorBidi"/>
          <w:color w:val="auto"/>
          <w:szCs w:val="22"/>
        </w:rPr>
        <w:t>an average</w:t>
      </w:r>
      <w:r w:rsidR="00A80961">
        <w:rPr>
          <w:rFonts w:eastAsiaTheme="minorHAnsi" w:cstheme="minorBidi"/>
          <w:color w:val="auto"/>
          <w:szCs w:val="22"/>
        </w:rPr>
        <w:t xml:space="preserve"> of</w:t>
      </w:r>
      <w:r w:rsidRPr="00BA4FDF">
        <w:rPr>
          <w:rFonts w:eastAsiaTheme="minorHAnsi" w:cstheme="minorBidi"/>
          <w:color w:val="auto"/>
          <w:szCs w:val="22"/>
        </w:rPr>
        <w:t xml:space="preserve"> </w:t>
      </w:r>
      <w:r w:rsidR="00A80961">
        <w:rPr>
          <w:rFonts w:eastAsiaTheme="minorHAnsi" w:cstheme="minorBidi"/>
          <w:color w:val="auto"/>
          <w:szCs w:val="22"/>
        </w:rPr>
        <w:t>308,198</w:t>
      </w:r>
      <w:r w:rsidRPr="00BA4FDF" w:rsidR="00A80961">
        <w:rPr>
          <w:rFonts w:eastAsiaTheme="minorHAnsi" w:cstheme="minorBidi"/>
          <w:color w:val="auto"/>
          <w:szCs w:val="22"/>
        </w:rPr>
        <w:t xml:space="preserve"> </w:t>
      </w:r>
      <w:r w:rsidRPr="00BA4FDF">
        <w:rPr>
          <w:rFonts w:eastAsiaTheme="minorHAnsi" w:cstheme="minorBidi"/>
          <w:color w:val="auto"/>
          <w:szCs w:val="22"/>
        </w:rPr>
        <w:t xml:space="preserve">annual </w:t>
      </w:r>
      <w:r w:rsidR="00A80961">
        <w:rPr>
          <w:rFonts w:eastAsiaTheme="minorHAnsi" w:cstheme="minorBidi"/>
          <w:color w:val="auto"/>
          <w:szCs w:val="22"/>
        </w:rPr>
        <w:t>respondents</w:t>
      </w:r>
      <w:r w:rsidRPr="00BA4FDF">
        <w:rPr>
          <w:rFonts w:eastAsiaTheme="minorHAnsi" w:cstheme="minorBidi"/>
          <w:color w:val="auto"/>
          <w:szCs w:val="22"/>
        </w:rPr>
        <w:t xml:space="preserve"> (</w:t>
      </w:r>
      <w:r w:rsidR="00A80961">
        <w:rPr>
          <w:rFonts w:eastAsiaTheme="minorHAnsi" w:cstheme="minorBidi"/>
          <w:color w:val="auto"/>
          <w:szCs w:val="22"/>
        </w:rPr>
        <w:t>115,600</w:t>
      </w:r>
      <w:r w:rsidRPr="00BA4FDF">
        <w:rPr>
          <w:rFonts w:eastAsiaTheme="minorHAnsi" w:cstheme="minorBidi"/>
          <w:color w:val="auto"/>
          <w:szCs w:val="22"/>
        </w:rPr>
        <w:t xml:space="preserve"> freight rail, </w:t>
      </w:r>
      <w:r w:rsidR="00A80961">
        <w:rPr>
          <w:rFonts w:eastAsiaTheme="minorHAnsi" w:cstheme="minorBidi"/>
          <w:color w:val="auto"/>
          <w:szCs w:val="22"/>
        </w:rPr>
        <w:t>472 FRSR, 191,680</w:t>
      </w:r>
      <w:r w:rsidRPr="00BA4FDF">
        <w:rPr>
          <w:rFonts w:eastAsiaTheme="minorHAnsi" w:cstheme="minorBidi"/>
          <w:color w:val="auto"/>
          <w:szCs w:val="22"/>
        </w:rPr>
        <w:t xml:space="preserve"> PTPR, and </w:t>
      </w:r>
      <w:r w:rsidR="00C63026">
        <w:rPr>
          <w:rFonts w:eastAsiaTheme="minorHAnsi" w:cstheme="minorBidi"/>
          <w:color w:val="auto"/>
          <w:szCs w:val="22"/>
        </w:rPr>
        <w:t>4</w:t>
      </w:r>
      <w:r w:rsidR="00A80961">
        <w:rPr>
          <w:rFonts w:eastAsiaTheme="minorHAnsi" w:cstheme="minorBidi"/>
          <w:color w:val="auto"/>
          <w:szCs w:val="22"/>
        </w:rPr>
        <w:t>46</w:t>
      </w:r>
      <w:r w:rsidRPr="00BA4FDF">
        <w:rPr>
          <w:rFonts w:eastAsiaTheme="minorHAnsi" w:cstheme="minorBidi"/>
          <w:color w:val="auto"/>
          <w:szCs w:val="22"/>
        </w:rPr>
        <w:t xml:space="preserve"> OTRB).</w:t>
      </w:r>
    </w:p>
    <w:p w:rsidR="0020284F" w:rsidP="00B57037" w14:paraId="6BF55D7E" w14:textId="7C52B421">
      <w:pPr>
        <w:widowControl w:val="0"/>
        <w:ind w:left="1080"/>
        <w:rPr>
          <w:rFonts w:eastAsiaTheme="minorHAnsi" w:cstheme="minorBidi"/>
          <w:color w:val="auto"/>
          <w:szCs w:val="22"/>
        </w:rPr>
      </w:pPr>
    </w:p>
    <w:p w:rsidR="00A80961" w:rsidP="00B57037" w14:paraId="0A9D7D81" w14:textId="61AD7308">
      <w:pPr>
        <w:widowControl w:val="0"/>
        <w:ind w:left="1080"/>
        <w:rPr>
          <w:rFonts w:eastAsiaTheme="minorHAnsi" w:cstheme="minorBidi"/>
          <w:color w:val="auto"/>
          <w:szCs w:val="22"/>
        </w:rPr>
      </w:pPr>
      <w:r w:rsidRPr="00BA4FDF">
        <w:rPr>
          <w:rFonts w:eastAsiaTheme="minorHAnsi" w:cstheme="minorBidi"/>
          <w:color w:val="auto"/>
          <w:szCs w:val="22"/>
        </w:rPr>
        <w:t xml:space="preserve">TSA estimates a </w:t>
      </w:r>
      <w:r w:rsidR="00FC0D74">
        <w:rPr>
          <w:rFonts w:eastAsiaTheme="minorHAnsi" w:cstheme="minorBidi"/>
          <w:color w:val="auto"/>
          <w:szCs w:val="22"/>
        </w:rPr>
        <w:t>3</w:t>
      </w:r>
      <w:r w:rsidRPr="00BA4FDF">
        <w:rPr>
          <w:rFonts w:eastAsiaTheme="minorHAnsi" w:cstheme="minorBidi"/>
          <w:color w:val="auto"/>
          <w:szCs w:val="22"/>
        </w:rPr>
        <w:t>-year</w:t>
      </w:r>
      <w:r>
        <w:rPr>
          <w:rFonts w:eastAsiaTheme="minorHAnsi" w:cstheme="minorBidi"/>
          <w:color w:val="auto"/>
          <w:szCs w:val="22"/>
        </w:rPr>
        <w:t xml:space="preserve"> </w:t>
      </w:r>
      <w:r w:rsidRPr="00BA4FDF">
        <w:rPr>
          <w:rFonts w:eastAsiaTheme="minorHAnsi" w:cstheme="minorBidi"/>
          <w:color w:val="auto"/>
          <w:szCs w:val="22"/>
        </w:rPr>
        <w:t xml:space="preserve">total time burden of </w:t>
      </w:r>
      <w:r w:rsidR="00EC3FE4">
        <w:rPr>
          <w:rFonts w:eastAsiaTheme="minorHAnsi" w:cstheme="minorBidi"/>
          <w:color w:val="auto"/>
          <w:szCs w:val="22"/>
        </w:rPr>
        <w:t>544,035</w:t>
      </w:r>
      <w:r w:rsidRPr="00BA4FDF">
        <w:rPr>
          <w:rFonts w:eastAsiaTheme="minorHAnsi" w:cstheme="minorBidi"/>
          <w:color w:val="auto"/>
          <w:szCs w:val="22"/>
        </w:rPr>
        <w:t xml:space="preserve"> hours (</w:t>
      </w:r>
      <w:r>
        <w:rPr>
          <w:rFonts w:eastAsiaTheme="minorHAnsi" w:cstheme="minorBidi"/>
          <w:color w:val="auto"/>
          <w:szCs w:val="22"/>
        </w:rPr>
        <w:t>197,625</w:t>
      </w:r>
      <w:r w:rsidRPr="00BA4FDF">
        <w:rPr>
          <w:rFonts w:eastAsiaTheme="minorHAnsi" w:cstheme="minorBidi"/>
          <w:color w:val="auto"/>
          <w:szCs w:val="22"/>
        </w:rPr>
        <w:t xml:space="preserve"> freight rail</w:t>
      </w:r>
      <w:r>
        <w:rPr>
          <w:rFonts w:eastAsiaTheme="minorHAnsi" w:cstheme="minorBidi"/>
          <w:color w:val="auto"/>
          <w:szCs w:val="22"/>
        </w:rPr>
        <w:t>, 541 FRSR,</w:t>
      </w:r>
      <w:r w:rsidRPr="00BA4FDF">
        <w:rPr>
          <w:rFonts w:eastAsiaTheme="minorHAnsi" w:cstheme="minorBidi"/>
          <w:color w:val="auto"/>
          <w:szCs w:val="22"/>
        </w:rPr>
        <w:t xml:space="preserve"> </w:t>
      </w:r>
      <w:r w:rsidR="00EC3FE4">
        <w:rPr>
          <w:rFonts w:eastAsiaTheme="minorHAnsi" w:cstheme="minorBidi"/>
          <w:color w:val="auto"/>
          <w:szCs w:val="22"/>
        </w:rPr>
        <w:t>345,442</w:t>
      </w:r>
      <w:r w:rsidRPr="00BA4FDF">
        <w:rPr>
          <w:rFonts w:eastAsiaTheme="minorHAnsi" w:cstheme="minorBidi"/>
          <w:color w:val="auto"/>
          <w:szCs w:val="22"/>
        </w:rPr>
        <w:t xml:space="preserve"> PTPR, and </w:t>
      </w:r>
      <w:r w:rsidR="00EC3FE4">
        <w:rPr>
          <w:rFonts w:eastAsiaTheme="minorHAnsi" w:cstheme="minorBidi"/>
          <w:color w:val="auto"/>
          <w:szCs w:val="22"/>
        </w:rPr>
        <w:t>428</w:t>
      </w:r>
      <w:r w:rsidRPr="00BA4FDF">
        <w:rPr>
          <w:rFonts w:eastAsiaTheme="minorHAnsi" w:cstheme="minorBidi"/>
          <w:color w:val="auto"/>
          <w:szCs w:val="22"/>
        </w:rPr>
        <w:t xml:space="preserve"> OTRB hours)</w:t>
      </w:r>
      <w:r>
        <w:rPr>
          <w:rFonts w:eastAsiaTheme="minorHAnsi" w:cstheme="minorBidi"/>
          <w:color w:val="auto"/>
          <w:szCs w:val="22"/>
        </w:rPr>
        <w:t xml:space="preserve"> and</w:t>
      </w:r>
      <w:r w:rsidRPr="00BA4FDF">
        <w:rPr>
          <w:rFonts w:eastAsiaTheme="minorHAnsi" w:cstheme="minorBidi"/>
          <w:color w:val="auto"/>
          <w:szCs w:val="22"/>
        </w:rPr>
        <w:t xml:space="preserve"> an average annual time burden of </w:t>
      </w:r>
      <w:r w:rsidR="00EC3FE4">
        <w:rPr>
          <w:rFonts w:eastAsiaTheme="minorHAnsi" w:cstheme="minorBidi"/>
          <w:color w:val="auto"/>
          <w:szCs w:val="22"/>
        </w:rPr>
        <w:t>181,345</w:t>
      </w:r>
      <w:r w:rsidRPr="00BA4FDF">
        <w:rPr>
          <w:rFonts w:eastAsiaTheme="minorHAnsi" w:cstheme="minorBidi"/>
          <w:color w:val="auto"/>
          <w:szCs w:val="22"/>
        </w:rPr>
        <w:t xml:space="preserve"> hours (</w:t>
      </w:r>
      <w:r w:rsidR="00EC3FE4">
        <w:rPr>
          <w:rFonts w:eastAsiaTheme="minorHAnsi" w:cstheme="minorBidi"/>
          <w:color w:val="auto"/>
          <w:szCs w:val="22"/>
        </w:rPr>
        <w:t>6</w:t>
      </w:r>
      <w:r>
        <w:rPr>
          <w:rFonts w:eastAsiaTheme="minorHAnsi" w:cstheme="minorBidi"/>
          <w:color w:val="auto"/>
          <w:szCs w:val="22"/>
        </w:rPr>
        <w:t xml:space="preserve">5,875 </w:t>
      </w:r>
      <w:r w:rsidRPr="00BA4FDF">
        <w:rPr>
          <w:rFonts w:eastAsiaTheme="minorHAnsi" w:cstheme="minorBidi"/>
          <w:color w:val="auto"/>
          <w:szCs w:val="22"/>
        </w:rPr>
        <w:t>freight rail</w:t>
      </w:r>
      <w:r>
        <w:rPr>
          <w:rFonts w:eastAsiaTheme="minorHAnsi" w:cstheme="minorBidi"/>
          <w:color w:val="auto"/>
          <w:szCs w:val="22"/>
        </w:rPr>
        <w:t>, 180</w:t>
      </w:r>
      <w:r w:rsidR="00EC3FE4">
        <w:rPr>
          <w:rFonts w:eastAsiaTheme="minorHAnsi" w:cstheme="minorBidi"/>
          <w:color w:val="auto"/>
          <w:szCs w:val="22"/>
        </w:rPr>
        <w:t xml:space="preserve"> FRSR</w:t>
      </w:r>
      <w:r w:rsidRPr="00BA4FDF">
        <w:rPr>
          <w:rFonts w:eastAsiaTheme="minorHAnsi" w:cstheme="minorBidi"/>
          <w:color w:val="auto"/>
          <w:szCs w:val="22"/>
        </w:rPr>
        <w:t xml:space="preserve">, </w:t>
      </w:r>
      <w:r w:rsidR="00EC3FE4">
        <w:rPr>
          <w:rFonts w:eastAsiaTheme="minorHAnsi" w:cstheme="minorBidi"/>
          <w:color w:val="auto"/>
          <w:szCs w:val="22"/>
        </w:rPr>
        <w:t xml:space="preserve">115,147 </w:t>
      </w:r>
      <w:r w:rsidRPr="00BA4FDF">
        <w:rPr>
          <w:rFonts w:eastAsiaTheme="minorHAnsi" w:cstheme="minorBidi"/>
          <w:color w:val="auto"/>
          <w:szCs w:val="22"/>
        </w:rPr>
        <w:t xml:space="preserve">PTPR, and </w:t>
      </w:r>
      <w:r w:rsidR="00EC3FE4">
        <w:rPr>
          <w:rFonts w:eastAsiaTheme="minorHAnsi" w:cstheme="minorBidi"/>
          <w:color w:val="auto"/>
          <w:szCs w:val="22"/>
        </w:rPr>
        <w:t>143</w:t>
      </w:r>
      <w:r w:rsidRPr="00BA4FDF">
        <w:rPr>
          <w:rFonts w:eastAsiaTheme="minorHAnsi" w:cstheme="minorBidi"/>
          <w:color w:val="auto"/>
          <w:szCs w:val="22"/>
        </w:rPr>
        <w:t xml:space="preserve"> OTRB hours).</w:t>
      </w:r>
    </w:p>
    <w:p w:rsidR="00A80961" w:rsidP="00B57037" w14:paraId="07796A1C" w14:textId="22DA1BE9">
      <w:pPr>
        <w:widowControl w:val="0"/>
        <w:ind w:left="1080"/>
        <w:rPr>
          <w:rFonts w:eastAsiaTheme="minorHAnsi" w:cstheme="minorBidi"/>
          <w:color w:val="auto"/>
          <w:szCs w:val="22"/>
        </w:rPr>
      </w:pPr>
    </w:p>
    <w:p w:rsidR="00A80961" w:rsidP="00B57037" w14:paraId="246D8DCA" w14:textId="50D5365A">
      <w:pPr>
        <w:widowControl w:val="0"/>
        <w:ind w:left="1080"/>
        <w:rPr>
          <w:rFonts w:eastAsiaTheme="minorHAnsi" w:cstheme="minorBidi"/>
          <w:color w:val="auto"/>
          <w:szCs w:val="22"/>
        </w:rPr>
      </w:pPr>
      <w:r w:rsidRPr="000D35F8">
        <w:rPr>
          <w:rFonts w:eastAsiaTheme="minorHAnsi" w:cstheme="minorBidi"/>
          <w:color w:val="auto"/>
          <w:szCs w:val="22"/>
        </w:rPr>
        <w:t>TSA estimates a</w:t>
      </w:r>
      <w:r w:rsidR="000D35F8">
        <w:rPr>
          <w:rFonts w:eastAsiaTheme="minorHAnsi" w:cstheme="minorBidi"/>
          <w:color w:val="auto"/>
          <w:szCs w:val="22"/>
        </w:rPr>
        <w:t>n annual average cost of $7,724,482 for all respondents.</w:t>
      </w:r>
    </w:p>
    <w:p w:rsidR="00A80961" w:rsidP="00B57037" w14:paraId="3E4340F8" w14:textId="77777777">
      <w:pPr>
        <w:widowControl w:val="0"/>
        <w:ind w:left="1080"/>
        <w:rPr>
          <w:rFonts w:eastAsiaTheme="minorHAnsi" w:cstheme="minorBidi"/>
          <w:color w:val="auto"/>
          <w:szCs w:val="22"/>
        </w:rPr>
      </w:pPr>
    </w:p>
    <w:p w:rsidR="00E25526" w:rsidP="00B57037" w14:paraId="4749FC9E" w14:textId="24432084">
      <w:pPr>
        <w:widowControl w:val="0"/>
        <w:ind w:left="1080"/>
        <w:rPr>
          <w:rFonts w:eastAsiaTheme="minorHAnsi" w:cstheme="minorBidi"/>
          <w:color w:val="auto"/>
          <w:szCs w:val="22"/>
        </w:rPr>
        <w:sectPr w:rsidSect="00952702">
          <w:head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pPr>
      <w:r>
        <w:rPr>
          <w:rFonts w:eastAsiaTheme="minorHAnsi" w:cstheme="minorBidi"/>
          <w:color w:val="auto"/>
          <w:szCs w:val="22"/>
        </w:rPr>
        <w:fldChar w:fldCharType="begin"/>
      </w:r>
      <w:r>
        <w:rPr>
          <w:rFonts w:eastAsiaTheme="minorHAnsi" w:cstheme="minorBidi"/>
          <w:color w:val="auto"/>
          <w:szCs w:val="22"/>
        </w:rPr>
        <w:instrText xml:space="preserve"> REF _Ref51319305 \h </w:instrText>
      </w:r>
      <w:r>
        <w:rPr>
          <w:rFonts w:eastAsiaTheme="minorHAnsi" w:cstheme="minorBidi"/>
          <w:color w:val="auto"/>
          <w:szCs w:val="22"/>
        </w:rPr>
        <w:fldChar w:fldCharType="separate"/>
      </w:r>
      <w:r>
        <w:t xml:space="preserve">Table </w:t>
      </w:r>
      <w:r>
        <w:rPr>
          <w:noProof/>
        </w:rPr>
        <w:t>2</w:t>
      </w:r>
      <w:r>
        <w:rPr>
          <w:rFonts w:eastAsiaTheme="minorHAnsi" w:cstheme="minorBidi"/>
          <w:color w:val="auto"/>
          <w:szCs w:val="22"/>
        </w:rPr>
        <w:fldChar w:fldCharType="end"/>
      </w:r>
      <w:r w:rsidRPr="00BA4FDF" w:rsidR="00BA4FDF">
        <w:rPr>
          <w:rFonts w:eastAsiaTheme="minorHAnsi" w:cstheme="minorBidi"/>
          <w:color w:val="auto"/>
          <w:szCs w:val="22"/>
        </w:rPr>
        <w:fldChar w:fldCharType="begin"/>
      </w:r>
      <w:r w:rsidRPr="00BA4FDF" w:rsidR="00BA4FDF">
        <w:rPr>
          <w:rFonts w:eastAsiaTheme="minorHAnsi" w:cstheme="minorBidi"/>
          <w:color w:val="auto"/>
          <w:szCs w:val="22"/>
        </w:rPr>
        <w:instrText xml:space="preserve"> REF _Ref8304842 \h </w:instrText>
      </w:r>
      <w:r w:rsidRPr="00BA4FDF" w:rsidR="00BA4FDF">
        <w:rPr>
          <w:rFonts w:eastAsiaTheme="minorHAnsi" w:cstheme="minorBidi"/>
          <w:color w:val="auto"/>
          <w:szCs w:val="22"/>
        </w:rPr>
        <w:fldChar w:fldCharType="separate"/>
      </w:r>
      <w:r w:rsidRPr="00BA4FDF" w:rsidR="00BA4FDF">
        <w:rPr>
          <w:rFonts w:eastAsiaTheme="minorHAnsi" w:cstheme="minorBidi"/>
          <w:color w:val="auto"/>
          <w:szCs w:val="22"/>
        </w:rPr>
        <w:fldChar w:fldCharType="end"/>
      </w:r>
      <w:r w:rsidRPr="00BA4FDF" w:rsidR="00BA4FDF">
        <w:rPr>
          <w:rFonts w:eastAsiaTheme="minorHAnsi" w:cstheme="minorBidi"/>
          <w:color w:val="auto"/>
          <w:szCs w:val="22"/>
        </w:rPr>
        <w:t xml:space="preserve"> summarizes the number of responses</w:t>
      </w:r>
      <w:r w:rsidR="00BD0663">
        <w:rPr>
          <w:rFonts w:eastAsiaTheme="minorHAnsi" w:cstheme="minorBidi"/>
          <w:color w:val="auto"/>
          <w:szCs w:val="22"/>
        </w:rPr>
        <w:t xml:space="preserve"> in each burden category,</w:t>
      </w:r>
      <w:r w:rsidRPr="00BA4FDF" w:rsidR="00BA4FDF">
        <w:rPr>
          <w:rFonts w:eastAsiaTheme="minorHAnsi" w:cstheme="minorBidi"/>
          <w:color w:val="auto"/>
          <w:szCs w:val="22"/>
        </w:rPr>
        <w:t xml:space="preserve"> by type of employee and industry</w:t>
      </w:r>
      <w:r w:rsidR="00BD0663">
        <w:rPr>
          <w:rFonts w:eastAsiaTheme="minorHAnsi" w:cstheme="minorBidi"/>
          <w:color w:val="auto"/>
          <w:szCs w:val="22"/>
        </w:rPr>
        <w:t>,</w:t>
      </w:r>
      <w:r w:rsidRPr="00BA4FDF" w:rsidR="00BA4FDF">
        <w:rPr>
          <w:rFonts w:eastAsiaTheme="minorHAnsi" w:cstheme="minorBidi"/>
          <w:color w:val="auto"/>
          <w:szCs w:val="22"/>
        </w:rPr>
        <w:t xml:space="preserve"> as well as the associated time burdens.</w:t>
      </w:r>
    </w:p>
    <w:p w:rsidR="00D40047" w:rsidRPr="00BA4FDF" w:rsidP="009D20FB" w14:paraId="6CAC277F" w14:textId="77777777">
      <w:pPr>
        <w:widowControl w:val="0"/>
        <w:rPr>
          <w:rFonts w:eastAsia="MS Mincho" w:cs="Times New Roman"/>
          <w:b/>
          <w:bCs/>
          <w:sz w:val="22"/>
          <w:szCs w:val="22"/>
        </w:rPr>
      </w:pPr>
    </w:p>
    <w:p w:rsidR="00784EAC" w:rsidRPr="00444E9A" w:rsidP="00F12AED" w14:paraId="35DADAEA" w14:textId="7F620985">
      <w:pPr>
        <w:pStyle w:val="Caption"/>
        <w:keepNext/>
        <w:keepLines/>
        <w:spacing w:after="0"/>
        <w:jc w:val="center"/>
        <w:rPr>
          <w:rFonts w:ascii="Arial" w:eastAsia="MS Mincho" w:hAnsi="Arial"/>
          <w:b/>
          <w:bCs/>
          <w:i w:val="0"/>
          <w:color w:val="000000" w:themeColor="text1"/>
          <w:sz w:val="22"/>
          <w:szCs w:val="22"/>
        </w:rPr>
      </w:pPr>
      <w:bookmarkStart w:id="4" w:name="_Ref51319305"/>
      <w:bookmarkStart w:id="5" w:name="_Toc9346057"/>
      <w:r w:rsidRPr="00444E9A">
        <w:rPr>
          <w:rFonts w:ascii="Arial" w:hAnsi="Arial"/>
          <w:b/>
          <w:i w:val="0"/>
          <w:color w:val="000000" w:themeColor="text1"/>
          <w:sz w:val="22"/>
          <w:szCs w:val="22"/>
        </w:rPr>
        <w:t xml:space="preserve">Table </w:t>
      </w:r>
      <w:r w:rsidRPr="00444E9A" w:rsidR="00491D2A">
        <w:rPr>
          <w:rFonts w:ascii="Arial" w:hAnsi="Arial"/>
          <w:b/>
          <w:i w:val="0"/>
          <w:color w:val="000000" w:themeColor="text1"/>
          <w:sz w:val="22"/>
          <w:szCs w:val="22"/>
        </w:rPr>
        <w:fldChar w:fldCharType="begin"/>
      </w:r>
      <w:r w:rsidRPr="00444E9A" w:rsidR="00491D2A">
        <w:rPr>
          <w:rFonts w:ascii="Arial" w:hAnsi="Arial"/>
          <w:b/>
          <w:i w:val="0"/>
          <w:color w:val="000000" w:themeColor="text1"/>
          <w:sz w:val="22"/>
          <w:szCs w:val="22"/>
        </w:rPr>
        <w:instrText xml:space="preserve"> SEQ Table \* ARABIC </w:instrText>
      </w:r>
      <w:r w:rsidRPr="00444E9A" w:rsidR="00491D2A">
        <w:rPr>
          <w:rFonts w:ascii="Arial" w:hAnsi="Arial"/>
          <w:b/>
          <w:i w:val="0"/>
          <w:color w:val="000000" w:themeColor="text1"/>
          <w:sz w:val="22"/>
          <w:szCs w:val="22"/>
        </w:rPr>
        <w:fldChar w:fldCharType="separate"/>
      </w:r>
      <w:r w:rsidRPr="00444E9A" w:rsidR="00FE22DA">
        <w:rPr>
          <w:rFonts w:ascii="Arial" w:hAnsi="Arial"/>
          <w:b/>
          <w:i w:val="0"/>
          <w:noProof/>
          <w:color w:val="000000" w:themeColor="text1"/>
          <w:sz w:val="22"/>
          <w:szCs w:val="22"/>
        </w:rPr>
        <w:t>2</w:t>
      </w:r>
      <w:r w:rsidRPr="00444E9A" w:rsidR="00491D2A">
        <w:rPr>
          <w:rFonts w:ascii="Arial" w:hAnsi="Arial"/>
          <w:b/>
          <w:i w:val="0"/>
          <w:noProof/>
          <w:color w:val="000000" w:themeColor="text1"/>
          <w:sz w:val="22"/>
          <w:szCs w:val="22"/>
        </w:rPr>
        <w:fldChar w:fldCharType="end"/>
      </w:r>
      <w:bookmarkEnd w:id="4"/>
      <w:r w:rsidRPr="00444E9A">
        <w:rPr>
          <w:rFonts w:ascii="Arial" w:eastAsia="MS Mincho" w:hAnsi="Arial"/>
          <w:b/>
          <w:bCs/>
          <w:i w:val="0"/>
          <w:color w:val="000000" w:themeColor="text1"/>
          <w:sz w:val="22"/>
          <w:szCs w:val="22"/>
        </w:rPr>
        <w:t>: Number of Responses and Time Burden Collections</w:t>
      </w:r>
      <w:bookmarkEnd w:id="5"/>
    </w:p>
    <w:tbl>
      <w:tblPr>
        <w:tblW w:w="14130" w:type="dxa"/>
        <w:tblInd w:w="-450" w:type="dxa"/>
        <w:tblLayout w:type="fixed"/>
        <w:tblLook w:val="04A0"/>
      </w:tblPr>
      <w:tblGrid>
        <w:gridCol w:w="1310"/>
        <w:gridCol w:w="2200"/>
        <w:gridCol w:w="1080"/>
        <w:gridCol w:w="1080"/>
        <w:gridCol w:w="1080"/>
        <w:gridCol w:w="1080"/>
        <w:gridCol w:w="1170"/>
        <w:gridCol w:w="1170"/>
        <w:gridCol w:w="1260"/>
        <w:gridCol w:w="1346"/>
        <w:gridCol w:w="1354"/>
      </w:tblGrid>
      <w:tr w14:paraId="6EB8F43F" w14:textId="433FEDE6" w:rsidTr="00677CE6">
        <w:tblPrEx>
          <w:tblW w:w="14130" w:type="dxa"/>
          <w:tblInd w:w="-450" w:type="dxa"/>
          <w:tblLayout w:type="fixed"/>
          <w:tblLook w:val="04A0"/>
        </w:tblPrEx>
        <w:trPr>
          <w:trHeight w:val="232"/>
          <w:tblHeader/>
        </w:trPr>
        <w:tc>
          <w:tcPr>
            <w:tcW w:w="351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25526" w:rsidRPr="00444E9A" w:rsidP="00C1734D" w14:paraId="35B4FF0F" w14:textId="1D1D908C">
            <w:pPr>
              <w:keepNext/>
              <w:jc w:val="center"/>
              <w:rPr>
                <w:rFonts w:ascii="Arial" w:hAnsi="Arial"/>
                <w:b/>
                <w:bCs/>
                <w:color w:val="000000" w:themeColor="text1"/>
                <w:sz w:val="20"/>
              </w:rPr>
            </w:pPr>
            <w:r w:rsidRPr="00444E9A">
              <w:rPr>
                <w:rFonts w:ascii="Arial" w:hAnsi="Arial"/>
                <w:b/>
                <w:bCs/>
                <w:color w:val="000000" w:themeColor="text1"/>
                <w:sz w:val="20"/>
              </w:rPr>
              <w:t>Collections</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25526" w:rsidRPr="00444E9A" w:rsidP="00C1734D" w14:paraId="7BA9C354" w14:textId="20140F52">
            <w:pPr>
              <w:keepNext/>
              <w:ind w:left="-101" w:right="-108"/>
              <w:jc w:val="center"/>
              <w:rPr>
                <w:rFonts w:ascii="Arial" w:hAnsi="Arial"/>
                <w:b/>
                <w:bCs/>
                <w:color w:val="000000" w:themeColor="text1"/>
                <w:sz w:val="20"/>
              </w:rPr>
            </w:pPr>
            <w:r w:rsidRPr="00444E9A">
              <w:rPr>
                <w:rFonts w:ascii="Arial" w:hAnsi="Arial"/>
                <w:b/>
                <w:bCs/>
                <w:color w:val="000000" w:themeColor="text1"/>
                <w:sz w:val="20"/>
              </w:rPr>
              <w:t>Time Per Response (Hours)</w:t>
            </w:r>
          </w:p>
        </w:tc>
        <w:tc>
          <w:tcPr>
            <w:tcW w:w="324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E25526" w:rsidRPr="00444E9A" w:rsidP="00C1734D" w14:paraId="3A9B2C1B" w14:textId="2FDAAB2C">
            <w:pPr>
              <w:keepNext/>
              <w:jc w:val="center"/>
              <w:rPr>
                <w:rFonts w:ascii="Arial" w:hAnsi="Arial"/>
                <w:b/>
                <w:bCs/>
                <w:color w:val="000000" w:themeColor="text1"/>
                <w:sz w:val="20"/>
              </w:rPr>
            </w:pPr>
            <w:r w:rsidRPr="00444E9A">
              <w:rPr>
                <w:rFonts w:ascii="Arial" w:hAnsi="Arial"/>
                <w:b/>
                <w:bCs/>
                <w:color w:val="000000" w:themeColor="text1"/>
                <w:sz w:val="20"/>
              </w:rPr>
              <w:t>Number of Responses</w:t>
            </w:r>
          </w:p>
        </w:tc>
        <w:tc>
          <w:tcPr>
            <w:tcW w:w="117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25526" w:rsidRPr="00444E9A" w:rsidP="00C1734D" w14:paraId="6DF7E1CC" w14:textId="133D1371">
            <w:pPr>
              <w:keepNext/>
              <w:ind w:left="-105" w:right="-110"/>
              <w:jc w:val="center"/>
              <w:rPr>
                <w:rFonts w:ascii="Arial" w:hAnsi="Arial"/>
                <w:b/>
                <w:bCs/>
                <w:color w:val="000000" w:themeColor="text1"/>
                <w:sz w:val="20"/>
              </w:rPr>
            </w:pPr>
            <w:r w:rsidRPr="00444E9A">
              <w:rPr>
                <w:rFonts w:ascii="Arial" w:hAnsi="Arial"/>
                <w:b/>
                <w:bCs/>
                <w:color w:val="000000" w:themeColor="text1"/>
                <w:sz w:val="20"/>
              </w:rPr>
              <w:t>3-Year Total Responses</w:t>
            </w:r>
          </w:p>
        </w:tc>
        <w:tc>
          <w:tcPr>
            <w:tcW w:w="117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25526" w:rsidRPr="00444E9A" w:rsidP="00C1734D" w14:paraId="599E2EB7" w14:textId="0CC57A24">
            <w:pPr>
              <w:keepNext/>
              <w:ind w:left="-105" w:right="-140"/>
              <w:jc w:val="center"/>
              <w:rPr>
                <w:rFonts w:ascii="Arial" w:hAnsi="Arial"/>
                <w:b/>
                <w:bCs/>
                <w:color w:val="000000" w:themeColor="text1"/>
                <w:sz w:val="20"/>
              </w:rPr>
            </w:pPr>
            <w:r w:rsidRPr="00444E9A">
              <w:rPr>
                <w:rFonts w:ascii="Arial" w:hAnsi="Arial"/>
                <w:b/>
                <w:bCs/>
                <w:color w:val="000000" w:themeColor="text1"/>
                <w:sz w:val="20"/>
              </w:rPr>
              <w:t>3-Year Time Burden (Hours)</w:t>
            </w:r>
          </w:p>
        </w:tc>
        <w:tc>
          <w:tcPr>
            <w:tcW w:w="1260" w:type="dxa"/>
            <w:vMerge w:val="restart"/>
            <w:tcBorders>
              <w:top w:val="single" w:sz="4" w:space="0" w:color="auto"/>
              <w:left w:val="single" w:sz="4" w:space="0" w:color="auto"/>
              <w:bottom w:val="single" w:sz="4" w:space="0" w:color="000000"/>
            </w:tcBorders>
            <w:shd w:val="clear" w:color="auto" w:fill="auto"/>
            <w:vAlign w:val="center"/>
          </w:tcPr>
          <w:p w:rsidR="00E25526" w:rsidRPr="00444E9A" w:rsidP="00C1734D" w14:paraId="247319FE" w14:textId="32835AC8">
            <w:pPr>
              <w:keepNext/>
              <w:ind w:left="-105" w:right="-140"/>
              <w:jc w:val="center"/>
              <w:rPr>
                <w:rFonts w:ascii="Arial" w:hAnsi="Arial"/>
                <w:b/>
                <w:bCs/>
                <w:color w:val="000000" w:themeColor="text1"/>
                <w:sz w:val="20"/>
              </w:rPr>
            </w:pPr>
            <w:r w:rsidRPr="00444E9A">
              <w:rPr>
                <w:rFonts w:ascii="Arial" w:hAnsi="Arial"/>
                <w:b/>
                <w:bCs/>
                <w:color w:val="000000" w:themeColor="text1"/>
                <w:sz w:val="20"/>
              </w:rPr>
              <w:t>Average Annual Time Burden (Hours)</w:t>
            </w:r>
          </w:p>
        </w:tc>
        <w:tc>
          <w:tcPr>
            <w:tcW w:w="1346" w:type="dxa"/>
            <w:vMerge w:val="restart"/>
            <w:tcBorders>
              <w:top w:val="single" w:sz="4" w:space="0" w:color="auto"/>
              <w:left w:val="single" w:sz="4" w:space="0" w:color="auto"/>
              <w:bottom w:val="single" w:sz="4" w:space="0" w:color="auto"/>
            </w:tcBorders>
            <w:vAlign w:val="center"/>
          </w:tcPr>
          <w:p w:rsidR="00E25526" w:rsidRPr="00444E9A" w14:paraId="5AD52D01" w14:textId="223A9E29">
            <w:pPr>
              <w:keepNext/>
              <w:ind w:left="-105" w:right="-140"/>
              <w:jc w:val="center"/>
              <w:rPr>
                <w:rFonts w:ascii="Arial" w:hAnsi="Arial"/>
                <w:b/>
                <w:bCs/>
                <w:color w:val="000000" w:themeColor="text1"/>
                <w:sz w:val="20"/>
              </w:rPr>
            </w:pPr>
            <w:r w:rsidRPr="00444E9A">
              <w:rPr>
                <w:rFonts w:ascii="Arial" w:hAnsi="Arial"/>
                <w:b/>
                <w:bCs/>
                <w:color w:val="000000" w:themeColor="text1"/>
                <w:sz w:val="20"/>
              </w:rPr>
              <w:t>Compensation Rate</w:t>
            </w:r>
          </w:p>
        </w:tc>
        <w:tc>
          <w:tcPr>
            <w:tcW w:w="1354" w:type="dxa"/>
            <w:vMerge w:val="restart"/>
            <w:tcBorders>
              <w:top w:val="single" w:sz="4" w:space="0" w:color="auto"/>
              <w:left w:val="single" w:sz="4" w:space="0" w:color="auto"/>
              <w:right w:val="single" w:sz="4" w:space="0" w:color="auto"/>
            </w:tcBorders>
            <w:vAlign w:val="center"/>
          </w:tcPr>
          <w:p w:rsidR="00E25526" w:rsidRPr="00444E9A" w14:paraId="06965950" w14:textId="6BB66611">
            <w:pPr>
              <w:keepNext/>
              <w:ind w:left="-105" w:right="-140"/>
              <w:jc w:val="center"/>
              <w:rPr>
                <w:rFonts w:ascii="Arial" w:hAnsi="Arial"/>
                <w:b/>
                <w:bCs/>
                <w:color w:val="000000" w:themeColor="text1"/>
                <w:sz w:val="20"/>
              </w:rPr>
            </w:pPr>
            <w:r w:rsidRPr="00444E9A">
              <w:rPr>
                <w:rFonts w:ascii="Arial" w:hAnsi="Arial"/>
                <w:b/>
                <w:bCs/>
                <w:color w:val="000000" w:themeColor="text1"/>
                <w:sz w:val="20"/>
              </w:rPr>
              <w:t>Average Annual Cost Burden</w:t>
            </w:r>
          </w:p>
        </w:tc>
      </w:tr>
      <w:tr w14:paraId="5A6C6C5B" w14:textId="50ED13D9" w:rsidTr="00677CE6">
        <w:tblPrEx>
          <w:tblW w:w="14130" w:type="dxa"/>
          <w:tblInd w:w="-450" w:type="dxa"/>
          <w:tblLayout w:type="fixed"/>
          <w:tblLook w:val="04A0"/>
        </w:tblPrEx>
        <w:trPr>
          <w:trHeight w:val="232"/>
          <w:tblHeader/>
        </w:trPr>
        <w:tc>
          <w:tcPr>
            <w:tcW w:w="3510"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E25526" w:rsidRPr="00444E9A" w:rsidP="00C1734D" w14:paraId="2C28CD23" w14:textId="77777777">
            <w:pPr>
              <w:keepNext/>
              <w:jc w:val="center"/>
              <w:rPr>
                <w:rFonts w:ascii="Arial" w:hAnsi="Arial"/>
                <w:b/>
                <w:bCs/>
                <w:color w:val="000000" w:themeColor="text1"/>
                <w:sz w:val="20"/>
              </w:rPr>
            </w:pPr>
          </w:p>
        </w:tc>
        <w:tc>
          <w:tcPr>
            <w:tcW w:w="108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E25526" w:rsidRPr="00444E9A" w:rsidP="00C1734D" w14:paraId="34528784" w14:textId="77777777">
            <w:pPr>
              <w:keepNext/>
              <w:ind w:left="-101" w:right="-108"/>
              <w:jc w:val="center"/>
              <w:rPr>
                <w:rFonts w:ascii="Arial" w:hAnsi="Arial"/>
                <w:b/>
                <w:bCs/>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5526" w:rsidRPr="00444E9A" w:rsidP="00C1734D" w14:paraId="5D259796" w14:textId="77777777">
            <w:pPr>
              <w:keepNext/>
              <w:jc w:val="center"/>
              <w:rPr>
                <w:rFonts w:ascii="Arial" w:hAnsi="Arial"/>
                <w:b/>
                <w:bCs/>
                <w:color w:val="000000" w:themeColor="text1"/>
                <w:sz w:val="20"/>
              </w:rPr>
            </w:pPr>
            <w:r w:rsidRPr="00444E9A">
              <w:rPr>
                <w:rFonts w:ascii="Arial" w:hAnsi="Arial"/>
                <w:b/>
                <w:bCs/>
                <w:color w:val="000000" w:themeColor="text1"/>
                <w:sz w:val="20"/>
              </w:rPr>
              <w:t>Year 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25526" w:rsidRPr="00444E9A" w:rsidP="00C1734D" w14:paraId="06353E05" w14:textId="77777777">
            <w:pPr>
              <w:keepNext/>
              <w:jc w:val="center"/>
              <w:rPr>
                <w:rFonts w:ascii="Arial" w:hAnsi="Arial"/>
                <w:b/>
                <w:bCs/>
                <w:color w:val="000000" w:themeColor="text1"/>
                <w:sz w:val="20"/>
              </w:rPr>
            </w:pPr>
            <w:r w:rsidRPr="00444E9A">
              <w:rPr>
                <w:rFonts w:ascii="Arial" w:hAnsi="Arial"/>
                <w:b/>
                <w:bCs/>
                <w:color w:val="000000" w:themeColor="text1"/>
                <w:sz w:val="20"/>
              </w:rPr>
              <w:t>Year 2</w:t>
            </w:r>
          </w:p>
        </w:tc>
        <w:tc>
          <w:tcPr>
            <w:tcW w:w="1080" w:type="dxa"/>
            <w:tcBorders>
              <w:top w:val="single" w:sz="4" w:space="0" w:color="auto"/>
              <w:left w:val="single" w:sz="4" w:space="0" w:color="auto"/>
              <w:bottom w:val="single" w:sz="4" w:space="0" w:color="auto"/>
              <w:right w:val="single" w:sz="4" w:space="0" w:color="000000"/>
            </w:tcBorders>
            <w:shd w:val="clear" w:color="auto" w:fill="auto"/>
            <w:vAlign w:val="center"/>
          </w:tcPr>
          <w:p w:rsidR="00E25526" w:rsidRPr="00444E9A" w:rsidP="00C1734D" w14:paraId="43990834" w14:textId="77777777">
            <w:pPr>
              <w:keepNext/>
              <w:jc w:val="center"/>
              <w:rPr>
                <w:rFonts w:ascii="Arial" w:hAnsi="Arial"/>
                <w:b/>
                <w:bCs/>
                <w:color w:val="000000" w:themeColor="text1"/>
                <w:sz w:val="20"/>
              </w:rPr>
            </w:pPr>
            <w:r w:rsidRPr="00444E9A">
              <w:rPr>
                <w:rFonts w:ascii="Arial" w:hAnsi="Arial"/>
                <w:b/>
                <w:bCs/>
                <w:color w:val="000000" w:themeColor="text1"/>
                <w:sz w:val="20"/>
              </w:rPr>
              <w:t>Year 3</w:t>
            </w:r>
          </w:p>
        </w:tc>
        <w:tc>
          <w:tcPr>
            <w:tcW w:w="117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E25526" w:rsidRPr="00444E9A" w:rsidP="00C1734D" w14:paraId="60DC8A2E" w14:textId="77777777">
            <w:pPr>
              <w:keepNext/>
              <w:ind w:left="-105" w:right="-110"/>
              <w:jc w:val="center"/>
              <w:rPr>
                <w:rFonts w:ascii="Arial" w:hAnsi="Arial"/>
                <w:b/>
                <w:bCs/>
                <w:color w:val="000000" w:themeColor="text1"/>
                <w:sz w:val="20"/>
              </w:rPr>
            </w:pPr>
          </w:p>
        </w:tc>
        <w:tc>
          <w:tcPr>
            <w:tcW w:w="117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E25526" w:rsidRPr="00444E9A" w:rsidP="00C1734D" w14:paraId="07ADF802" w14:textId="77777777">
            <w:pPr>
              <w:keepNext/>
              <w:ind w:left="-105" w:right="-140"/>
              <w:jc w:val="center"/>
              <w:rPr>
                <w:rFonts w:ascii="Arial" w:hAnsi="Arial"/>
                <w:b/>
                <w:bCs/>
                <w:color w:val="000000" w:themeColor="text1"/>
                <w:sz w:val="20"/>
              </w:rPr>
            </w:pPr>
          </w:p>
        </w:tc>
        <w:tc>
          <w:tcPr>
            <w:tcW w:w="1260" w:type="dxa"/>
            <w:vMerge/>
            <w:tcBorders>
              <w:top w:val="single" w:sz="4" w:space="0" w:color="auto"/>
              <w:left w:val="single" w:sz="4" w:space="0" w:color="auto"/>
              <w:bottom w:val="single" w:sz="4" w:space="0" w:color="000000"/>
            </w:tcBorders>
            <w:shd w:val="clear" w:color="auto" w:fill="auto"/>
            <w:vAlign w:val="center"/>
          </w:tcPr>
          <w:p w:rsidR="00E25526" w:rsidRPr="00444E9A" w:rsidP="00C1734D" w14:paraId="38100A6B" w14:textId="77777777">
            <w:pPr>
              <w:keepNext/>
              <w:ind w:left="-105" w:right="-140"/>
              <w:jc w:val="center"/>
              <w:rPr>
                <w:rFonts w:ascii="Arial" w:hAnsi="Arial"/>
                <w:b/>
                <w:bCs/>
                <w:color w:val="000000" w:themeColor="text1"/>
                <w:sz w:val="20"/>
              </w:rPr>
            </w:pPr>
          </w:p>
        </w:tc>
        <w:tc>
          <w:tcPr>
            <w:tcW w:w="1346" w:type="dxa"/>
            <w:vMerge/>
            <w:tcBorders>
              <w:top w:val="single" w:sz="4" w:space="0" w:color="auto"/>
              <w:left w:val="single" w:sz="4" w:space="0" w:color="auto"/>
              <w:bottom w:val="single" w:sz="4" w:space="0" w:color="auto"/>
            </w:tcBorders>
          </w:tcPr>
          <w:p w:rsidR="00E25526" w:rsidRPr="00444E9A" w:rsidP="00C1734D" w14:paraId="276083C8" w14:textId="77777777">
            <w:pPr>
              <w:keepNext/>
              <w:ind w:left="-105" w:right="-140"/>
              <w:jc w:val="center"/>
              <w:rPr>
                <w:rFonts w:ascii="Arial" w:hAnsi="Arial"/>
                <w:b/>
                <w:bCs/>
                <w:color w:val="000000" w:themeColor="text1"/>
                <w:sz w:val="20"/>
              </w:rPr>
            </w:pPr>
          </w:p>
        </w:tc>
        <w:tc>
          <w:tcPr>
            <w:tcW w:w="1354" w:type="dxa"/>
            <w:vMerge/>
            <w:tcBorders>
              <w:top w:val="single" w:sz="4" w:space="0" w:color="auto"/>
              <w:left w:val="single" w:sz="4" w:space="0" w:color="auto"/>
              <w:bottom w:val="single" w:sz="4" w:space="0" w:color="000000"/>
              <w:right w:val="single" w:sz="4" w:space="0" w:color="auto"/>
            </w:tcBorders>
          </w:tcPr>
          <w:p w:rsidR="00E25526" w:rsidRPr="00444E9A" w:rsidP="00C1734D" w14:paraId="321F581B" w14:textId="77777777">
            <w:pPr>
              <w:keepNext/>
              <w:ind w:left="-105" w:right="-140"/>
              <w:jc w:val="center"/>
              <w:rPr>
                <w:rFonts w:ascii="Arial" w:hAnsi="Arial"/>
                <w:b/>
                <w:bCs/>
                <w:color w:val="000000" w:themeColor="text1"/>
                <w:sz w:val="20"/>
              </w:rPr>
            </w:pPr>
          </w:p>
        </w:tc>
      </w:tr>
      <w:tr w14:paraId="17043C3C" w14:textId="7783C957" w:rsidTr="00351517">
        <w:tblPrEx>
          <w:tblW w:w="14130" w:type="dxa"/>
          <w:tblInd w:w="-450" w:type="dxa"/>
          <w:tblLayout w:type="fixed"/>
          <w:tblLook w:val="04A0"/>
        </w:tblPrEx>
        <w:trPr>
          <w:trHeight w:val="453"/>
        </w:trPr>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5526" w:rsidRPr="00444E9A" w:rsidP="00D40047" w14:paraId="0C85D5D3" w14:textId="77777777">
            <w:pPr>
              <w:keepNext/>
              <w:jc w:val="center"/>
              <w:rPr>
                <w:rFonts w:ascii="Arial" w:hAnsi="Arial"/>
                <w:b/>
                <w:bCs/>
                <w:color w:val="000000" w:themeColor="text1"/>
                <w:sz w:val="20"/>
              </w:rPr>
            </w:pPr>
            <w:r w:rsidRPr="00444E9A">
              <w:rPr>
                <w:rFonts w:ascii="Arial" w:hAnsi="Arial"/>
                <w:b/>
                <w:bCs/>
                <w:color w:val="000000" w:themeColor="text1"/>
                <w:sz w:val="20"/>
              </w:rPr>
              <w:t>Industry</w:t>
            </w:r>
          </w:p>
        </w:tc>
        <w:tc>
          <w:tcPr>
            <w:tcW w:w="2200" w:type="dxa"/>
            <w:tcBorders>
              <w:top w:val="single" w:sz="4" w:space="0" w:color="auto"/>
              <w:left w:val="nil"/>
              <w:bottom w:val="single" w:sz="4" w:space="0" w:color="auto"/>
              <w:right w:val="single" w:sz="4" w:space="0" w:color="auto"/>
            </w:tcBorders>
            <w:shd w:val="clear" w:color="auto" w:fill="auto"/>
            <w:noWrap/>
            <w:vAlign w:val="center"/>
            <w:hideMark/>
          </w:tcPr>
          <w:p w:rsidR="00E25526" w:rsidRPr="00444E9A" w:rsidP="00D40047" w14:paraId="0568AF50" w14:textId="28BBF4B6">
            <w:pPr>
              <w:keepNext/>
              <w:jc w:val="center"/>
              <w:rPr>
                <w:rFonts w:ascii="Arial" w:hAnsi="Arial"/>
                <w:b/>
                <w:bCs/>
                <w:color w:val="000000" w:themeColor="text1"/>
                <w:sz w:val="20"/>
              </w:rPr>
            </w:pPr>
          </w:p>
        </w:tc>
        <w:tc>
          <w:tcPr>
            <w:tcW w:w="1080" w:type="dxa"/>
            <w:tcBorders>
              <w:top w:val="nil"/>
              <w:left w:val="single" w:sz="4" w:space="0" w:color="auto"/>
              <w:bottom w:val="single" w:sz="4" w:space="0" w:color="auto"/>
              <w:right w:val="nil"/>
            </w:tcBorders>
            <w:shd w:val="clear" w:color="auto" w:fill="auto"/>
            <w:noWrap/>
            <w:vAlign w:val="center"/>
            <w:hideMark/>
          </w:tcPr>
          <w:p w:rsidR="00E25526" w:rsidRPr="00444E9A" w:rsidP="00D40047" w14:paraId="1C1A3142" w14:textId="77777777">
            <w:pPr>
              <w:keepNext/>
              <w:jc w:val="center"/>
              <w:rPr>
                <w:rFonts w:ascii="Arial" w:hAnsi="Arial"/>
                <w:b/>
                <w:color w:val="000000" w:themeColor="text1"/>
                <w:sz w:val="20"/>
              </w:rPr>
            </w:pPr>
            <w:r w:rsidRPr="00444E9A">
              <w:rPr>
                <w:rFonts w:ascii="Arial" w:hAnsi="Arial"/>
                <w:b/>
                <w:color w:val="000000" w:themeColor="text1"/>
                <w:sz w:val="20"/>
              </w:rPr>
              <w:t>A</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25526" w:rsidRPr="00444E9A" w:rsidP="00D40047" w14:paraId="33E0765C" w14:textId="77777777">
            <w:pPr>
              <w:keepNext/>
              <w:jc w:val="center"/>
              <w:rPr>
                <w:rFonts w:ascii="Arial" w:hAnsi="Arial"/>
                <w:b/>
                <w:color w:val="000000" w:themeColor="text1"/>
                <w:sz w:val="20"/>
              </w:rPr>
            </w:pPr>
            <w:r w:rsidRPr="00444E9A">
              <w:rPr>
                <w:rFonts w:ascii="Arial" w:hAnsi="Arial"/>
                <w:b/>
                <w:color w:val="000000" w:themeColor="text1"/>
                <w:sz w:val="20"/>
              </w:rPr>
              <w:t>B</w:t>
            </w:r>
          </w:p>
        </w:tc>
        <w:tc>
          <w:tcPr>
            <w:tcW w:w="1080" w:type="dxa"/>
            <w:tcBorders>
              <w:top w:val="nil"/>
              <w:left w:val="nil"/>
              <w:bottom w:val="single" w:sz="4" w:space="0" w:color="auto"/>
              <w:right w:val="nil"/>
            </w:tcBorders>
            <w:shd w:val="clear" w:color="auto" w:fill="auto"/>
            <w:noWrap/>
            <w:vAlign w:val="center"/>
            <w:hideMark/>
          </w:tcPr>
          <w:p w:rsidR="00E25526" w:rsidRPr="00444E9A" w:rsidP="00D40047" w14:paraId="452988E7" w14:textId="77777777">
            <w:pPr>
              <w:keepNext/>
              <w:jc w:val="center"/>
              <w:rPr>
                <w:rFonts w:ascii="Arial" w:hAnsi="Arial"/>
                <w:b/>
                <w:color w:val="000000" w:themeColor="text1"/>
                <w:sz w:val="20"/>
              </w:rPr>
            </w:pPr>
            <w:r w:rsidRPr="00444E9A">
              <w:rPr>
                <w:rFonts w:ascii="Arial" w:hAnsi="Arial"/>
                <w:b/>
                <w:color w:val="000000" w:themeColor="text1"/>
                <w:sz w:val="20"/>
              </w:rPr>
              <w:t>C</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25526" w:rsidRPr="00444E9A" w:rsidP="00D40047" w14:paraId="6575EBD2" w14:textId="77777777">
            <w:pPr>
              <w:keepNext/>
              <w:jc w:val="center"/>
              <w:rPr>
                <w:rFonts w:ascii="Arial" w:hAnsi="Arial"/>
                <w:b/>
                <w:color w:val="000000" w:themeColor="text1"/>
                <w:sz w:val="20"/>
              </w:rPr>
            </w:pPr>
            <w:r w:rsidRPr="00444E9A">
              <w:rPr>
                <w:rFonts w:ascii="Arial" w:hAnsi="Arial"/>
                <w:b/>
                <w:color w:val="000000" w:themeColor="text1"/>
                <w:sz w:val="20"/>
              </w:rPr>
              <w:t>D</w:t>
            </w:r>
          </w:p>
        </w:tc>
        <w:tc>
          <w:tcPr>
            <w:tcW w:w="1170" w:type="dxa"/>
            <w:tcBorders>
              <w:top w:val="nil"/>
              <w:left w:val="nil"/>
              <w:bottom w:val="single" w:sz="4" w:space="0" w:color="auto"/>
              <w:right w:val="single" w:sz="4" w:space="0" w:color="auto"/>
            </w:tcBorders>
            <w:shd w:val="clear" w:color="auto" w:fill="auto"/>
            <w:noWrap/>
            <w:vAlign w:val="center"/>
            <w:hideMark/>
          </w:tcPr>
          <w:p w:rsidR="00E25526" w:rsidRPr="00444E9A" w14:paraId="77E4B253" w14:textId="0725AC91">
            <w:pPr>
              <w:keepNext/>
              <w:ind w:left="-105" w:right="-110"/>
              <w:jc w:val="center"/>
              <w:rPr>
                <w:rFonts w:ascii="Arial" w:hAnsi="Arial"/>
                <w:b/>
                <w:color w:val="000000" w:themeColor="text1"/>
                <w:sz w:val="20"/>
              </w:rPr>
            </w:pPr>
            <w:r w:rsidRPr="00444E9A">
              <w:rPr>
                <w:rFonts w:ascii="Arial" w:hAnsi="Arial"/>
                <w:b/>
                <w:color w:val="000000" w:themeColor="text1"/>
                <w:sz w:val="20"/>
              </w:rPr>
              <w:t xml:space="preserve">E = </w:t>
            </w:r>
            <w:r w:rsidRPr="00444E9A" w:rsidR="00A2739A">
              <w:rPr>
                <w:rFonts w:ascii="Cambria Math" w:hAnsi="Cambria Math" w:cs="Cambria Math"/>
                <w:b/>
                <w:color w:val="000000" w:themeColor="text1"/>
                <w:sz w:val="20"/>
              </w:rPr>
              <w:t>⅀</w:t>
            </w:r>
            <w:r w:rsidRPr="00444E9A">
              <w:rPr>
                <w:rFonts w:ascii="Arial" w:hAnsi="Arial"/>
                <w:b/>
                <w:color w:val="000000" w:themeColor="text1"/>
                <w:sz w:val="20"/>
              </w:rPr>
              <w:t>B</w:t>
            </w:r>
            <w:r w:rsidRPr="00444E9A" w:rsidR="00AA0A30">
              <w:rPr>
                <w:rFonts w:ascii="Arial" w:hAnsi="Arial"/>
                <w:b/>
                <w:color w:val="000000" w:themeColor="text1"/>
                <w:sz w:val="20"/>
              </w:rPr>
              <w:t>,</w:t>
            </w:r>
            <w:r w:rsidRPr="00444E9A">
              <w:rPr>
                <w:rFonts w:ascii="Arial" w:hAnsi="Arial"/>
                <w:b/>
                <w:color w:val="000000" w:themeColor="text1"/>
                <w:sz w:val="20"/>
              </w:rPr>
              <w:t>C</w:t>
            </w:r>
            <w:r w:rsidRPr="00444E9A" w:rsidR="00AA0A30">
              <w:rPr>
                <w:rFonts w:ascii="Arial" w:hAnsi="Arial"/>
                <w:b/>
                <w:color w:val="000000" w:themeColor="text1"/>
                <w:sz w:val="20"/>
              </w:rPr>
              <w:t>,</w:t>
            </w:r>
            <w:r w:rsidRPr="00444E9A">
              <w:rPr>
                <w:rFonts w:ascii="Arial" w:hAnsi="Arial"/>
                <w:b/>
                <w:color w:val="000000" w:themeColor="text1"/>
                <w:sz w:val="20"/>
              </w:rPr>
              <w:t>D</w:t>
            </w:r>
          </w:p>
        </w:tc>
        <w:tc>
          <w:tcPr>
            <w:tcW w:w="1170" w:type="dxa"/>
            <w:tcBorders>
              <w:top w:val="nil"/>
              <w:left w:val="nil"/>
              <w:bottom w:val="single" w:sz="4" w:space="0" w:color="auto"/>
              <w:right w:val="single" w:sz="4" w:space="0" w:color="auto"/>
            </w:tcBorders>
            <w:shd w:val="clear" w:color="auto" w:fill="auto"/>
            <w:noWrap/>
            <w:vAlign w:val="center"/>
            <w:hideMark/>
          </w:tcPr>
          <w:p w:rsidR="00E25526" w:rsidRPr="00444E9A" w:rsidP="00D40047" w14:paraId="1B9A0E98" w14:textId="1671BE77">
            <w:pPr>
              <w:keepNext/>
              <w:ind w:left="-105" w:right="-110"/>
              <w:jc w:val="center"/>
              <w:rPr>
                <w:rFonts w:ascii="Arial" w:hAnsi="Arial"/>
                <w:b/>
                <w:color w:val="000000" w:themeColor="text1"/>
                <w:sz w:val="20"/>
              </w:rPr>
            </w:pPr>
            <w:r w:rsidRPr="00444E9A">
              <w:rPr>
                <w:rFonts w:ascii="Arial" w:hAnsi="Arial"/>
                <w:b/>
                <w:color w:val="000000" w:themeColor="text1"/>
                <w:sz w:val="20"/>
              </w:rPr>
              <w:t>F = A × E</w:t>
            </w:r>
          </w:p>
        </w:tc>
        <w:tc>
          <w:tcPr>
            <w:tcW w:w="1260" w:type="dxa"/>
            <w:tcBorders>
              <w:top w:val="nil"/>
              <w:left w:val="nil"/>
              <w:bottom w:val="single" w:sz="4" w:space="0" w:color="auto"/>
              <w:right w:val="single" w:sz="4" w:space="0" w:color="auto"/>
            </w:tcBorders>
            <w:shd w:val="clear" w:color="auto" w:fill="auto"/>
            <w:noWrap/>
            <w:vAlign w:val="center"/>
            <w:hideMark/>
          </w:tcPr>
          <w:p w:rsidR="00E25526" w:rsidRPr="00444E9A" w:rsidP="00D40047" w14:paraId="002E9B30" w14:textId="24A4A2B7">
            <w:pPr>
              <w:keepNext/>
              <w:ind w:left="-105" w:right="-110"/>
              <w:jc w:val="center"/>
              <w:rPr>
                <w:rFonts w:ascii="Arial" w:hAnsi="Arial"/>
                <w:b/>
                <w:color w:val="000000" w:themeColor="text1"/>
                <w:sz w:val="20"/>
              </w:rPr>
            </w:pPr>
            <w:r w:rsidRPr="00444E9A">
              <w:rPr>
                <w:rFonts w:ascii="Arial" w:hAnsi="Arial"/>
                <w:b/>
                <w:color w:val="000000" w:themeColor="text1"/>
                <w:sz w:val="20"/>
              </w:rPr>
              <w:t>G = F ÷ 3</w:t>
            </w:r>
          </w:p>
        </w:tc>
        <w:tc>
          <w:tcPr>
            <w:tcW w:w="1346" w:type="dxa"/>
            <w:tcBorders>
              <w:top w:val="single" w:sz="4" w:space="0" w:color="auto"/>
              <w:left w:val="single" w:sz="4" w:space="0" w:color="auto"/>
              <w:bottom w:val="single" w:sz="4" w:space="0" w:color="auto"/>
              <w:right w:val="single" w:sz="4" w:space="0" w:color="auto"/>
            </w:tcBorders>
            <w:vAlign w:val="center"/>
          </w:tcPr>
          <w:p w:rsidR="00E25526" w:rsidRPr="00444E9A" w14:paraId="3D1E8165" w14:textId="6A265EDD">
            <w:pPr>
              <w:keepNext/>
              <w:ind w:left="-105" w:right="-110"/>
              <w:jc w:val="center"/>
              <w:rPr>
                <w:rFonts w:ascii="Arial" w:hAnsi="Arial"/>
                <w:b/>
                <w:color w:val="000000" w:themeColor="text1"/>
                <w:sz w:val="20"/>
              </w:rPr>
            </w:pPr>
            <w:r w:rsidRPr="00444E9A">
              <w:rPr>
                <w:rFonts w:ascii="Arial" w:hAnsi="Arial"/>
                <w:b/>
                <w:color w:val="000000" w:themeColor="text1"/>
                <w:sz w:val="20"/>
              </w:rPr>
              <w:t>H</w:t>
            </w:r>
          </w:p>
        </w:tc>
        <w:tc>
          <w:tcPr>
            <w:tcW w:w="1354" w:type="dxa"/>
            <w:tcBorders>
              <w:top w:val="nil"/>
              <w:left w:val="single" w:sz="4" w:space="0" w:color="auto"/>
              <w:bottom w:val="single" w:sz="4" w:space="0" w:color="auto"/>
              <w:right w:val="single" w:sz="4" w:space="0" w:color="auto"/>
            </w:tcBorders>
            <w:vAlign w:val="center"/>
          </w:tcPr>
          <w:p w:rsidR="00E25526" w:rsidRPr="00444E9A" w14:paraId="15CFFE07" w14:textId="5638C70C">
            <w:pPr>
              <w:keepNext/>
              <w:ind w:left="-105" w:right="-110"/>
              <w:jc w:val="center"/>
              <w:rPr>
                <w:rFonts w:ascii="Arial" w:hAnsi="Arial"/>
                <w:b/>
                <w:color w:val="000000" w:themeColor="text1"/>
                <w:sz w:val="20"/>
              </w:rPr>
            </w:pPr>
            <w:r w:rsidRPr="00444E9A">
              <w:rPr>
                <w:rFonts w:ascii="Arial" w:hAnsi="Arial"/>
                <w:b/>
                <w:color w:val="000000" w:themeColor="text1"/>
                <w:sz w:val="20"/>
              </w:rPr>
              <w:t>I = G × H</w:t>
            </w:r>
          </w:p>
        </w:tc>
      </w:tr>
      <w:tr w14:paraId="003386D2" w14:textId="675109EA" w:rsidTr="00351517">
        <w:tblPrEx>
          <w:tblW w:w="14130" w:type="dxa"/>
          <w:tblInd w:w="-450" w:type="dxa"/>
          <w:tblLayout w:type="fixed"/>
          <w:tblLook w:val="04A0"/>
        </w:tblPrEx>
        <w:trPr>
          <w:trHeight w:val="254"/>
        </w:trPr>
        <w:tc>
          <w:tcPr>
            <w:tcW w:w="11430" w:type="dxa"/>
            <w:gridSpan w:val="9"/>
            <w:tcBorders>
              <w:top w:val="single" w:sz="4" w:space="0" w:color="auto"/>
              <w:left w:val="single" w:sz="4" w:space="0" w:color="auto"/>
            </w:tcBorders>
            <w:shd w:val="clear" w:color="auto" w:fill="auto"/>
            <w:noWrap/>
            <w:vAlign w:val="center"/>
          </w:tcPr>
          <w:p w:rsidR="00E25526" w:rsidRPr="00444E9A" w:rsidP="00351517" w14:paraId="35FB2E7F" w14:textId="5EEDC41D">
            <w:pPr>
              <w:ind w:left="1440"/>
              <w:rPr>
                <w:rFonts w:ascii="Arial" w:hAnsi="Arial"/>
                <w:sz w:val="20"/>
              </w:rPr>
            </w:pPr>
            <w:r w:rsidRPr="00444E9A">
              <w:rPr>
                <w:rFonts w:ascii="Arial" w:hAnsi="Arial"/>
                <w:b/>
                <w:bCs/>
                <w:color w:val="000000" w:themeColor="text1"/>
                <w:sz w:val="20"/>
              </w:rPr>
              <w:t>STA Enrollments</w:t>
            </w:r>
          </w:p>
        </w:tc>
        <w:tc>
          <w:tcPr>
            <w:tcW w:w="1346" w:type="dxa"/>
            <w:tcBorders>
              <w:top w:val="single" w:sz="4" w:space="0" w:color="auto"/>
              <w:bottom w:val="single" w:sz="4" w:space="0" w:color="auto"/>
            </w:tcBorders>
          </w:tcPr>
          <w:p w:rsidR="00E25526" w:rsidRPr="00444E9A" w14:paraId="5DAD3F06" w14:textId="77777777">
            <w:pPr>
              <w:ind w:left="1440"/>
              <w:rPr>
                <w:rFonts w:ascii="Arial" w:hAnsi="Arial"/>
                <w:b/>
                <w:bCs/>
                <w:color w:val="000000" w:themeColor="text1"/>
                <w:sz w:val="20"/>
              </w:rPr>
            </w:pPr>
          </w:p>
        </w:tc>
        <w:tc>
          <w:tcPr>
            <w:tcW w:w="1354" w:type="dxa"/>
            <w:tcBorders>
              <w:top w:val="single" w:sz="4" w:space="0" w:color="auto"/>
              <w:right w:val="single" w:sz="4" w:space="0" w:color="auto"/>
            </w:tcBorders>
          </w:tcPr>
          <w:p w:rsidR="00E25526" w:rsidRPr="00444E9A" w14:paraId="2AF638C4" w14:textId="77777777">
            <w:pPr>
              <w:ind w:left="1440"/>
              <w:rPr>
                <w:rFonts w:ascii="Arial" w:hAnsi="Arial"/>
                <w:b/>
                <w:bCs/>
                <w:color w:val="000000" w:themeColor="text1"/>
                <w:sz w:val="20"/>
              </w:rPr>
            </w:pPr>
          </w:p>
        </w:tc>
      </w:tr>
      <w:tr w14:paraId="645F466A" w14:textId="42EC7A1D" w:rsidTr="00A2739A">
        <w:tblPrEx>
          <w:tblW w:w="14130" w:type="dxa"/>
          <w:tblInd w:w="-450" w:type="dxa"/>
          <w:tblLayout w:type="fixed"/>
          <w:tblLook w:val="04A0"/>
        </w:tblPrEx>
        <w:trPr>
          <w:trHeight w:val="254"/>
        </w:trPr>
        <w:tc>
          <w:tcPr>
            <w:tcW w:w="1310" w:type="dxa"/>
            <w:vMerge w:val="restart"/>
            <w:tcBorders>
              <w:top w:val="single" w:sz="4" w:space="0" w:color="auto"/>
              <w:left w:val="single" w:sz="4" w:space="0" w:color="auto"/>
              <w:right w:val="single" w:sz="4" w:space="0" w:color="auto"/>
            </w:tcBorders>
            <w:shd w:val="clear" w:color="auto" w:fill="auto"/>
            <w:noWrap/>
            <w:vAlign w:val="center"/>
            <w:hideMark/>
          </w:tcPr>
          <w:p w:rsidR="003365DD" w:rsidRPr="00444E9A" w:rsidP="003365DD" w14:paraId="18877B54" w14:textId="77777777">
            <w:pPr>
              <w:ind w:right="-136"/>
              <w:jc w:val="both"/>
              <w:rPr>
                <w:rFonts w:ascii="Arial" w:hAnsi="Arial"/>
                <w:color w:val="000000" w:themeColor="text1"/>
                <w:sz w:val="20"/>
              </w:rPr>
            </w:pPr>
            <w:r w:rsidRPr="00444E9A">
              <w:rPr>
                <w:rFonts w:ascii="Arial" w:hAnsi="Arial"/>
                <w:color w:val="000000" w:themeColor="text1"/>
                <w:sz w:val="20"/>
              </w:rPr>
              <w:t>Freight Rail</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5DD" w:rsidRPr="00444E9A" w:rsidP="003365DD" w14:paraId="209309D5" w14:textId="77777777">
            <w:pPr>
              <w:ind w:right="-110"/>
              <w:rPr>
                <w:rFonts w:ascii="Arial" w:hAnsi="Arial"/>
                <w:color w:val="000000" w:themeColor="text1"/>
                <w:sz w:val="20"/>
              </w:rPr>
            </w:pPr>
            <w:r w:rsidRPr="00444E9A">
              <w:rPr>
                <w:rFonts w:ascii="Arial" w:hAnsi="Arial"/>
                <w:sz w:val="20"/>
              </w:rPr>
              <w:t>SSEs</w:t>
            </w:r>
          </w:p>
        </w:tc>
        <w:tc>
          <w:tcPr>
            <w:tcW w:w="1080" w:type="dxa"/>
            <w:tcBorders>
              <w:top w:val="single" w:sz="4" w:space="0" w:color="auto"/>
              <w:left w:val="single" w:sz="4" w:space="0" w:color="auto"/>
              <w:bottom w:val="single" w:sz="4" w:space="0" w:color="auto"/>
              <w:right w:val="nil"/>
            </w:tcBorders>
            <w:shd w:val="clear" w:color="auto" w:fill="auto"/>
            <w:noWrap/>
            <w:vAlign w:val="bottom"/>
            <w:hideMark/>
          </w:tcPr>
          <w:p w:rsidR="003365DD" w:rsidRPr="00444E9A" w:rsidP="003365DD" w14:paraId="43ED04E1" w14:textId="77777777">
            <w:pPr>
              <w:jc w:val="center"/>
              <w:rPr>
                <w:rFonts w:ascii="Arial" w:hAnsi="Arial"/>
                <w:color w:val="000000" w:themeColor="text1"/>
                <w:sz w:val="20"/>
              </w:rPr>
            </w:pPr>
            <w:r w:rsidRPr="00444E9A">
              <w:rPr>
                <w:rFonts w:ascii="Arial" w:hAnsi="Arial"/>
                <w:sz w:val="20"/>
              </w:rPr>
              <w:t>1.43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76E1093F" w14:textId="77777777">
            <w:pPr>
              <w:jc w:val="right"/>
              <w:rPr>
                <w:rFonts w:ascii="Arial" w:hAnsi="Arial"/>
                <w:color w:val="000000" w:themeColor="text1"/>
                <w:sz w:val="20"/>
              </w:rPr>
            </w:pPr>
            <w:r w:rsidRPr="00444E9A">
              <w:rPr>
                <w:rFonts w:ascii="Arial" w:hAnsi="Arial"/>
                <w:sz w:val="20"/>
              </w:rPr>
              <w:t>114,828</w:t>
            </w:r>
          </w:p>
        </w:tc>
        <w:tc>
          <w:tcPr>
            <w:tcW w:w="1080" w:type="dxa"/>
            <w:tcBorders>
              <w:top w:val="single" w:sz="4" w:space="0" w:color="auto"/>
              <w:left w:val="nil"/>
              <w:bottom w:val="single" w:sz="4" w:space="0" w:color="auto"/>
              <w:right w:val="nil"/>
            </w:tcBorders>
            <w:shd w:val="clear" w:color="auto" w:fill="auto"/>
            <w:noWrap/>
            <w:vAlign w:val="bottom"/>
          </w:tcPr>
          <w:p w:rsidR="003365DD" w:rsidRPr="00444E9A" w:rsidP="003365DD" w14:paraId="322CAA1A" w14:textId="77777777">
            <w:pPr>
              <w:jc w:val="right"/>
              <w:rPr>
                <w:rFonts w:ascii="Arial" w:hAnsi="Arial"/>
                <w:color w:val="000000" w:themeColor="text1"/>
                <w:sz w:val="20"/>
              </w:rPr>
            </w:pPr>
            <w:r w:rsidRPr="00444E9A">
              <w:rPr>
                <w:rFonts w:ascii="Arial" w:hAnsi="Arial"/>
                <w:sz w:val="20"/>
              </w:rPr>
              <w:t>4,593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768676CB" w14:textId="77777777">
            <w:pPr>
              <w:jc w:val="right"/>
              <w:rPr>
                <w:rFonts w:ascii="Arial" w:hAnsi="Arial"/>
                <w:color w:val="000000" w:themeColor="text1"/>
                <w:sz w:val="20"/>
              </w:rPr>
            </w:pPr>
            <w:r w:rsidRPr="00444E9A">
              <w:rPr>
                <w:rFonts w:ascii="Arial" w:hAnsi="Arial"/>
                <w:sz w:val="20"/>
              </w:rPr>
              <w:t>4,543</w:t>
            </w:r>
          </w:p>
        </w:tc>
        <w:tc>
          <w:tcPr>
            <w:tcW w:w="1170" w:type="dxa"/>
            <w:tcBorders>
              <w:top w:val="single" w:sz="4" w:space="0" w:color="auto"/>
              <w:left w:val="nil"/>
              <w:bottom w:val="single" w:sz="4" w:space="0" w:color="auto"/>
              <w:right w:val="nil"/>
            </w:tcBorders>
            <w:shd w:val="clear" w:color="auto" w:fill="auto"/>
            <w:noWrap/>
            <w:vAlign w:val="bottom"/>
          </w:tcPr>
          <w:p w:rsidR="003365DD" w:rsidRPr="00444E9A" w:rsidP="003365DD" w14:paraId="1F88314D" w14:textId="77777777">
            <w:pPr>
              <w:jc w:val="right"/>
              <w:rPr>
                <w:rFonts w:ascii="Arial" w:hAnsi="Arial"/>
                <w:color w:val="000000" w:themeColor="text1"/>
                <w:sz w:val="20"/>
              </w:rPr>
            </w:pPr>
            <w:r w:rsidRPr="00444E9A">
              <w:rPr>
                <w:rFonts w:ascii="Arial" w:hAnsi="Arial"/>
                <w:sz w:val="20"/>
              </w:rPr>
              <w:t>123,964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46D80BA6" w14:textId="77777777">
            <w:pPr>
              <w:jc w:val="right"/>
              <w:rPr>
                <w:rFonts w:ascii="Arial" w:hAnsi="Arial"/>
                <w:color w:val="000000" w:themeColor="text1"/>
                <w:sz w:val="20"/>
              </w:rPr>
            </w:pPr>
            <w:r w:rsidRPr="00444E9A">
              <w:rPr>
                <w:rFonts w:ascii="Arial" w:hAnsi="Arial"/>
                <w:sz w:val="20"/>
              </w:rPr>
              <w:t>177,195</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365DD" w:rsidRPr="00444E9A" w:rsidP="003365DD" w14:paraId="6943AD61" w14:textId="77777777">
            <w:pPr>
              <w:jc w:val="right"/>
              <w:rPr>
                <w:rFonts w:ascii="Arial" w:hAnsi="Arial"/>
                <w:color w:val="000000" w:themeColor="text1"/>
                <w:sz w:val="20"/>
              </w:rPr>
            </w:pPr>
            <w:r w:rsidRPr="00444E9A">
              <w:rPr>
                <w:rFonts w:ascii="Arial" w:hAnsi="Arial"/>
                <w:sz w:val="20"/>
              </w:rPr>
              <w:t>59,065</w:t>
            </w:r>
          </w:p>
        </w:tc>
        <w:tc>
          <w:tcPr>
            <w:tcW w:w="1346" w:type="dxa"/>
            <w:tcBorders>
              <w:top w:val="single" w:sz="4" w:space="0" w:color="auto"/>
              <w:left w:val="single" w:sz="4" w:space="0" w:color="auto"/>
              <w:bottom w:val="single" w:sz="4" w:space="0" w:color="auto"/>
              <w:right w:val="single" w:sz="4" w:space="0" w:color="auto"/>
            </w:tcBorders>
          </w:tcPr>
          <w:p w:rsidR="003365DD" w:rsidRPr="00444E9A" w:rsidP="003365DD" w14:paraId="71C7A973" w14:textId="4BE8687F">
            <w:pPr>
              <w:jc w:val="right"/>
              <w:rPr>
                <w:rFonts w:ascii="Arial" w:hAnsi="Arial"/>
                <w:sz w:val="20"/>
              </w:rPr>
            </w:pPr>
            <w:r w:rsidRPr="00444E9A">
              <w:rPr>
                <w:rFonts w:ascii="Arial" w:hAnsi="Arial"/>
                <w:sz w:val="20"/>
              </w:rPr>
              <w:t>$49.14</w:t>
            </w:r>
          </w:p>
        </w:tc>
        <w:tc>
          <w:tcPr>
            <w:tcW w:w="1354" w:type="dxa"/>
            <w:tcBorders>
              <w:top w:val="single" w:sz="4" w:space="0" w:color="auto"/>
              <w:left w:val="single" w:sz="4" w:space="0" w:color="auto"/>
              <w:bottom w:val="single" w:sz="4" w:space="0" w:color="auto"/>
              <w:right w:val="single" w:sz="4" w:space="0" w:color="auto"/>
            </w:tcBorders>
          </w:tcPr>
          <w:p w:rsidR="003365DD" w:rsidRPr="00444E9A" w:rsidP="003365DD" w14:paraId="05158C3F" w14:textId="2DFD9DFD">
            <w:pPr>
              <w:jc w:val="right"/>
              <w:rPr>
                <w:rFonts w:ascii="Arial" w:hAnsi="Arial"/>
                <w:sz w:val="20"/>
              </w:rPr>
            </w:pPr>
            <w:r w:rsidRPr="00444E9A">
              <w:rPr>
                <w:rFonts w:ascii="Arial" w:hAnsi="Arial"/>
                <w:sz w:val="20"/>
              </w:rPr>
              <w:t xml:space="preserve"> $2,902,455 </w:t>
            </w:r>
          </w:p>
        </w:tc>
      </w:tr>
      <w:tr w14:paraId="4F9CD1A2" w14:textId="77777777" w:rsidTr="00A2739A">
        <w:tblPrEx>
          <w:tblW w:w="14130" w:type="dxa"/>
          <w:tblInd w:w="-450" w:type="dxa"/>
          <w:tblLayout w:type="fixed"/>
          <w:tblLook w:val="04A0"/>
        </w:tblPrEx>
        <w:trPr>
          <w:trHeight w:val="254"/>
        </w:trPr>
        <w:tc>
          <w:tcPr>
            <w:tcW w:w="1310" w:type="dxa"/>
            <w:vMerge/>
            <w:tcBorders>
              <w:left w:val="single" w:sz="4" w:space="0" w:color="auto"/>
              <w:right w:val="single" w:sz="4" w:space="0" w:color="auto"/>
            </w:tcBorders>
            <w:vAlign w:val="center"/>
            <w:hideMark/>
          </w:tcPr>
          <w:p w:rsidR="003365DD" w:rsidRPr="00444E9A" w:rsidP="003365DD" w14:paraId="361D4B17" w14:textId="77777777">
            <w:pPr>
              <w:ind w:right="-136"/>
              <w:rPr>
                <w:rFonts w:ascii="Arial" w:hAnsi="Arial"/>
                <w:color w:val="000000" w:themeColor="text1"/>
                <w:sz w:val="20"/>
              </w:rPr>
            </w:pP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3365DD" w:rsidRPr="00444E9A" w:rsidP="003365DD" w14:paraId="1CD6917E" w14:textId="77777777">
            <w:pPr>
              <w:ind w:right="-110"/>
              <w:rPr>
                <w:rFonts w:ascii="Arial" w:hAnsi="Arial"/>
                <w:color w:val="000000" w:themeColor="text1"/>
                <w:sz w:val="20"/>
              </w:rPr>
            </w:pPr>
            <w:r w:rsidRPr="00444E9A">
              <w:rPr>
                <w:rFonts w:ascii="Arial" w:hAnsi="Arial"/>
                <w:sz w:val="20"/>
              </w:rPr>
              <w:t>SCs</w:t>
            </w:r>
          </w:p>
        </w:tc>
        <w:tc>
          <w:tcPr>
            <w:tcW w:w="1080" w:type="dxa"/>
            <w:tcBorders>
              <w:top w:val="single" w:sz="4" w:space="0" w:color="auto"/>
              <w:left w:val="nil"/>
              <w:bottom w:val="single" w:sz="4" w:space="0" w:color="auto"/>
              <w:right w:val="nil"/>
            </w:tcBorders>
            <w:shd w:val="clear" w:color="auto" w:fill="auto"/>
            <w:noWrap/>
            <w:vAlign w:val="bottom"/>
            <w:hideMark/>
          </w:tcPr>
          <w:p w:rsidR="003365DD" w:rsidRPr="00444E9A" w:rsidP="003365DD" w14:paraId="6E9843F8" w14:textId="77777777">
            <w:pPr>
              <w:jc w:val="center"/>
              <w:rPr>
                <w:rFonts w:ascii="Arial" w:hAnsi="Arial"/>
                <w:color w:val="000000" w:themeColor="text1"/>
                <w:sz w:val="20"/>
              </w:rPr>
            </w:pPr>
            <w:r w:rsidRPr="00444E9A">
              <w:rPr>
                <w:rFonts w:ascii="Arial" w:hAnsi="Arial"/>
                <w:sz w:val="20"/>
              </w:rPr>
              <w:t>1.51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62747FF2" w14:textId="77777777">
            <w:pPr>
              <w:jc w:val="right"/>
              <w:rPr>
                <w:rFonts w:ascii="Arial" w:hAnsi="Arial"/>
                <w:color w:val="000000" w:themeColor="text1"/>
                <w:sz w:val="20"/>
              </w:rPr>
            </w:pPr>
            <w:r w:rsidRPr="00444E9A">
              <w:rPr>
                <w:rFonts w:ascii="Arial" w:hAnsi="Arial"/>
                <w:sz w:val="20"/>
              </w:rPr>
              <w:t>444</w:t>
            </w:r>
          </w:p>
        </w:tc>
        <w:tc>
          <w:tcPr>
            <w:tcW w:w="1080" w:type="dxa"/>
            <w:tcBorders>
              <w:top w:val="single" w:sz="4" w:space="0" w:color="auto"/>
              <w:left w:val="nil"/>
              <w:bottom w:val="single" w:sz="4" w:space="0" w:color="auto"/>
              <w:right w:val="nil"/>
            </w:tcBorders>
            <w:shd w:val="clear" w:color="auto" w:fill="auto"/>
            <w:noWrap/>
            <w:vAlign w:val="bottom"/>
          </w:tcPr>
          <w:p w:rsidR="003365DD" w:rsidRPr="00444E9A" w:rsidP="003365DD" w14:paraId="2A5D54B0" w14:textId="77777777">
            <w:pPr>
              <w:jc w:val="right"/>
              <w:rPr>
                <w:rFonts w:ascii="Arial" w:hAnsi="Arial"/>
                <w:color w:val="000000" w:themeColor="text1"/>
                <w:sz w:val="20"/>
              </w:rPr>
            </w:pPr>
            <w:r w:rsidRPr="00444E9A">
              <w:rPr>
                <w:rFonts w:ascii="Arial" w:hAnsi="Arial"/>
                <w:sz w:val="20"/>
              </w:rPr>
              <w:t>22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59869B62" w14:textId="77777777">
            <w:pPr>
              <w:jc w:val="right"/>
              <w:rPr>
                <w:rFonts w:ascii="Arial" w:hAnsi="Arial"/>
                <w:color w:val="000000" w:themeColor="text1"/>
                <w:sz w:val="20"/>
              </w:rPr>
            </w:pPr>
            <w:r w:rsidRPr="00444E9A">
              <w:rPr>
                <w:rFonts w:ascii="Arial" w:hAnsi="Arial"/>
                <w:sz w:val="20"/>
              </w:rPr>
              <w:t>22</w:t>
            </w:r>
          </w:p>
        </w:tc>
        <w:tc>
          <w:tcPr>
            <w:tcW w:w="1170" w:type="dxa"/>
            <w:tcBorders>
              <w:top w:val="single" w:sz="4" w:space="0" w:color="auto"/>
              <w:left w:val="nil"/>
              <w:bottom w:val="single" w:sz="4" w:space="0" w:color="auto"/>
              <w:right w:val="nil"/>
            </w:tcBorders>
            <w:shd w:val="clear" w:color="auto" w:fill="auto"/>
            <w:noWrap/>
            <w:vAlign w:val="bottom"/>
          </w:tcPr>
          <w:p w:rsidR="003365DD" w:rsidRPr="00444E9A" w:rsidP="003365DD" w14:paraId="1C03E854" w14:textId="77777777">
            <w:pPr>
              <w:jc w:val="right"/>
              <w:rPr>
                <w:rFonts w:ascii="Arial" w:hAnsi="Arial"/>
                <w:color w:val="000000" w:themeColor="text1"/>
                <w:sz w:val="20"/>
              </w:rPr>
            </w:pPr>
            <w:r w:rsidRPr="00444E9A">
              <w:rPr>
                <w:rFonts w:ascii="Arial" w:hAnsi="Arial"/>
                <w:sz w:val="20"/>
              </w:rPr>
              <w:t>488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5CF49D4E" w14:textId="77777777">
            <w:pPr>
              <w:jc w:val="right"/>
              <w:rPr>
                <w:rFonts w:ascii="Arial" w:hAnsi="Arial"/>
                <w:color w:val="000000" w:themeColor="text1"/>
                <w:sz w:val="20"/>
              </w:rPr>
            </w:pPr>
            <w:r w:rsidRPr="00444E9A">
              <w:rPr>
                <w:rFonts w:ascii="Arial" w:hAnsi="Arial"/>
                <w:sz w:val="20"/>
              </w:rPr>
              <w:t>738</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365DD" w:rsidRPr="00444E9A" w:rsidP="003365DD" w14:paraId="2F439B6B" w14:textId="77777777">
            <w:pPr>
              <w:jc w:val="right"/>
              <w:rPr>
                <w:rFonts w:ascii="Arial" w:hAnsi="Arial"/>
                <w:color w:val="000000" w:themeColor="text1"/>
                <w:sz w:val="20"/>
              </w:rPr>
            </w:pPr>
            <w:r w:rsidRPr="00444E9A">
              <w:rPr>
                <w:rFonts w:ascii="Arial" w:hAnsi="Arial"/>
                <w:sz w:val="20"/>
              </w:rPr>
              <w:t>246</w:t>
            </w:r>
          </w:p>
        </w:tc>
        <w:tc>
          <w:tcPr>
            <w:tcW w:w="1346" w:type="dxa"/>
            <w:tcBorders>
              <w:top w:val="single" w:sz="4" w:space="0" w:color="auto"/>
              <w:left w:val="single" w:sz="4" w:space="0" w:color="auto"/>
              <w:bottom w:val="single" w:sz="4" w:space="0" w:color="auto"/>
              <w:right w:val="single" w:sz="4" w:space="0" w:color="auto"/>
            </w:tcBorders>
          </w:tcPr>
          <w:p w:rsidR="003365DD" w:rsidRPr="00444E9A" w:rsidP="003365DD" w14:paraId="41E98370" w14:textId="75A2C22E">
            <w:pPr>
              <w:jc w:val="right"/>
              <w:rPr>
                <w:rFonts w:ascii="Arial" w:hAnsi="Arial"/>
                <w:sz w:val="20"/>
              </w:rPr>
            </w:pPr>
            <w:r w:rsidRPr="00444E9A">
              <w:rPr>
                <w:rFonts w:ascii="Arial" w:hAnsi="Arial"/>
                <w:sz w:val="20"/>
              </w:rPr>
              <w:t>$92.34</w:t>
            </w:r>
          </w:p>
        </w:tc>
        <w:tc>
          <w:tcPr>
            <w:tcW w:w="1354" w:type="dxa"/>
            <w:tcBorders>
              <w:top w:val="single" w:sz="4" w:space="0" w:color="auto"/>
              <w:left w:val="single" w:sz="4" w:space="0" w:color="auto"/>
              <w:bottom w:val="single" w:sz="4" w:space="0" w:color="auto"/>
              <w:right w:val="single" w:sz="4" w:space="0" w:color="auto"/>
            </w:tcBorders>
          </w:tcPr>
          <w:p w:rsidR="003365DD" w:rsidRPr="00444E9A" w:rsidP="003365DD" w14:paraId="14F5CAC5" w14:textId="000065A9">
            <w:pPr>
              <w:jc w:val="right"/>
              <w:rPr>
                <w:rFonts w:ascii="Arial" w:hAnsi="Arial"/>
                <w:sz w:val="20"/>
              </w:rPr>
            </w:pPr>
            <w:r w:rsidRPr="00444E9A">
              <w:rPr>
                <w:rFonts w:ascii="Arial" w:hAnsi="Arial"/>
                <w:sz w:val="20"/>
              </w:rPr>
              <w:t xml:space="preserve"> $22,724 </w:t>
            </w:r>
          </w:p>
        </w:tc>
      </w:tr>
      <w:tr w14:paraId="59609BCB" w14:textId="77777777" w:rsidTr="00A2739A">
        <w:tblPrEx>
          <w:tblW w:w="14130" w:type="dxa"/>
          <w:tblInd w:w="-450" w:type="dxa"/>
          <w:tblLayout w:type="fixed"/>
          <w:tblLook w:val="04A0"/>
        </w:tblPrEx>
        <w:trPr>
          <w:trHeight w:val="254"/>
        </w:trPr>
        <w:tc>
          <w:tcPr>
            <w:tcW w:w="1310" w:type="dxa"/>
            <w:vMerge/>
            <w:tcBorders>
              <w:left w:val="single" w:sz="4" w:space="0" w:color="auto"/>
              <w:right w:val="single" w:sz="4" w:space="0" w:color="auto"/>
            </w:tcBorders>
            <w:vAlign w:val="center"/>
          </w:tcPr>
          <w:p w:rsidR="003365DD" w:rsidRPr="00444E9A" w:rsidP="003365DD" w14:paraId="675FD42D" w14:textId="77777777">
            <w:pPr>
              <w:ind w:right="-136"/>
              <w:rPr>
                <w:rFonts w:ascii="Arial" w:hAnsi="Arial"/>
                <w:color w:val="000000" w:themeColor="text1"/>
                <w:sz w:val="20"/>
              </w:rPr>
            </w:pPr>
          </w:p>
        </w:tc>
        <w:tc>
          <w:tcPr>
            <w:tcW w:w="2200" w:type="dxa"/>
            <w:tcBorders>
              <w:top w:val="single" w:sz="4" w:space="0" w:color="auto"/>
              <w:left w:val="nil"/>
              <w:bottom w:val="single" w:sz="4" w:space="0" w:color="auto"/>
              <w:right w:val="single" w:sz="4" w:space="0" w:color="auto"/>
            </w:tcBorders>
            <w:shd w:val="clear" w:color="auto" w:fill="auto"/>
            <w:noWrap/>
            <w:vAlign w:val="bottom"/>
          </w:tcPr>
          <w:p w:rsidR="003365DD" w:rsidRPr="00444E9A" w:rsidP="003365DD" w14:paraId="625BB9C8" w14:textId="77777777">
            <w:pPr>
              <w:ind w:right="-110"/>
              <w:rPr>
                <w:rFonts w:ascii="Arial" w:hAnsi="Arial"/>
                <w:color w:val="000000" w:themeColor="text1"/>
                <w:sz w:val="20"/>
              </w:rPr>
            </w:pPr>
            <w:r w:rsidRPr="00444E9A">
              <w:rPr>
                <w:rFonts w:ascii="Arial" w:hAnsi="Arial"/>
                <w:sz w:val="20"/>
              </w:rPr>
              <w:t>Comparable STA SSEs</w:t>
            </w:r>
          </w:p>
        </w:tc>
        <w:tc>
          <w:tcPr>
            <w:tcW w:w="1080" w:type="dxa"/>
            <w:tcBorders>
              <w:top w:val="single" w:sz="4" w:space="0" w:color="auto"/>
              <w:left w:val="nil"/>
              <w:bottom w:val="single" w:sz="4" w:space="0" w:color="auto"/>
              <w:right w:val="nil"/>
            </w:tcBorders>
            <w:shd w:val="clear" w:color="auto" w:fill="auto"/>
            <w:noWrap/>
            <w:vAlign w:val="bottom"/>
          </w:tcPr>
          <w:p w:rsidR="003365DD" w:rsidRPr="00444E9A" w:rsidP="003365DD" w14:paraId="73F31C06" w14:textId="77777777">
            <w:pPr>
              <w:jc w:val="center"/>
              <w:rPr>
                <w:rFonts w:ascii="Arial" w:hAnsi="Arial"/>
                <w:color w:val="000000" w:themeColor="text1"/>
                <w:sz w:val="20"/>
              </w:rPr>
            </w:pPr>
            <w:r w:rsidRPr="00444E9A">
              <w:rPr>
                <w:rFonts w:ascii="Arial" w:hAnsi="Arial"/>
                <w:sz w:val="20"/>
              </w:rPr>
              <w:t>0.17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5087015F" w14:textId="77777777">
            <w:pPr>
              <w:jc w:val="right"/>
              <w:rPr>
                <w:rFonts w:ascii="Arial" w:hAnsi="Arial"/>
                <w:sz w:val="20"/>
              </w:rPr>
            </w:pPr>
            <w:r w:rsidRPr="00444E9A">
              <w:rPr>
                <w:rFonts w:ascii="Arial" w:hAnsi="Arial"/>
                <w:sz w:val="20"/>
              </w:rPr>
              <w:t>7,408</w:t>
            </w:r>
          </w:p>
        </w:tc>
        <w:tc>
          <w:tcPr>
            <w:tcW w:w="1080" w:type="dxa"/>
            <w:tcBorders>
              <w:top w:val="single" w:sz="4" w:space="0" w:color="auto"/>
              <w:left w:val="nil"/>
              <w:bottom w:val="single" w:sz="4" w:space="0" w:color="auto"/>
              <w:right w:val="nil"/>
            </w:tcBorders>
            <w:shd w:val="clear" w:color="auto" w:fill="auto"/>
            <w:noWrap/>
            <w:vAlign w:val="bottom"/>
          </w:tcPr>
          <w:p w:rsidR="003365DD" w:rsidRPr="00444E9A" w:rsidP="003365DD" w14:paraId="664C88A1" w14:textId="77777777">
            <w:pPr>
              <w:jc w:val="right"/>
              <w:rPr>
                <w:rFonts w:ascii="Arial" w:hAnsi="Arial"/>
                <w:sz w:val="20"/>
              </w:rPr>
            </w:pPr>
            <w:r w:rsidRPr="00444E9A">
              <w:rPr>
                <w:rFonts w:ascii="Arial" w:hAnsi="Arial"/>
                <w:sz w:val="20"/>
              </w:rPr>
              <w:t>296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212270A4" w14:textId="77777777">
            <w:pPr>
              <w:jc w:val="right"/>
              <w:rPr>
                <w:rFonts w:ascii="Arial" w:hAnsi="Arial"/>
                <w:sz w:val="20"/>
              </w:rPr>
            </w:pPr>
            <w:r w:rsidRPr="00444E9A">
              <w:rPr>
                <w:rFonts w:ascii="Arial" w:hAnsi="Arial"/>
                <w:sz w:val="20"/>
              </w:rPr>
              <w:t>293</w:t>
            </w:r>
          </w:p>
        </w:tc>
        <w:tc>
          <w:tcPr>
            <w:tcW w:w="1170" w:type="dxa"/>
            <w:tcBorders>
              <w:top w:val="single" w:sz="4" w:space="0" w:color="auto"/>
              <w:left w:val="nil"/>
              <w:bottom w:val="single" w:sz="4" w:space="0" w:color="auto"/>
              <w:right w:val="nil"/>
            </w:tcBorders>
            <w:shd w:val="clear" w:color="auto" w:fill="auto"/>
            <w:noWrap/>
            <w:vAlign w:val="bottom"/>
          </w:tcPr>
          <w:p w:rsidR="003365DD" w:rsidRPr="00444E9A" w:rsidP="003365DD" w14:paraId="4148097D" w14:textId="77777777">
            <w:pPr>
              <w:jc w:val="right"/>
              <w:rPr>
                <w:rFonts w:ascii="Arial" w:hAnsi="Arial"/>
                <w:sz w:val="20"/>
              </w:rPr>
            </w:pPr>
            <w:r w:rsidRPr="00444E9A">
              <w:rPr>
                <w:rFonts w:ascii="Arial" w:hAnsi="Arial"/>
                <w:sz w:val="20"/>
              </w:rPr>
              <w:t>7,997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03A0C5F3" w14:textId="77777777">
            <w:pPr>
              <w:jc w:val="right"/>
              <w:rPr>
                <w:rFonts w:ascii="Arial" w:hAnsi="Arial"/>
                <w:sz w:val="20"/>
              </w:rPr>
            </w:pPr>
            <w:r w:rsidRPr="00444E9A">
              <w:rPr>
                <w:rFonts w:ascii="Arial" w:hAnsi="Arial"/>
                <w:sz w:val="20"/>
              </w:rPr>
              <w:t>1,333</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365DD" w:rsidRPr="00444E9A" w:rsidP="003365DD" w14:paraId="49D69DF8" w14:textId="77777777">
            <w:pPr>
              <w:jc w:val="right"/>
              <w:rPr>
                <w:rFonts w:ascii="Arial" w:hAnsi="Arial"/>
                <w:sz w:val="20"/>
              </w:rPr>
            </w:pPr>
            <w:r w:rsidRPr="00444E9A">
              <w:rPr>
                <w:rFonts w:ascii="Arial" w:hAnsi="Arial"/>
                <w:sz w:val="20"/>
              </w:rPr>
              <w:t>444</w:t>
            </w:r>
          </w:p>
        </w:tc>
        <w:tc>
          <w:tcPr>
            <w:tcW w:w="1346" w:type="dxa"/>
            <w:tcBorders>
              <w:top w:val="single" w:sz="4" w:space="0" w:color="auto"/>
              <w:left w:val="single" w:sz="4" w:space="0" w:color="auto"/>
              <w:bottom w:val="single" w:sz="4" w:space="0" w:color="auto"/>
              <w:right w:val="single" w:sz="4" w:space="0" w:color="auto"/>
            </w:tcBorders>
          </w:tcPr>
          <w:p w:rsidR="003365DD" w:rsidRPr="00444E9A" w:rsidP="003365DD" w14:paraId="3CC0B012" w14:textId="2A48BD1E">
            <w:pPr>
              <w:jc w:val="right"/>
              <w:rPr>
                <w:rFonts w:ascii="Arial" w:hAnsi="Arial"/>
                <w:sz w:val="20"/>
              </w:rPr>
            </w:pPr>
            <w:r w:rsidRPr="00444E9A">
              <w:rPr>
                <w:rFonts w:ascii="Arial" w:hAnsi="Arial"/>
                <w:sz w:val="20"/>
              </w:rPr>
              <w:t>$49.14</w:t>
            </w:r>
          </w:p>
        </w:tc>
        <w:tc>
          <w:tcPr>
            <w:tcW w:w="1354" w:type="dxa"/>
            <w:tcBorders>
              <w:top w:val="single" w:sz="4" w:space="0" w:color="auto"/>
              <w:left w:val="single" w:sz="4" w:space="0" w:color="auto"/>
              <w:bottom w:val="single" w:sz="4" w:space="0" w:color="auto"/>
              <w:right w:val="single" w:sz="4" w:space="0" w:color="auto"/>
            </w:tcBorders>
          </w:tcPr>
          <w:p w:rsidR="003365DD" w:rsidRPr="00444E9A" w:rsidP="003365DD" w14:paraId="632056D1" w14:textId="438BEEA2">
            <w:pPr>
              <w:jc w:val="right"/>
              <w:rPr>
                <w:rFonts w:ascii="Arial" w:hAnsi="Arial"/>
                <w:sz w:val="20"/>
              </w:rPr>
            </w:pPr>
            <w:r w:rsidRPr="00444E9A">
              <w:rPr>
                <w:rFonts w:ascii="Arial" w:hAnsi="Arial"/>
                <w:sz w:val="20"/>
              </w:rPr>
              <w:t xml:space="preserve"> $21,833 </w:t>
            </w:r>
          </w:p>
        </w:tc>
      </w:tr>
      <w:tr w14:paraId="55E1312D" w14:textId="6AAF730E" w:rsidTr="00A2739A">
        <w:tblPrEx>
          <w:tblW w:w="14130" w:type="dxa"/>
          <w:tblInd w:w="-450" w:type="dxa"/>
          <w:tblLayout w:type="fixed"/>
          <w:tblLook w:val="04A0"/>
        </w:tblPrEx>
        <w:trPr>
          <w:trHeight w:val="254"/>
        </w:trPr>
        <w:tc>
          <w:tcPr>
            <w:tcW w:w="1310" w:type="dxa"/>
            <w:vMerge/>
            <w:tcBorders>
              <w:left w:val="single" w:sz="4" w:space="0" w:color="auto"/>
              <w:bottom w:val="nil"/>
              <w:right w:val="single" w:sz="4" w:space="0" w:color="auto"/>
            </w:tcBorders>
            <w:vAlign w:val="center"/>
          </w:tcPr>
          <w:p w:rsidR="003365DD" w:rsidRPr="00444E9A" w:rsidP="003365DD" w14:paraId="77CA97E6" w14:textId="77777777">
            <w:pPr>
              <w:ind w:right="-136"/>
              <w:rPr>
                <w:rFonts w:ascii="Arial" w:hAnsi="Arial"/>
                <w:color w:val="000000" w:themeColor="text1"/>
                <w:sz w:val="20"/>
              </w:rPr>
            </w:pPr>
          </w:p>
        </w:tc>
        <w:tc>
          <w:tcPr>
            <w:tcW w:w="2200" w:type="dxa"/>
            <w:tcBorders>
              <w:top w:val="single" w:sz="4" w:space="0" w:color="auto"/>
              <w:left w:val="nil"/>
              <w:bottom w:val="single" w:sz="4" w:space="0" w:color="auto"/>
              <w:right w:val="single" w:sz="4" w:space="0" w:color="auto"/>
            </w:tcBorders>
            <w:shd w:val="clear" w:color="auto" w:fill="auto"/>
            <w:noWrap/>
            <w:vAlign w:val="bottom"/>
          </w:tcPr>
          <w:p w:rsidR="003365DD" w:rsidRPr="00444E9A" w:rsidP="003365DD" w14:paraId="32323FF3" w14:textId="77777777">
            <w:pPr>
              <w:ind w:right="-110"/>
              <w:rPr>
                <w:rFonts w:ascii="Arial" w:hAnsi="Arial"/>
                <w:color w:val="000000" w:themeColor="text1"/>
                <w:sz w:val="20"/>
              </w:rPr>
            </w:pPr>
            <w:r w:rsidRPr="00444E9A">
              <w:rPr>
                <w:rFonts w:ascii="Arial" w:hAnsi="Arial"/>
                <w:sz w:val="20"/>
              </w:rPr>
              <w:t>Comparable STA SCs</w:t>
            </w:r>
          </w:p>
        </w:tc>
        <w:tc>
          <w:tcPr>
            <w:tcW w:w="1080" w:type="dxa"/>
            <w:tcBorders>
              <w:top w:val="single" w:sz="4" w:space="0" w:color="auto"/>
              <w:left w:val="nil"/>
              <w:bottom w:val="single" w:sz="4" w:space="0" w:color="auto"/>
              <w:right w:val="nil"/>
            </w:tcBorders>
            <w:shd w:val="clear" w:color="auto" w:fill="auto"/>
            <w:noWrap/>
            <w:vAlign w:val="bottom"/>
          </w:tcPr>
          <w:p w:rsidR="003365DD" w:rsidRPr="00444E9A" w:rsidP="003365DD" w14:paraId="4CCC2E9C" w14:textId="77777777">
            <w:pPr>
              <w:jc w:val="center"/>
              <w:rPr>
                <w:rFonts w:ascii="Arial" w:hAnsi="Arial"/>
                <w:color w:val="000000" w:themeColor="text1"/>
                <w:sz w:val="20"/>
              </w:rPr>
            </w:pPr>
            <w:r w:rsidRPr="00444E9A">
              <w:rPr>
                <w:rFonts w:ascii="Arial" w:hAnsi="Arial"/>
                <w:sz w:val="20"/>
              </w:rPr>
              <w:t>0.17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5024EEA3" w14:textId="77777777">
            <w:pPr>
              <w:jc w:val="right"/>
              <w:rPr>
                <w:rFonts w:ascii="Arial" w:hAnsi="Arial"/>
                <w:sz w:val="20"/>
              </w:rPr>
            </w:pPr>
            <w:r w:rsidRPr="00444E9A">
              <w:rPr>
                <w:rFonts w:ascii="Arial" w:hAnsi="Arial"/>
                <w:sz w:val="20"/>
              </w:rPr>
              <w:t>453</w:t>
            </w:r>
          </w:p>
        </w:tc>
        <w:tc>
          <w:tcPr>
            <w:tcW w:w="1080" w:type="dxa"/>
            <w:tcBorders>
              <w:top w:val="single" w:sz="4" w:space="0" w:color="auto"/>
              <w:left w:val="nil"/>
              <w:bottom w:val="single" w:sz="4" w:space="0" w:color="auto"/>
              <w:right w:val="nil"/>
            </w:tcBorders>
            <w:shd w:val="clear" w:color="auto" w:fill="auto"/>
            <w:noWrap/>
            <w:vAlign w:val="bottom"/>
          </w:tcPr>
          <w:p w:rsidR="003365DD" w:rsidRPr="00444E9A" w:rsidP="003365DD" w14:paraId="33E3C67F" w14:textId="77777777">
            <w:pPr>
              <w:jc w:val="right"/>
              <w:rPr>
                <w:rFonts w:ascii="Arial" w:hAnsi="Arial"/>
                <w:sz w:val="20"/>
              </w:rPr>
            </w:pPr>
            <w:r w:rsidRPr="00444E9A">
              <w:rPr>
                <w:rFonts w:ascii="Arial" w:hAnsi="Arial"/>
                <w:sz w:val="20"/>
              </w:rPr>
              <w:t>22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4442C376" w14:textId="77777777">
            <w:pPr>
              <w:jc w:val="right"/>
              <w:rPr>
                <w:rFonts w:ascii="Arial" w:hAnsi="Arial"/>
                <w:sz w:val="20"/>
              </w:rPr>
            </w:pPr>
            <w:r w:rsidRPr="00444E9A">
              <w:rPr>
                <w:rFonts w:ascii="Arial" w:hAnsi="Arial"/>
                <w:sz w:val="20"/>
              </w:rPr>
              <w:t>22</w:t>
            </w:r>
          </w:p>
        </w:tc>
        <w:tc>
          <w:tcPr>
            <w:tcW w:w="1170" w:type="dxa"/>
            <w:tcBorders>
              <w:top w:val="single" w:sz="4" w:space="0" w:color="auto"/>
              <w:left w:val="nil"/>
              <w:bottom w:val="single" w:sz="4" w:space="0" w:color="auto"/>
              <w:right w:val="nil"/>
            </w:tcBorders>
            <w:shd w:val="clear" w:color="auto" w:fill="auto"/>
            <w:noWrap/>
            <w:vAlign w:val="bottom"/>
          </w:tcPr>
          <w:p w:rsidR="003365DD" w:rsidRPr="00444E9A" w:rsidP="003365DD" w14:paraId="50517117" w14:textId="77777777">
            <w:pPr>
              <w:jc w:val="right"/>
              <w:rPr>
                <w:rFonts w:ascii="Arial" w:hAnsi="Arial"/>
                <w:sz w:val="20"/>
              </w:rPr>
            </w:pPr>
            <w:r w:rsidRPr="00444E9A">
              <w:rPr>
                <w:rFonts w:ascii="Arial" w:hAnsi="Arial"/>
                <w:sz w:val="20"/>
              </w:rPr>
              <w:t>497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5F6C566C" w14:textId="77777777">
            <w:pPr>
              <w:jc w:val="right"/>
              <w:rPr>
                <w:rFonts w:ascii="Arial" w:hAnsi="Arial"/>
                <w:sz w:val="20"/>
              </w:rPr>
            </w:pPr>
            <w:r w:rsidRPr="00444E9A">
              <w:rPr>
                <w:rFonts w:ascii="Arial" w:hAnsi="Arial"/>
                <w:sz w:val="20"/>
              </w:rPr>
              <w:t>83</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365DD" w:rsidRPr="00444E9A" w:rsidP="003365DD" w14:paraId="5A3C499F" w14:textId="77777777">
            <w:pPr>
              <w:jc w:val="right"/>
              <w:rPr>
                <w:rFonts w:ascii="Arial" w:hAnsi="Arial"/>
                <w:sz w:val="20"/>
              </w:rPr>
            </w:pPr>
            <w:r w:rsidRPr="00444E9A">
              <w:rPr>
                <w:rFonts w:ascii="Arial" w:hAnsi="Arial"/>
                <w:sz w:val="20"/>
              </w:rPr>
              <w:t>28</w:t>
            </w:r>
          </w:p>
        </w:tc>
        <w:tc>
          <w:tcPr>
            <w:tcW w:w="1346" w:type="dxa"/>
            <w:tcBorders>
              <w:top w:val="single" w:sz="4" w:space="0" w:color="auto"/>
              <w:left w:val="single" w:sz="4" w:space="0" w:color="auto"/>
              <w:bottom w:val="single" w:sz="4" w:space="0" w:color="auto"/>
              <w:right w:val="single" w:sz="4" w:space="0" w:color="auto"/>
            </w:tcBorders>
          </w:tcPr>
          <w:p w:rsidR="003365DD" w:rsidRPr="00444E9A" w:rsidP="003365DD" w14:paraId="03420CBC" w14:textId="6A4E9018">
            <w:pPr>
              <w:jc w:val="right"/>
              <w:rPr>
                <w:rFonts w:ascii="Arial" w:hAnsi="Arial"/>
                <w:sz w:val="20"/>
              </w:rPr>
            </w:pPr>
            <w:r w:rsidRPr="00444E9A">
              <w:rPr>
                <w:rFonts w:ascii="Arial" w:hAnsi="Arial"/>
                <w:sz w:val="20"/>
              </w:rPr>
              <w:t>$92.34</w:t>
            </w:r>
          </w:p>
        </w:tc>
        <w:tc>
          <w:tcPr>
            <w:tcW w:w="1354" w:type="dxa"/>
            <w:tcBorders>
              <w:top w:val="single" w:sz="4" w:space="0" w:color="auto"/>
              <w:left w:val="single" w:sz="4" w:space="0" w:color="auto"/>
              <w:bottom w:val="single" w:sz="4" w:space="0" w:color="auto"/>
              <w:right w:val="single" w:sz="4" w:space="0" w:color="auto"/>
            </w:tcBorders>
          </w:tcPr>
          <w:p w:rsidR="003365DD" w:rsidRPr="00444E9A" w:rsidP="003365DD" w14:paraId="67DDC5D6" w14:textId="62FAE15A">
            <w:pPr>
              <w:jc w:val="right"/>
              <w:rPr>
                <w:rFonts w:ascii="Arial" w:hAnsi="Arial"/>
                <w:sz w:val="20"/>
              </w:rPr>
            </w:pPr>
            <w:r w:rsidRPr="00444E9A">
              <w:rPr>
                <w:rFonts w:ascii="Arial" w:hAnsi="Arial"/>
                <w:sz w:val="20"/>
              </w:rPr>
              <w:t xml:space="preserve"> $2,548 </w:t>
            </w:r>
          </w:p>
        </w:tc>
      </w:tr>
      <w:tr w14:paraId="184A7641" w14:textId="41FB9635" w:rsidTr="00351517">
        <w:tblPrEx>
          <w:tblW w:w="14130" w:type="dxa"/>
          <w:tblInd w:w="-450" w:type="dxa"/>
          <w:tblLayout w:type="fixed"/>
          <w:tblLook w:val="04A0"/>
        </w:tblPrEx>
        <w:trPr>
          <w:trHeight w:val="254"/>
        </w:trPr>
        <w:tc>
          <w:tcPr>
            <w:tcW w:w="1310" w:type="dxa"/>
            <w:vMerge w:val="restart"/>
            <w:tcBorders>
              <w:top w:val="single" w:sz="4" w:space="0" w:color="auto"/>
              <w:left w:val="single" w:sz="4" w:space="0" w:color="auto"/>
              <w:right w:val="single" w:sz="4" w:space="0" w:color="auto"/>
            </w:tcBorders>
            <w:shd w:val="clear" w:color="auto" w:fill="auto"/>
            <w:noWrap/>
            <w:vAlign w:val="center"/>
          </w:tcPr>
          <w:p w:rsidR="003365DD" w:rsidRPr="00444E9A" w:rsidP="003365DD" w14:paraId="3B287213" w14:textId="77777777">
            <w:pPr>
              <w:ind w:right="-136"/>
              <w:rPr>
                <w:rFonts w:ascii="Arial" w:hAnsi="Arial"/>
                <w:color w:val="000000" w:themeColor="text1"/>
                <w:sz w:val="20"/>
              </w:rPr>
            </w:pPr>
            <w:r w:rsidRPr="00444E9A">
              <w:rPr>
                <w:rFonts w:ascii="Arial" w:hAnsi="Arial"/>
                <w:color w:val="000000" w:themeColor="text1"/>
                <w:sz w:val="20"/>
              </w:rPr>
              <w:t>FRSR</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19AD1DDE" w14:textId="77777777">
            <w:pPr>
              <w:ind w:right="-110"/>
              <w:rPr>
                <w:rFonts w:ascii="Arial" w:hAnsi="Arial"/>
                <w:color w:val="000000" w:themeColor="text1"/>
                <w:sz w:val="20"/>
              </w:rPr>
            </w:pPr>
            <w:r w:rsidRPr="00444E9A">
              <w:rPr>
                <w:rFonts w:ascii="Arial" w:hAnsi="Arial"/>
                <w:sz w:val="20"/>
              </w:rPr>
              <w:t>SCs</w:t>
            </w:r>
          </w:p>
        </w:tc>
        <w:tc>
          <w:tcPr>
            <w:tcW w:w="1080" w:type="dxa"/>
            <w:tcBorders>
              <w:top w:val="single" w:sz="4" w:space="0" w:color="auto"/>
              <w:left w:val="single" w:sz="4" w:space="0" w:color="auto"/>
              <w:bottom w:val="single" w:sz="4" w:space="0" w:color="auto"/>
              <w:right w:val="nil"/>
            </w:tcBorders>
            <w:shd w:val="clear" w:color="auto" w:fill="auto"/>
            <w:noWrap/>
            <w:vAlign w:val="bottom"/>
          </w:tcPr>
          <w:p w:rsidR="003365DD" w:rsidRPr="00444E9A" w:rsidP="003365DD" w14:paraId="215F94C2" w14:textId="77777777">
            <w:pPr>
              <w:jc w:val="center"/>
              <w:rPr>
                <w:rFonts w:ascii="Arial" w:hAnsi="Arial"/>
                <w:color w:val="000000" w:themeColor="text1"/>
                <w:sz w:val="20"/>
              </w:rPr>
            </w:pPr>
            <w:r w:rsidRPr="00444E9A">
              <w:rPr>
                <w:rFonts w:ascii="Arial" w:hAnsi="Arial"/>
                <w:sz w:val="20"/>
              </w:rPr>
              <w:t>1.51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6ADA9869" w14:textId="77777777">
            <w:pPr>
              <w:jc w:val="right"/>
              <w:rPr>
                <w:rFonts w:ascii="Arial" w:hAnsi="Arial"/>
                <w:sz w:val="20"/>
              </w:rPr>
            </w:pPr>
            <w:r w:rsidRPr="00444E9A">
              <w:rPr>
                <w:rFonts w:ascii="Arial" w:hAnsi="Arial"/>
                <w:sz w:val="20"/>
              </w:rPr>
              <w:t>233</w:t>
            </w:r>
          </w:p>
        </w:tc>
        <w:tc>
          <w:tcPr>
            <w:tcW w:w="1080" w:type="dxa"/>
            <w:tcBorders>
              <w:top w:val="single" w:sz="4" w:space="0" w:color="auto"/>
              <w:left w:val="nil"/>
              <w:bottom w:val="single" w:sz="4" w:space="0" w:color="auto"/>
              <w:right w:val="nil"/>
            </w:tcBorders>
            <w:shd w:val="clear" w:color="auto" w:fill="auto"/>
            <w:noWrap/>
            <w:vAlign w:val="bottom"/>
          </w:tcPr>
          <w:p w:rsidR="003365DD" w:rsidRPr="00444E9A" w:rsidP="003365DD" w14:paraId="5F15EE5A" w14:textId="77777777">
            <w:pPr>
              <w:jc w:val="right"/>
              <w:rPr>
                <w:rFonts w:ascii="Arial" w:hAnsi="Arial"/>
                <w:sz w:val="20"/>
              </w:rPr>
            </w:pPr>
            <w:r w:rsidRPr="00444E9A">
              <w:rPr>
                <w:rFonts w:ascii="Arial" w:hAnsi="Arial"/>
                <w:sz w:val="20"/>
              </w:rPr>
              <w:t>20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6765D66C" w14:textId="77777777">
            <w:pPr>
              <w:jc w:val="right"/>
              <w:rPr>
                <w:rFonts w:ascii="Arial" w:hAnsi="Arial"/>
                <w:sz w:val="20"/>
              </w:rPr>
            </w:pPr>
            <w:r w:rsidRPr="00444E9A">
              <w:rPr>
                <w:rFonts w:ascii="Arial" w:hAnsi="Arial"/>
                <w:sz w:val="20"/>
              </w:rPr>
              <w:t>20</w:t>
            </w:r>
          </w:p>
        </w:tc>
        <w:tc>
          <w:tcPr>
            <w:tcW w:w="1170" w:type="dxa"/>
            <w:tcBorders>
              <w:top w:val="single" w:sz="4" w:space="0" w:color="auto"/>
              <w:left w:val="nil"/>
              <w:bottom w:val="single" w:sz="4" w:space="0" w:color="auto"/>
              <w:right w:val="nil"/>
            </w:tcBorders>
            <w:shd w:val="clear" w:color="auto" w:fill="auto"/>
            <w:noWrap/>
            <w:vAlign w:val="bottom"/>
          </w:tcPr>
          <w:p w:rsidR="003365DD" w:rsidRPr="00444E9A" w:rsidP="003365DD" w14:paraId="48DFE45F" w14:textId="77777777">
            <w:pPr>
              <w:jc w:val="right"/>
              <w:rPr>
                <w:rFonts w:ascii="Arial" w:hAnsi="Arial"/>
                <w:sz w:val="20"/>
              </w:rPr>
            </w:pPr>
            <w:r w:rsidRPr="00444E9A">
              <w:rPr>
                <w:rFonts w:ascii="Arial" w:hAnsi="Arial"/>
                <w:sz w:val="20"/>
              </w:rPr>
              <w:t>274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5048E302" w14:textId="77777777">
            <w:pPr>
              <w:jc w:val="right"/>
              <w:rPr>
                <w:rFonts w:ascii="Arial" w:hAnsi="Arial"/>
                <w:sz w:val="20"/>
              </w:rPr>
            </w:pPr>
            <w:r w:rsidRPr="00444E9A">
              <w:rPr>
                <w:rFonts w:ascii="Arial" w:hAnsi="Arial"/>
                <w:sz w:val="20"/>
              </w:rPr>
              <w:t>414</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365DD" w:rsidRPr="00444E9A" w:rsidP="003365DD" w14:paraId="17399D0B" w14:textId="77777777">
            <w:pPr>
              <w:jc w:val="right"/>
              <w:rPr>
                <w:rFonts w:ascii="Arial" w:hAnsi="Arial"/>
                <w:sz w:val="20"/>
              </w:rPr>
            </w:pPr>
            <w:r w:rsidRPr="00444E9A">
              <w:rPr>
                <w:rFonts w:ascii="Arial" w:hAnsi="Arial"/>
                <w:sz w:val="20"/>
              </w:rPr>
              <w:t>138</w:t>
            </w:r>
          </w:p>
        </w:tc>
        <w:tc>
          <w:tcPr>
            <w:tcW w:w="1346" w:type="dxa"/>
            <w:vMerge w:val="restart"/>
            <w:tcBorders>
              <w:top w:val="single" w:sz="4" w:space="0" w:color="auto"/>
              <w:left w:val="single" w:sz="4" w:space="0" w:color="auto"/>
              <w:right w:val="single" w:sz="4" w:space="0" w:color="auto"/>
            </w:tcBorders>
            <w:vAlign w:val="center"/>
          </w:tcPr>
          <w:p w:rsidR="003365DD" w:rsidRPr="00444E9A" w14:paraId="4ECF585F" w14:textId="4DA42478">
            <w:pPr>
              <w:jc w:val="right"/>
              <w:rPr>
                <w:rFonts w:ascii="Arial" w:hAnsi="Arial"/>
                <w:sz w:val="20"/>
              </w:rPr>
            </w:pPr>
            <w:r w:rsidRPr="00444E9A">
              <w:rPr>
                <w:rFonts w:ascii="Arial" w:hAnsi="Arial"/>
                <w:sz w:val="20"/>
              </w:rPr>
              <w:t>$76.35</w:t>
            </w:r>
          </w:p>
        </w:tc>
        <w:tc>
          <w:tcPr>
            <w:tcW w:w="1354" w:type="dxa"/>
            <w:tcBorders>
              <w:top w:val="single" w:sz="4" w:space="0" w:color="auto"/>
              <w:left w:val="single" w:sz="4" w:space="0" w:color="auto"/>
              <w:bottom w:val="single" w:sz="4" w:space="0" w:color="auto"/>
              <w:right w:val="single" w:sz="4" w:space="0" w:color="auto"/>
            </w:tcBorders>
          </w:tcPr>
          <w:p w:rsidR="003365DD" w:rsidRPr="00444E9A" w:rsidP="003365DD" w14:paraId="6BBE4592" w14:textId="2D17E337">
            <w:pPr>
              <w:jc w:val="right"/>
              <w:rPr>
                <w:rFonts w:ascii="Arial" w:hAnsi="Arial"/>
                <w:sz w:val="20"/>
              </w:rPr>
            </w:pPr>
            <w:r w:rsidRPr="00444E9A">
              <w:rPr>
                <w:rFonts w:ascii="Arial" w:hAnsi="Arial"/>
                <w:sz w:val="20"/>
              </w:rPr>
              <w:t xml:space="preserve"> $10,545 </w:t>
            </w:r>
          </w:p>
        </w:tc>
      </w:tr>
      <w:tr w14:paraId="1F31CC3A" w14:textId="7D7FD577" w:rsidTr="00F67B8D">
        <w:tblPrEx>
          <w:tblW w:w="14130" w:type="dxa"/>
          <w:tblInd w:w="-450" w:type="dxa"/>
          <w:tblLayout w:type="fixed"/>
          <w:tblLook w:val="04A0"/>
        </w:tblPrEx>
        <w:trPr>
          <w:trHeight w:val="254"/>
        </w:trPr>
        <w:tc>
          <w:tcPr>
            <w:tcW w:w="1310" w:type="dxa"/>
            <w:vMerge/>
            <w:tcBorders>
              <w:left w:val="single" w:sz="4" w:space="0" w:color="auto"/>
              <w:bottom w:val="single" w:sz="4" w:space="0" w:color="auto"/>
              <w:right w:val="single" w:sz="4" w:space="0" w:color="auto"/>
            </w:tcBorders>
            <w:shd w:val="clear" w:color="auto" w:fill="auto"/>
            <w:noWrap/>
            <w:vAlign w:val="center"/>
          </w:tcPr>
          <w:p w:rsidR="003365DD" w:rsidRPr="00444E9A" w:rsidP="003365DD" w14:paraId="7BA76B7C" w14:textId="77777777">
            <w:pPr>
              <w:ind w:right="-136"/>
              <w:rPr>
                <w:rFonts w:ascii="Arial" w:hAnsi="Arial"/>
                <w:color w:val="000000" w:themeColor="text1"/>
                <w:sz w:val="20"/>
              </w:rPr>
            </w:pP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60D36603" w14:textId="77777777">
            <w:pPr>
              <w:ind w:right="-110"/>
              <w:rPr>
                <w:rFonts w:ascii="Arial" w:hAnsi="Arial"/>
                <w:color w:val="000000" w:themeColor="text1"/>
                <w:sz w:val="20"/>
              </w:rPr>
            </w:pPr>
            <w:r w:rsidRPr="00444E9A">
              <w:rPr>
                <w:rFonts w:ascii="Arial" w:hAnsi="Arial"/>
                <w:sz w:val="20"/>
              </w:rPr>
              <w:t>Comparable SCs</w:t>
            </w:r>
          </w:p>
        </w:tc>
        <w:tc>
          <w:tcPr>
            <w:tcW w:w="1080" w:type="dxa"/>
            <w:tcBorders>
              <w:top w:val="single" w:sz="4" w:space="0" w:color="auto"/>
              <w:left w:val="single" w:sz="4" w:space="0" w:color="auto"/>
              <w:bottom w:val="single" w:sz="4" w:space="0" w:color="auto"/>
              <w:right w:val="nil"/>
            </w:tcBorders>
            <w:shd w:val="clear" w:color="auto" w:fill="auto"/>
            <w:noWrap/>
            <w:vAlign w:val="bottom"/>
          </w:tcPr>
          <w:p w:rsidR="003365DD" w:rsidRPr="00444E9A" w:rsidP="003365DD" w14:paraId="28FD6592" w14:textId="77777777">
            <w:pPr>
              <w:jc w:val="center"/>
              <w:rPr>
                <w:rFonts w:ascii="Arial" w:hAnsi="Arial"/>
                <w:color w:val="000000" w:themeColor="text1"/>
                <w:sz w:val="20"/>
              </w:rPr>
            </w:pPr>
            <w:r w:rsidRPr="00444E9A">
              <w:rPr>
                <w:rFonts w:ascii="Arial" w:hAnsi="Arial"/>
                <w:sz w:val="20"/>
              </w:rPr>
              <w:t>0.17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1C2E5BC5" w14:textId="77777777">
            <w:pPr>
              <w:jc w:val="right"/>
              <w:rPr>
                <w:rFonts w:ascii="Arial" w:hAnsi="Arial"/>
                <w:sz w:val="20"/>
              </w:rPr>
            </w:pPr>
            <w:r w:rsidRPr="00444E9A">
              <w:rPr>
                <w:rFonts w:ascii="Arial" w:hAnsi="Arial"/>
                <w:sz w:val="20"/>
              </w:rPr>
              <w:t>262</w:t>
            </w:r>
          </w:p>
        </w:tc>
        <w:tc>
          <w:tcPr>
            <w:tcW w:w="1080" w:type="dxa"/>
            <w:tcBorders>
              <w:top w:val="single" w:sz="4" w:space="0" w:color="auto"/>
              <w:left w:val="nil"/>
              <w:bottom w:val="single" w:sz="4" w:space="0" w:color="auto"/>
              <w:right w:val="nil"/>
            </w:tcBorders>
            <w:shd w:val="clear" w:color="auto" w:fill="auto"/>
            <w:noWrap/>
            <w:vAlign w:val="bottom"/>
          </w:tcPr>
          <w:p w:rsidR="003365DD" w:rsidRPr="00444E9A" w:rsidP="003365DD" w14:paraId="39836437" w14:textId="77777777">
            <w:pPr>
              <w:jc w:val="right"/>
              <w:rPr>
                <w:rFonts w:ascii="Arial" w:hAnsi="Arial"/>
                <w:sz w:val="20"/>
              </w:rPr>
            </w:pPr>
            <w:r w:rsidRPr="00444E9A">
              <w:rPr>
                <w:rFonts w:ascii="Arial" w:hAnsi="Arial"/>
                <w:sz w:val="20"/>
              </w:rPr>
              <w:t>22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00A86F0C" w14:textId="77777777">
            <w:pPr>
              <w:jc w:val="right"/>
              <w:rPr>
                <w:rFonts w:ascii="Arial" w:hAnsi="Arial"/>
                <w:sz w:val="20"/>
              </w:rPr>
            </w:pPr>
            <w:r w:rsidRPr="00444E9A">
              <w:rPr>
                <w:rFonts w:ascii="Arial" w:hAnsi="Arial"/>
                <w:sz w:val="20"/>
              </w:rPr>
              <w:t>23</w:t>
            </w:r>
          </w:p>
        </w:tc>
        <w:tc>
          <w:tcPr>
            <w:tcW w:w="1170" w:type="dxa"/>
            <w:tcBorders>
              <w:top w:val="single" w:sz="4" w:space="0" w:color="auto"/>
              <w:left w:val="nil"/>
              <w:bottom w:val="single" w:sz="4" w:space="0" w:color="auto"/>
              <w:right w:val="nil"/>
            </w:tcBorders>
            <w:shd w:val="clear" w:color="auto" w:fill="auto"/>
            <w:noWrap/>
            <w:vAlign w:val="bottom"/>
          </w:tcPr>
          <w:p w:rsidR="003365DD" w:rsidRPr="00444E9A" w:rsidP="003365DD" w14:paraId="58B8C366" w14:textId="77777777">
            <w:pPr>
              <w:jc w:val="right"/>
              <w:rPr>
                <w:rFonts w:ascii="Arial" w:hAnsi="Arial"/>
                <w:sz w:val="20"/>
              </w:rPr>
            </w:pPr>
            <w:r w:rsidRPr="00444E9A">
              <w:rPr>
                <w:rFonts w:ascii="Arial" w:hAnsi="Arial"/>
                <w:sz w:val="20"/>
              </w:rPr>
              <w:t>308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432D080E" w14:textId="77777777">
            <w:pPr>
              <w:jc w:val="right"/>
              <w:rPr>
                <w:rFonts w:ascii="Arial" w:hAnsi="Arial"/>
                <w:sz w:val="20"/>
              </w:rPr>
            </w:pPr>
            <w:r w:rsidRPr="00444E9A">
              <w:rPr>
                <w:rFonts w:ascii="Arial" w:hAnsi="Arial"/>
                <w:sz w:val="20"/>
              </w:rPr>
              <w:t>51</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365DD" w:rsidRPr="00444E9A" w:rsidP="003365DD" w14:paraId="319AEAE3" w14:textId="77777777">
            <w:pPr>
              <w:jc w:val="right"/>
              <w:rPr>
                <w:rFonts w:ascii="Arial" w:hAnsi="Arial"/>
                <w:sz w:val="20"/>
              </w:rPr>
            </w:pPr>
            <w:r w:rsidRPr="00444E9A">
              <w:rPr>
                <w:rFonts w:ascii="Arial" w:hAnsi="Arial"/>
                <w:sz w:val="20"/>
              </w:rPr>
              <w:t>17</w:t>
            </w:r>
          </w:p>
        </w:tc>
        <w:tc>
          <w:tcPr>
            <w:tcW w:w="1346" w:type="dxa"/>
            <w:vMerge/>
            <w:tcBorders>
              <w:left w:val="single" w:sz="4" w:space="0" w:color="auto"/>
              <w:bottom w:val="single" w:sz="4" w:space="0" w:color="auto"/>
              <w:right w:val="single" w:sz="4" w:space="0" w:color="auto"/>
            </w:tcBorders>
          </w:tcPr>
          <w:p w:rsidR="003365DD" w:rsidRPr="00444E9A" w:rsidP="003365DD" w14:paraId="18100C51" w14:textId="77777777">
            <w:pPr>
              <w:jc w:val="right"/>
              <w:rPr>
                <w:rFonts w:ascii="Arial" w:hAnsi="Arial"/>
                <w:sz w:val="20"/>
              </w:rPr>
            </w:pPr>
          </w:p>
        </w:tc>
        <w:tc>
          <w:tcPr>
            <w:tcW w:w="1354" w:type="dxa"/>
            <w:tcBorders>
              <w:top w:val="single" w:sz="4" w:space="0" w:color="auto"/>
              <w:left w:val="single" w:sz="4" w:space="0" w:color="auto"/>
              <w:bottom w:val="single" w:sz="4" w:space="0" w:color="auto"/>
              <w:right w:val="single" w:sz="4" w:space="0" w:color="auto"/>
            </w:tcBorders>
          </w:tcPr>
          <w:p w:rsidR="003365DD" w:rsidRPr="00444E9A" w:rsidP="003365DD" w14:paraId="2C2D37EF" w14:textId="087483BC">
            <w:pPr>
              <w:jc w:val="right"/>
              <w:rPr>
                <w:rFonts w:ascii="Arial" w:hAnsi="Arial"/>
                <w:sz w:val="20"/>
              </w:rPr>
            </w:pPr>
            <w:r w:rsidRPr="00444E9A">
              <w:rPr>
                <w:rFonts w:ascii="Arial" w:hAnsi="Arial"/>
                <w:sz w:val="20"/>
              </w:rPr>
              <w:t xml:space="preserve"> $1,305 </w:t>
            </w:r>
          </w:p>
        </w:tc>
      </w:tr>
      <w:tr w14:paraId="2EF76A17" w14:textId="5DC78F7C" w:rsidTr="00351517">
        <w:tblPrEx>
          <w:tblW w:w="14130" w:type="dxa"/>
          <w:tblInd w:w="-450" w:type="dxa"/>
          <w:tblLayout w:type="fixed"/>
          <w:tblLook w:val="04A0"/>
        </w:tblPrEx>
        <w:trPr>
          <w:trHeight w:val="254"/>
        </w:trPr>
        <w:tc>
          <w:tcPr>
            <w:tcW w:w="13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65DD" w:rsidRPr="00444E9A" w:rsidP="003365DD" w14:paraId="547484AB" w14:textId="77777777">
            <w:pPr>
              <w:ind w:right="-136"/>
              <w:rPr>
                <w:rFonts w:ascii="Arial" w:hAnsi="Arial"/>
                <w:color w:val="000000" w:themeColor="text1"/>
                <w:sz w:val="20"/>
              </w:rPr>
            </w:pPr>
            <w:r w:rsidRPr="00444E9A">
              <w:rPr>
                <w:rFonts w:ascii="Arial" w:hAnsi="Arial"/>
                <w:color w:val="000000" w:themeColor="text1"/>
                <w:sz w:val="20"/>
              </w:rPr>
              <w:t>PTPR</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5DD" w:rsidRPr="00444E9A" w:rsidP="003365DD" w14:paraId="1512656C" w14:textId="77777777">
            <w:pPr>
              <w:ind w:right="-110"/>
              <w:rPr>
                <w:rFonts w:ascii="Arial" w:hAnsi="Arial"/>
                <w:color w:val="000000" w:themeColor="text1"/>
                <w:sz w:val="20"/>
              </w:rPr>
            </w:pPr>
            <w:r w:rsidRPr="00444E9A">
              <w:rPr>
                <w:rFonts w:ascii="Arial" w:hAnsi="Arial"/>
                <w:sz w:val="20"/>
              </w:rPr>
              <w:t>SSEs</w:t>
            </w:r>
          </w:p>
        </w:tc>
        <w:tc>
          <w:tcPr>
            <w:tcW w:w="1080" w:type="dxa"/>
            <w:tcBorders>
              <w:top w:val="single" w:sz="4" w:space="0" w:color="auto"/>
              <w:left w:val="single" w:sz="4" w:space="0" w:color="auto"/>
              <w:bottom w:val="single" w:sz="4" w:space="0" w:color="auto"/>
              <w:right w:val="nil"/>
            </w:tcBorders>
            <w:shd w:val="clear" w:color="auto" w:fill="auto"/>
            <w:noWrap/>
            <w:vAlign w:val="bottom"/>
            <w:hideMark/>
          </w:tcPr>
          <w:p w:rsidR="003365DD" w:rsidRPr="00444E9A" w:rsidP="003365DD" w14:paraId="7DC996C7" w14:textId="77777777">
            <w:pPr>
              <w:jc w:val="center"/>
              <w:rPr>
                <w:rFonts w:ascii="Arial" w:hAnsi="Arial"/>
                <w:color w:val="000000" w:themeColor="text1"/>
                <w:sz w:val="20"/>
              </w:rPr>
            </w:pPr>
            <w:r w:rsidRPr="00444E9A">
              <w:rPr>
                <w:rFonts w:ascii="Arial" w:hAnsi="Arial"/>
                <w:sz w:val="20"/>
              </w:rPr>
              <w:t>1.43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39AA597D" w14:textId="77777777">
            <w:pPr>
              <w:jc w:val="right"/>
              <w:rPr>
                <w:rFonts w:ascii="Arial" w:hAnsi="Arial"/>
                <w:color w:val="000000" w:themeColor="text1"/>
                <w:sz w:val="20"/>
              </w:rPr>
            </w:pPr>
            <w:r w:rsidRPr="00444E9A">
              <w:rPr>
                <w:rFonts w:ascii="Arial" w:hAnsi="Arial"/>
                <w:sz w:val="20"/>
              </w:rPr>
              <w:t>178,760</w:t>
            </w:r>
          </w:p>
        </w:tc>
        <w:tc>
          <w:tcPr>
            <w:tcW w:w="1080" w:type="dxa"/>
            <w:tcBorders>
              <w:top w:val="single" w:sz="4" w:space="0" w:color="auto"/>
              <w:left w:val="nil"/>
              <w:bottom w:val="single" w:sz="4" w:space="0" w:color="auto"/>
              <w:right w:val="nil"/>
            </w:tcBorders>
            <w:shd w:val="clear" w:color="auto" w:fill="auto"/>
            <w:noWrap/>
            <w:vAlign w:val="bottom"/>
          </w:tcPr>
          <w:p w:rsidR="003365DD" w:rsidRPr="00444E9A" w:rsidP="003365DD" w14:paraId="5737DA5D" w14:textId="77777777">
            <w:pPr>
              <w:jc w:val="right"/>
              <w:rPr>
                <w:rFonts w:ascii="Arial" w:hAnsi="Arial"/>
                <w:color w:val="000000" w:themeColor="text1"/>
                <w:sz w:val="20"/>
              </w:rPr>
            </w:pPr>
            <w:r w:rsidRPr="00444E9A">
              <w:rPr>
                <w:rFonts w:ascii="Arial" w:hAnsi="Arial"/>
                <w:sz w:val="20"/>
              </w:rPr>
              <w:t>20,728</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14C10658" w14:textId="77777777">
            <w:pPr>
              <w:jc w:val="right"/>
              <w:rPr>
                <w:rFonts w:ascii="Arial" w:hAnsi="Arial"/>
                <w:color w:val="000000" w:themeColor="text1"/>
                <w:sz w:val="20"/>
              </w:rPr>
            </w:pPr>
            <w:r w:rsidRPr="00444E9A">
              <w:rPr>
                <w:rFonts w:ascii="Arial" w:hAnsi="Arial"/>
                <w:sz w:val="20"/>
              </w:rPr>
              <w:t>20,788</w:t>
            </w:r>
          </w:p>
        </w:tc>
        <w:tc>
          <w:tcPr>
            <w:tcW w:w="1170" w:type="dxa"/>
            <w:tcBorders>
              <w:top w:val="single" w:sz="4" w:space="0" w:color="auto"/>
              <w:left w:val="nil"/>
              <w:bottom w:val="single" w:sz="4" w:space="0" w:color="auto"/>
              <w:right w:val="nil"/>
            </w:tcBorders>
            <w:shd w:val="clear" w:color="auto" w:fill="auto"/>
            <w:noWrap/>
            <w:vAlign w:val="bottom"/>
          </w:tcPr>
          <w:p w:rsidR="003365DD" w:rsidRPr="00444E9A" w:rsidP="003365DD" w14:paraId="4C1D084E" w14:textId="77777777">
            <w:pPr>
              <w:jc w:val="right"/>
              <w:rPr>
                <w:rFonts w:ascii="Arial" w:hAnsi="Arial"/>
                <w:color w:val="000000" w:themeColor="text1"/>
                <w:sz w:val="20"/>
              </w:rPr>
            </w:pPr>
            <w:r w:rsidRPr="00444E9A">
              <w:rPr>
                <w:rFonts w:ascii="Arial" w:hAnsi="Arial"/>
                <w:sz w:val="20"/>
              </w:rPr>
              <w:t>220,276</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10D463DE" w14:textId="77777777">
            <w:pPr>
              <w:jc w:val="right"/>
              <w:rPr>
                <w:rFonts w:ascii="Arial" w:hAnsi="Arial"/>
                <w:color w:val="000000" w:themeColor="text1"/>
                <w:sz w:val="20"/>
              </w:rPr>
            </w:pPr>
            <w:r w:rsidRPr="00444E9A">
              <w:rPr>
                <w:rFonts w:ascii="Arial" w:hAnsi="Arial"/>
                <w:sz w:val="20"/>
              </w:rPr>
              <w:t>314,865</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365DD" w:rsidRPr="00444E9A" w:rsidP="003365DD" w14:paraId="3F07F2B9" w14:textId="77777777">
            <w:pPr>
              <w:jc w:val="right"/>
              <w:rPr>
                <w:rFonts w:ascii="Arial" w:hAnsi="Arial"/>
                <w:color w:val="000000" w:themeColor="text1"/>
                <w:sz w:val="20"/>
              </w:rPr>
            </w:pPr>
            <w:r w:rsidRPr="00444E9A">
              <w:rPr>
                <w:rFonts w:ascii="Arial" w:hAnsi="Arial"/>
                <w:sz w:val="20"/>
              </w:rPr>
              <w:t>104,955</w:t>
            </w:r>
          </w:p>
        </w:tc>
        <w:tc>
          <w:tcPr>
            <w:tcW w:w="1346" w:type="dxa"/>
            <w:tcBorders>
              <w:top w:val="single" w:sz="4" w:space="0" w:color="auto"/>
              <w:left w:val="single" w:sz="4" w:space="0" w:color="auto"/>
              <w:bottom w:val="single" w:sz="4" w:space="0" w:color="auto"/>
              <w:right w:val="single" w:sz="4" w:space="0" w:color="auto"/>
            </w:tcBorders>
          </w:tcPr>
          <w:p w:rsidR="003365DD" w:rsidRPr="00444E9A" w:rsidP="003365DD" w14:paraId="547A1912" w14:textId="78EE7319">
            <w:pPr>
              <w:jc w:val="right"/>
              <w:rPr>
                <w:rFonts w:ascii="Arial" w:hAnsi="Arial"/>
                <w:sz w:val="20"/>
              </w:rPr>
            </w:pPr>
            <w:r w:rsidRPr="00444E9A">
              <w:rPr>
                <w:rFonts w:ascii="Arial" w:hAnsi="Arial"/>
                <w:sz w:val="20"/>
              </w:rPr>
              <w:t>$38.98</w:t>
            </w:r>
          </w:p>
        </w:tc>
        <w:tc>
          <w:tcPr>
            <w:tcW w:w="1354" w:type="dxa"/>
            <w:tcBorders>
              <w:top w:val="single" w:sz="4" w:space="0" w:color="auto"/>
              <w:left w:val="single" w:sz="4" w:space="0" w:color="auto"/>
              <w:bottom w:val="single" w:sz="4" w:space="0" w:color="auto"/>
              <w:right w:val="single" w:sz="4" w:space="0" w:color="auto"/>
            </w:tcBorders>
          </w:tcPr>
          <w:p w:rsidR="003365DD" w:rsidRPr="00444E9A" w:rsidP="003365DD" w14:paraId="4BD862B6" w14:textId="6EC281F0">
            <w:pPr>
              <w:jc w:val="right"/>
              <w:rPr>
                <w:rFonts w:ascii="Arial" w:hAnsi="Arial"/>
                <w:sz w:val="20"/>
              </w:rPr>
            </w:pPr>
            <w:r w:rsidRPr="00444E9A">
              <w:rPr>
                <w:rFonts w:ascii="Arial" w:hAnsi="Arial"/>
                <w:sz w:val="20"/>
              </w:rPr>
              <w:t xml:space="preserve"> $4,091,329 </w:t>
            </w:r>
          </w:p>
        </w:tc>
      </w:tr>
      <w:tr w14:paraId="599E5DF6" w14:textId="77777777" w:rsidTr="00A2739A">
        <w:tblPrEx>
          <w:tblW w:w="14130" w:type="dxa"/>
          <w:tblInd w:w="-450" w:type="dxa"/>
          <w:tblLayout w:type="fixed"/>
          <w:tblLook w:val="04A0"/>
        </w:tblPrEx>
        <w:trPr>
          <w:trHeight w:val="254"/>
        </w:trPr>
        <w:tc>
          <w:tcPr>
            <w:tcW w:w="1310" w:type="dxa"/>
            <w:vMerge/>
            <w:tcBorders>
              <w:left w:val="single" w:sz="4" w:space="0" w:color="auto"/>
              <w:bottom w:val="single" w:sz="4" w:space="0" w:color="auto"/>
              <w:right w:val="single" w:sz="4" w:space="0" w:color="auto"/>
            </w:tcBorders>
            <w:vAlign w:val="center"/>
            <w:hideMark/>
          </w:tcPr>
          <w:p w:rsidR="003365DD" w:rsidRPr="00444E9A" w:rsidP="003365DD" w14:paraId="64ADC7C0" w14:textId="77777777">
            <w:pPr>
              <w:ind w:right="-136"/>
              <w:rPr>
                <w:rFonts w:ascii="Arial" w:hAnsi="Arial"/>
                <w:color w:val="000000" w:themeColor="text1"/>
                <w:sz w:val="20"/>
              </w:rPr>
            </w:pP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5DD" w:rsidRPr="00444E9A" w:rsidP="003365DD" w14:paraId="79D4F0F4" w14:textId="77777777">
            <w:pPr>
              <w:ind w:right="-110"/>
              <w:rPr>
                <w:rFonts w:ascii="Arial" w:hAnsi="Arial"/>
                <w:color w:val="000000" w:themeColor="text1"/>
                <w:sz w:val="20"/>
              </w:rPr>
            </w:pPr>
            <w:r w:rsidRPr="00444E9A">
              <w:rPr>
                <w:rFonts w:ascii="Arial" w:hAnsi="Arial"/>
                <w:sz w:val="20"/>
              </w:rPr>
              <w:t>SCs</w:t>
            </w:r>
          </w:p>
        </w:tc>
        <w:tc>
          <w:tcPr>
            <w:tcW w:w="1080" w:type="dxa"/>
            <w:tcBorders>
              <w:top w:val="single" w:sz="4" w:space="0" w:color="auto"/>
              <w:left w:val="single" w:sz="4" w:space="0" w:color="auto"/>
              <w:bottom w:val="single" w:sz="4" w:space="0" w:color="auto"/>
              <w:right w:val="nil"/>
            </w:tcBorders>
            <w:shd w:val="clear" w:color="auto" w:fill="auto"/>
            <w:noWrap/>
            <w:vAlign w:val="bottom"/>
            <w:hideMark/>
          </w:tcPr>
          <w:p w:rsidR="003365DD" w:rsidRPr="00444E9A" w:rsidP="003365DD" w14:paraId="792CC988" w14:textId="77777777">
            <w:pPr>
              <w:jc w:val="center"/>
              <w:rPr>
                <w:rFonts w:ascii="Arial" w:hAnsi="Arial"/>
                <w:color w:val="000000" w:themeColor="text1"/>
                <w:sz w:val="20"/>
              </w:rPr>
            </w:pPr>
            <w:r w:rsidRPr="00444E9A">
              <w:rPr>
                <w:rFonts w:ascii="Arial" w:hAnsi="Arial"/>
                <w:sz w:val="20"/>
              </w:rPr>
              <w:t>1.51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463C6137" w14:textId="77777777">
            <w:pPr>
              <w:jc w:val="right"/>
              <w:rPr>
                <w:rFonts w:ascii="Arial" w:hAnsi="Arial"/>
                <w:color w:val="000000" w:themeColor="text1"/>
                <w:sz w:val="20"/>
              </w:rPr>
            </w:pPr>
            <w:r w:rsidRPr="00444E9A">
              <w:rPr>
                <w:rFonts w:ascii="Arial" w:hAnsi="Arial"/>
                <w:sz w:val="20"/>
              </w:rPr>
              <w:t>121</w:t>
            </w:r>
          </w:p>
        </w:tc>
        <w:tc>
          <w:tcPr>
            <w:tcW w:w="1080" w:type="dxa"/>
            <w:tcBorders>
              <w:top w:val="single" w:sz="4" w:space="0" w:color="auto"/>
              <w:left w:val="nil"/>
              <w:bottom w:val="single" w:sz="4" w:space="0" w:color="auto"/>
              <w:right w:val="nil"/>
            </w:tcBorders>
            <w:shd w:val="clear" w:color="auto" w:fill="auto"/>
            <w:noWrap/>
            <w:vAlign w:val="bottom"/>
          </w:tcPr>
          <w:p w:rsidR="003365DD" w:rsidRPr="00444E9A" w:rsidP="003365DD" w14:paraId="156A49BC" w14:textId="77777777">
            <w:pPr>
              <w:jc w:val="right"/>
              <w:rPr>
                <w:rFonts w:ascii="Arial" w:hAnsi="Arial"/>
                <w:color w:val="000000" w:themeColor="text1"/>
                <w:sz w:val="20"/>
              </w:rPr>
            </w:pPr>
            <w:r w:rsidRPr="00444E9A">
              <w:rPr>
                <w:rFonts w:ascii="Arial" w:hAnsi="Arial"/>
                <w:sz w:val="20"/>
              </w:rPr>
              <w:t>16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299B611A" w14:textId="77777777">
            <w:pPr>
              <w:jc w:val="right"/>
              <w:rPr>
                <w:rFonts w:ascii="Arial" w:hAnsi="Arial"/>
                <w:color w:val="000000" w:themeColor="text1"/>
                <w:sz w:val="20"/>
              </w:rPr>
            </w:pPr>
            <w:r w:rsidRPr="00444E9A">
              <w:rPr>
                <w:rFonts w:ascii="Arial" w:hAnsi="Arial"/>
                <w:sz w:val="20"/>
              </w:rPr>
              <w:t>16</w:t>
            </w:r>
          </w:p>
        </w:tc>
        <w:tc>
          <w:tcPr>
            <w:tcW w:w="1170" w:type="dxa"/>
            <w:tcBorders>
              <w:top w:val="single" w:sz="4" w:space="0" w:color="auto"/>
              <w:left w:val="nil"/>
              <w:bottom w:val="single" w:sz="4" w:space="0" w:color="auto"/>
              <w:right w:val="nil"/>
            </w:tcBorders>
            <w:shd w:val="clear" w:color="auto" w:fill="auto"/>
            <w:noWrap/>
            <w:vAlign w:val="bottom"/>
          </w:tcPr>
          <w:p w:rsidR="003365DD" w:rsidRPr="00444E9A" w:rsidP="003365DD" w14:paraId="48E8F7F0" w14:textId="77777777">
            <w:pPr>
              <w:jc w:val="right"/>
              <w:rPr>
                <w:rFonts w:ascii="Arial" w:hAnsi="Arial"/>
                <w:color w:val="000000" w:themeColor="text1"/>
                <w:sz w:val="20"/>
              </w:rPr>
            </w:pPr>
            <w:r w:rsidRPr="00444E9A">
              <w:rPr>
                <w:rFonts w:ascii="Arial" w:hAnsi="Arial"/>
                <w:sz w:val="20"/>
              </w:rPr>
              <w:t>154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2C7C95B2" w14:textId="77777777">
            <w:pPr>
              <w:jc w:val="right"/>
              <w:rPr>
                <w:rFonts w:ascii="Arial" w:hAnsi="Arial"/>
                <w:color w:val="000000" w:themeColor="text1"/>
                <w:sz w:val="20"/>
              </w:rPr>
            </w:pPr>
            <w:r w:rsidRPr="00444E9A">
              <w:rPr>
                <w:rFonts w:ascii="Arial" w:hAnsi="Arial"/>
                <w:sz w:val="20"/>
              </w:rPr>
              <w:t>233</w:t>
            </w:r>
          </w:p>
        </w:tc>
        <w:tc>
          <w:tcPr>
            <w:tcW w:w="1260" w:type="dxa"/>
            <w:tcBorders>
              <w:top w:val="single" w:sz="4" w:space="0" w:color="auto"/>
              <w:left w:val="single" w:sz="4" w:space="0" w:color="auto"/>
              <w:bottom w:val="single" w:sz="4" w:space="0" w:color="auto"/>
            </w:tcBorders>
            <w:shd w:val="clear" w:color="auto" w:fill="auto"/>
            <w:noWrap/>
            <w:vAlign w:val="bottom"/>
          </w:tcPr>
          <w:p w:rsidR="003365DD" w:rsidRPr="00444E9A" w:rsidP="003365DD" w14:paraId="42878988" w14:textId="77777777">
            <w:pPr>
              <w:jc w:val="right"/>
              <w:rPr>
                <w:rFonts w:ascii="Arial" w:hAnsi="Arial"/>
                <w:color w:val="000000" w:themeColor="text1"/>
                <w:sz w:val="20"/>
              </w:rPr>
            </w:pPr>
            <w:r w:rsidRPr="00444E9A">
              <w:rPr>
                <w:rFonts w:ascii="Arial" w:hAnsi="Arial"/>
                <w:sz w:val="20"/>
              </w:rPr>
              <w:t>78</w:t>
            </w:r>
          </w:p>
        </w:tc>
        <w:tc>
          <w:tcPr>
            <w:tcW w:w="1346" w:type="dxa"/>
            <w:tcBorders>
              <w:top w:val="single" w:sz="4" w:space="0" w:color="auto"/>
              <w:left w:val="single" w:sz="4" w:space="0" w:color="auto"/>
              <w:bottom w:val="single" w:sz="4" w:space="0" w:color="auto"/>
            </w:tcBorders>
          </w:tcPr>
          <w:p w:rsidR="003365DD" w:rsidRPr="00444E9A" w:rsidP="003365DD" w14:paraId="6111F2EC" w14:textId="36FFB7C5">
            <w:pPr>
              <w:jc w:val="right"/>
              <w:rPr>
                <w:rFonts w:ascii="Arial" w:hAnsi="Arial"/>
                <w:sz w:val="20"/>
              </w:rPr>
            </w:pPr>
            <w:r w:rsidRPr="00444E9A">
              <w:rPr>
                <w:rFonts w:ascii="Arial" w:hAnsi="Arial"/>
                <w:sz w:val="20"/>
              </w:rPr>
              <w:t>$88.41</w:t>
            </w:r>
          </w:p>
        </w:tc>
        <w:tc>
          <w:tcPr>
            <w:tcW w:w="1354" w:type="dxa"/>
            <w:tcBorders>
              <w:top w:val="single" w:sz="4" w:space="0" w:color="auto"/>
              <w:left w:val="single" w:sz="4" w:space="0" w:color="auto"/>
              <w:bottom w:val="single" w:sz="4" w:space="0" w:color="auto"/>
              <w:right w:val="single" w:sz="4" w:space="0" w:color="auto"/>
            </w:tcBorders>
          </w:tcPr>
          <w:p w:rsidR="003365DD" w:rsidRPr="00444E9A" w:rsidP="003365DD" w14:paraId="57618BE7" w14:textId="0B39C37B">
            <w:pPr>
              <w:jc w:val="right"/>
              <w:rPr>
                <w:rFonts w:ascii="Arial" w:hAnsi="Arial"/>
                <w:sz w:val="20"/>
              </w:rPr>
            </w:pPr>
            <w:r w:rsidRPr="00444E9A">
              <w:rPr>
                <w:rFonts w:ascii="Arial" w:hAnsi="Arial"/>
                <w:sz w:val="20"/>
              </w:rPr>
              <w:t xml:space="preserve"> $6,854 </w:t>
            </w:r>
          </w:p>
        </w:tc>
      </w:tr>
      <w:tr w14:paraId="22217EBC" w14:textId="77777777" w:rsidTr="00A2739A">
        <w:tblPrEx>
          <w:tblW w:w="14130" w:type="dxa"/>
          <w:tblInd w:w="-450" w:type="dxa"/>
          <w:tblLayout w:type="fixed"/>
          <w:tblLook w:val="04A0"/>
        </w:tblPrEx>
        <w:trPr>
          <w:trHeight w:val="254"/>
        </w:trPr>
        <w:tc>
          <w:tcPr>
            <w:tcW w:w="1310" w:type="dxa"/>
            <w:vMerge/>
            <w:tcBorders>
              <w:left w:val="single" w:sz="4" w:space="0" w:color="auto"/>
              <w:bottom w:val="single" w:sz="4" w:space="0" w:color="auto"/>
              <w:right w:val="single" w:sz="4" w:space="0" w:color="auto"/>
            </w:tcBorders>
            <w:vAlign w:val="center"/>
          </w:tcPr>
          <w:p w:rsidR="003365DD" w:rsidRPr="00444E9A" w:rsidP="003365DD" w14:paraId="693AD9E4" w14:textId="77777777">
            <w:pPr>
              <w:ind w:right="-136"/>
              <w:rPr>
                <w:rFonts w:ascii="Arial" w:hAnsi="Arial"/>
                <w:color w:val="000000" w:themeColor="text1"/>
                <w:sz w:val="20"/>
              </w:rPr>
            </w:pP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11C5F804" w14:textId="77777777">
            <w:pPr>
              <w:ind w:right="-110"/>
              <w:rPr>
                <w:rFonts w:ascii="Arial" w:hAnsi="Arial"/>
                <w:color w:val="000000" w:themeColor="text1"/>
                <w:sz w:val="20"/>
              </w:rPr>
            </w:pPr>
            <w:r w:rsidRPr="00444E9A">
              <w:rPr>
                <w:rFonts w:ascii="Arial" w:hAnsi="Arial"/>
                <w:sz w:val="20"/>
              </w:rPr>
              <w:t>Comparable STA SSEs</w:t>
            </w:r>
          </w:p>
        </w:tc>
        <w:tc>
          <w:tcPr>
            <w:tcW w:w="1080" w:type="dxa"/>
            <w:tcBorders>
              <w:top w:val="single" w:sz="4" w:space="0" w:color="auto"/>
              <w:left w:val="single" w:sz="4" w:space="0" w:color="auto"/>
              <w:bottom w:val="single" w:sz="4" w:space="0" w:color="auto"/>
              <w:right w:val="nil"/>
            </w:tcBorders>
            <w:shd w:val="clear" w:color="auto" w:fill="auto"/>
            <w:noWrap/>
            <w:vAlign w:val="bottom"/>
          </w:tcPr>
          <w:p w:rsidR="003365DD" w:rsidRPr="00444E9A" w:rsidP="003365DD" w14:paraId="72C8726A" w14:textId="77777777">
            <w:pPr>
              <w:jc w:val="center"/>
              <w:rPr>
                <w:rFonts w:ascii="Arial" w:hAnsi="Arial"/>
                <w:color w:val="000000" w:themeColor="text1"/>
                <w:sz w:val="20"/>
              </w:rPr>
            </w:pPr>
            <w:r w:rsidRPr="00444E9A">
              <w:rPr>
                <w:rFonts w:ascii="Arial" w:hAnsi="Arial"/>
                <w:sz w:val="20"/>
              </w:rPr>
              <w:t>0.17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0EDA38DC" w14:textId="77777777">
            <w:pPr>
              <w:jc w:val="right"/>
              <w:rPr>
                <w:rFonts w:ascii="Arial" w:hAnsi="Arial"/>
                <w:sz w:val="20"/>
              </w:rPr>
            </w:pPr>
            <w:r w:rsidRPr="00444E9A">
              <w:rPr>
                <w:rFonts w:ascii="Arial" w:hAnsi="Arial"/>
                <w:sz w:val="20"/>
              </w:rPr>
              <w:t>578</w:t>
            </w:r>
          </w:p>
        </w:tc>
        <w:tc>
          <w:tcPr>
            <w:tcW w:w="1080" w:type="dxa"/>
            <w:tcBorders>
              <w:top w:val="single" w:sz="4" w:space="0" w:color="auto"/>
              <w:left w:val="nil"/>
              <w:bottom w:val="single" w:sz="4" w:space="0" w:color="auto"/>
              <w:right w:val="nil"/>
            </w:tcBorders>
            <w:shd w:val="clear" w:color="auto" w:fill="auto"/>
            <w:noWrap/>
            <w:vAlign w:val="bottom"/>
          </w:tcPr>
          <w:p w:rsidR="003365DD" w:rsidRPr="00444E9A" w:rsidP="003365DD" w14:paraId="64C3F635" w14:textId="77777777">
            <w:pPr>
              <w:jc w:val="right"/>
              <w:rPr>
                <w:rFonts w:ascii="Arial" w:hAnsi="Arial"/>
                <w:sz w:val="20"/>
              </w:rPr>
            </w:pPr>
            <w:r w:rsidRPr="00444E9A">
              <w:rPr>
                <w:rFonts w:ascii="Arial" w:hAnsi="Arial"/>
                <w:sz w:val="20"/>
              </w:rPr>
              <w:t>67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4CC9487D" w14:textId="77777777">
            <w:pPr>
              <w:jc w:val="right"/>
              <w:rPr>
                <w:rFonts w:ascii="Arial" w:hAnsi="Arial"/>
                <w:sz w:val="20"/>
              </w:rPr>
            </w:pPr>
            <w:r w:rsidRPr="00444E9A">
              <w:rPr>
                <w:rFonts w:ascii="Arial" w:hAnsi="Arial"/>
                <w:sz w:val="20"/>
              </w:rPr>
              <w:t>67</w:t>
            </w:r>
          </w:p>
        </w:tc>
        <w:tc>
          <w:tcPr>
            <w:tcW w:w="1170" w:type="dxa"/>
            <w:tcBorders>
              <w:top w:val="single" w:sz="4" w:space="0" w:color="auto"/>
              <w:left w:val="nil"/>
              <w:bottom w:val="single" w:sz="4" w:space="0" w:color="auto"/>
              <w:right w:val="nil"/>
            </w:tcBorders>
            <w:shd w:val="clear" w:color="auto" w:fill="auto"/>
            <w:noWrap/>
            <w:vAlign w:val="bottom"/>
          </w:tcPr>
          <w:p w:rsidR="003365DD" w:rsidRPr="00444E9A" w:rsidP="003365DD" w14:paraId="60EEB934" w14:textId="77777777">
            <w:pPr>
              <w:jc w:val="right"/>
              <w:rPr>
                <w:rFonts w:ascii="Arial" w:hAnsi="Arial"/>
                <w:sz w:val="20"/>
              </w:rPr>
            </w:pPr>
            <w:r w:rsidRPr="00444E9A">
              <w:rPr>
                <w:rFonts w:ascii="Arial" w:hAnsi="Arial"/>
                <w:sz w:val="20"/>
              </w:rPr>
              <w:t>712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4143D8E8" w14:textId="77777777">
            <w:pPr>
              <w:jc w:val="right"/>
              <w:rPr>
                <w:rFonts w:ascii="Arial" w:hAnsi="Arial"/>
                <w:sz w:val="20"/>
              </w:rPr>
            </w:pPr>
            <w:r w:rsidRPr="00444E9A">
              <w:rPr>
                <w:rFonts w:ascii="Arial" w:hAnsi="Arial"/>
                <w:sz w:val="20"/>
              </w:rPr>
              <w:t>119</w:t>
            </w:r>
          </w:p>
        </w:tc>
        <w:tc>
          <w:tcPr>
            <w:tcW w:w="1260" w:type="dxa"/>
            <w:tcBorders>
              <w:top w:val="single" w:sz="4" w:space="0" w:color="auto"/>
              <w:left w:val="single" w:sz="4" w:space="0" w:color="auto"/>
              <w:bottom w:val="single" w:sz="4" w:space="0" w:color="auto"/>
            </w:tcBorders>
            <w:shd w:val="clear" w:color="auto" w:fill="auto"/>
            <w:noWrap/>
            <w:vAlign w:val="bottom"/>
          </w:tcPr>
          <w:p w:rsidR="003365DD" w:rsidRPr="00444E9A" w:rsidP="003365DD" w14:paraId="62E50E07" w14:textId="77777777">
            <w:pPr>
              <w:jc w:val="right"/>
              <w:rPr>
                <w:rFonts w:ascii="Arial" w:hAnsi="Arial"/>
                <w:sz w:val="20"/>
              </w:rPr>
            </w:pPr>
            <w:r w:rsidRPr="00444E9A">
              <w:rPr>
                <w:rFonts w:ascii="Arial" w:hAnsi="Arial"/>
                <w:sz w:val="20"/>
              </w:rPr>
              <w:t>40</w:t>
            </w:r>
          </w:p>
        </w:tc>
        <w:tc>
          <w:tcPr>
            <w:tcW w:w="1346" w:type="dxa"/>
            <w:tcBorders>
              <w:top w:val="single" w:sz="4" w:space="0" w:color="auto"/>
              <w:left w:val="single" w:sz="4" w:space="0" w:color="auto"/>
              <w:bottom w:val="single" w:sz="4" w:space="0" w:color="auto"/>
            </w:tcBorders>
          </w:tcPr>
          <w:p w:rsidR="003365DD" w:rsidRPr="00444E9A" w:rsidP="003365DD" w14:paraId="2A18C47D" w14:textId="420D0107">
            <w:pPr>
              <w:jc w:val="right"/>
              <w:rPr>
                <w:rFonts w:ascii="Arial" w:hAnsi="Arial"/>
                <w:sz w:val="20"/>
              </w:rPr>
            </w:pPr>
            <w:r w:rsidRPr="00444E9A">
              <w:rPr>
                <w:rFonts w:ascii="Arial" w:hAnsi="Arial"/>
                <w:sz w:val="20"/>
              </w:rPr>
              <w:t>$38.98</w:t>
            </w:r>
          </w:p>
        </w:tc>
        <w:tc>
          <w:tcPr>
            <w:tcW w:w="1354" w:type="dxa"/>
            <w:tcBorders>
              <w:top w:val="single" w:sz="4" w:space="0" w:color="auto"/>
              <w:left w:val="single" w:sz="4" w:space="0" w:color="auto"/>
              <w:bottom w:val="single" w:sz="4" w:space="0" w:color="auto"/>
              <w:right w:val="single" w:sz="4" w:space="0" w:color="auto"/>
            </w:tcBorders>
          </w:tcPr>
          <w:p w:rsidR="003365DD" w:rsidRPr="00444E9A" w:rsidP="003365DD" w14:paraId="5A27CF14" w14:textId="07ED3DFE">
            <w:pPr>
              <w:jc w:val="right"/>
              <w:rPr>
                <w:rFonts w:ascii="Arial" w:hAnsi="Arial"/>
                <w:sz w:val="20"/>
              </w:rPr>
            </w:pPr>
            <w:r w:rsidRPr="00444E9A">
              <w:rPr>
                <w:rFonts w:ascii="Arial" w:hAnsi="Arial"/>
                <w:sz w:val="20"/>
              </w:rPr>
              <w:t xml:space="preserve"> $1,541 </w:t>
            </w:r>
          </w:p>
        </w:tc>
      </w:tr>
      <w:tr w14:paraId="24A1D782" w14:textId="77777777" w:rsidTr="00A2739A">
        <w:tblPrEx>
          <w:tblW w:w="14130" w:type="dxa"/>
          <w:tblInd w:w="-450" w:type="dxa"/>
          <w:tblLayout w:type="fixed"/>
          <w:tblLook w:val="04A0"/>
        </w:tblPrEx>
        <w:trPr>
          <w:trHeight w:val="254"/>
        </w:trPr>
        <w:tc>
          <w:tcPr>
            <w:tcW w:w="1310" w:type="dxa"/>
            <w:vMerge/>
            <w:tcBorders>
              <w:left w:val="single" w:sz="4" w:space="0" w:color="auto"/>
              <w:bottom w:val="single" w:sz="4" w:space="0" w:color="auto"/>
              <w:right w:val="single" w:sz="4" w:space="0" w:color="auto"/>
            </w:tcBorders>
            <w:vAlign w:val="center"/>
          </w:tcPr>
          <w:p w:rsidR="003365DD" w:rsidRPr="00444E9A" w:rsidP="003365DD" w14:paraId="33742206" w14:textId="77777777">
            <w:pPr>
              <w:ind w:right="-136"/>
              <w:rPr>
                <w:rFonts w:ascii="Arial" w:hAnsi="Arial"/>
                <w:color w:val="000000" w:themeColor="text1"/>
                <w:sz w:val="20"/>
              </w:rPr>
            </w:pP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094A0C4F" w14:textId="77777777">
            <w:pPr>
              <w:ind w:right="-110"/>
              <w:rPr>
                <w:rFonts w:ascii="Arial" w:hAnsi="Arial"/>
                <w:color w:val="000000" w:themeColor="text1"/>
                <w:sz w:val="20"/>
              </w:rPr>
            </w:pPr>
            <w:r w:rsidRPr="00444E9A">
              <w:rPr>
                <w:rFonts w:ascii="Arial" w:hAnsi="Arial"/>
                <w:sz w:val="20"/>
              </w:rPr>
              <w:t>Comparable STA SCs</w:t>
            </w:r>
          </w:p>
        </w:tc>
        <w:tc>
          <w:tcPr>
            <w:tcW w:w="1080" w:type="dxa"/>
            <w:tcBorders>
              <w:top w:val="single" w:sz="4" w:space="0" w:color="auto"/>
              <w:left w:val="single" w:sz="4" w:space="0" w:color="auto"/>
              <w:bottom w:val="single" w:sz="4" w:space="0" w:color="auto"/>
              <w:right w:val="nil"/>
            </w:tcBorders>
            <w:shd w:val="clear" w:color="auto" w:fill="auto"/>
            <w:noWrap/>
            <w:vAlign w:val="bottom"/>
          </w:tcPr>
          <w:p w:rsidR="003365DD" w:rsidRPr="00444E9A" w:rsidP="003365DD" w14:paraId="78C6FB27" w14:textId="77777777">
            <w:pPr>
              <w:jc w:val="center"/>
              <w:rPr>
                <w:rFonts w:ascii="Arial" w:hAnsi="Arial"/>
                <w:color w:val="000000" w:themeColor="text1"/>
                <w:sz w:val="20"/>
              </w:rPr>
            </w:pPr>
            <w:r w:rsidRPr="00444E9A">
              <w:rPr>
                <w:rFonts w:ascii="Arial" w:hAnsi="Arial"/>
                <w:sz w:val="20"/>
              </w:rPr>
              <w:t>0.17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049DF9D0" w14:textId="77777777">
            <w:pPr>
              <w:jc w:val="right"/>
              <w:rPr>
                <w:rFonts w:ascii="Arial" w:hAnsi="Arial"/>
                <w:sz w:val="20"/>
              </w:rPr>
            </w:pPr>
            <w:r w:rsidRPr="00444E9A">
              <w:rPr>
                <w:rFonts w:ascii="Arial" w:hAnsi="Arial"/>
                <w:sz w:val="20"/>
              </w:rPr>
              <w:t>109</w:t>
            </w:r>
          </w:p>
        </w:tc>
        <w:tc>
          <w:tcPr>
            <w:tcW w:w="1080" w:type="dxa"/>
            <w:tcBorders>
              <w:top w:val="single" w:sz="4" w:space="0" w:color="auto"/>
              <w:left w:val="nil"/>
              <w:bottom w:val="single" w:sz="4" w:space="0" w:color="auto"/>
              <w:right w:val="nil"/>
            </w:tcBorders>
            <w:shd w:val="clear" w:color="auto" w:fill="auto"/>
            <w:noWrap/>
            <w:vAlign w:val="bottom"/>
          </w:tcPr>
          <w:p w:rsidR="003365DD" w:rsidRPr="00444E9A" w:rsidP="003365DD" w14:paraId="3B8550BE" w14:textId="77777777">
            <w:pPr>
              <w:jc w:val="right"/>
              <w:rPr>
                <w:rFonts w:ascii="Arial" w:hAnsi="Arial"/>
                <w:sz w:val="20"/>
              </w:rPr>
            </w:pPr>
            <w:r w:rsidRPr="00444E9A">
              <w:rPr>
                <w:rFonts w:ascii="Arial" w:hAnsi="Arial"/>
                <w:sz w:val="20"/>
              </w:rPr>
              <w:t>14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04775B00" w14:textId="77777777">
            <w:pPr>
              <w:jc w:val="right"/>
              <w:rPr>
                <w:rFonts w:ascii="Arial" w:hAnsi="Arial"/>
                <w:sz w:val="20"/>
              </w:rPr>
            </w:pPr>
            <w:r w:rsidRPr="00444E9A">
              <w:rPr>
                <w:rFonts w:ascii="Arial" w:hAnsi="Arial"/>
                <w:sz w:val="20"/>
              </w:rPr>
              <w:t>15</w:t>
            </w:r>
          </w:p>
        </w:tc>
        <w:tc>
          <w:tcPr>
            <w:tcW w:w="1170" w:type="dxa"/>
            <w:tcBorders>
              <w:top w:val="single" w:sz="4" w:space="0" w:color="auto"/>
              <w:left w:val="nil"/>
              <w:bottom w:val="single" w:sz="4" w:space="0" w:color="auto"/>
              <w:right w:val="nil"/>
            </w:tcBorders>
            <w:shd w:val="clear" w:color="auto" w:fill="auto"/>
            <w:noWrap/>
            <w:vAlign w:val="bottom"/>
          </w:tcPr>
          <w:p w:rsidR="003365DD" w:rsidRPr="00444E9A" w:rsidP="003365DD" w14:paraId="71EAB789" w14:textId="77777777">
            <w:pPr>
              <w:jc w:val="right"/>
              <w:rPr>
                <w:rFonts w:ascii="Arial" w:hAnsi="Arial"/>
                <w:sz w:val="20"/>
              </w:rPr>
            </w:pPr>
            <w:r w:rsidRPr="00444E9A">
              <w:rPr>
                <w:rFonts w:ascii="Arial" w:hAnsi="Arial"/>
                <w:sz w:val="20"/>
              </w:rPr>
              <w:t>138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548FE6DF" w14:textId="77777777">
            <w:pPr>
              <w:jc w:val="right"/>
              <w:rPr>
                <w:rFonts w:ascii="Arial" w:hAnsi="Arial"/>
                <w:sz w:val="20"/>
              </w:rPr>
            </w:pPr>
            <w:r w:rsidRPr="00444E9A">
              <w:rPr>
                <w:rFonts w:ascii="Arial" w:hAnsi="Arial"/>
                <w:sz w:val="20"/>
              </w:rPr>
              <w:t>23</w:t>
            </w:r>
          </w:p>
        </w:tc>
        <w:tc>
          <w:tcPr>
            <w:tcW w:w="1260" w:type="dxa"/>
            <w:tcBorders>
              <w:top w:val="single" w:sz="4" w:space="0" w:color="auto"/>
              <w:left w:val="single" w:sz="4" w:space="0" w:color="auto"/>
              <w:bottom w:val="single" w:sz="4" w:space="0" w:color="auto"/>
            </w:tcBorders>
            <w:shd w:val="clear" w:color="auto" w:fill="auto"/>
            <w:noWrap/>
            <w:vAlign w:val="bottom"/>
          </w:tcPr>
          <w:p w:rsidR="003365DD" w:rsidRPr="00444E9A" w:rsidP="003365DD" w14:paraId="2F98ECA1" w14:textId="77777777">
            <w:pPr>
              <w:jc w:val="right"/>
              <w:rPr>
                <w:rFonts w:ascii="Arial" w:hAnsi="Arial"/>
                <w:sz w:val="20"/>
              </w:rPr>
            </w:pPr>
            <w:r w:rsidRPr="00444E9A">
              <w:rPr>
                <w:rFonts w:ascii="Arial" w:hAnsi="Arial"/>
                <w:sz w:val="20"/>
              </w:rPr>
              <w:t>8</w:t>
            </w:r>
          </w:p>
        </w:tc>
        <w:tc>
          <w:tcPr>
            <w:tcW w:w="1346" w:type="dxa"/>
            <w:tcBorders>
              <w:top w:val="single" w:sz="4" w:space="0" w:color="auto"/>
              <w:left w:val="single" w:sz="4" w:space="0" w:color="auto"/>
              <w:bottom w:val="single" w:sz="4" w:space="0" w:color="auto"/>
            </w:tcBorders>
          </w:tcPr>
          <w:p w:rsidR="003365DD" w:rsidRPr="00444E9A" w:rsidP="003365DD" w14:paraId="3441570C" w14:textId="336FE196">
            <w:pPr>
              <w:jc w:val="right"/>
              <w:rPr>
                <w:rFonts w:ascii="Arial" w:hAnsi="Arial"/>
                <w:sz w:val="20"/>
              </w:rPr>
            </w:pPr>
            <w:r w:rsidRPr="00444E9A">
              <w:rPr>
                <w:rFonts w:ascii="Arial" w:hAnsi="Arial"/>
                <w:sz w:val="20"/>
              </w:rPr>
              <w:t>$88.41</w:t>
            </w:r>
          </w:p>
        </w:tc>
        <w:tc>
          <w:tcPr>
            <w:tcW w:w="1354" w:type="dxa"/>
            <w:tcBorders>
              <w:top w:val="single" w:sz="4" w:space="0" w:color="auto"/>
              <w:left w:val="single" w:sz="4" w:space="0" w:color="auto"/>
              <w:bottom w:val="single" w:sz="4" w:space="0" w:color="auto"/>
              <w:right w:val="single" w:sz="4" w:space="0" w:color="auto"/>
            </w:tcBorders>
          </w:tcPr>
          <w:p w:rsidR="003365DD" w:rsidRPr="00444E9A" w:rsidP="003365DD" w14:paraId="6C50491C" w14:textId="662E06B0">
            <w:pPr>
              <w:jc w:val="right"/>
              <w:rPr>
                <w:rFonts w:ascii="Arial" w:hAnsi="Arial"/>
                <w:sz w:val="20"/>
              </w:rPr>
            </w:pPr>
            <w:r w:rsidRPr="00444E9A">
              <w:rPr>
                <w:rFonts w:ascii="Arial" w:hAnsi="Arial"/>
                <w:sz w:val="20"/>
              </w:rPr>
              <w:t xml:space="preserve"> $678 </w:t>
            </w:r>
          </w:p>
        </w:tc>
      </w:tr>
      <w:tr w14:paraId="6C591FFF" w14:textId="5F11B02E" w:rsidTr="00351517">
        <w:tblPrEx>
          <w:tblW w:w="14130" w:type="dxa"/>
          <w:tblInd w:w="-450" w:type="dxa"/>
          <w:tblLayout w:type="fixed"/>
          <w:tblLook w:val="04A0"/>
        </w:tblPrEx>
        <w:trPr>
          <w:trHeight w:val="254"/>
        </w:trPr>
        <w:tc>
          <w:tcPr>
            <w:tcW w:w="1310" w:type="dxa"/>
            <w:vMerge w:val="restart"/>
            <w:tcBorders>
              <w:top w:val="single" w:sz="4" w:space="0" w:color="auto"/>
              <w:left w:val="single" w:sz="4" w:space="0" w:color="auto"/>
              <w:right w:val="single" w:sz="4" w:space="0" w:color="auto"/>
            </w:tcBorders>
            <w:shd w:val="clear" w:color="auto" w:fill="auto"/>
            <w:noWrap/>
            <w:vAlign w:val="center"/>
            <w:hideMark/>
          </w:tcPr>
          <w:p w:rsidR="003365DD" w:rsidRPr="00444E9A" w:rsidP="003365DD" w14:paraId="49C1566D" w14:textId="77777777">
            <w:pPr>
              <w:ind w:right="-136"/>
              <w:rPr>
                <w:rFonts w:ascii="Arial" w:hAnsi="Arial"/>
                <w:color w:val="000000" w:themeColor="text1"/>
                <w:sz w:val="20"/>
              </w:rPr>
            </w:pPr>
            <w:r w:rsidRPr="00444E9A">
              <w:rPr>
                <w:rFonts w:ascii="Arial" w:hAnsi="Arial"/>
                <w:color w:val="000000" w:themeColor="text1"/>
                <w:sz w:val="20"/>
              </w:rPr>
              <w:t xml:space="preserve">OTRB </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5DD" w:rsidRPr="00444E9A" w:rsidP="003365DD" w14:paraId="191D6F9D" w14:textId="77777777">
            <w:pPr>
              <w:ind w:right="-110"/>
              <w:rPr>
                <w:rFonts w:ascii="Arial" w:hAnsi="Arial"/>
                <w:color w:val="000000" w:themeColor="text1"/>
                <w:sz w:val="20"/>
              </w:rPr>
            </w:pPr>
            <w:r w:rsidRPr="00444E9A">
              <w:rPr>
                <w:rFonts w:ascii="Arial" w:hAnsi="Arial"/>
                <w:sz w:val="20"/>
              </w:rPr>
              <w:t>SCs</w:t>
            </w:r>
          </w:p>
        </w:tc>
        <w:tc>
          <w:tcPr>
            <w:tcW w:w="1080" w:type="dxa"/>
            <w:tcBorders>
              <w:top w:val="single" w:sz="4" w:space="0" w:color="auto"/>
              <w:left w:val="single" w:sz="4" w:space="0" w:color="auto"/>
              <w:bottom w:val="single" w:sz="4" w:space="0" w:color="auto"/>
              <w:right w:val="nil"/>
            </w:tcBorders>
            <w:shd w:val="clear" w:color="auto" w:fill="auto"/>
            <w:noWrap/>
            <w:vAlign w:val="bottom"/>
            <w:hideMark/>
          </w:tcPr>
          <w:p w:rsidR="003365DD" w:rsidRPr="00444E9A" w:rsidP="003365DD" w14:paraId="194F8F9D" w14:textId="77777777">
            <w:pPr>
              <w:jc w:val="center"/>
              <w:rPr>
                <w:rFonts w:ascii="Arial" w:hAnsi="Arial"/>
                <w:color w:val="000000" w:themeColor="text1"/>
                <w:sz w:val="20"/>
              </w:rPr>
            </w:pPr>
            <w:r w:rsidRPr="00444E9A">
              <w:rPr>
                <w:rFonts w:ascii="Arial" w:hAnsi="Arial"/>
                <w:sz w:val="20"/>
              </w:rPr>
              <w:t>1.51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1C4528A5" w14:textId="77777777">
            <w:pPr>
              <w:jc w:val="right"/>
              <w:rPr>
                <w:rFonts w:ascii="Arial" w:hAnsi="Arial"/>
                <w:color w:val="000000" w:themeColor="text1"/>
                <w:sz w:val="20"/>
              </w:rPr>
            </w:pPr>
            <w:r w:rsidRPr="00444E9A">
              <w:rPr>
                <w:rFonts w:ascii="Arial" w:hAnsi="Arial"/>
                <w:sz w:val="20"/>
              </w:rPr>
              <w:t>155</w:t>
            </w:r>
          </w:p>
        </w:tc>
        <w:tc>
          <w:tcPr>
            <w:tcW w:w="1080" w:type="dxa"/>
            <w:tcBorders>
              <w:top w:val="single" w:sz="4" w:space="0" w:color="auto"/>
              <w:left w:val="nil"/>
              <w:bottom w:val="single" w:sz="4" w:space="0" w:color="auto"/>
              <w:right w:val="nil"/>
            </w:tcBorders>
            <w:shd w:val="clear" w:color="auto" w:fill="auto"/>
            <w:noWrap/>
            <w:vAlign w:val="bottom"/>
          </w:tcPr>
          <w:p w:rsidR="003365DD" w:rsidRPr="00444E9A" w:rsidP="003365DD" w14:paraId="2434F4AB" w14:textId="77777777">
            <w:pPr>
              <w:jc w:val="right"/>
              <w:rPr>
                <w:rFonts w:ascii="Arial" w:hAnsi="Arial"/>
                <w:color w:val="000000" w:themeColor="text1"/>
                <w:sz w:val="20"/>
              </w:rPr>
            </w:pPr>
            <w:r w:rsidRPr="00444E9A">
              <w:rPr>
                <w:rFonts w:ascii="Arial" w:hAnsi="Arial"/>
                <w:sz w:val="20"/>
              </w:rPr>
              <w:t>21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1E9B1CD7" w14:textId="77777777">
            <w:pPr>
              <w:jc w:val="right"/>
              <w:rPr>
                <w:rFonts w:ascii="Arial" w:hAnsi="Arial"/>
                <w:color w:val="000000" w:themeColor="text1"/>
                <w:sz w:val="20"/>
              </w:rPr>
            </w:pPr>
            <w:r w:rsidRPr="00444E9A">
              <w:rPr>
                <w:rFonts w:ascii="Arial" w:hAnsi="Arial"/>
                <w:sz w:val="20"/>
              </w:rPr>
              <w:t>21</w:t>
            </w:r>
          </w:p>
        </w:tc>
        <w:tc>
          <w:tcPr>
            <w:tcW w:w="1170" w:type="dxa"/>
            <w:tcBorders>
              <w:top w:val="single" w:sz="4" w:space="0" w:color="auto"/>
              <w:left w:val="nil"/>
              <w:bottom w:val="single" w:sz="4" w:space="0" w:color="auto"/>
              <w:right w:val="nil"/>
            </w:tcBorders>
            <w:shd w:val="clear" w:color="auto" w:fill="auto"/>
            <w:noWrap/>
            <w:vAlign w:val="bottom"/>
          </w:tcPr>
          <w:p w:rsidR="003365DD" w:rsidRPr="00444E9A" w:rsidP="003365DD" w14:paraId="3FAE19FB" w14:textId="77777777">
            <w:pPr>
              <w:jc w:val="right"/>
              <w:rPr>
                <w:rFonts w:ascii="Arial" w:hAnsi="Arial"/>
                <w:color w:val="000000" w:themeColor="text1"/>
                <w:sz w:val="20"/>
              </w:rPr>
            </w:pPr>
            <w:r w:rsidRPr="00444E9A">
              <w:rPr>
                <w:rFonts w:ascii="Arial" w:hAnsi="Arial"/>
                <w:sz w:val="20"/>
              </w:rPr>
              <w:t>197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15277CAA" w14:textId="77777777">
            <w:pPr>
              <w:jc w:val="right"/>
              <w:rPr>
                <w:rFonts w:ascii="Arial" w:hAnsi="Arial"/>
                <w:color w:val="000000" w:themeColor="text1"/>
                <w:sz w:val="20"/>
              </w:rPr>
            </w:pPr>
            <w:r w:rsidRPr="00444E9A">
              <w:rPr>
                <w:rFonts w:ascii="Arial" w:hAnsi="Arial"/>
                <w:sz w:val="20"/>
              </w:rPr>
              <w:t>298</w:t>
            </w:r>
          </w:p>
        </w:tc>
        <w:tc>
          <w:tcPr>
            <w:tcW w:w="1260" w:type="dxa"/>
            <w:tcBorders>
              <w:top w:val="single" w:sz="4" w:space="0" w:color="auto"/>
              <w:left w:val="single" w:sz="4" w:space="0" w:color="auto"/>
              <w:bottom w:val="single" w:sz="4" w:space="0" w:color="auto"/>
            </w:tcBorders>
            <w:shd w:val="clear" w:color="auto" w:fill="auto"/>
            <w:noWrap/>
            <w:vAlign w:val="bottom"/>
          </w:tcPr>
          <w:p w:rsidR="003365DD" w:rsidRPr="00444E9A" w:rsidP="003365DD" w14:paraId="26E64E5D" w14:textId="77777777">
            <w:pPr>
              <w:jc w:val="right"/>
              <w:rPr>
                <w:rFonts w:ascii="Arial" w:hAnsi="Arial"/>
                <w:color w:val="000000" w:themeColor="text1"/>
                <w:sz w:val="20"/>
              </w:rPr>
            </w:pPr>
            <w:r w:rsidRPr="00444E9A">
              <w:rPr>
                <w:rFonts w:ascii="Arial" w:hAnsi="Arial"/>
                <w:sz w:val="20"/>
              </w:rPr>
              <w:t>99</w:t>
            </w:r>
          </w:p>
        </w:tc>
        <w:tc>
          <w:tcPr>
            <w:tcW w:w="1346" w:type="dxa"/>
            <w:vMerge w:val="restart"/>
            <w:tcBorders>
              <w:top w:val="single" w:sz="4" w:space="0" w:color="auto"/>
              <w:left w:val="single" w:sz="4" w:space="0" w:color="auto"/>
            </w:tcBorders>
            <w:vAlign w:val="center"/>
          </w:tcPr>
          <w:p w:rsidR="003365DD" w:rsidRPr="00444E9A" w14:paraId="4A6D895F" w14:textId="0EC38DEB">
            <w:pPr>
              <w:jc w:val="right"/>
              <w:rPr>
                <w:rFonts w:ascii="Arial" w:hAnsi="Arial"/>
                <w:sz w:val="20"/>
              </w:rPr>
            </w:pPr>
            <w:r w:rsidRPr="00444E9A">
              <w:rPr>
                <w:rFonts w:ascii="Arial" w:hAnsi="Arial"/>
                <w:sz w:val="20"/>
              </w:rPr>
              <w:t>$69.63</w:t>
            </w:r>
          </w:p>
        </w:tc>
        <w:tc>
          <w:tcPr>
            <w:tcW w:w="1354" w:type="dxa"/>
            <w:tcBorders>
              <w:top w:val="single" w:sz="4" w:space="0" w:color="auto"/>
              <w:left w:val="single" w:sz="4" w:space="0" w:color="auto"/>
              <w:bottom w:val="single" w:sz="4" w:space="0" w:color="auto"/>
              <w:right w:val="single" w:sz="4" w:space="0" w:color="auto"/>
            </w:tcBorders>
          </w:tcPr>
          <w:p w:rsidR="003365DD" w:rsidRPr="00444E9A" w:rsidP="003365DD" w14:paraId="44A0BC09" w14:textId="7F282D22">
            <w:pPr>
              <w:jc w:val="right"/>
              <w:rPr>
                <w:rFonts w:ascii="Arial" w:hAnsi="Arial"/>
                <w:sz w:val="20"/>
              </w:rPr>
            </w:pPr>
            <w:r w:rsidRPr="00444E9A">
              <w:rPr>
                <w:rFonts w:ascii="Arial" w:hAnsi="Arial"/>
                <w:sz w:val="20"/>
              </w:rPr>
              <w:t xml:space="preserve"> $6,906 </w:t>
            </w:r>
          </w:p>
        </w:tc>
      </w:tr>
      <w:tr w14:paraId="6996A629" w14:textId="655A919D" w:rsidTr="00F67B8D">
        <w:tblPrEx>
          <w:tblW w:w="14130" w:type="dxa"/>
          <w:tblInd w:w="-450" w:type="dxa"/>
          <w:tblLayout w:type="fixed"/>
          <w:tblLook w:val="04A0"/>
        </w:tblPrEx>
        <w:trPr>
          <w:trHeight w:val="254"/>
        </w:trPr>
        <w:tc>
          <w:tcPr>
            <w:tcW w:w="1310" w:type="dxa"/>
            <w:vMerge/>
            <w:tcBorders>
              <w:left w:val="single" w:sz="4" w:space="0" w:color="auto"/>
              <w:bottom w:val="single" w:sz="4" w:space="0" w:color="auto"/>
              <w:right w:val="single" w:sz="4" w:space="0" w:color="auto"/>
            </w:tcBorders>
            <w:shd w:val="clear" w:color="auto" w:fill="auto"/>
            <w:noWrap/>
            <w:vAlign w:val="center"/>
          </w:tcPr>
          <w:p w:rsidR="003365DD" w:rsidRPr="00444E9A" w:rsidP="003365DD" w14:paraId="322D6E27" w14:textId="77777777">
            <w:pPr>
              <w:ind w:right="-136"/>
              <w:rPr>
                <w:rFonts w:ascii="Arial" w:hAnsi="Arial"/>
                <w:color w:val="000000" w:themeColor="text1"/>
                <w:sz w:val="20"/>
              </w:rPr>
            </w:pP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13E79308" w14:textId="77777777">
            <w:pPr>
              <w:ind w:right="-110"/>
              <w:rPr>
                <w:rFonts w:ascii="Arial" w:hAnsi="Arial"/>
                <w:color w:val="000000" w:themeColor="text1"/>
                <w:sz w:val="20"/>
              </w:rPr>
            </w:pPr>
            <w:r w:rsidRPr="00444E9A">
              <w:rPr>
                <w:rFonts w:ascii="Arial" w:hAnsi="Arial"/>
                <w:sz w:val="20"/>
              </w:rPr>
              <w:t>Comparable SCs</w:t>
            </w:r>
          </w:p>
        </w:tc>
        <w:tc>
          <w:tcPr>
            <w:tcW w:w="1080" w:type="dxa"/>
            <w:tcBorders>
              <w:top w:val="single" w:sz="4" w:space="0" w:color="auto"/>
              <w:left w:val="single" w:sz="4" w:space="0" w:color="auto"/>
              <w:bottom w:val="single" w:sz="4" w:space="0" w:color="auto"/>
              <w:right w:val="nil"/>
            </w:tcBorders>
            <w:shd w:val="clear" w:color="auto" w:fill="auto"/>
            <w:noWrap/>
            <w:vAlign w:val="bottom"/>
          </w:tcPr>
          <w:p w:rsidR="003365DD" w:rsidRPr="00444E9A" w:rsidP="003365DD" w14:paraId="36004A9C" w14:textId="77777777">
            <w:pPr>
              <w:jc w:val="center"/>
              <w:rPr>
                <w:rFonts w:ascii="Arial" w:hAnsi="Arial"/>
                <w:color w:val="000000" w:themeColor="text1"/>
                <w:sz w:val="20"/>
              </w:rPr>
            </w:pPr>
            <w:r w:rsidRPr="00444E9A">
              <w:rPr>
                <w:rFonts w:ascii="Arial" w:hAnsi="Arial"/>
                <w:sz w:val="20"/>
              </w:rPr>
              <w:t>0.17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443B1F0F" w14:textId="77777777">
            <w:pPr>
              <w:jc w:val="right"/>
              <w:rPr>
                <w:rFonts w:ascii="Arial" w:hAnsi="Arial"/>
                <w:sz w:val="20"/>
              </w:rPr>
            </w:pPr>
            <w:r w:rsidRPr="00444E9A">
              <w:rPr>
                <w:rFonts w:ascii="Arial" w:hAnsi="Arial"/>
                <w:sz w:val="20"/>
              </w:rPr>
              <w:t>289</w:t>
            </w:r>
          </w:p>
        </w:tc>
        <w:tc>
          <w:tcPr>
            <w:tcW w:w="1080" w:type="dxa"/>
            <w:tcBorders>
              <w:top w:val="single" w:sz="4" w:space="0" w:color="auto"/>
              <w:left w:val="nil"/>
              <w:bottom w:val="single" w:sz="4" w:space="0" w:color="auto"/>
              <w:right w:val="nil"/>
            </w:tcBorders>
            <w:shd w:val="clear" w:color="auto" w:fill="auto"/>
            <w:noWrap/>
            <w:vAlign w:val="bottom"/>
          </w:tcPr>
          <w:p w:rsidR="003365DD" w:rsidRPr="00444E9A" w:rsidP="003365DD" w14:paraId="2B235ADE" w14:textId="77777777">
            <w:pPr>
              <w:jc w:val="right"/>
              <w:rPr>
                <w:rFonts w:ascii="Arial" w:hAnsi="Arial"/>
                <w:sz w:val="20"/>
              </w:rPr>
            </w:pPr>
            <w:r w:rsidRPr="00444E9A">
              <w:rPr>
                <w:rFonts w:ascii="Arial" w:hAnsi="Arial"/>
                <w:sz w:val="20"/>
              </w:rPr>
              <w:t>39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0661B704" w14:textId="77777777">
            <w:pPr>
              <w:jc w:val="right"/>
              <w:rPr>
                <w:rFonts w:ascii="Arial" w:hAnsi="Arial"/>
                <w:sz w:val="20"/>
              </w:rPr>
            </w:pPr>
            <w:r w:rsidRPr="00444E9A">
              <w:rPr>
                <w:rFonts w:ascii="Arial" w:hAnsi="Arial"/>
                <w:sz w:val="20"/>
              </w:rPr>
              <w:t>40</w:t>
            </w:r>
          </w:p>
        </w:tc>
        <w:tc>
          <w:tcPr>
            <w:tcW w:w="1170" w:type="dxa"/>
            <w:tcBorders>
              <w:top w:val="single" w:sz="4" w:space="0" w:color="auto"/>
              <w:left w:val="nil"/>
              <w:bottom w:val="single" w:sz="4" w:space="0" w:color="auto"/>
              <w:right w:val="nil"/>
            </w:tcBorders>
            <w:shd w:val="clear" w:color="auto" w:fill="auto"/>
            <w:noWrap/>
            <w:vAlign w:val="bottom"/>
          </w:tcPr>
          <w:p w:rsidR="003365DD" w:rsidRPr="00444E9A" w:rsidP="003365DD" w14:paraId="6DB6C90D" w14:textId="77777777">
            <w:pPr>
              <w:jc w:val="right"/>
              <w:rPr>
                <w:rFonts w:ascii="Arial" w:hAnsi="Arial"/>
                <w:sz w:val="20"/>
              </w:rPr>
            </w:pPr>
            <w:r w:rsidRPr="00444E9A">
              <w:rPr>
                <w:rFonts w:ascii="Arial" w:hAnsi="Arial"/>
                <w:sz w:val="20"/>
              </w:rPr>
              <w:t>367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184BE532" w14:textId="77777777">
            <w:pPr>
              <w:jc w:val="right"/>
              <w:rPr>
                <w:rFonts w:ascii="Arial" w:hAnsi="Arial"/>
                <w:sz w:val="20"/>
              </w:rPr>
            </w:pPr>
            <w:r w:rsidRPr="00444E9A">
              <w:rPr>
                <w:rFonts w:ascii="Arial" w:hAnsi="Arial"/>
                <w:sz w:val="20"/>
              </w:rPr>
              <w:t>61</w:t>
            </w:r>
          </w:p>
        </w:tc>
        <w:tc>
          <w:tcPr>
            <w:tcW w:w="1260" w:type="dxa"/>
            <w:tcBorders>
              <w:top w:val="single" w:sz="4" w:space="0" w:color="auto"/>
              <w:left w:val="single" w:sz="4" w:space="0" w:color="auto"/>
              <w:bottom w:val="single" w:sz="4" w:space="0" w:color="auto"/>
            </w:tcBorders>
            <w:shd w:val="clear" w:color="auto" w:fill="auto"/>
            <w:noWrap/>
            <w:vAlign w:val="bottom"/>
          </w:tcPr>
          <w:p w:rsidR="003365DD" w:rsidRPr="00444E9A" w:rsidP="003365DD" w14:paraId="32A4712D" w14:textId="77777777">
            <w:pPr>
              <w:jc w:val="right"/>
              <w:rPr>
                <w:rFonts w:ascii="Arial" w:hAnsi="Arial"/>
                <w:sz w:val="20"/>
              </w:rPr>
            </w:pPr>
            <w:r w:rsidRPr="00444E9A">
              <w:rPr>
                <w:rFonts w:ascii="Arial" w:hAnsi="Arial"/>
                <w:sz w:val="20"/>
              </w:rPr>
              <w:t>20</w:t>
            </w:r>
          </w:p>
        </w:tc>
        <w:tc>
          <w:tcPr>
            <w:tcW w:w="1346" w:type="dxa"/>
            <w:vMerge/>
            <w:tcBorders>
              <w:left w:val="single" w:sz="4" w:space="0" w:color="auto"/>
              <w:bottom w:val="single" w:sz="4" w:space="0" w:color="auto"/>
            </w:tcBorders>
          </w:tcPr>
          <w:p w:rsidR="003365DD" w:rsidRPr="00444E9A" w:rsidP="003365DD" w14:paraId="7D582901" w14:textId="77777777">
            <w:pPr>
              <w:jc w:val="right"/>
              <w:rPr>
                <w:rFonts w:ascii="Arial" w:hAnsi="Arial"/>
                <w:sz w:val="20"/>
              </w:rPr>
            </w:pPr>
          </w:p>
        </w:tc>
        <w:tc>
          <w:tcPr>
            <w:tcW w:w="1354" w:type="dxa"/>
            <w:tcBorders>
              <w:top w:val="single" w:sz="4" w:space="0" w:color="auto"/>
              <w:left w:val="single" w:sz="4" w:space="0" w:color="auto"/>
              <w:bottom w:val="single" w:sz="4" w:space="0" w:color="auto"/>
              <w:right w:val="single" w:sz="4" w:space="0" w:color="auto"/>
            </w:tcBorders>
          </w:tcPr>
          <w:p w:rsidR="003365DD" w:rsidRPr="00444E9A" w:rsidP="003365DD" w14:paraId="5E9126E6" w14:textId="43587D78">
            <w:pPr>
              <w:jc w:val="right"/>
              <w:rPr>
                <w:rFonts w:ascii="Arial" w:hAnsi="Arial"/>
                <w:sz w:val="20"/>
              </w:rPr>
            </w:pPr>
            <w:r w:rsidRPr="00444E9A">
              <w:rPr>
                <w:rFonts w:ascii="Arial" w:hAnsi="Arial"/>
                <w:sz w:val="20"/>
              </w:rPr>
              <w:t xml:space="preserve"> $1,421 </w:t>
            </w:r>
          </w:p>
        </w:tc>
      </w:tr>
      <w:tr w14:paraId="3D741024" w14:textId="018E30DB" w:rsidTr="00351517">
        <w:tblPrEx>
          <w:tblW w:w="14130" w:type="dxa"/>
          <w:tblInd w:w="-450" w:type="dxa"/>
          <w:tblLayout w:type="fixed"/>
          <w:tblLook w:val="04A0"/>
        </w:tblPrEx>
        <w:trPr>
          <w:trHeight w:val="299"/>
        </w:trPr>
        <w:tc>
          <w:tcPr>
            <w:tcW w:w="11430" w:type="dxa"/>
            <w:gridSpan w:val="9"/>
            <w:tcBorders>
              <w:top w:val="single" w:sz="4" w:space="0" w:color="auto"/>
              <w:left w:val="single" w:sz="4" w:space="0" w:color="auto"/>
              <w:bottom w:val="nil"/>
            </w:tcBorders>
            <w:shd w:val="clear" w:color="auto" w:fill="auto"/>
            <w:noWrap/>
            <w:vAlign w:val="bottom"/>
            <w:hideMark/>
          </w:tcPr>
          <w:p w:rsidR="00E25526" w:rsidRPr="00444E9A" w:rsidP="00C1734D" w14:paraId="5371526D" w14:textId="77777777">
            <w:pPr>
              <w:ind w:left="1418" w:right="-136"/>
              <w:rPr>
                <w:rFonts w:ascii="Arial" w:hAnsi="Arial"/>
                <w:sz w:val="20"/>
              </w:rPr>
            </w:pPr>
            <w:r w:rsidRPr="00444E9A">
              <w:rPr>
                <w:rFonts w:ascii="Arial" w:hAnsi="Arial"/>
                <w:b/>
                <w:bCs/>
                <w:color w:val="000000" w:themeColor="text1"/>
                <w:sz w:val="20"/>
              </w:rPr>
              <w:t>PDI Appeals</w:t>
            </w:r>
          </w:p>
        </w:tc>
        <w:tc>
          <w:tcPr>
            <w:tcW w:w="1346" w:type="dxa"/>
            <w:tcBorders>
              <w:top w:val="single" w:sz="4" w:space="0" w:color="auto"/>
              <w:bottom w:val="single" w:sz="4" w:space="0" w:color="auto"/>
            </w:tcBorders>
          </w:tcPr>
          <w:p w:rsidR="00E25526" w:rsidRPr="00444E9A" w:rsidP="00C1734D" w14:paraId="7810A22E" w14:textId="77777777">
            <w:pPr>
              <w:ind w:left="1418" w:right="-136"/>
              <w:rPr>
                <w:rFonts w:ascii="Arial" w:hAnsi="Arial"/>
                <w:b/>
                <w:bCs/>
                <w:color w:val="000000" w:themeColor="text1"/>
                <w:sz w:val="20"/>
              </w:rPr>
            </w:pPr>
          </w:p>
        </w:tc>
        <w:tc>
          <w:tcPr>
            <w:tcW w:w="1354" w:type="dxa"/>
            <w:tcBorders>
              <w:top w:val="single" w:sz="4" w:space="0" w:color="auto"/>
              <w:left w:val="nil"/>
              <w:bottom w:val="single" w:sz="4" w:space="0" w:color="auto"/>
              <w:right w:val="single" w:sz="4" w:space="0" w:color="auto"/>
            </w:tcBorders>
          </w:tcPr>
          <w:p w:rsidR="00E25526" w:rsidRPr="00444E9A" w:rsidP="00C1734D" w14:paraId="46F4F93B" w14:textId="77777777">
            <w:pPr>
              <w:ind w:left="1418" w:right="-136"/>
              <w:rPr>
                <w:rFonts w:ascii="Arial" w:hAnsi="Arial"/>
                <w:b/>
                <w:bCs/>
                <w:color w:val="000000" w:themeColor="text1"/>
                <w:sz w:val="20"/>
              </w:rPr>
            </w:pPr>
          </w:p>
        </w:tc>
      </w:tr>
      <w:tr w14:paraId="2586AC87" w14:textId="3F0A24B3" w:rsidTr="00A2739A">
        <w:tblPrEx>
          <w:tblW w:w="14130" w:type="dxa"/>
          <w:tblInd w:w="-450" w:type="dxa"/>
          <w:tblLayout w:type="fixed"/>
          <w:tblLook w:val="04A0"/>
        </w:tblPrEx>
        <w:trPr>
          <w:trHeight w:val="254"/>
        </w:trPr>
        <w:tc>
          <w:tcPr>
            <w:tcW w:w="131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3365DD" w:rsidRPr="00444E9A" w:rsidP="003365DD" w14:paraId="289C082D" w14:textId="77777777">
            <w:pPr>
              <w:ind w:right="-136"/>
              <w:rPr>
                <w:rFonts w:ascii="Arial" w:hAnsi="Arial"/>
                <w:color w:val="000000" w:themeColor="text1"/>
                <w:sz w:val="20"/>
              </w:rPr>
            </w:pPr>
            <w:r w:rsidRPr="00444E9A">
              <w:rPr>
                <w:rFonts w:ascii="Arial" w:hAnsi="Arial"/>
                <w:color w:val="000000" w:themeColor="text1"/>
                <w:sz w:val="20"/>
              </w:rPr>
              <w:t>Freight Rail</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5DD" w:rsidRPr="00444E9A" w:rsidP="003365DD" w14:paraId="04F26AB0" w14:textId="77777777">
            <w:pPr>
              <w:ind w:right="-110"/>
              <w:rPr>
                <w:rFonts w:ascii="Arial" w:hAnsi="Arial"/>
                <w:color w:val="000000" w:themeColor="text1"/>
                <w:sz w:val="20"/>
              </w:rPr>
            </w:pPr>
            <w:r w:rsidRPr="00444E9A">
              <w:rPr>
                <w:rFonts w:ascii="Arial" w:hAnsi="Arial"/>
                <w:sz w:val="20"/>
              </w:rPr>
              <w:t>SSEs</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365DD" w:rsidRPr="00444E9A" w:rsidP="003365DD" w14:paraId="62F38839" w14:textId="77777777">
            <w:pPr>
              <w:jc w:val="center"/>
              <w:rPr>
                <w:rFonts w:ascii="Arial" w:hAnsi="Arial"/>
                <w:color w:val="000000" w:themeColor="text1"/>
                <w:sz w:val="20"/>
              </w:rPr>
            </w:pPr>
            <w:r w:rsidRPr="00444E9A">
              <w:rPr>
                <w:rFonts w:ascii="Arial" w:hAnsi="Arial"/>
                <w:color w:val="000000" w:themeColor="text1"/>
                <w:sz w:val="20"/>
              </w:rPr>
              <w:t>0.63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3365DD" w:rsidRPr="00444E9A" w:rsidP="003365DD" w14:paraId="33BDEBF1" w14:textId="77777777">
            <w:pPr>
              <w:jc w:val="right"/>
              <w:rPr>
                <w:rFonts w:ascii="Arial" w:hAnsi="Arial"/>
                <w:color w:val="000000" w:themeColor="text1"/>
                <w:sz w:val="20"/>
              </w:rPr>
            </w:pPr>
            <w:r w:rsidRPr="00444E9A">
              <w:rPr>
                <w:rFonts w:ascii="Arial" w:hAnsi="Arial"/>
                <w:sz w:val="20"/>
              </w:rPr>
              <w:t>342</w:t>
            </w:r>
          </w:p>
        </w:tc>
        <w:tc>
          <w:tcPr>
            <w:tcW w:w="1080" w:type="dxa"/>
            <w:tcBorders>
              <w:top w:val="single" w:sz="4" w:space="0" w:color="auto"/>
              <w:left w:val="nil"/>
              <w:bottom w:val="single" w:sz="4" w:space="0" w:color="auto"/>
              <w:right w:val="nil"/>
            </w:tcBorders>
            <w:shd w:val="clear" w:color="auto" w:fill="auto"/>
            <w:noWrap/>
            <w:vAlign w:val="bottom"/>
          </w:tcPr>
          <w:p w:rsidR="003365DD" w:rsidRPr="00444E9A" w:rsidP="003365DD" w14:paraId="18115259" w14:textId="77777777">
            <w:pPr>
              <w:jc w:val="right"/>
              <w:rPr>
                <w:rFonts w:ascii="Arial" w:hAnsi="Arial"/>
                <w:color w:val="000000" w:themeColor="text1"/>
                <w:sz w:val="20"/>
              </w:rPr>
            </w:pPr>
            <w:r w:rsidRPr="00444E9A">
              <w:rPr>
                <w:rFonts w:ascii="Arial" w:hAnsi="Arial"/>
                <w:sz w:val="20"/>
              </w:rPr>
              <w:t>14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6B90D2FB" w14:textId="77777777">
            <w:pPr>
              <w:jc w:val="right"/>
              <w:rPr>
                <w:rFonts w:ascii="Arial" w:hAnsi="Arial"/>
                <w:color w:val="000000" w:themeColor="text1"/>
                <w:sz w:val="20"/>
              </w:rPr>
            </w:pPr>
            <w:r w:rsidRPr="00444E9A">
              <w:rPr>
                <w:rFonts w:ascii="Arial" w:hAnsi="Arial"/>
                <w:sz w:val="20"/>
              </w:rPr>
              <w:t>14</w:t>
            </w:r>
          </w:p>
        </w:tc>
        <w:tc>
          <w:tcPr>
            <w:tcW w:w="1170" w:type="dxa"/>
            <w:tcBorders>
              <w:top w:val="single" w:sz="4" w:space="0" w:color="auto"/>
              <w:left w:val="nil"/>
              <w:bottom w:val="single" w:sz="4" w:space="0" w:color="auto"/>
              <w:right w:val="nil"/>
            </w:tcBorders>
            <w:shd w:val="clear" w:color="auto" w:fill="auto"/>
            <w:noWrap/>
            <w:vAlign w:val="bottom"/>
          </w:tcPr>
          <w:p w:rsidR="003365DD" w:rsidRPr="00444E9A" w:rsidP="003365DD" w14:paraId="2DFADF4C" w14:textId="77777777">
            <w:pPr>
              <w:jc w:val="right"/>
              <w:rPr>
                <w:rFonts w:ascii="Arial" w:hAnsi="Arial"/>
                <w:color w:val="000000" w:themeColor="text1"/>
                <w:sz w:val="20"/>
              </w:rPr>
            </w:pPr>
            <w:r w:rsidRPr="00444E9A">
              <w:rPr>
                <w:rFonts w:ascii="Arial" w:hAnsi="Arial"/>
                <w:sz w:val="20"/>
              </w:rPr>
              <w:t>369</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0C5520AF" w14:textId="77777777">
            <w:pPr>
              <w:jc w:val="right"/>
              <w:rPr>
                <w:rFonts w:ascii="Arial" w:hAnsi="Arial"/>
                <w:color w:val="000000" w:themeColor="text1"/>
                <w:sz w:val="20"/>
              </w:rPr>
            </w:pPr>
            <w:r w:rsidRPr="00444E9A">
              <w:rPr>
                <w:rFonts w:ascii="Arial" w:hAnsi="Arial"/>
                <w:sz w:val="20"/>
              </w:rPr>
              <w:t>231</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365DD" w:rsidRPr="00444E9A" w:rsidP="003365DD" w14:paraId="38D38449" w14:textId="77777777">
            <w:pPr>
              <w:jc w:val="right"/>
              <w:rPr>
                <w:rFonts w:ascii="Arial" w:hAnsi="Arial"/>
                <w:color w:val="000000" w:themeColor="text1"/>
                <w:sz w:val="20"/>
              </w:rPr>
            </w:pPr>
            <w:r w:rsidRPr="00444E9A">
              <w:rPr>
                <w:rFonts w:ascii="Arial" w:hAnsi="Arial"/>
                <w:sz w:val="20"/>
              </w:rPr>
              <w:t>77</w:t>
            </w:r>
          </w:p>
        </w:tc>
        <w:tc>
          <w:tcPr>
            <w:tcW w:w="1346" w:type="dxa"/>
            <w:tcBorders>
              <w:top w:val="single" w:sz="4" w:space="0" w:color="auto"/>
              <w:left w:val="single" w:sz="4" w:space="0" w:color="auto"/>
              <w:bottom w:val="single" w:sz="4" w:space="0" w:color="auto"/>
              <w:right w:val="single" w:sz="4" w:space="0" w:color="auto"/>
            </w:tcBorders>
          </w:tcPr>
          <w:p w:rsidR="003365DD" w:rsidRPr="00444E9A" w:rsidP="003365DD" w14:paraId="505B03C9" w14:textId="5D5120C6">
            <w:pPr>
              <w:jc w:val="right"/>
              <w:rPr>
                <w:rFonts w:ascii="Arial" w:hAnsi="Arial"/>
                <w:sz w:val="20"/>
              </w:rPr>
            </w:pPr>
            <w:r w:rsidRPr="00444E9A">
              <w:rPr>
                <w:rFonts w:ascii="Arial" w:hAnsi="Arial"/>
                <w:sz w:val="20"/>
              </w:rPr>
              <w:t>$49.14</w:t>
            </w:r>
          </w:p>
        </w:tc>
        <w:tc>
          <w:tcPr>
            <w:tcW w:w="1354" w:type="dxa"/>
            <w:tcBorders>
              <w:top w:val="single" w:sz="4" w:space="0" w:color="auto"/>
              <w:left w:val="single" w:sz="4" w:space="0" w:color="auto"/>
              <w:bottom w:val="single" w:sz="4" w:space="0" w:color="auto"/>
              <w:right w:val="single" w:sz="4" w:space="0" w:color="auto"/>
            </w:tcBorders>
          </w:tcPr>
          <w:p w:rsidR="003365DD" w:rsidRPr="00444E9A" w:rsidP="003365DD" w14:paraId="032ECB49" w14:textId="0C632C24">
            <w:pPr>
              <w:jc w:val="right"/>
              <w:rPr>
                <w:rFonts w:ascii="Arial" w:hAnsi="Arial"/>
                <w:sz w:val="20"/>
              </w:rPr>
            </w:pPr>
            <w:r w:rsidRPr="00444E9A">
              <w:rPr>
                <w:rFonts w:ascii="Arial" w:hAnsi="Arial"/>
                <w:sz w:val="20"/>
              </w:rPr>
              <w:t xml:space="preserve"> $3,781 </w:t>
            </w:r>
          </w:p>
        </w:tc>
      </w:tr>
      <w:tr w14:paraId="48E23604" w14:textId="35396458" w:rsidTr="00A2739A">
        <w:tblPrEx>
          <w:tblW w:w="14130" w:type="dxa"/>
          <w:tblInd w:w="-450" w:type="dxa"/>
          <w:tblLayout w:type="fixed"/>
          <w:tblLook w:val="04A0"/>
        </w:tblPrEx>
        <w:trPr>
          <w:trHeight w:val="254"/>
        </w:trPr>
        <w:tc>
          <w:tcPr>
            <w:tcW w:w="1310" w:type="dxa"/>
            <w:vMerge/>
            <w:tcBorders>
              <w:top w:val="single" w:sz="4" w:space="0" w:color="auto"/>
              <w:left w:val="single" w:sz="4" w:space="0" w:color="auto"/>
              <w:bottom w:val="nil"/>
              <w:right w:val="single" w:sz="4" w:space="0" w:color="auto"/>
            </w:tcBorders>
            <w:vAlign w:val="center"/>
            <w:hideMark/>
          </w:tcPr>
          <w:p w:rsidR="003365DD" w:rsidRPr="00444E9A" w:rsidP="003365DD" w14:paraId="3A957FE0" w14:textId="77777777">
            <w:pPr>
              <w:ind w:right="-136"/>
              <w:rPr>
                <w:rFonts w:ascii="Arial" w:hAnsi="Arial"/>
                <w:color w:val="000000" w:themeColor="text1"/>
                <w:sz w:val="20"/>
              </w:rPr>
            </w:pP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3365DD" w:rsidRPr="00444E9A" w:rsidP="003365DD" w14:paraId="14577D22" w14:textId="77777777">
            <w:pPr>
              <w:ind w:right="-110"/>
              <w:rPr>
                <w:rFonts w:ascii="Arial" w:hAnsi="Arial"/>
                <w:color w:val="000000" w:themeColor="text1"/>
                <w:sz w:val="20"/>
              </w:rPr>
            </w:pPr>
            <w:r w:rsidRPr="00444E9A">
              <w:rPr>
                <w:rFonts w:ascii="Arial" w:hAnsi="Arial"/>
                <w:sz w:val="20"/>
              </w:rPr>
              <w:t>SCs</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3365DD" w:rsidRPr="00444E9A" w:rsidP="003365DD" w14:paraId="7B684323" w14:textId="77777777">
            <w:pPr>
              <w:rPr>
                <w:rFonts w:ascii="Arial" w:hAnsi="Arial"/>
                <w:color w:val="000000" w:themeColor="text1"/>
                <w:sz w:val="2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3365DD" w:rsidRPr="00444E9A" w:rsidP="003365DD" w14:paraId="69E481FC" w14:textId="77777777">
            <w:pPr>
              <w:jc w:val="right"/>
              <w:rPr>
                <w:rFonts w:ascii="Arial" w:hAnsi="Arial"/>
                <w:color w:val="000000" w:themeColor="text1"/>
                <w:sz w:val="20"/>
              </w:rPr>
            </w:pPr>
            <w:r w:rsidRPr="00444E9A">
              <w:rPr>
                <w:rFonts w:ascii="Arial" w:hAnsi="Arial"/>
                <w:sz w:val="20"/>
              </w:rPr>
              <w:t>6</w:t>
            </w:r>
          </w:p>
        </w:tc>
        <w:tc>
          <w:tcPr>
            <w:tcW w:w="1080" w:type="dxa"/>
            <w:tcBorders>
              <w:top w:val="single" w:sz="4" w:space="0" w:color="auto"/>
              <w:left w:val="nil"/>
              <w:bottom w:val="single" w:sz="4" w:space="0" w:color="auto"/>
              <w:right w:val="nil"/>
            </w:tcBorders>
            <w:shd w:val="clear" w:color="auto" w:fill="auto"/>
            <w:noWrap/>
            <w:vAlign w:val="bottom"/>
          </w:tcPr>
          <w:p w:rsidR="003365DD" w:rsidRPr="00444E9A" w:rsidP="003365DD" w14:paraId="7E5B8C84" w14:textId="10E1020A">
            <w:pPr>
              <w:jc w:val="right"/>
              <w:rPr>
                <w:rFonts w:ascii="Arial" w:hAnsi="Arial"/>
                <w:color w:val="000000" w:themeColor="text1"/>
                <w:sz w:val="20"/>
              </w:rPr>
            </w:pPr>
            <w:r w:rsidRPr="00444E9A">
              <w:rPr>
                <w:rFonts w:ascii="Arial" w:hAnsi="Arial"/>
                <w:sz w:val="20"/>
              </w:rPr>
              <w:t>0.3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192A9A58" w14:textId="03A3BE45">
            <w:pPr>
              <w:jc w:val="right"/>
              <w:rPr>
                <w:rFonts w:ascii="Arial" w:hAnsi="Arial"/>
                <w:color w:val="000000" w:themeColor="text1"/>
                <w:sz w:val="20"/>
              </w:rPr>
            </w:pPr>
            <w:r w:rsidRPr="00444E9A">
              <w:rPr>
                <w:rFonts w:ascii="Arial" w:hAnsi="Arial"/>
                <w:sz w:val="20"/>
              </w:rPr>
              <w:t>0.3</w:t>
            </w:r>
          </w:p>
        </w:tc>
        <w:tc>
          <w:tcPr>
            <w:tcW w:w="1170" w:type="dxa"/>
            <w:tcBorders>
              <w:top w:val="single" w:sz="4" w:space="0" w:color="auto"/>
              <w:left w:val="nil"/>
              <w:bottom w:val="single" w:sz="4" w:space="0" w:color="auto"/>
              <w:right w:val="nil"/>
            </w:tcBorders>
            <w:shd w:val="clear" w:color="auto" w:fill="auto"/>
            <w:noWrap/>
            <w:vAlign w:val="bottom"/>
          </w:tcPr>
          <w:p w:rsidR="003365DD" w:rsidRPr="00444E9A" w:rsidP="003365DD" w14:paraId="126FD526" w14:textId="77777777">
            <w:pPr>
              <w:jc w:val="right"/>
              <w:rPr>
                <w:rFonts w:ascii="Arial" w:hAnsi="Arial"/>
                <w:color w:val="000000" w:themeColor="text1"/>
                <w:sz w:val="20"/>
              </w:rPr>
            </w:pPr>
            <w:r w:rsidRPr="00444E9A">
              <w:rPr>
                <w:rFonts w:ascii="Arial" w:hAnsi="Arial"/>
                <w:sz w:val="20"/>
              </w:rPr>
              <w:t>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6750C89A" w14:textId="77777777">
            <w:pPr>
              <w:jc w:val="right"/>
              <w:rPr>
                <w:rFonts w:ascii="Arial" w:hAnsi="Arial"/>
                <w:color w:val="000000" w:themeColor="text1"/>
                <w:sz w:val="20"/>
              </w:rPr>
            </w:pPr>
            <w:r w:rsidRPr="00444E9A">
              <w:rPr>
                <w:rFonts w:ascii="Arial" w:hAnsi="Arial"/>
                <w:sz w:val="20"/>
              </w:rPr>
              <w:t>4</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365DD" w:rsidRPr="00444E9A" w:rsidP="003365DD" w14:paraId="212CA5D2" w14:textId="77777777">
            <w:pPr>
              <w:jc w:val="right"/>
              <w:rPr>
                <w:rFonts w:ascii="Arial" w:hAnsi="Arial"/>
                <w:color w:val="000000" w:themeColor="text1"/>
                <w:sz w:val="20"/>
              </w:rPr>
            </w:pPr>
            <w:r w:rsidRPr="00444E9A">
              <w:rPr>
                <w:rFonts w:ascii="Arial" w:hAnsi="Arial"/>
                <w:sz w:val="20"/>
              </w:rPr>
              <w:t>1</w:t>
            </w:r>
          </w:p>
        </w:tc>
        <w:tc>
          <w:tcPr>
            <w:tcW w:w="1346" w:type="dxa"/>
            <w:tcBorders>
              <w:top w:val="single" w:sz="4" w:space="0" w:color="auto"/>
              <w:left w:val="single" w:sz="4" w:space="0" w:color="auto"/>
              <w:bottom w:val="single" w:sz="4" w:space="0" w:color="auto"/>
              <w:right w:val="single" w:sz="4" w:space="0" w:color="auto"/>
            </w:tcBorders>
          </w:tcPr>
          <w:p w:rsidR="003365DD" w:rsidRPr="00444E9A" w:rsidP="003365DD" w14:paraId="6134D1DC" w14:textId="53A11D3F">
            <w:pPr>
              <w:jc w:val="right"/>
              <w:rPr>
                <w:rFonts w:ascii="Arial" w:hAnsi="Arial"/>
                <w:sz w:val="20"/>
              </w:rPr>
            </w:pPr>
            <w:r w:rsidRPr="00444E9A">
              <w:rPr>
                <w:rFonts w:ascii="Arial" w:hAnsi="Arial"/>
                <w:sz w:val="20"/>
              </w:rPr>
              <w:t>$92.34</w:t>
            </w:r>
          </w:p>
        </w:tc>
        <w:tc>
          <w:tcPr>
            <w:tcW w:w="1354" w:type="dxa"/>
            <w:tcBorders>
              <w:top w:val="single" w:sz="4" w:space="0" w:color="auto"/>
              <w:left w:val="single" w:sz="4" w:space="0" w:color="auto"/>
              <w:bottom w:val="single" w:sz="4" w:space="0" w:color="auto"/>
              <w:right w:val="single" w:sz="4" w:space="0" w:color="auto"/>
            </w:tcBorders>
          </w:tcPr>
          <w:p w:rsidR="003365DD" w:rsidRPr="00444E9A" w:rsidP="003365DD" w14:paraId="75CB5FFB" w14:textId="66EBCE41">
            <w:pPr>
              <w:jc w:val="right"/>
              <w:rPr>
                <w:rFonts w:ascii="Arial" w:hAnsi="Arial"/>
                <w:sz w:val="20"/>
              </w:rPr>
            </w:pPr>
            <w:r w:rsidRPr="00444E9A">
              <w:rPr>
                <w:rFonts w:ascii="Arial" w:hAnsi="Arial"/>
                <w:sz w:val="20"/>
              </w:rPr>
              <w:t xml:space="preserve"> $135 </w:t>
            </w:r>
          </w:p>
        </w:tc>
      </w:tr>
      <w:tr w14:paraId="28BC0E74" w14:textId="162E1320" w:rsidTr="00A2739A">
        <w:tblPrEx>
          <w:tblW w:w="14130" w:type="dxa"/>
          <w:tblInd w:w="-450" w:type="dxa"/>
          <w:tblLayout w:type="fixed"/>
          <w:tblLook w:val="04A0"/>
        </w:tblPrEx>
        <w:trPr>
          <w:trHeight w:val="254"/>
        </w:trPr>
        <w:tc>
          <w:tcPr>
            <w:tcW w:w="1310" w:type="dxa"/>
            <w:tcBorders>
              <w:top w:val="single" w:sz="4" w:space="0" w:color="auto"/>
              <w:left w:val="single" w:sz="4" w:space="0" w:color="auto"/>
              <w:bottom w:val="single" w:sz="4" w:space="0" w:color="000000"/>
              <w:right w:val="nil"/>
            </w:tcBorders>
            <w:shd w:val="clear" w:color="auto" w:fill="auto"/>
            <w:noWrap/>
            <w:vAlign w:val="center"/>
          </w:tcPr>
          <w:p w:rsidR="003365DD" w:rsidRPr="00444E9A" w:rsidP="003365DD" w14:paraId="293F114B" w14:textId="77777777">
            <w:pPr>
              <w:ind w:right="-136"/>
              <w:rPr>
                <w:rFonts w:ascii="Arial" w:hAnsi="Arial"/>
                <w:color w:val="000000" w:themeColor="text1"/>
                <w:sz w:val="20"/>
              </w:rPr>
            </w:pPr>
            <w:r w:rsidRPr="00444E9A">
              <w:rPr>
                <w:rFonts w:ascii="Arial" w:hAnsi="Arial"/>
                <w:color w:val="000000" w:themeColor="text1"/>
                <w:sz w:val="20"/>
              </w:rPr>
              <w:t>FRSR</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73873BEA" w14:textId="77777777">
            <w:pPr>
              <w:ind w:right="-110"/>
              <w:rPr>
                <w:rFonts w:ascii="Arial" w:hAnsi="Arial"/>
                <w:color w:val="000000" w:themeColor="text1"/>
                <w:sz w:val="20"/>
              </w:rPr>
            </w:pPr>
            <w:r w:rsidRPr="00444E9A">
              <w:rPr>
                <w:rFonts w:ascii="Arial" w:hAnsi="Arial"/>
                <w:sz w:val="20"/>
              </w:rPr>
              <w:t>SCs</w:t>
            </w:r>
          </w:p>
        </w:tc>
        <w:tc>
          <w:tcPr>
            <w:tcW w:w="1080" w:type="dxa"/>
            <w:vMerge/>
            <w:tcBorders>
              <w:top w:val="single" w:sz="4" w:space="0" w:color="auto"/>
              <w:left w:val="single" w:sz="4" w:space="0" w:color="auto"/>
              <w:bottom w:val="single" w:sz="4" w:space="0" w:color="000000"/>
              <w:right w:val="single" w:sz="4" w:space="0" w:color="auto"/>
            </w:tcBorders>
            <w:vAlign w:val="center"/>
          </w:tcPr>
          <w:p w:rsidR="003365DD" w:rsidRPr="00444E9A" w:rsidP="003365DD" w14:paraId="26127FC3" w14:textId="77777777">
            <w:pPr>
              <w:rPr>
                <w:rFonts w:ascii="Arial" w:hAnsi="Arial"/>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2EBC2A24" w14:textId="77777777">
            <w:pPr>
              <w:jc w:val="right"/>
              <w:rPr>
                <w:rFonts w:ascii="Arial" w:hAnsi="Arial"/>
                <w:sz w:val="20"/>
              </w:rPr>
            </w:pPr>
            <w:r w:rsidRPr="00444E9A">
              <w:rPr>
                <w:rFonts w:ascii="Arial" w:hAnsi="Arial"/>
                <w:sz w:val="20"/>
              </w:rPr>
              <w:t>3</w:t>
            </w:r>
          </w:p>
        </w:tc>
        <w:tc>
          <w:tcPr>
            <w:tcW w:w="1080" w:type="dxa"/>
            <w:tcBorders>
              <w:top w:val="single" w:sz="4" w:space="0" w:color="auto"/>
              <w:left w:val="nil"/>
              <w:bottom w:val="single" w:sz="4" w:space="0" w:color="auto"/>
              <w:right w:val="nil"/>
            </w:tcBorders>
            <w:shd w:val="clear" w:color="auto" w:fill="auto"/>
            <w:noWrap/>
            <w:vAlign w:val="bottom"/>
          </w:tcPr>
          <w:p w:rsidR="003365DD" w:rsidRPr="00444E9A" w:rsidP="003365DD" w14:paraId="03A979CE" w14:textId="39D19843">
            <w:pPr>
              <w:jc w:val="right"/>
              <w:rPr>
                <w:rFonts w:ascii="Arial" w:hAnsi="Arial"/>
                <w:sz w:val="20"/>
              </w:rPr>
            </w:pPr>
            <w:r w:rsidRPr="00444E9A">
              <w:rPr>
                <w:rFonts w:ascii="Arial" w:hAnsi="Arial"/>
                <w:sz w:val="20"/>
              </w:rPr>
              <w:t>0.3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17B27555" w14:textId="2901EB57">
            <w:pPr>
              <w:jc w:val="right"/>
              <w:rPr>
                <w:rFonts w:ascii="Arial" w:hAnsi="Arial"/>
                <w:sz w:val="20"/>
              </w:rPr>
            </w:pPr>
            <w:r w:rsidRPr="00444E9A">
              <w:rPr>
                <w:rFonts w:ascii="Arial" w:hAnsi="Arial"/>
                <w:sz w:val="20"/>
              </w:rPr>
              <w:t>0.3</w:t>
            </w:r>
          </w:p>
        </w:tc>
        <w:tc>
          <w:tcPr>
            <w:tcW w:w="1170" w:type="dxa"/>
            <w:tcBorders>
              <w:top w:val="single" w:sz="4" w:space="0" w:color="auto"/>
              <w:left w:val="nil"/>
              <w:bottom w:val="single" w:sz="4" w:space="0" w:color="auto"/>
              <w:right w:val="nil"/>
            </w:tcBorders>
            <w:shd w:val="clear" w:color="auto" w:fill="auto"/>
            <w:noWrap/>
            <w:vAlign w:val="bottom"/>
          </w:tcPr>
          <w:p w:rsidR="003365DD" w:rsidRPr="00444E9A" w:rsidP="003365DD" w14:paraId="344BF8C6" w14:textId="77777777">
            <w:pPr>
              <w:jc w:val="right"/>
              <w:rPr>
                <w:rFonts w:ascii="Arial" w:hAnsi="Arial"/>
                <w:sz w:val="20"/>
              </w:rPr>
            </w:pPr>
            <w:r w:rsidRPr="00444E9A">
              <w:rPr>
                <w:rFonts w:ascii="Arial" w:hAnsi="Arial"/>
                <w:sz w:val="20"/>
              </w:rPr>
              <w:t>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619394ED" w14:textId="77777777">
            <w:pPr>
              <w:jc w:val="right"/>
              <w:rPr>
                <w:rFonts w:ascii="Arial" w:hAnsi="Arial"/>
                <w:sz w:val="20"/>
              </w:rPr>
            </w:pPr>
            <w:r w:rsidRPr="00444E9A">
              <w:rPr>
                <w:rFonts w:ascii="Arial" w:hAnsi="Arial"/>
                <w:sz w:val="20"/>
              </w:rPr>
              <w:t>2</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365DD" w:rsidRPr="00444E9A" w:rsidP="003365DD" w14:paraId="75C52F7F" w14:textId="77777777">
            <w:pPr>
              <w:jc w:val="right"/>
              <w:rPr>
                <w:rFonts w:ascii="Arial" w:hAnsi="Arial"/>
                <w:sz w:val="20"/>
              </w:rPr>
            </w:pPr>
            <w:r w:rsidRPr="00444E9A">
              <w:rPr>
                <w:rFonts w:ascii="Arial" w:hAnsi="Arial"/>
                <w:sz w:val="20"/>
              </w:rPr>
              <w:t>1</w:t>
            </w:r>
          </w:p>
        </w:tc>
        <w:tc>
          <w:tcPr>
            <w:tcW w:w="1346" w:type="dxa"/>
            <w:tcBorders>
              <w:top w:val="single" w:sz="4" w:space="0" w:color="auto"/>
              <w:left w:val="single" w:sz="4" w:space="0" w:color="auto"/>
              <w:bottom w:val="single" w:sz="4" w:space="0" w:color="auto"/>
              <w:right w:val="single" w:sz="4" w:space="0" w:color="auto"/>
            </w:tcBorders>
          </w:tcPr>
          <w:p w:rsidR="003365DD" w:rsidRPr="00444E9A" w:rsidP="003365DD" w14:paraId="08046BBB" w14:textId="7F5481AE">
            <w:pPr>
              <w:jc w:val="right"/>
              <w:rPr>
                <w:rFonts w:ascii="Arial" w:hAnsi="Arial"/>
                <w:sz w:val="20"/>
              </w:rPr>
            </w:pPr>
            <w:r w:rsidRPr="00444E9A">
              <w:rPr>
                <w:rFonts w:ascii="Arial" w:hAnsi="Arial"/>
                <w:sz w:val="20"/>
              </w:rPr>
              <w:t>$76.35</w:t>
            </w:r>
          </w:p>
        </w:tc>
        <w:tc>
          <w:tcPr>
            <w:tcW w:w="1354" w:type="dxa"/>
            <w:tcBorders>
              <w:top w:val="single" w:sz="4" w:space="0" w:color="auto"/>
              <w:left w:val="single" w:sz="4" w:space="0" w:color="auto"/>
              <w:bottom w:val="single" w:sz="4" w:space="0" w:color="auto"/>
              <w:right w:val="single" w:sz="4" w:space="0" w:color="auto"/>
            </w:tcBorders>
          </w:tcPr>
          <w:p w:rsidR="003365DD" w:rsidRPr="00444E9A" w:rsidP="003365DD" w14:paraId="00A07EAE" w14:textId="67FFE9E4">
            <w:pPr>
              <w:jc w:val="right"/>
              <w:rPr>
                <w:rFonts w:ascii="Arial" w:hAnsi="Arial"/>
                <w:sz w:val="20"/>
              </w:rPr>
            </w:pPr>
            <w:r w:rsidRPr="00444E9A">
              <w:rPr>
                <w:rFonts w:ascii="Arial" w:hAnsi="Arial"/>
                <w:sz w:val="20"/>
              </w:rPr>
              <w:t xml:space="preserve"> $62 </w:t>
            </w:r>
          </w:p>
        </w:tc>
      </w:tr>
      <w:tr w14:paraId="59C215F0" w14:textId="28289AB3" w:rsidTr="00A2739A">
        <w:tblPrEx>
          <w:tblW w:w="14130" w:type="dxa"/>
          <w:tblInd w:w="-450" w:type="dxa"/>
          <w:tblLayout w:type="fixed"/>
          <w:tblLook w:val="04A0"/>
        </w:tblPrEx>
        <w:trPr>
          <w:trHeight w:val="254"/>
        </w:trPr>
        <w:tc>
          <w:tcPr>
            <w:tcW w:w="1310"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3365DD" w:rsidRPr="00444E9A" w:rsidP="003365DD" w14:paraId="51834098" w14:textId="77777777">
            <w:pPr>
              <w:ind w:right="-136"/>
              <w:rPr>
                <w:rFonts w:ascii="Arial" w:hAnsi="Arial"/>
                <w:color w:val="000000" w:themeColor="text1"/>
                <w:sz w:val="20"/>
              </w:rPr>
            </w:pPr>
            <w:r w:rsidRPr="00444E9A">
              <w:rPr>
                <w:rFonts w:ascii="Arial" w:hAnsi="Arial"/>
                <w:color w:val="000000" w:themeColor="text1"/>
                <w:sz w:val="20"/>
              </w:rPr>
              <w:t>PTPR</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5DD" w:rsidRPr="00444E9A" w:rsidP="003365DD" w14:paraId="3351F9DC" w14:textId="77777777">
            <w:pPr>
              <w:ind w:right="-110"/>
              <w:rPr>
                <w:rFonts w:ascii="Arial" w:hAnsi="Arial"/>
                <w:color w:val="000000" w:themeColor="text1"/>
                <w:sz w:val="20"/>
              </w:rPr>
            </w:pPr>
            <w:r w:rsidRPr="00444E9A">
              <w:rPr>
                <w:rFonts w:ascii="Arial" w:hAnsi="Arial"/>
                <w:sz w:val="20"/>
              </w:rPr>
              <w:t>SSEs</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3365DD" w:rsidRPr="00444E9A" w:rsidP="003365DD" w14:paraId="6AEB4350" w14:textId="77777777">
            <w:pPr>
              <w:rPr>
                <w:rFonts w:ascii="Arial" w:hAnsi="Arial"/>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5E823E76" w14:textId="77777777">
            <w:pPr>
              <w:jc w:val="right"/>
              <w:rPr>
                <w:rFonts w:ascii="Arial" w:hAnsi="Arial"/>
                <w:color w:val="000000" w:themeColor="text1"/>
                <w:sz w:val="20"/>
              </w:rPr>
            </w:pPr>
            <w:r w:rsidRPr="00444E9A">
              <w:rPr>
                <w:rFonts w:ascii="Arial" w:hAnsi="Arial"/>
                <w:sz w:val="20"/>
              </w:rPr>
              <w:t>533</w:t>
            </w:r>
          </w:p>
        </w:tc>
        <w:tc>
          <w:tcPr>
            <w:tcW w:w="1080" w:type="dxa"/>
            <w:tcBorders>
              <w:top w:val="single" w:sz="4" w:space="0" w:color="auto"/>
              <w:left w:val="nil"/>
              <w:bottom w:val="single" w:sz="4" w:space="0" w:color="auto"/>
              <w:right w:val="nil"/>
            </w:tcBorders>
            <w:shd w:val="clear" w:color="auto" w:fill="auto"/>
            <w:noWrap/>
            <w:vAlign w:val="bottom"/>
          </w:tcPr>
          <w:p w:rsidR="003365DD" w:rsidRPr="00444E9A" w:rsidP="003365DD" w14:paraId="45A30C02" w14:textId="77777777">
            <w:pPr>
              <w:jc w:val="right"/>
              <w:rPr>
                <w:rFonts w:ascii="Arial" w:hAnsi="Arial"/>
                <w:color w:val="000000" w:themeColor="text1"/>
                <w:sz w:val="20"/>
              </w:rPr>
            </w:pPr>
            <w:r w:rsidRPr="00444E9A">
              <w:rPr>
                <w:rFonts w:ascii="Arial" w:hAnsi="Arial"/>
                <w:sz w:val="20"/>
              </w:rPr>
              <w:t>62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1B108C16" w14:textId="77777777">
            <w:pPr>
              <w:jc w:val="right"/>
              <w:rPr>
                <w:rFonts w:ascii="Arial" w:hAnsi="Arial"/>
                <w:color w:val="000000" w:themeColor="text1"/>
                <w:sz w:val="20"/>
              </w:rPr>
            </w:pPr>
            <w:r w:rsidRPr="00444E9A">
              <w:rPr>
                <w:rFonts w:ascii="Arial" w:hAnsi="Arial"/>
                <w:sz w:val="20"/>
              </w:rPr>
              <w:t>62</w:t>
            </w:r>
          </w:p>
        </w:tc>
        <w:tc>
          <w:tcPr>
            <w:tcW w:w="1170" w:type="dxa"/>
            <w:tcBorders>
              <w:top w:val="single" w:sz="4" w:space="0" w:color="auto"/>
              <w:left w:val="nil"/>
              <w:bottom w:val="single" w:sz="4" w:space="0" w:color="auto"/>
              <w:right w:val="nil"/>
            </w:tcBorders>
            <w:shd w:val="clear" w:color="auto" w:fill="auto"/>
            <w:noWrap/>
            <w:vAlign w:val="bottom"/>
          </w:tcPr>
          <w:p w:rsidR="003365DD" w:rsidRPr="00444E9A" w:rsidP="003365DD" w14:paraId="64DAD5EC" w14:textId="77777777">
            <w:pPr>
              <w:jc w:val="right"/>
              <w:rPr>
                <w:rFonts w:ascii="Arial" w:hAnsi="Arial"/>
                <w:color w:val="000000" w:themeColor="text1"/>
                <w:sz w:val="20"/>
              </w:rPr>
            </w:pPr>
            <w:r w:rsidRPr="00444E9A">
              <w:rPr>
                <w:rFonts w:ascii="Arial" w:hAnsi="Arial"/>
                <w:sz w:val="20"/>
              </w:rPr>
              <w:t>656</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3A4DA5D6" w14:textId="77777777">
            <w:pPr>
              <w:jc w:val="right"/>
              <w:rPr>
                <w:rFonts w:ascii="Arial" w:hAnsi="Arial"/>
                <w:color w:val="000000" w:themeColor="text1"/>
                <w:sz w:val="20"/>
              </w:rPr>
            </w:pPr>
            <w:r w:rsidRPr="00444E9A">
              <w:rPr>
                <w:rFonts w:ascii="Arial" w:hAnsi="Arial"/>
                <w:sz w:val="20"/>
              </w:rPr>
              <w:t>410</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365DD" w:rsidRPr="00444E9A" w:rsidP="003365DD" w14:paraId="4FDFDA2F" w14:textId="77777777">
            <w:pPr>
              <w:jc w:val="right"/>
              <w:rPr>
                <w:rFonts w:ascii="Arial" w:hAnsi="Arial"/>
                <w:color w:val="000000" w:themeColor="text1"/>
                <w:sz w:val="20"/>
              </w:rPr>
            </w:pPr>
            <w:r w:rsidRPr="00444E9A">
              <w:rPr>
                <w:rFonts w:ascii="Arial" w:hAnsi="Arial"/>
                <w:sz w:val="20"/>
              </w:rPr>
              <w:t>137</w:t>
            </w:r>
          </w:p>
        </w:tc>
        <w:tc>
          <w:tcPr>
            <w:tcW w:w="1346" w:type="dxa"/>
            <w:tcBorders>
              <w:top w:val="single" w:sz="4" w:space="0" w:color="auto"/>
              <w:left w:val="single" w:sz="4" w:space="0" w:color="auto"/>
              <w:bottom w:val="single" w:sz="4" w:space="0" w:color="auto"/>
              <w:right w:val="single" w:sz="4" w:space="0" w:color="auto"/>
            </w:tcBorders>
          </w:tcPr>
          <w:p w:rsidR="003365DD" w:rsidRPr="00444E9A" w:rsidP="003365DD" w14:paraId="67E8E4E9" w14:textId="5FBCCF6E">
            <w:pPr>
              <w:jc w:val="right"/>
              <w:rPr>
                <w:rFonts w:ascii="Arial" w:hAnsi="Arial"/>
                <w:sz w:val="20"/>
              </w:rPr>
            </w:pPr>
            <w:r w:rsidRPr="00444E9A">
              <w:rPr>
                <w:rFonts w:ascii="Arial" w:hAnsi="Arial"/>
                <w:sz w:val="20"/>
              </w:rPr>
              <w:t>$38.98</w:t>
            </w:r>
          </w:p>
        </w:tc>
        <w:tc>
          <w:tcPr>
            <w:tcW w:w="1354" w:type="dxa"/>
            <w:tcBorders>
              <w:top w:val="single" w:sz="4" w:space="0" w:color="auto"/>
              <w:left w:val="single" w:sz="4" w:space="0" w:color="auto"/>
              <w:bottom w:val="single" w:sz="4" w:space="0" w:color="auto"/>
              <w:right w:val="single" w:sz="4" w:space="0" w:color="auto"/>
            </w:tcBorders>
          </w:tcPr>
          <w:p w:rsidR="003365DD" w:rsidRPr="00444E9A" w:rsidP="003365DD" w14:paraId="38C3956D" w14:textId="696E959C">
            <w:pPr>
              <w:jc w:val="right"/>
              <w:rPr>
                <w:rFonts w:ascii="Arial" w:hAnsi="Arial"/>
                <w:sz w:val="20"/>
              </w:rPr>
            </w:pPr>
            <w:r w:rsidRPr="00444E9A">
              <w:rPr>
                <w:rFonts w:ascii="Arial" w:hAnsi="Arial"/>
                <w:sz w:val="20"/>
              </w:rPr>
              <w:t xml:space="preserve"> $5,330 </w:t>
            </w:r>
          </w:p>
        </w:tc>
      </w:tr>
      <w:tr w14:paraId="52F4211A" w14:textId="4248581E" w:rsidTr="00A2739A">
        <w:tblPrEx>
          <w:tblW w:w="14130" w:type="dxa"/>
          <w:tblInd w:w="-450" w:type="dxa"/>
          <w:tblLayout w:type="fixed"/>
          <w:tblLook w:val="04A0"/>
        </w:tblPrEx>
        <w:trPr>
          <w:trHeight w:val="254"/>
        </w:trPr>
        <w:tc>
          <w:tcPr>
            <w:tcW w:w="1310" w:type="dxa"/>
            <w:vMerge/>
            <w:tcBorders>
              <w:top w:val="single" w:sz="4" w:space="0" w:color="auto"/>
              <w:left w:val="single" w:sz="4" w:space="0" w:color="auto"/>
              <w:bottom w:val="single" w:sz="4" w:space="0" w:color="000000"/>
              <w:right w:val="nil"/>
            </w:tcBorders>
            <w:vAlign w:val="center"/>
            <w:hideMark/>
          </w:tcPr>
          <w:p w:rsidR="003365DD" w:rsidRPr="00444E9A" w:rsidP="003365DD" w14:paraId="05D0825D" w14:textId="77777777">
            <w:pPr>
              <w:ind w:right="-136"/>
              <w:rPr>
                <w:rFonts w:ascii="Arial" w:hAnsi="Arial"/>
                <w:color w:val="000000" w:themeColor="text1"/>
                <w:sz w:val="20"/>
              </w:rPr>
            </w:pP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5DD" w:rsidRPr="00444E9A" w:rsidP="003365DD" w14:paraId="2B25EC06" w14:textId="77777777">
            <w:pPr>
              <w:ind w:right="-110"/>
              <w:rPr>
                <w:rFonts w:ascii="Arial" w:hAnsi="Arial"/>
                <w:color w:val="000000" w:themeColor="text1"/>
                <w:sz w:val="20"/>
              </w:rPr>
            </w:pPr>
            <w:r w:rsidRPr="00444E9A">
              <w:rPr>
                <w:rFonts w:ascii="Arial" w:hAnsi="Arial"/>
                <w:sz w:val="20"/>
              </w:rPr>
              <w:t>SCs</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3365DD" w:rsidRPr="00444E9A" w:rsidP="003365DD" w14:paraId="68DC6B88" w14:textId="77777777">
            <w:pPr>
              <w:rPr>
                <w:rFonts w:ascii="Arial" w:hAnsi="Arial"/>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6B1639F0" w14:textId="77777777">
            <w:pPr>
              <w:jc w:val="right"/>
              <w:rPr>
                <w:rFonts w:ascii="Arial" w:hAnsi="Arial"/>
                <w:color w:val="000000" w:themeColor="text1"/>
                <w:sz w:val="20"/>
              </w:rPr>
            </w:pPr>
            <w:r w:rsidRPr="00444E9A">
              <w:rPr>
                <w:rFonts w:ascii="Arial" w:hAnsi="Arial"/>
                <w:sz w:val="20"/>
              </w:rPr>
              <w:t>2</w:t>
            </w:r>
          </w:p>
        </w:tc>
        <w:tc>
          <w:tcPr>
            <w:tcW w:w="1080" w:type="dxa"/>
            <w:tcBorders>
              <w:top w:val="single" w:sz="4" w:space="0" w:color="auto"/>
              <w:left w:val="nil"/>
              <w:bottom w:val="single" w:sz="4" w:space="0" w:color="auto"/>
              <w:right w:val="nil"/>
            </w:tcBorders>
            <w:shd w:val="clear" w:color="auto" w:fill="auto"/>
            <w:noWrap/>
            <w:vAlign w:val="bottom"/>
          </w:tcPr>
          <w:p w:rsidR="003365DD" w:rsidRPr="00444E9A" w:rsidP="003365DD" w14:paraId="4EB99DDA" w14:textId="4AAF7D12">
            <w:pPr>
              <w:jc w:val="right"/>
              <w:rPr>
                <w:rFonts w:ascii="Arial" w:hAnsi="Arial"/>
                <w:color w:val="000000" w:themeColor="text1"/>
                <w:sz w:val="20"/>
              </w:rPr>
            </w:pPr>
            <w:r w:rsidRPr="00444E9A">
              <w:rPr>
                <w:rFonts w:ascii="Arial" w:hAnsi="Arial"/>
                <w:sz w:val="20"/>
              </w:rPr>
              <w:t>0.2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41E9A32A" w14:textId="2BB8025C">
            <w:pPr>
              <w:jc w:val="right"/>
              <w:rPr>
                <w:rFonts w:ascii="Arial" w:hAnsi="Arial"/>
                <w:color w:val="000000" w:themeColor="text1"/>
                <w:sz w:val="20"/>
              </w:rPr>
            </w:pPr>
            <w:r w:rsidRPr="00444E9A">
              <w:rPr>
                <w:rFonts w:ascii="Arial" w:hAnsi="Arial"/>
                <w:sz w:val="20"/>
              </w:rPr>
              <w:t>0.2</w:t>
            </w:r>
          </w:p>
        </w:tc>
        <w:tc>
          <w:tcPr>
            <w:tcW w:w="1170" w:type="dxa"/>
            <w:tcBorders>
              <w:top w:val="single" w:sz="4" w:space="0" w:color="auto"/>
              <w:left w:val="nil"/>
              <w:bottom w:val="single" w:sz="4" w:space="0" w:color="auto"/>
              <w:right w:val="nil"/>
            </w:tcBorders>
            <w:shd w:val="clear" w:color="auto" w:fill="auto"/>
            <w:noWrap/>
            <w:vAlign w:val="bottom"/>
          </w:tcPr>
          <w:p w:rsidR="003365DD" w:rsidRPr="00444E9A" w:rsidP="003365DD" w14:paraId="3B255C79" w14:textId="77777777">
            <w:pPr>
              <w:jc w:val="right"/>
              <w:rPr>
                <w:rFonts w:ascii="Arial" w:hAnsi="Arial"/>
                <w:color w:val="000000" w:themeColor="text1"/>
                <w:sz w:val="20"/>
              </w:rPr>
            </w:pPr>
            <w:r w:rsidRPr="00444E9A">
              <w:rPr>
                <w:rFonts w:ascii="Arial" w:hAnsi="Arial"/>
                <w:sz w:val="20"/>
              </w:rPr>
              <w:t>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23595C1C" w14:textId="77777777">
            <w:pPr>
              <w:jc w:val="right"/>
              <w:rPr>
                <w:rFonts w:ascii="Arial" w:hAnsi="Arial"/>
                <w:color w:val="000000" w:themeColor="text1"/>
                <w:sz w:val="20"/>
              </w:rPr>
            </w:pPr>
            <w:r w:rsidRPr="00444E9A">
              <w:rPr>
                <w:rFonts w:ascii="Arial" w:hAnsi="Arial"/>
                <w:sz w:val="20"/>
              </w:rPr>
              <w:t>1</w:t>
            </w:r>
          </w:p>
        </w:tc>
        <w:tc>
          <w:tcPr>
            <w:tcW w:w="1260" w:type="dxa"/>
            <w:tcBorders>
              <w:top w:val="single" w:sz="4" w:space="0" w:color="auto"/>
              <w:left w:val="single" w:sz="4" w:space="0" w:color="auto"/>
              <w:bottom w:val="single" w:sz="4" w:space="0" w:color="auto"/>
            </w:tcBorders>
            <w:shd w:val="clear" w:color="auto" w:fill="auto"/>
            <w:noWrap/>
            <w:vAlign w:val="bottom"/>
          </w:tcPr>
          <w:p w:rsidR="003365DD" w:rsidRPr="00444E9A" w:rsidP="003365DD" w14:paraId="362F62F5" w14:textId="051BAB74">
            <w:pPr>
              <w:jc w:val="right"/>
              <w:rPr>
                <w:rFonts w:ascii="Arial" w:hAnsi="Arial"/>
                <w:color w:val="000000" w:themeColor="text1"/>
                <w:sz w:val="20"/>
              </w:rPr>
            </w:pPr>
            <w:r w:rsidRPr="00444E9A">
              <w:rPr>
                <w:rFonts w:ascii="Arial" w:hAnsi="Arial"/>
                <w:sz w:val="20"/>
              </w:rPr>
              <w:t>0.5</w:t>
            </w:r>
          </w:p>
        </w:tc>
        <w:tc>
          <w:tcPr>
            <w:tcW w:w="1346" w:type="dxa"/>
            <w:tcBorders>
              <w:top w:val="single" w:sz="4" w:space="0" w:color="auto"/>
              <w:left w:val="single" w:sz="4" w:space="0" w:color="auto"/>
              <w:bottom w:val="single" w:sz="4" w:space="0" w:color="auto"/>
            </w:tcBorders>
          </w:tcPr>
          <w:p w:rsidR="003365DD" w:rsidRPr="00444E9A" w:rsidP="003365DD" w14:paraId="361C6F12" w14:textId="526E7C07">
            <w:pPr>
              <w:jc w:val="right"/>
              <w:rPr>
                <w:rFonts w:ascii="Arial" w:hAnsi="Arial"/>
                <w:sz w:val="20"/>
              </w:rPr>
            </w:pPr>
            <w:r w:rsidRPr="00444E9A">
              <w:rPr>
                <w:rFonts w:ascii="Arial" w:hAnsi="Arial"/>
                <w:sz w:val="20"/>
              </w:rPr>
              <w:t>$88.41</w:t>
            </w:r>
          </w:p>
        </w:tc>
        <w:tc>
          <w:tcPr>
            <w:tcW w:w="1354" w:type="dxa"/>
            <w:tcBorders>
              <w:top w:val="single" w:sz="4" w:space="0" w:color="auto"/>
              <w:left w:val="single" w:sz="4" w:space="0" w:color="auto"/>
              <w:bottom w:val="single" w:sz="4" w:space="0" w:color="auto"/>
              <w:right w:val="single" w:sz="4" w:space="0" w:color="auto"/>
            </w:tcBorders>
          </w:tcPr>
          <w:p w:rsidR="003365DD" w:rsidRPr="00444E9A" w:rsidP="003365DD" w14:paraId="6C694D10" w14:textId="73990A22">
            <w:pPr>
              <w:jc w:val="right"/>
              <w:rPr>
                <w:rFonts w:ascii="Arial" w:hAnsi="Arial"/>
                <w:sz w:val="20"/>
              </w:rPr>
            </w:pPr>
            <w:r w:rsidRPr="00444E9A">
              <w:rPr>
                <w:rFonts w:ascii="Arial" w:hAnsi="Arial"/>
                <w:sz w:val="20"/>
              </w:rPr>
              <w:t xml:space="preserve"> $41 </w:t>
            </w:r>
          </w:p>
        </w:tc>
      </w:tr>
      <w:tr w14:paraId="5805F037" w14:textId="77777777" w:rsidTr="00A2739A">
        <w:tblPrEx>
          <w:tblW w:w="14130" w:type="dxa"/>
          <w:tblInd w:w="-450" w:type="dxa"/>
          <w:tblLayout w:type="fixed"/>
          <w:tblLook w:val="04A0"/>
        </w:tblPrEx>
        <w:trPr>
          <w:trHeight w:val="254"/>
        </w:trPr>
        <w:tc>
          <w:tcPr>
            <w:tcW w:w="1310" w:type="dxa"/>
            <w:tcBorders>
              <w:top w:val="nil"/>
              <w:left w:val="single" w:sz="4" w:space="0" w:color="auto"/>
              <w:bottom w:val="single" w:sz="4" w:space="0" w:color="auto"/>
              <w:right w:val="nil"/>
            </w:tcBorders>
            <w:shd w:val="clear" w:color="auto" w:fill="auto"/>
            <w:noWrap/>
            <w:vAlign w:val="center"/>
            <w:hideMark/>
          </w:tcPr>
          <w:p w:rsidR="003365DD" w:rsidRPr="00444E9A" w:rsidP="003365DD" w14:paraId="7AA6C2F3" w14:textId="77777777">
            <w:pPr>
              <w:ind w:right="-136"/>
              <w:rPr>
                <w:rFonts w:ascii="Arial" w:hAnsi="Arial"/>
                <w:color w:val="000000" w:themeColor="text1"/>
                <w:sz w:val="20"/>
              </w:rPr>
            </w:pPr>
            <w:r w:rsidRPr="00444E9A">
              <w:rPr>
                <w:rFonts w:ascii="Arial" w:hAnsi="Arial"/>
                <w:color w:val="000000" w:themeColor="text1"/>
                <w:sz w:val="20"/>
              </w:rPr>
              <w:t xml:space="preserve">OTRB </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5DD" w:rsidRPr="00444E9A" w:rsidP="003365DD" w14:paraId="6A91E2AE" w14:textId="77777777">
            <w:pPr>
              <w:ind w:right="-110"/>
              <w:rPr>
                <w:rFonts w:ascii="Arial" w:hAnsi="Arial"/>
                <w:color w:val="000000" w:themeColor="text1"/>
                <w:sz w:val="20"/>
              </w:rPr>
            </w:pPr>
            <w:r w:rsidRPr="00444E9A">
              <w:rPr>
                <w:rFonts w:ascii="Arial" w:hAnsi="Arial"/>
                <w:sz w:val="20"/>
              </w:rPr>
              <w:t>SCs</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365DD" w:rsidRPr="00444E9A" w:rsidP="003365DD" w14:paraId="79B21788" w14:textId="77777777">
            <w:pPr>
              <w:rPr>
                <w:rFonts w:ascii="Arial" w:hAnsi="Arial"/>
                <w:color w:val="000000" w:themeColor="text1"/>
                <w:sz w:val="2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3365DD" w:rsidRPr="00444E9A" w:rsidP="003365DD" w14:paraId="403DB2F1" w14:textId="77777777">
            <w:pPr>
              <w:jc w:val="right"/>
              <w:rPr>
                <w:rFonts w:ascii="Arial" w:hAnsi="Arial"/>
                <w:color w:val="000000" w:themeColor="text1"/>
                <w:sz w:val="20"/>
              </w:rPr>
            </w:pPr>
            <w:r w:rsidRPr="00444E9A">
              <w:rPr>
                <w:rFonts w:ascii="Arial" w:hAnsi="Arial"/>
                <w:sz w:val="20"/>
              </w:rPr>
              <w:t>2</w:t>
            </w:r>
          </w:p>
        </w:tc>
        <w:tc>
          <w:tcPr>
            <w:tcW w:w="1080" w:type="dxa"/>
            <w:tcBorders>
              <w:top w:val="single" w:sz="4" w:space="0" w:color="auto"/>
              <w:left w:val="nil"/>
              <w:bottom w:val="single" w:sz="4" w:space="0" w:color="auto"/>
              <w:right w:val="nil"/>
            </w:tcBorders>
            <w:shd w:val="clear" w:color="auto" w:fill="auto"/>
            <w:noWrap/>
            <w:vAlign w:val="bottom"/>
          </w:tcPr>
          <w:p w:rsidR="003365DD" w:rsidRPr="00444E9A" w:rsidP="003365DD" w14:paraId="1A06AF2E" w14:textId="18645A83">
            <w:pPr>
              <w:jc w:val="right"/>
              <w:rPr>
                <w:rFonts w:ascii="Arial" w:hAnsi="Arial"/>
                <w:color w:val="000000" w:themeColor="text1"/>
                <w:sz w:val="20"/>
              </w:rPr>
            </w:pPr>
            <w:r w:rsidRPr="00444E9A">
              <w:rPr>
                <w:rFonts w:ascii="Arial" w:hAnsi="Arial"/>
                <w:sz w:val="20"/>
              </w:rPr>
              <w:t>0.3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0D7B3335" w14:textId="0F84AB02">
            <w:pPr>
              <w:jc w:val="right"/>
              <w:rPr>
                <w:rFonts w:ascii="Arial" w:hAnsi="Arial"/>
                <w:color w:val="000000" w:themeColor="text1"/>
                <w:sz w:val="20"/>
              </w:rPr>
            </w:pPr>
            <w:r w:rsidRPr="00444E9A">
              <w:rPr>
                <w:rFonts w:ascii="Arial" w:hAnsi="Arial"/>
                <w:sz w:val="20"/>
              </w:rPr>
              <w:t>0.3</w:t>
            </w:r>
          </w:p>
        </w:tc>
        <w:tc>
          <w:tcPr>
            <w:tcW w:w="1170" w:type="dxa"/>
            <w:tcBorders>
              <w:top w:val="single" w:sz="4" w:space="0" w:color="auto"/>
              <w:left w:val="nil"/>
              <w:bottom w:val="single" w:sz="4" w:space="0" w:color="auto"/>
              <w:right w:val="nil"/>
            </w:tcBorders>
            <w:shd w:val="clear" w:color="auto" w:fill="auto"/>
            <w:noWrap/>
            <w:vAlign w:val="bottom"/>
          </w:tcPr>
          <w:p w:rsidR="003365DD" w:rsidRPr="00444E9A" w:rsidP="003365DD" w14:paraId="4A683445" w14:textId="77777777">
            <w:pPr>
              <w:jc w:val="right"/>
              <w:rPr>
                <w:rFonts w:ascii="Arial" w:hAnsi="Arial"/>
                <w:color w:val="000000" w:themeColor="text1"/>
                <w:sz w:val="20"/>
              </w:rPr>
            </w:pPr>
            <w:r w:rsidRPr="00444E9A">
              <w:rPr>
                <w:rFonts w:ascii="Arial" w:hAnsi="Arial"/>
                <w:sz w:val="20"/>
              </w:rPr>
              <w:t>3</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1AAA27DD" w14:textId="77777777">
            <w:pPr>
              <w:jc w:val="right"/>
              <w:rPr>
                <w:rFonts w:ascii="Arial" w:hAnsi="Arial"/>
                <w:color w:val="000000" w:themeColor="text1"/>
                <w:sz w:val="20"/>
              </w:rPr>
            </w:pPr>
            <w:r w:rsidRPr="00444E9A">
              <w:rPr>
                <w:rFonts w:ascii="Arial" w:hAnsi="Arial"/>
                <w:sz w:val="20"/>
              </w:rPr>
              <w:t>2</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365DD" w:rsidRPr="00444E9A" w:rsidP="003365DD" w14:paraId="0CC8193D" w14:textId="77777777">
            <w:pPr>
              <w:jc w:val="right"/>
              <w:rPr>
                <w:rFonts w:ascii="Arial" w:hAnsi="Arial"/>
                <w:color w:val="000000" w:themeColor="text1"/>
                <w:sz w:val="20"/>
              </w:rPr>
            </w:pPr>
            <w:r w:rsidRPr="00444E9A">
              <w:rPr>
                <w:rFonts w:ascii="Arial" w:hAnsi="Arial"/>
                <w:sz w:val="20"/>
              </w:rPr>
              <w:t>1</w:t>
            </w:r>
          </w:p>
        </w:tc>
        <w:tc>
          <w:tcPr>
            <w:tcW w:w="1346" w:type="dxa"/>
            <w:tcBorders>
              <w:top w:val="single" w:sz="4" w:space="0" w:color="auto"/>
              <w:left w:val="single" w:sz="4" w:space="0" w:color="auto"/>
              <w:bottom w:val="single" w:sz="4" w:space="0" w:color="auto"/>
              <w:right w:val="single" w:sz="4" w:space="0" w:color="auto"/>
            </w:tcBorders>
          </w:tcPr>
          <w:p w:rsidR="003365DD" w:rsidRPr="00444E9A" w:rsidP="003365DD" w14:paraId="09C3DE6E" w14:textId="5126A247">
            <w:pPr>
              <w:jc w:val="right"/>
              <w:rPr>
                <w:rFonts w:ascii="Arial" w:hAnsi="Arial"/>
                <w:sz w:val="20"/>
              </w:rPr>
            </w:pPr>
            <w:r w:rsidRPr="00444E9A">
              <w:rPr>
                <w:rFonts w:ascii="Arial" w:hAnsi="Arial"/>
                <w:sz w:val="20"/>
              </w:rPr>
              <w:t>$69.63</w:t>
            </w:r>
          </w:p>
        </w:tc>
        <w:tc>
          <w:tcPr>
            <w:tcW w:w="1354" w:type="dxa"/>
            <w:tcBorders>
              <w:top w:val="single" w:sz="4" w:space="0" w:color="auto"/>
              <w:left w:val="single" w:sz="4" w:space="0" w:color="auto"/>
              <w:bottom w:val="single" w:sz="4" w:space="0" w:color="auto"/>
              <w:right w:val="single" w:sz="4" w:space="0" w:color="auto"/>
            </w:tcBorders>
          </w:tcPr>
          <w:p w:rsidR="003365DD" w:rsidRPr="00444E9A" w:rsidP="003365DD" w14:paraId="07A935B4" w14:textId="522C553C">
            <w:pPr>
              <w:jc w:val="right"/>
              <w:rPr>
                <w:rFonts w:ascii="Arial" w:hAnsi="Arial"/>
                <w:sz w:val="20"/>
              </w:rPr>
            </w:pPr>
            <w:r w:rsidRPr="00444E9A">
              <w:rPr>
                <w:rFonts w:ascii="Arial" w:hAnsi="Arial"/>
                <w:sz w:val="20"/>
              </w:rPr>
              <w:t xml:space="preserve"> $41 </w:t>
            </w:r>
          </w:p>
        </w:tc>
      </w:tr>
      <w:tr w14:paraId="318D9089" w14:textId="017DFD3B" w:rsidTr="00351517">
        <w:tblPrEx>
          <w:tblW w:w="14130" w:type="dxa"/>
          <w:tblInd w:w="-450" w:type="dxa"/>
          <w:tblLayout w:type="fixed"/>
          <w:tblLook w:val="04A0"/>
        </w:tblPrEx>
        <w:trPr>
          <w:trHeight w:val="299"/>
        </w:trPr>
        <w:tc>
          <w:tcPr>
            <w:tcW w:w="11430" w:type="dxa"/>
            <w:gridSpan w:val="9"/>
            <w:tcBorders>
              <w:top w:val="single" w:sz="4" w:space="0" w:color="auto"/>
              <w:left w:val="single" w:sz="4" w:space="0" w:color="auto"/>
              <w:bottom w:val="nil"/>
            </w:tcBorders>
            <w:shd w:val="clear" w:color="auto" w:fill="auto"/>
            <w:noWrap/>
            <w:vAlign w:val="bottom"/>
            <w:hideMark/>
          </w:tcPr>
          <w:p w:rsidR="00E25526" w:rsidRPr="00444E9A" w:rsidP="00C1734D" w14:paraId="1978276F" w14:textId="77777777">
            <w:pPr>
              <w:ind w:left="1418" w:right="-110"/>
              <w:rPr>
                <w:rFonts w:ascii="Arial" w:hAnsi="Arial"/>
                <w:sz w:val="20"/>
              </w:rPr>
            </w:pPr>
            <w:r w:rsidRPr="00444E9A">
              <w:rPr>
                <w:rFonts w:ascii="Arial" w:hAnsi="Arial"/>
                <w:b/>
                <w:bCs/>
                <w:color w:val="000000" w:themeColor="text1"/>
                <w:sz w:val="20"/>
              </w:rPr>
              <w:t>PDI Waivers</w:t>
            </w:r>
          </w:p>
        </w:tc>
        <w:tc>
          <w:tcPr>
            <w:tcW w:w="1346" w:type="dxa"/>
            <w:tcBorders>
              <w:top w:val="single" w:sz="4" w:space="0" w:color="auto"/>
              <w:bottom w:val="single" w:sz="4" w:space="0" w:color="auto"/>
            </w:tcBorders>
          </w:tcPr>
          <w:p w:rsidR="00E25526" w:rsidRPr="00444E9A" w:rsidP="00C1734D" w14:paraId="33CDDF6D" w14:textId="77777777">
            <w:pPr>
              <w:ind w:left="1418" w:right="-110"/>
              <w:rPr>
                <w:rFonts w:ascii="Arial" w:hAnsi="Arial"/>
                <w:b/>
                <w:bCs/>
                <w:color w:val="000000" w:themeColor="text1"/>
                <w:sz w:val="20"/>
              </w:rPr>
            </w:pPr>
          </w:p>
        </w:tc>
        <w:tc>
          <w:tcPr>
            <w:tcW w:w="1354" w:type="dxa"/>
            <w:tcBorders>
              <w:top w:val="single" w:sz="4" w:space="0" w:color="auto"/>
              <w:bottom w:val="nil"/>
              <w:right w:val="single" w:sz="4" w:space="0" w:color="auto"/>
            </w:tcBorders>
          </w:tcPr>
          <w:p w:rsidR="00E25526" w:rsidRPr="00444E9A" w:rsidP="00C1734D" w14:paraId="596874CF" w14:textId="77777777">
            <w:pPr>
              <w:ind w:left="1418" w:right="-110"/>
              <w:rPr>
                <w:rFonts w:ascii="Arial" w:hAnsi="Arial"/>
                <w:b/>
                <w:bCs/>
                <w:color w:val="000000" w:themeColor="text1"/>
                <w:sz w:val="20"/>
              </w:rPr>
            </w:pPr>
          </w:p>
        </w:tc>
      </w:tr>
      <w:tr w14:paraId="780AEC15" w14:textId="77777777" w:rsidTr="00A2739A">
        <w:tblPrEx>
          <w:tblW w:w="14130" w:type="dxa"/>
          <w:tblInd w:w="-450" w:type="dxa"/>
          <w:tblLayout w:type="fixed"/>
          <w:tblLook w:val="04A0"/>
        </w:tblPrEx>
        <w:trPr>
          <w:trHeight w:val="254"/>
        </w:trPr>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65DD" w:rsidRPr="00444E9A" w:rsidP="003365DD" w14:paraId="1EEEAEFD" w14:textId="77777777">
            <w:pPr>
              <w:ind w:right="-136"/>
              <w:rPr>
                <w:rFonts w:ascii="Arial" w:hAnsi="Arial"/>
                <w:color w:val="000000" w:themeColor="text1"/>
                <w:sz w:val="20"/>
              </w:rPr>
            </w:pPr>
            <w:r w:rsidRPr="00444E9A">
              <w:rPr>
                <w:rFonts w:ascii="Arial" w:hAnsi="Arial"/>
                <w:color w:val="000000" w:themeColor="text1"/>
                <w:sz w:val="20"/>
              </w:rPr>
              <w:t>Freight Rail</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3365DD" w:rsidRPr="00444E9A" w:rsidP="003365DD" w14:paraId="45BBE3DF" w14:textId="77777777">
            <w:pPr>
              <w:ind w:right="-110"/>
              <w:rPr>
                <w:rFonts w:ascii="Arial" w:hAnsi="Arial"/>
                <w:color w:val="000000" w:themeColor="text1"/>
                <w:sz w:val="20"/>
              </w:rPr>
            </w:pPr>
            <w:r w:rsidRPr="00444E9A">
              <w:rPr>
                <w:rFonts w:ascii="Arial" w:hAnsi="Arial"/>
                <w:sz w:val="20"/>
              </w:rPr>
              <w:t>SCs</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365DD" w:rsidRPr="00444E9A" w:rsidP="003365DD" w14:paraId="5421B22F" w14:textId="77777777">
            <w:pPr>
              <w:jc w:val="center"/>
              <w:rPr>
                <w:rFonts w:ascii="Arial" w:hAnsi="Arial"/>
                <w:color w:val="000000" w:themeColor="text1"/>
                <w:sz w:val="20"/>
              </w:rPr>
            </w:pPr>
            <w:r w:rsidRPr="00444E9A">
              <w:rPr>
                <w:rFonts w:ascii="Arial" w:hAnsi="Arial"/>
                <w:color w:val="000000" w:themeColor="text1"/>
                <w:sz w:val="20"/>
              </w:rPr>
              <w:t>4.13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3365DD" w:rsidRPr="00444E9A" w:rsidP="003365DD" w14:paraId="2BBD9C8D" w14:textId="77777777">
            <w:pPr>
              <w:jc w:val="right"/>
              <w:rPr>
                <w:rFonts w:ascii="Arial" w:hAnsi="Arial"/>
                <w:color w:val="000000" w:themeColor="text1"/>
                <w:sz w:val="20"/>
              </w:rPr>
            </w:pPr>
            <w:r w:rsidRPr="00444E9A">
              <w:rPr>
                <w:rFonts w:ascii="Arial" w:hAnsi="Arial"/>
                <w:sz w:val="20"/>
              </w:rPr>
              <w:t>1.1</w:t>
            </w:r>
          </w:p>
        </w:tc>
        <w:tc>
          <w:tcPr>
            <w:tcW w:w="1080" w:type="dxa"/>
            <w:tcBorders>
              <w:top w:val="single" w:sz="4" w:space="0" w:color="auto"/>
              <w:left w:val="nil"/>
              <w:bottom w:val="single" w:sz="4" w:space="0" w:color="auto"/>
              <w:right w:val="nil"/>
            </w:tcBorders>
            <w:shd w:val="clear" w:color="auto" w:fill="auto"/>
            <w:noWrap/>
            <w:vAlign w:val="bottom"/>
          </w:tcPr>
          <w:p w:rsidR="003365DD" w:rsidRPr="00444E9A" w:rsidP="003365DD" w14:paraId="242BA125" w14:textId="77777777">
            <w:pPr>
              <w:jc w:val="right"/>
              <w:rPr>
                <w:rFonts w:ascii="Arial" w:hAnsi="Arial"/>
                <w:color w:val="000000" w:themeColor="text1"/>
                <w:sz w:val="20"/>
              </w:rPr>
            </w:pPr>
            <w:r w:rsidRPr="00444E9A">
              <w:rPr>
                <w:rFonts w:ascii="Arial" w:hAnsi="Arial"/>
                <w:sz w:val="20"/>
              </w:rPr>
              <w:t>0.1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38D1CCB4" w14:textId="77777777">
            <w:pPr>
              <w:jc w:val="right"/>
              <w:rPr>
                <w:rFonts w:ascii="Arial" w:hAnsi="Arial"/>
                <w:color w:val="000000" w:themeColor="text1"/>
                <w:sz w:val="20"/>
              </w:rPr>
            </w:pPr>
            <w:r w:rsidRPr="00444E9A">
              <w:rPr>
                <w:rFonts w:ascii="Arial" w:hAnsi="Arial"/>
                <w:sz w:val="20"/>
              </w:rPr>
              <w:t>0.1</w:t>
            </w:r>
          </w:p>
        </w:tc>
        <w:tc>
          <w:tcPr>
            <w:tcW w:w="1170" w:type="dxa"/>
            <w:tcBorders>
              <w:top w:val="single" w:sz="4" w:space="0" w:color="auto"/>
              <w:left w:val="nil"/>
              <w:bottom w:val="single" w:sz="4" w:space="0" w:color="auto"/>
              <w:right w:val="nil"/>
            </w:tcBorders>
            <w:shd w:val="clear" w:color="auto" w:fill="auto"/>
            <w:noWrap/>
            <w:vAlign w:val="bottom"/>
          </w:tcPr>
          <w:p w:rsidR="003365DD" w:rsidRPr="00444E9A" w:rsidP="003365DD" w14:paraId="63A6DB12" w14:textId="77777777">
            <w:pPr>
              <w:jc w:val="right"/>
              <w:rPr>
                <w:rFonts w:ascii="Arial" w:hAnsi="Arial"/>
                <w:color w:val="000000" w:themeColor="text1"/>
                <w:sz w:val="20"/>
              </w:rPr>
            </w:pPr>
            <w:r w:rsidRPr="00444E9A">
              <w:rPr>
                <w:rFonts w:ascii="Arial" w:hAnsi="Arial"/>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132F3EE6" w14:textId="77777777">
            <w:pPr>
              <w:jc w:val="right"/>
              <w:rPr>
                <w:rFonts w:ascii="Arial" w:hAnsi="Arial"/>
                <w:color w:val="000000" w:themeColor="text1"/>
                <w:sz w:val="20"/>
              </w:rPr>
            </w:pPr>
            <w:r w:rsidRPr="00444E9A">
              <w:rPr>
                <w:rFonts w:ascii="Arial" w:hAnsi="Arial"/>
                <w:sz w:val="20"/>
              </w:rPr>
              <w:t>5</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365DD" w:rsidRPr="00444E9A" w:rsidP="003365DD" w14:paraId="168CAC9D" w14:textId="77777777">
            <w:pPr>
              <w:jc w:val="right"/>
              <w:rPr>
                <w:rFonts w:ascii="Arial" w:hAnsi="Arial"/>
                <w:color w:val="000000" w:themeColor="text1"/>
                <w:sz w:val="20"/>
              </w:rPr>
            </w:pPr>
            <w:r w:rsidRPr="00444E9A">
              <w:rPr>
                <w:rFonts w:ascii="Arial" w:hAnsi="Arial"/>
                <w:sz w:val="20"/>
              </w:rPr>
              <w:t>2</w:t>
            </w:r>
          </w:p>
        </w:tc>
        <w:tc>
          <w:tcPr>
            <w:tcW w:w="1346" w:type="dxa"/>
            <w:tcBorders>
              <w:top w:val="single" w:sz="4" w:space="0" w:color="auto"/>
              <w:left w:val="single" w:sz="4" w:space="0" w:color="auto"/>
              <w:bottom w:val="single" w:sz="4" w:space="0" w:color="auto"/>
              <w:right w:val="single" w:sz="4" w:space="0" w:color="auto"/>
            </w:tcBorders>
          </w:tcPr>
          <w:p w:rsidR="003365DD" w:rsidRPr="00444E9A" w:rsidP="003365DD" w14:paraId="53BC9296" w14:textId="3DE1A609">
            <w:pPr>
              <w:jc w:val="right"/>
              <w:rPr>
                <w:rFonts w:ascii="Arial" w:hAnsi="Arial"/>
                <w:sz w:val="20"/>
              </w:rPr>
            </w:pPr>
            <w:r w:rsidRPr="00444E9A">
              <w:rPr>
                <w:rFonts w:ascii="Arial" w:hAnsi="Arial"/>
                <w:sz w:val="20"/>
              </w:rPr>
              <w:t>$92.34</w:t>
            </w:r>
          </w:p>
        </w:tc>
        <w:tc>
          <w:tcPr>
            <w:tcW w:w="1354" w:type="dxa"/>
            <w:tcBorders>
              <w:top w:val="single" w:sz="4" w:space="0" w:color="auto"/>
              <w:left w:val="single" w:sz="4" w:space="0" w:color="auto"/>
              <w:bottom w:val="single" w:sz="4" w:space="0" w:color="auto"/>
              <w:right w:val="single" w:sz="4" w:space="0" w:color="auto"/>
            </w:tcBorders>
          </w:tcPr>
          <w:p w:rsidR="003365DD" w:rsidRPr="00444E9A" w:rsidP="003365DD" w14:paraId="598E95F7" w14:textId="14AB76FF">
            <w:pPr>
              <w:jc w:val="right"/>
              <w:rPr>
                <w:rFonts w:ascii="Arial" w:hAnsi="Arial"/>
                <w:sz w:val="20"/>
              </w:rPr>
            </w:pPr>
            <w:r w:rsidRPr="00444E9A">
              <w:rPr>
                <w:rFonts w:ascii="Arial" w:hAnsi="Arial"/>
                <w:sz w:val="20"/>
              </w:rPr>
              <w:t xml:space="preserve"> $148 </w:t>
            </w:r>
          </w:p>
        </w:tc>
      </w:tr>
      <w:tr w14:paraId="3B454A12" w14:textId="4E1C15CC" w:rsidTr="00351517">
        <w:tblPrEx>
          <w:tblW w:w="14130" w:type="dxa"/>
          <w:tblInd w:w="-450" w:type="dxa"/>
          <w:tblLayout w:type="fixed"/>
          <w:tblLook w:val="04A0"/>
        </w:tblPrEx>
        <w:trPr>
          <w:trHeight w:val="254"/>
        </w:trPr>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5DD" w:rsidRPr="00444E9A" w:rsidP="003365DD" w14:paraId="3BBC0C9B" w14:textId="77777777">
            <w:pPr>
              <w:ind w:right="-136"/>
              <w:rPr>
                <w:rFonts w:ascii="Arial" w:hAnsi="Arial"/>
                <w:color w:val="000000" w:themeColor="text1"/>
                <w:sz w:val="20"/>
              </w:rPr>
            </w:pPr>
            <w:r w:rsidRPr="00444E9A">
              <w:rPr>
                <w:rFonts w:ascii="Arial" w:hAnsi="Arial"/>
                <w:color w:val="000000" w:themeColor="text1"/>
                <w:sz w:val="20"/>
              </w:rPr>
              <w:t>FRSS</w:t>
            </w:r>
          </w:p>
        </w:tc>
        <w:tc>
          <w:tcPr>
            <w:tcW w:w="2200" w:type="dxa"/>
            <w:tcBorders>
              <w:top w:val="single" w:sz="4" w:space="0" w:color="auto"/>
              <w:left w:val="nil"/>
              <w:bottom w:val="single" w:sz="4" w:space="0" w:color="auto"/>
              <w:right w:val="single" w:sz="4" w:space="0" w:color="auto"/>
            </w:tcBorders>
            <w:shd w:val="clear" w:color="auto" w:fill="auto"/>
            <w:noWrap/>
            <w:vAlign w:val="bottom"/>
          </w:tcPr>
          <w:p w:rsidR="003365DD" w:rsidRPr="00444E9A" w:rsidP="003365DD" w14:paraId="383C74CB" w14:textId="77777777">
            <w:pPr>
              <w:ind w:right="-110"/>
              <w:rPr>
                <w:rFonts w:ascii="Arial" w:hAnsi="Arial"/>
                <w:color w:val="000000" w:themeColor="text1"/>
                <w:sz w:val="20"/>
              </w:rPr>
            </w:pPr>
            <w:r w:rsidRPr="00444E9A">
              <w:rPr>
                <w:rFonts w:ascii="Arial" w:hAnsi="Arial"/>
                <w:sz w:val="20"/>
              </w:rPr>
              <w:t>SCs</w:t>
            </w:r>
          </w:p>
        </w:tc>
        <w:tc>
          <w:tcPr>
            <w:tcW w:w="1080" w:type="dxa"/>
            <w:vMerge/>
            <w:tcBorders>
              <w:top w:val="single" w:sz="4" w:space="0" w:color="auto"/>
              <w:left w:val="single" w:sz="4" w:space="0" w:color="auto"/>
              <w:bottom w:val="single" w:sz="4" w:space="0" w:color="000000"/>
              <w:right w:val="single" w:sz="4" w:space="0" w:color="auto"/>
            </w:tcBorders>
            <w:vAlign w:val="center"/>
          </w:tcPr>
          <w:p w:rsidR="003365DD" w:rsidRPr="00444E9A" w:rsidP="003365DD" w14:paraId="02596B76" w14:textId="77777777">
            <w:pPr>
              <w:rPr>
                <w:rFonts w:ascii="Arial" w:hAnsi="Arial"/>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3B7C4DEE" w14:textId="77777777">
            <w:pPr>
              <w:jc w:val="right"/>
              <w:rPr>
                <w:rFonts w:ascii="Arial" w:hAnsi="Arial"/>
                <w:sz w:val="20"/>
              </w:rPr>
            </w:pPr>
            <w:r w:rsidRPr="00444E9A">
              <w:rPr>
                <w:rFonts w:ascii="Arial" w:hAnsi="Arial"/>
                <w:sz w:val="20"/>
              </w:rPr>
              <w:t>0.6</w:t>
            </w:r>
          </w:p>
        </w:tc>
        <w:tc>
          <w:tcPr>
            <w:tcW w:w="1080" w:type="dxa"/>
            <w:tcBorders>
              <w:top w:val="single" w:sz="4" w:space="0" w:color="auto"/>
              <w:left w:val="nil"/>
              <w:bottom w:val="single" w:sz="4" w:space="0" w:color="auto"/>
              <w:right w:val="nil"/>
            </w:tcBorders>
            <w:shd w:val="clear" w:color="auto" w:fill="auto"/>
            <w:noWrap/>
            <w:vAlign w:val="bottom"/>
          </w:tcPr>
          <w:p w:rsidR="003365DD" w:rsidRPr="00444E9A" w:rsidP="003365DD" w14:paraId="2AC688EB" w14:textId="1EE89B66">
            <w:pPr>
              <w:jc w:val="right"/>
              <w:rPr>
                <w:rFonts w:ascii="Arial" w:hAnsi="Arial"/>
                <w:sz w:val="20"/>
              </w:rPr>
            </w:pPr>
            <w:r w:rsidRPr="00444E9A">
              <w:rPr>
                <w:rFonts w:ascii="Arial" w:hAnsi="Arial"/>
                <w:sz w:val="20"/>
              </w:rPr>
              <w:t>0.05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1D7F679B" w14:textId="633BDFA8">
            <w:pPr>
              <w:jc w:val="right"/>
              <w:rPr>
                <w:rFonts w:ascii="Arial" w:hAnsi="Arial"/>
                <w:sz w:val="20"/>
              </w:rPr>
            </w:pPr>
            <w:r w:rsidRPr="00444E9A">
              <w:rPr>
                <w:rFonts w:ascii="Arial" w:hAnsi="Arial"/>
                <w:sz w:val="20"/>
              </w:rPr>
              <w:t>0.05</w:t>
            </w:r>
          </w:p>
        </w:tc>
        <w:tc>
          <w:tcPr>
            <w:tcW w:w="1170" w:type="dxa"/>
            <w:tcBorders>
              <w:top w:val="single" w:sz="4" w:space="0" w:color="auto"/>
              <w:left w:val="nil"/>
              <w:bottom w:val="single" w:sz="4" w:space="0" w:color="auto"/>
              <w:right w:val="nil"/>
            </w:tcBorders>
            <w:shd w:val="clear" w:color="auto" w:fill="auto"/>
            <w:noWrap/>
            <w:vAlign w:val="bottom"/>
          </w:tcPr>
          <w:p w:rsidR="003365DD" w:rsidRPr="00444E9A" w:rsidP="003365DD" w14:paraId="3BB65CAE" w14:textId="77777777">
            <w:pPr>
              <w:jc w:val="right"/>
              <w:rPr>
                <w:rFonts w:ascii="Arial" w:hAnsi="Arial"/>
                <w:sz w:val="20"/>
              </w:rPr>
            </w:pPr>
            <w:r w:rsidRPr="00444E9A">
              <w:rPr>
                <w:rFonts w:ascii="Arial" w:hAnsi="Arial"/>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5E0E61F7" w14:textId="77777777">
            <w:pPr>
              <w:jc w:val="right"/>
              <w:rPr>
                <w:rFonts w:ascii="Arial" w:hAnsi="Arial"/>
                <w:sz w:val="20"/>
              </w:rPr>
            </w:pPr>
            <w:r w:rsidRPr="00444E9A">
              <w:rPr>
                <w:rFonts w:ascii="Arial" w:hAnsi="Arial"/>
                <w:sz w:val="20"/>
              </w:rPr>
              <w:t>3</w:t>
            </w:r>
          </w:p>
        </w:tc>
        <w:tc>
          <w:tcPr>
            <w:tcW w:w="1260" w:type="dxa"/>
            <w:tcBorders>
              <w:top w:val="single" w:sz="4" w:space="0" w:color="auto"/>
              <w:left w:val="single" w:sz="4" w:space="0" w:color="auto"/>
              <w:bottom w:val="single" w:sz="4" w:space="0" w:color="auto"/>
            </w:tcBorders>
            <w:shd w:val="clear" w:color="auto" w:fill="auto"/>
            <w:noWrap/>
            <w:vAlign w:val="bottom"/>
          </w:tcPr>
          <w:p w:rsidR="003365DD" w:rsidRPr="00444E9A" w:rsidP="003365DD" w14:paraId="68D12A01" w14:textId="77777777">
            <w:pPr>
              <w:jc w:val="right"/>
              <w:rPr>
                <w:rFonts w:ascii="Arial" w:hAnsi="Arial"/>
                <w:sz w:val="20"/>
              </w:rPr>
            </w:pPr>
            <w:r w:rsidRPr="00444E9A">
              <w:rPr>
                <w:rFonts w:ascii="Arial" w:hAnsi="Arial"/>
                <w:sz w:val="20"/>
              </w:rPr>
              <w:t>1</w:t>
            </w:r>
          </w:p>
        </w:tc>
        <w:tc>
          <w:tcPr>
            <w:tcW w:w="1346" w:type="dxa"/>
            <w:tcBorders>
              <w:top w:val="single" w:sz="4" w:space="0" w:color="auto"/>
              <w:left w:val="single" w:sz="4" w:space="0" w:color="auto"/>
              <w:bottom w:val="single" w:sz="4" w:space="0" w:color="auto"/>
            </w:tcBorders>
          </w:tcPr>
          <w:p w:rsidR="003365DD" w:rsidRPr="00444E9A" w:rsidP="003365DD" w14:paraId="1920417C" w14:textId="1100D24E">
            <w:pPr>
              <w:jc w:val="right"/>
              <w:rPr>
                <w:rFonts w:ascii="Arial" w:hAnsi="Arial"/>
                <w:sz w:val="20"/>
              </w:rPr>
            </w:pPr>
            <w:r w:rsidRPr="00444E9A">
              <w:rPr>
                <w:rFonts w:ascii="Arial" w:hAnsi="Arial"/>
                <w:sz w:val="20"/>
              </w:rPr>
              <w:t>$76.35</w:t>
            </w:r>
          </w:p>
        </w:tc>
        <w:tc>
          <w:tcPr>
            <w:tcW w:w="1354" w:type="dxa"/>
            <w:tcBorders>
              <w:top w:val="single" w:sz="4" w:space="0" w:color="auto"/>
              <w:left w:val="single" w:sz="4" w:space="0" w:color="auto"/>
              <w:bottom w:val="single" w:sz="4" w:space="0" w:color="auto"/>
              <w:right w:val="single" w:sz="4" w:space="0" w:color="auto"/>
            </w:tcBorders>
          </w:tcPr>
          <w:p w:rsidR="003365DD" w:rsidRPr="00444E9A" w:rsidP="003365DD" w14:paraId="267D109F" w14:textId="6790C09E">
            <w:pPr>
              <w:jc w:val="right"/>
              <w:rPr>
                <w:rFonts w:ascii="Arial" w:hAnsi="Arial"/>
                <w:sz w:val="20"/>
              </w:rPr>
            </w:pPr>
            <w:r w:rsidRPr="00444E9A">
              <w:rPr>
                <w:rFonts w:ascii="Arial" w:hAnsi="Arial"/>
                <w:sz w:val="20"/>
              </w:rPr>
              <w:t xml:space="preserve"> $69 </w:t>
            </w:r>
          </w:p>
        </w:tc>
      </w:tr>
      <w:tr w14:paraId="1FBE2F79" w14:textId="26F3719D" w:rsidTr="00351517">
        <w:tblPrEx>
          <w:tblW w:w="14130" w:type="dxa"/>
          <w:tblInd w:w="-450" w:type="dxa"/>
          <w:tblLayout w:type="fixed"/>
          <w:tblLook w:val="04A0"/>
        </w:tblPrEx>
        <w:trPr>
          <w:trHeight w:val="254"/>
        </w:trPr>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65DD" w:rsidRPr="00444E9A" w:rsidP="003365DD" w14:paraId="6C3768FB" w14:textId="77777777">
            <w:pPr>
              <w:ind w:right="-136"/>
              <w:rPr>
                <w:rFonts w:ascii="Arial" w:hAnsi="Arial"/>
                <w:color w:val="000000" w:themeColor="text1"/>
                <w:sz w:val="20"/>
              </w:rPr>
            </w:pPr>
            <w:r w:rsidRPr="00444E9A">
              <w:rPr>
                <w:rFonts w:ascii="Arial" w:hAnsi="Arial"/>
                <w:color w:val="000000" w:themeColor="text1"/>
                <w:sz w:val="20"/>
              </w:rPr>
              <w:t>PTPR</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3365DD" w:rsidRPr="00444E9A" w:rsidP="003365DD" w14:paraId="24C35A39" w14:textId="77777777">
            <w:pPr>
              <w:ind w:right="-110"/>
              <w:rPr>
                <w:rFonts w:ascii="Arial" w:hAnsi="Arial"/>
                <w:color w:val="000000" w:themeColor="text1"/>
                <w:sz w:val="20"/>
              </w:rPr>
            </w:pPr>
            <w:r w:rsidRPr="00444E9A">
              <w:rPr>
                <w:rFonts w:ascii="Arial" w:hAnsi="Arial"/>
                <w:sz w:val="20"/>
              </w:rPr>
              <w:t>SCs</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3365DD" w:rsidRPr="00444E9A" w:rsidP="003365DD" w14:paraId="75690C0E" w14:textId="77777777">
            <w:pPr>
              <w:rPr>
                <w:rFonts w:ascii="Arial" w:hAnsi="Arial"/>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5A005CA3" w14:textId="77777777">
            <w:pPr>
              <w:jc w:val="right"/>
              <w:rPr>
                <w:rFonts w:ascii="Arial" w:hAnsi="Arial"/>
                <w:color w:val="000000" w:themeColor="text1"/>
                <w:sz w:val="20"/>
              </w:rPr>
            </w:pPr>
            <w:r w:rsidRPr="00444E9A">
              <w:rPr>
                <w:rFonts w:ascii="Arial" w:hAnsi="Arial"/>
                <w:sz w:val="20"/>
              </w:rPr>
              <w:t>0.3</w:t>
            </w:r>
          </w:p>
        </w:tc>
        <w:tc>
          <w:tcPr>
            <w:tcW w:w="1080" w:type="dxa"/>
            <w:tcBorders>
              <w:top w:val="single" w:sz="4" w:space="0" w:color="auto"/>
              <w:left w:val="nil"/>
              <w:bottom w:val="single" w:sz="4" w:space="0" w:color="auto"/>
              <w:right w:val="nil"/>
            </w:tcBorders>
            <w:shd w:val="clear" w:color="auto" w:fill="auto"/>
            <w:noWrap/>
            <w:vAlign w:val="bottom"/>
          </w:tcPr>
          <w:p w:rsidR="003365DD" w:rsidRPr="00444E9A" w:rsidP="003365DD" w14:paraId="5AEEB440" w14:textId="2B082D42">
            <w:pPr>
              <w:jc w:val="right"/>
              <w:rPr>
                <w:rFonts w:ascii="Arial" w:hAnsi="Arial"/>
                <w:color w:val="000000" w:themeColor="text1"/>
                <w:sz w:val="20"/>
              </w:rPr>
            </w:pPr>
            <w:r w:rsidRPr="00444E9A">
              <w:rPr>
                <w:rFonts w:ascii="Arial" w:hAnsi="Arial"/>
                <w:sz w:val="20"/>
              </w:rPr>
              <w:t>0.04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1285EFB1" w14:textId="0290310D">
            <w:pPr>
              <w:jc w:val="right"/>
              <w:rPr>
                <w:rFonts w:ascii="Arial" w:hAnsi="Arial"/>
                <w:color w:val="000000" w:themeColor="text1"/>
                <w:sz w:val="20"/>
              </w:rPr>
            </w:pPr>
            <w:r w:rsidRPr="00444E9A">
              <w:rPr>
                <w:rFonts w:ascii="Arial" w:hAnsi="Arial"/>
                <w:sz w:val="20"/>
              </w:rPr>
              <w:t>0.04</w:t>
            </w:r>
          </w:p>
        </w:tc>
        <w:tc>
          <w:tcPr>
            <w:tcW w:w="1170" w:type="dxa"/>
            <w:tcBorders>
              <w:top w:val="single" w:sz="4" w:space="0" w:color="auto"/>
              <w:left w:val="nil"/>
              <w:bottom w:val="single" w:sz="4" w:space="0" w:color="auto"/>
              <w:right w:val="nil"/>
            </w:tcBorders>
            <w:shd w:val="clear" w:color="auto" w:fill="auto"/>
            <w:noWrap/>
            <w:vAlign w:val="bottom"/>
          </w:tcPr>
          <w:p w:rsidR="003365DD" w:rsidRPr="00444E9A" w:rsidP="003365DD" w14:paraId="3749171E" w14:textId="7B1C9618">
            <w:pPr>
              <w:jc w:val="right"/>
              <w:rPr>
                <w:rFonts w:ascii="Arial" w:hAnsi="Arial"/>
                <w:color w:val="000000" w:themeColor="text1"/>
                <w:sz w:val="20"/>
              </w:rPr>
            </w:pPr>
            <w:r w:rsidRPr="00444E9A">
              <w:rPr>
                <w:rFonts w:ascii="Arial" w:hAnsi="Arial"/>
                <w:sz w:val="20"/>
              </w:rPr>
              <w:t>0.37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0A08AE1F" w14:textId="77777777">
            <w:pPr>
              <w:jc w:val="right"/>
              <w:rPr>
                <w:rFonts w:ascii="Arial" w:hAnsi="Arial"/>
                <w:color w:val="000000" w:themeColor="text1"/>
                <w:sz w:val="20"/>
              </w:rPr>
            </w:pPr>
            <w:r w:rsidRPr="00444E9A">
              <w:rPr>
                <w:rFonts w:ascii="Arial" w:hAnsi="Arial"/>
                <w:sz w:val="20"/>
              </w:rPr>
              <w:t>2</w:t>
            </w:r>
          </w:p>
        </w:tc>
        <w:tc>
          <w:tcPr>
            <w:tcW w:w="1260" w:type="dxa"/>
            <w:tcBorders>
              <w:top w:val="single" w:sz="4" w:space="0" w:color="auto"/>
              <w:left w:val="single" w:sz="4" w:space="0" w:color="auto"/>
              <w:bottom w:val="single" w:sz="4" w:space="0" w:color="auto"/>
            </w:tcBorders>
            <w:shd w:val="clear" w:color="auto" w:fill="auto"/>
            <w:noWrap/>
            <w:vAlign w:val="bottom"/>
          </w:tcPr>
          <w:p w:rsidR="003365DD" w:rsidRPr="00444E9A" w:rsidP="003365DD" w14:paraId="0A0C9509" w14:textId="77777777">
            <w:pPr>
              <w:jc w:val="right"/>
              <w:rPr>
                <w:rFonts w:ascii="Arial" w:hAnsi="Arial"/>
                <w:color w:val="000000" w:themeColor="text1"/>
                <w:sz w:val="20"/>
              </w:rPr>
            </w:pPr>
            <w:r w:rsidRPr="00444E9A">
              <w:rPr>
                <w:rFonts w:ascii="Arial" w:hAnsi="Arial"/>
                <w:sz w:val="20"/>
              </w:rPr>
              <w:t>1</w:t>
            </w:r>
          </w:p>
        </w:tc>
        <w:tc>
          <w:tcPr>
            <w:tcW w:w="1346" w:type="dxa"/>
            <w:tcBorders>
              <w:top w:val="single" w:sz="4" w:space="0" w:color="auto"/>
              <w:left w:val="single" w:sz="4" w:space="0" w:color="auto"/>
              <w:bottom w:val="single" w:sz="4" w:space="0" w:color="auto"/>
            </w:tcBorders>
          </w:tcPr>
          <w:p w:rsidR="003365DD" w:rsidRPr="00444E9A" w:rsidP="003365DD" w14:paraId="27B126FC" w14:textId="6D366BDF">
            <w:pPr>
              <w:jc w:val="right"/>
              <w:rPr>
                <w:rFonts w:ascii="Arial" w:hAnsi="Arial"/>
                <w:sz w:val="20"/>
              </w:rPr>
            </w:pPr>
            <w:r w:rsidRPr="00444E9A">
              <w:rPr>
                <w:rFonts w:ascii="Arial" w:hAnsi="Arial"/>
                <w:sz w:val="20"/>
              </w:rPr>
              <w:t>$88.41</w:t>
            </w:r>
          </w:p>
        </w:tc>
        <w:tc>
          <w:tcPr>
            <w:tcW w:w="1354" w:type="dxa"/>
            <w:tcBorders>
              <w:top w:val="single" w:sz="4" w:space="0" w:color="auto"/>
              <w:left w:val="single" w:sz="4" w:space="0" w:color="auto"/>
              <w:bottom w:val="single" w:sz="4" w:space="0" w:color="auto"/>
              <w:right w:val="single" w:sz="4" w:space="0" w:color="auto"/>
            </w:tcBorders>
          </w:tcPr>
          <w:p w:rsidR="003365DD" w:rsidRPr="00444E9A" w:rsidP="003365DD" w14:paraId="645A634F" w14:textId="5BD53DED">
            <w:pPr>
              <w:jc w:val="right"/>
              <w:rPr>
                <w:rFonts w:ascii="Arial" w:hAnsi="Arial"/>
                <w:sz w:val="20"/>
              </w:rPr>
            </w:pPr>
            <w:r w:rsidRPr="00444E9A">
              <w:rPr>
                <w:rFonts w:ascii="Arial" w:hAnsi="Arial"/>
                <w:sz w:val="20"/>
              </w:rPr>
              <w:t xml:space="preserve"> $45 </w:t>
            </w:r>
          </w:p>
        </w:tc>
      </w:tr>
      <w:tr w14:paraId="210159D0" w14:textId="7AA0AE47" w:rsidTr="00351517">
        <w:tblPrEx>
          <w:tblW w:w="14130" w:type="dxa"/>
          <w:tblInd w:w="-450" w:type="dxa"/>
          <w:tblLayout w:type="fixed"/>
          <w:tblLook w:val="04A0"/>
        </w:tblPrEx>
        <w:trPr>
          <w:trHeight w:val="254"/>
        </w:trPr>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65DD" w:rsidRPr="00444E9A" w:rsidP="003365DD" w14:paraId="5E2FE715" w14:textId="77777777">
            <w:pPr>
              <w:ind w:right="-136"/>
              <w:rPr>
                <w:rFonts w:ascii="Arial" w:hAnsi="Arial"/>
                <w:color w:val="000000" w:themeColor="text1"/>
                <w:sz w:val="20"/>
              </w:rPr>
            </w:pPr>
            <w:r w:rsidRPr="00444E9A">
              <w:rPr>
                <w:rFonts w:ascii="Arial" w:hAnsi="Arial"/>
                <w:color w:val="000000" w:themeColor="text1"/>
                <w:sz w:val="20"/>
              </w:rPr>
              <w:t xml:space="preserve">OTRB </w:t>
            </w:r>
          </w:p>
        </w:tc>
        <w:tc>
          <w:tcPr>
            <w:tcW w:w="2200" w:type="dxa"/>
            <w:tcBorders>
              <w:top w:val="nil"/>
              <w:left w:val="nil"/>
              <w:bottom w:val="single" w:sz="4" w:space="0" w:color="auto"/>
              <w:right w:val="single" w:sz="4" w:space="0" w:color="auto"/>
            </w:tcBorders>
            <w:shd w:val="clear" w:color="auto" w:fill="auto"/>
            <w:noWrap/>
            <w:vAlign w:val="bottom"/>
            <w:hideMark/>
          </w:tcPr>
          <w:p w:rsidR="003365DD" w:rsidRPr="00444E9A" w:rsidP="003365DD" w14:paraId="6EC0FE52" w14:textId="77777777">
            <w:pPr>
              <w:ind w:right="-110"/>
              <w:rPr>
                <w:rFonts w:ascii="Arial" w:hAnsi="Arial"/>
                <w:color w:val="000000" w:themeColor="text1"/>
                <w:sz w:val="20"/>
              </w:rPr>
            </w:pPr>
            <w:r w:rsidRPr="00444E9A">
              <w:rPr>
                <w:rFonts w:ascii="Arial" w:hAnsi="Arial"/>
                <w:sz w:val="20"/>
              </w:rPr>
              <w:t>SCs</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365DD" w:rsidRPr="00444E9A" w:rsidP="003365DD" w14:paraId="7CE98CFE" w14:textId="77777777">
            <w:pPr>
              <w:rPr>
                <w:rFonts w:ascii="Arial" w:hAnsi="Arial"/>
                <w:color w:val="000000" w:themeColor="text1"/>
                <w:sz w:val="20"/>
              </w:rPr>
            </w:pPr>
          </w:p>
        </w:tc>
        <w:tc>
          <w:tcPr>
            <w:tcW w:w="1080" w:type="dxa"/>
            <w:tcBorders>
              <w:top w:val="nil"/>
              <w:left w:val="nil"/>
              <w:bottom w:val="single" w:sz="4" w:space="0" w:color="auto"/>
              <w:right w:val="single" w:sz="4" w:space="0" w:color="auto"/>
            </w:tcBorders>
            <w:shd w:val="clear" w:color="auto" w:fill="auto"/>
            <w:noWrap/>
            <w:vAlign w:val="bottom"/>
          </w:tcPr>
          <w:p w:rsidR="003365DD" w:rsidRPr="00444E9A" w:rsidP="003365DD" w14:paraId="26D2DA32" w14:textId="77777777">
            <w:pPr>
              <w:jc w:val="right"/>
              <w:rPr>
                <w:rFonts w:ascii="Arial" w:hAnsi="Arial"/>
                <w:color w:val="000000" w:themeColor="text1"/>
                <w:sz w:val="20"/>
              </w:rPr>
            </w:pPr>
            <w:r w:rsidRPr="00444E9A">
              <w:rPr>
                <w:rFonts w:ascii="Arial" w:hAnsi="Arial"/>
                <w:sz w:val="20"/>
              </w:rPr>
              <w:t>0.4</w:t>
            </w:r>
          </w:p>
        </w:tc>
        <w:tc>
          <w:tcPr>
            <w:tcW w:w="1080" w:type="dxa"/>
            <w:tcBorders>
              <w:top w:val="nil"/>
              <w:left w:val="nil"/>
              <w:bottom w:val="single" w:sz="4" w:space="0" w:color="auto"/>
              <w:right w:val="nil"/>
            </w:tcBorders>
            <w:shd w:val="clear" w:color="auto" w:fill="auto"/>
            <w:noWrap/>
            <w:vAlign w:val="bottom"/>
          </w:tcPr>
          <w:p w:rsidR="003365DD" w:rsidRPr="00444E9A" w:rsidP="003365DD" w14:paraId="020975A0" w14:textId="32032DED">
            <w:pPr>
              <w:jc w:val="right"/>
              <w:rPr>
                <w:rFonts w:ascii="Arial" w:hAnsi="Arial"/>
                <w:color w:val="000000" w:themeColor="text1"/>
                <w:sz w:val="20"/>
              </w:rPr>
            </w:pPr>
            <w:r w:rsidRPr="00444E9A">
              <w:rPr>
                <w:rFonts w:ascii="Arial" w:hAnsi="Arial"/>
                <w:sz w:val="20"/>
              </w:rPr>
              <w:t>0.05</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3365DD" w:rsidRPr="00444E9A" w:rsidP="003365DD" w14:paraId="3FF23D36" w14:textId="77777777">
            <w:pPr>
              <w:jc w:val="right"/>
              <w:rPr>
                <w:rFonts w:ascii="Arial" w:hAnsi="Arial"/>
                <w:color w:val="000000" w:themeColor="text1"/>
                <w:sz w:val="20"/>
              </w:rPr>
            </w:pPr>
            <w:r w:rsidRPr="00444E9A">
              <w:rPr>
                <w:rFonts w:ascii="Arial" w:hAnsi="Arial"/>
                <w:sz w:val="20"/>
              </w:rPr>
              <w:t>0.1</w:t>
            </w:r>
          </w:p>
        </w:tc>
        <w:tc>
          <w:tcPr>
            <w:tcW w:w="1170" w:type="dxa"/>
            <w:tcBorders>
              <w:top w:val="nil"/>
              <w:left w:val="nil"/>
              <w:bottom w:val="single" w:sz="4" w:space="0" w:color="auto"/>
              <w:right w:val="nil"/>
            </w:tcBorders>
            <w:shd w:val="clear" w:color="auto" w:fill="auto"/>
            <w:noWrap/>
            <w:vAlign w:val="bottom"/>
          </w:tcPr>
          <w:p w:rsidR="003365DD" w:rsidRPr="00444E9A" w:rsidP="003365DD" w14:paraId="4B232267" w14:textId="23F8BDFE">
            <w:pPr>
              <w:jc w:val="right"/>
              <w:rPr>
                <w:rFonts w:ascii="Arial" w:hAnsi="Arial"/>
                <w:color w:val="000000" w:themeColor="text1"/>
                <w:sz w:val="20"/>
              </w:rPr>
            </w:pPr>
            <w:r w:rsidRPr="00444E9A">
              <w:rPr>
                <w:rFonts w:ascii="Arial" w:hAnsi="Arial"/>
                <w:sz w:val="20"/>
              </w:rPr>
              <w:t>0.47</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3365DD" w:rsidRPr="00444E9A" w:rsidP="003365DD" w14:paraId="1DEB9579" w14:textId="77777777">
            <w:pPr>
              <w:jc w:val="right"/>
              <w:rPr>
                <w:rFonts w:ascii="Arial" w:hAnsi="Arial"/>
                <w:color w:val="000000" w:themeColor="text1"/>
                <w:sz w:val="20"/>
              </w:rPr>
            </w:pPr>
            <w:r w:rsidRPr="00444E9A">
              <w:rPr>
                <w:rFonts w:ascii="Arial" w:hAnsi="Arial"/>
                <w:sz w:val="20"/>
              </w:rPr>
              <w:t>2</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365DD" w:rsidRPr="00444E9A" w:rsidP="003365DD" w14:paraId="71D20471" w14:textId="77777777">
            <w:pPr>
              <w:jc w:val="right"/>
              <w:rPr>
                <w:rFonts w:ascii="Arial" w:hAnsi="Arial"/>
                <w:color w:val="000000" w:themeColor="text1"/>
                <w:sz w:val="20"/>
              </w:rPr>
            </w:pPr>
            <w:r w:rsidRPr="00444E9A">
              <w:rPr>
                <w:rFonts w:ascii="Arial" w:hAnsi="Arial"/>
                <w:sz w:val="20"/>
              </w:rPr>
              <w:t>1</w:t>
            </w:r>
          </w:p>
        </w:tc>
        <w:tc>
          <w:tcPr>
            <w:tcW w:w="1346" w:type="dxa"/>
            <w:tcBorders>
              <w:top w:val="single" w:sz="4" w:space="0" w:color="auto"/>
              <w:left w:val="single" w:sz="4" w:space="0" w:color="auto"/>
              <w:bottom w:val="single" w:sz="4" w:space="0" w:color="auto"/>
              <w:right w:val="single" w:sz="4" w:space="0" w:color="auto"/>
            </w:tcBorders>
          </w:tcPr>
          <w:p w:rsidR="003365DD" w:rsidRPr="00444E9A" w:rsidP="003365DD" w14:paraId="4BDD930D" w14:textId="1EB586F0">
            <w:pPr>
              <w:jc w:val="right"/>
              <w:rPr>
                <w:rFonts w:ascii="Arial" w:hAnsi="Arial"/>
                <w:sz w:val="20"/>
              </w:rPr>
            </w:pPr>
            <w:r w:rsidRPr="00444E9A">
              <w:rPr>
                <w:rFonts w:ascii="Arial" w:hAnsi="Arial"/>
                <w:sz w:val="20"/>
              </w:rPr>
              <w:t>$69.63</w:t>
            </w:r>
          </w:p>
        </w:tc>
        <w:tc>
          <w:tcPr>
            <w:tcW w:w="1354" w:type="dxa"/>
            <w:tcBorders>
              <w:top w:val="single" w:sz="4" w:space="0" w:color="auto"/>
              <w:left w:val="single" w:sz="4" w:space="0" w:color="auto"/>
              <w:bottom w:val="single" w:sz="4" w:space="0" w:color="auto"/>
              <w:right w:val="single" w:sz="4" w:space="0" w:color="auto"/>
            </w:tcBorders>
          </w:tcPr>
          <w:p w:rsidR="003365DD" w:rsidRPr="00444E9A" w:rsidP="003365DD" w14:paraId="014ADF2B" w14:textId="350676DC">
            <w:pPr>
              <w:jc w:val="right"/>
              <w:rPr>
                <w:rFonts w:ascii="Arial" w:hAnsi="Arial"/>
                <w:sz w:val="20"/>
              </w:rPr>
            </w:pPr>
            <w:r w:rsidRPr="00444E9A">
              <w:rPr>
                <w:rFonts w:ascii="Arial" w:hAnsi="Arial"/>
                <w:sz w:val="20"/>
              </w:rPr>
              <w:t xml:space="preserve"> $45 </w:t>
            </w:r>
          </w:p>
        </w:tc>
      </w:tr>
      <w:tr w14:paraId="520C398E" w14:textId="30603463" w:rsidTr="00351517">
        <w:tblPrEx>
          <w:tblW w:w="14130" w:type="dxa"/>
          <w:tblInd w:w="-450" w:type="dxa"/>
          <w:tblLayout w:type="fixed"/>
          <w:tblLook w:val="04A0"/>
        </w:tblPrEx>
        <w:trPr>
          <w:trHeight w:val="299"/>
        </w:trPr>
        <w:tc>
          <w:tcPr>
            <w:tcW w:w="11430" w:type="dxa"/>
            <w:gridSpan w:val="9"/>
            <w:tcBorders>
              <w:top w:val="single" w:sz="4" w:space="0" w:color="auto"/>
              <w:left w:val="single" w:sz="4" w:space="0" w:color="auto"/>
              <w:bottom w:val="nil"/>
            </w:tcBorders>
            <w:shd w:val="clear" w:color="auto" w:fill="auto"/>
            <w:noWrap/>
            <w:vAlign w:val="bottom"/>
            <w:hideMark/>
          </w:tcPr>
          <w:p w:rsidR="00E25526" w:rsidRPr="00444E9A" w:rsidP="00C1734D" w14:paraId="4BDF56A8" w14:textId="77777777">
            <w:pPr>
              <w:ind w:left="1418" w:right="-110"/>
              <w:rPr>
                <w:rFonts w:ascii="Arial" w:hAnsi="Arial"/>
                <w:sz w:val="20"/>
              </w:rPr>
            </w:pPr>
            <w:r w:rsidRPr="00444E9A">
              <w:rPr>
                <w:rFonts w:ascii="Arial" w:hAnsi="Arial"/>
                <w:b/>
                <w:bCs/>
                <w:color w:val="000000" w:themeColor="text1"/>
                <w:sz w:val="20"/>
              </w:rPr>
              <w:t>Recordkeeping</w:t>
            </w:r>
          </w:p>
        </w:tc>
        <w:tc>
          <w:tcPr>
            <w:tcW w:w="1346" w:type="dxa"/>
            <w:tcBorders>
              <w:top w:val="single" w:sz="4" w:space="0" w:color="auto"/>
              <w:bottom w:val="single" w:sz="4" w:space="0" w:color="auto"/>
            </w:tcBorders>
          </w:tcPr>
          <w:p w:rsidR="00E25526" w:rsidRPr="00444E9A" w:rsidP="00C1734D" w14:paraId="77049911" w14:textId="77777777">
            <w:pPr>
              <w:ind w:left="1418" w:right="-110"/>
              <w:rPr>
                <w:rFonts w:ascii="Arial" w:hAnsi="Arial"/>
                <w:b/>
                <w:bCs/>
                <w:color w:val="000000" w:themeColor="text1"/>
                <w:sz w:val="20"/>
              </w:rPr>
            </w:pPr>
          </w:p>
        </w:tc>
        <w:tc>
          <w:tcPr>
            <w:tcW w:w="1354" w:type="dxa"/>
            <w:tcBorders>
              <w:top w:val="single" w:sz="4" w:space="0" w:color="auto"/>
              <w:bottom w:val="single" w:sz="4" w:space="0" w:color="auto"/>
              <w:right w:val="single" w:sz="4" w:space="0" w:color="auto"/>
            </w:tcBorders>
          </w:tcPr>
          <w:p w:rsidR="00E25526" w:rsidRPr="00444E9A" w:rsidP="00C1734D" w14:paraId="75C6838B" w14:textId="77777777">
            <w:pPr>
              <w:ind w:left="1418" w:right="-110"/>
              <w:rPr>
                <w:rFonts w:ascii="Arial" w:hAnsi="Arial"/>
                <w:b/>
                <w:bCs/>
                <w:color w:val="000000" w:themeColor="text1"/>
                <w:sz w:val="20"/>
              </w:rPr>
            </w:pPr>
          </w:p>
        </w:tc>
      </w:tr>
      <w:tr w14:paraId="29CED386" w14:textId="5BB15F12" w:rsidTr="00351517">
        <w:tblPrEx>
          <w:tblW w:w="14130" w:type="dxa"/>
          <w:tblInd w:w="-450" w:type="dxa"/>
          <w:tblLayout w:type="fixed"/>
          <w:tblLook w:val="04A0"/>
        </w:tblPrEx>
        <w:trPr>
          <w:trHeight w:val="254"/>
        </w:trPr>
        <w:tc>
          <w:tcPr>
            <w:tcW w:w="131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3365DD" w:rsidRPr="00444E9A" w:rsidP="003365DD" w14:paraId="3A08E436" w14:textId="77777777">
            <w:pPr>
              <w:ind w:right="-136"/>
              <w:rPr>
                <w:rFonts w:ascii="Arial" w:hAnsi="Arial"/>
                <w:color w:val="000000" w:themeColor="text1"/>
                <w:sz w:val="20"/>
              </w:rPr>
            </w:pPr>
            <w:r w:rsidRPr="00444E9A">
              <w:rPr>
                <w:rFonts w:ascii="Arial" w:hAnsi="Arial"/>
                <w:color w:val="000000" w:themeColor="text1"/>
                <w:sz w:val="20"/>
              </w:rPr>
              <w:t>Freight Rail</w:t>
            </w:r>
          </w:p>
        </w:tc>
        <w:tc>
          <w:tcPr>
            <w:tcW w:w="2200" w:type="dxa"/>
            <w:tcBorders>
              <w:top w:val="single" w:sz="4" w:space="0" w:color="auto"/>
              <w:left w:val="nil"/>
              <w:bottom w:val="nil"/>
              <w:right w:val="single" w:sz="4" w:space="0" w:color="auto"/>
            </w:tcBorders>
            <w:shd w:val="clear" w:color="auto" w:fill="auto"/>
            <w:noWrap/>
            <w:vAlign w:val="bottom"/>
            <w:hideMark/>
          </w:tcPr>
          <w:p w:rsidR="003365DD" w:rsidRPr="00444E9A" w:rsidP="003365DD" w14:paraId="0227CD7A" w14:textId="77777777">
            <w:pPr>
              <w:ind w:right="-110"/>
              <w:rPr>
                <w:rFonts w:ascii="Arial" w:hAnsi="Arial"/>
                <w:color w:val="000000" w:themeColor="text1"/>
                <w:sz w:val="20"/>
              </w:rPr>
            </w:pPr>
            <w:r w:rsidRPr="00444E9A">
              <w:rPr>
                <w:rFonts w:ascii="Arial" w:hAnsi="Arial"/>
                <w:sz w:val="20"/>
              </w:rPr>
              <w:t>SSEs</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365DD" w:rsidRPr="00444E9A" w:rsidP="003365DD" w14:paraId="4C027D56" w14:textId="77777777">
            <w:pPr>
              <w:jc w:val="center"/>
              <w:rPr>
                <w:rFonts w:ascii="Arial" w:hAnsi="Arial"/>
                <w:color w:val="000000" w:themeColor="text1"/>
                <w:sz w:val="20"/>
              </w:rPr>
            </w:pPr>
            <w:r w:rsidRPr="00444E9A">
              <w:rPr>
                <w:rFonts w:ascii="Arial" w:hAnsi="Arial"/>
                <w:color w:val="000000" w:themeColor="text1"/>
                <w:sz w:val="20"/>
              </w:rPr>
              <w:t>0.08</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3365DD" w:rsidRPr="00444E9A" w:rsidP="003365DD" w14:paraId="168F390B" w14:textId="77777777">
            <w:pPr>
              <w:jc w:val="right"/>
              <w:rPr>
                <w:rFonts w:ascii="Arial" w:hAnsi="Arial"/>
                <w:color w:val="000000" w:themeColor="text1"/>
                <w:sz w:val="20"/>
              </w:rPr>
            </w:pPr>
            <w:r w:rsidRPr="00444E9A">
              <w:rPr>
                <w:rFonts w:ascii="Arial" w:hAnsi="Arial"/>
                <w:sz w:val="20"/>
              </w:rPr>
              <w:t>122,236</w:t>
            </w:r>
          </w:p>
        </w:tc>
        <w:tc>
          <w:tcPr>
            <w:tcW w:w="1080" w:type="dxa"/>
            <w:tcBorders>
              <w:top w:val="single" w:sz="4" w:space="0" w:color="auto"/>
              <w:left w:val="nil"/>
              <w:bottom w:val="single" w:sz="4" w:space="0" w:color="auto"/>
              <w:right w:val="nil"/>
            </w:tcBorders>
            <w:shd w:val="clear" w:color="auto" w:fill="auto"/>
            <w:noWrap/>
            <w:vAlign w:val="bottom"/>
          </w:tcPr>
          <w:p w:rsidR="003365DD" w:rsidRPr="00444E9A" w:rsidP="003365DD" w14:paraId="0F8C1B96" w14:textId="77777777">
            <w:pPr>
              <w:jc w:val="right"/>
              <w:rPr>
                <w:rFonts w:ascii="Arial" w:hAnsi="Arial"/>
                <w:color w:val="000000" w:themeColor="text1"/>
                <w:sz w:val="20"/>
              </w:rPr>
            </w:pPr>
            <w:r w:rsidRPr="00444E9A">
              <w:rPr>
                <w:rFonts w:ascii="Arial" w:hAnsi="Arial"/>
                <w:sz w:val="20"/>
              </w:rPr>
              <w:t>4,889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0D0B1300" w14:textId="77777777">
            <w:pPr>
              <w:jc w:val="right"/>
              <w:rPr>
                <w:rFonts w:ascii="Arial" w:hAnsi="Arial"/>
                <w:color w:val="000000" w:themeColor="text1"/>
                <w:sz w:val="20"/>
              </w:rPr>
            </w:pPr>
            <w:r w:rsidRPr="00444E9A">
              <w:rPr>
                <w:rFonts w:ascii="Arial" w:hAnsi="Arial"/>
                <w:sz w:val="20"/>
              </w:rPr>
              <w:t>4,836</w:t>
            </w:r>
          </w:p>
        </w:tc>
        <w:tc>
          <w:tcPr>
            <w:tcW w:w="1170" w:type="dxa"/>
            <w:tcBorders>
              <w:top w:val="single" w:sz="4" w:space="0" w:color="auto"/>
              <w:left w:val="nil"/>
              <w:bottom w:val="single" w:sz="4" w:space="0" w:color="auto"/>
              <w:right w:val="nil"/>
            </w:tcBorders>
            <w:shd w:val="clear" w:color="auto" w:fill="auto"/>
            <w:noWrap/>
            <w:vAlign w:val="bottom"/>
          </w:tcPr>
          <w:p w:rsidR="003365DD" w:rsidRPr="00444E9A" w:rsidP="003365DD" w14:paraId="7CE4A1BE" w14:textId="77777777">
            <w:pPr>
              <w:jc w:val="right"/>
              <w:rPr>
                <w:rFonts w:ascii="Arial" w:hAnsi="Arial"/>
                <w:color w:val="000000" w:themeColor="text1"/>
                <w:sz w:val="20"/>
              </w:rPr>
            </w:pPr>
            <w:r w:rsidRPr="00444E9A">
              <w:rPr>
                <w:rFonts w:ascii="Arial" w:hAnsi="Arial"/>
                <w:sz w:val="20"/>
              </w:rPr>
              <w:t>131,961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6A1DDF72" w14:textId="77777777">
            <w:pPr>
              <w:jc w:val="right"/>
              <w:rPr>
                <w:rFonts w:ascii="Arial" w:hAnsi="Arial"/>
                <w:color w:val="000000" w:themeColor="text1"/>
                <w:sz w:val="20"/>
              </w:rPr>
            </w:pPr>
            <w:r w:rsidRPr="00444E9A">
              <w:rPr>
                <w:rFonts w:ascii="Arial" w:hAnsi="Arial"/>
                <w:sz w:val="20"/>
              </w:rPr>
              <w:t>10,997</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365DD" w:rsidRPr="00444E9A" w:rsidP="003365DD" w14:paraId="17120823" w14:textId="77777777">
            <w:pPr>
              <w:jc w:val="right"/>
              <w:rPr>
                <w:rFonts w:ascii="Arial" w:hAnsi="Arial"/>
                <w:color w:val="000000" w:themeColor="text1"/>
                <w:sz w:val="20"/>
              </w:rPr>
            </w:pPr>
            <w:r w:rsidRPr="00444E9A">
              <w:rPr>
                <w:rFonts w:ascii="Arial" w:hAnsi="Arial"/>
                <w:sz w:val="20"/>
              </w:rPr>
              <w:t>3,666</w:t>
            </w:r>
          </w:p>
        </w:tc>
        <w:tc>
          <w:tcPr>
            <w:tcW w:w="1346" w:type="dxa"/>
            <w:vMerge w:val="restart"/>
            <w:tcBorders>
              <w:top w:val="single" w:sz="4" w:space="0" w:color="auto"/>
              <w:left w:val="single" w:sz="4" w:space="0" w:color="auto"/>
              <w:right w:val="single" w:sz="4" w:space="0" w:color="auto"/>
            </w:tcBorders>
            <w:vAlign w:val="center"/>
          </w:tcPr>
          <w:p w:rsidR="003365DD" w:rsidRPr="00444E9A" w14:paraId="39E9FCB7" w14:textId="72E47BFC">
            <w:pPr>
              <w:jc w:val="right"/>
              <w:rPr>
                <w:rFonts w:ascii="Arial" w:hAnsi="Arial"/>
                <w:sz w:val="20"/>
              </w:rPr>
            </w:pPr>
            <w:r w:rsidRPr="00444E9A">
              <w:rPr>
                <w:rFonts w:ascii="Arial" w:hAnsi="Arial"/>
                <w:sz w:val="20"/>
              </w:rPr>
              <w:t>$38.20</w:t>
            </w:r>
          </w:p>
        </w:tc>
        <w:tc>
          <w:tcPr>
            <w:tcW w:w="1354" w:type="dxa"/>
            <w:tcBorders>
              <w:top w:val="single" w:sz="4" w:space="0" w:color="auto"/>
              <w:left w:val="single" w:sz="4" w:space="0" w:color="auto"/>
              <w:bottom w:val="single" w:sz="4" w:space="0" w:color="auto"/>
              <w:right w:val="single" w:sz="4" w:space="0" w:color="auto"/>
            </w:tcBorders>
          </w:tcPr>
          <w:p w:rsidR="003365DD" w:rsidRPr="00444E9A" w:rsidP="003365DD" w14:paraId="3E99299A" w14:textId="6E2C2E46">
            <w:pPr>
              <w:jc w:val="right"/>
              <w:rPr>
                <w:rFonts w:ascii="Arial" w:hAnsi="Arial"/>
                <w:sz w:val="20"/>
              </w:rPr>
            </w:pPr>
            <w:r w:rsidRPr="00444E9A">
              <w:rPr>
                <w:rFonts w:ascii="Arial" w:hAnsi="Arial"/>
                <w:sz w:val="20"/>
              </w:rPr>
              <w:t xml:space="preserve"> $140,019 </w:t>
            </w:r>
          </w:p>
        </w:tc>
      </w:tr>
      <w:tr w14:paraId="3D1EA426" w14:textId="14DDE0A6" w:rsidTr="00F67B8D">
        <w:tblPrEx>
          <w:tblW w:w="14130" w:type="dxa"/>
          <w:tblInd w:w="-450" w:type="dxa"/>
          <w:tblLayout w:type="fixed"/>
          <w:tblLook w:val="04A0"/>
        </w:tblPrEx>
        <w:trPr>
          <w:trHeight w:val="254"/>
        </w:trPr>
        <w:tc>
          <w:tcPr>
            <w:tcW w:w="1310" w:type="dxa"/>
            <w:vMerge/>
            <w:tcBorders>
              <w:top w:val="single" w:sz="4" w:space="0" w:color="auto"/>
              <w:left w:val="single" w:sz="4" w:space="0" w:color="auto"/>
              <w:bottom w:val="nil"/>
              <w:right w:val="single" w:sz="4" w:space="0" w:color="auto"/>
            </w:tcBorders>
            <w:vAlign w:val="center"/>
            <w:hideMark/>
          </w:tcPr>
          <w:p w:rsidR="003365DD" w:rsidRPr="00444E9A" w:rsidP="003365DD" w14:paraId="7E9586FB" w14:textId="77777777">
            <w:pPr>
              <w:ind w:right="-136"/>
              <w:rPr>
                <w:rFonts w:ascii="Arial" w:hAnsi="Arial"/>
                <w:color w:val="000000" w:themeColor="text1"/>
                <w:sz w:val="20"/>
              </w:rPr>
            </w:pPr>
          </w:p>
        </w:tc>
        <w:tc>
          <w:tcPr>
            <w:tcW w:w="2200" w:type="dxa"/>
            <w:tcBorders>
              <w:top w:val="nil"/>
              <w:left w:val="nil"/>
              <w:bottom w:val="nil"/>
              <w:right w:val="single" w:sz="4" w:space="0" w:color="auto"/>
            </w:tcBorders>
            <w:shd w:val="clear" w:color="auto" w:fill="auto"/>
            <w:noWrap/>
            <w:vAlign w:val="bottom"/>
            <w:hideMark/>
          </w:tcPr>
          <w:p w:rsidR="003365DD" w:rsidRPr="00444E9A" w:rsidP="003365DD" w14:paraId="49683A14" w14:textId="77777777">
            <w:pPr>
              <w:ind w:right="-110"/>
              <w:rPr>
                <w:rFonts w:ascii="Arial" w:hAnsi="Arial"/>
                <w:color w:val="000000" w:themeColor="text1"/>
                <w:sz w:val="20"/>
              </w:rPr>
            </w:pPr>
            <w:r w:rsidRPr="00444E9A">
              <w:rPr>
                <w:rFonts w:ascii="Arial" w:hAnsi="Arial"/>
                <w:sz w:val="20"/>
              </w:rPr>
              <w:t>SCs</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3365DD" w:rsidRPr="00444E9A" w:rsidP="003365DD" w14:paraId="3E88E483" w14:textId="77777777">
            <w:pPr>
              <w:rPr>
                <w:rFonts w:ascii="Arial" w:hAnsi="Arial"/>
                <w:color w:val="000000" w:themeColor="text1"/>
                <w:sz w:val="20"/>
              </w:rPr>
            </w:pPr>
          </w:p>
        </w:tc>
        <w:tc>
          <w:tcPr>
            <w:tcW w:w="1080" w:type="dxa"/>
            <w:tcBorders>
              <w:top w:val="single" w:sz="4" w:space="0" w:color="auto"/>
              <w:left w:val="nil"/>
              <w:bottom w:val="nil"/>
              <w:right w:val="single" w:sz="4" w:space="0" w:color="auto"/>
            </w:tcBorders>
            <w:shd w:val="clear" w:color="auto" w:fill="auto"/>
            <w:noWrap/>
            <w:vAlign w:val="bottom"/>
          </w:tcPr>
          <w:p w:rsidR="003365DD" w:rsidRPr="00444E9A" w:rsidP="003365DD" w14:paraId="24B347DD" w14:textId="77777777">
            <w:pPr>
              <w:jc w:val="right"/>
              <w:rPr>
                <w:rFonts w:ascii="Arial" w:hAnsi="Arial"/>
                <w:color w:val="000000" w:themeColor="text1"/>
                <w:sz w:val="20"/>
              </w:rPr>
            </w:pPr>
            <w:r w:rsidRPr="00444E9A">
              <w:rPr>
                <w:rFonts w:ascii="Arial" w:hAnsi="Arial"/>
                <w:sz w:val="20"/>
              </w:rPr>
              <w:t>897</w:t>
            </w:r>
          </w:p>
        </w:tc>
        <w:tc>
          <w:tcPr>
            <w:tcW w:w="1080" w:type="dxa"/>
            <w:tcBorders>
              <w:top w:val="single" w:sz="4" w:space="0" w:color="auto"/>
              <w:left w:val="nil"/>
              <w:bottom w:val="nil"/>
              <w:right w:val="nil"/>
            </w:tcBorders>
            <w:shd w:val="clear" w:color="auto" w:fill="auto"/>
            <w:noWrap/>
            <w:vAlign w:val="bottom"/>
          </w:tcPr>
          <w:p w:rsidR="003365DD" w:rsidRPr="00444E9A" w:rsidP="003365DD" w14:paraId="0CD8ADB3" w14:textId="77777777">
            <w:pPr>
              <w:jc w:val="right"/>
              <w:rPr>
                <w:rFonts w:ascii="Arial" w:hAnsi="Arial"/>
                <w:color w:val="000000" w:themeColor="text1"/>
                <w:sz w:val="20"/>
              </w:rPr>
            </w:pPr>
            <w:r w:rsidRPr="00444E9A">
              <w:rPr>
                <w:rFonts w:ascii="Arial" w:hAnsi="Arial"/>
                <w:sz w:val="20"/>
              </w:rPr>
              <w:t>44</w:t>
            </w:r>
          </w:p>
        </w:tc>
        <w:tc>
          <w:tcPr>
            <w:tcW w:w="1080" w:type="dxa"/>
            <w:tcBorders>
              <w:top w:val="single" w:sz="4" w:space="0" w:color="auto"/>
              <w:left w:val="single" w:sz="4" w:space="0" w:color="auto"/>
              <w:bottom w:val="nil"/>
              <w:right w:val="single" w:sz="4" w:space="0" w:color="auto"/>
            </w:tcBorders>
            <w:shd w:val="clear" w:color="auto" w:fill="auto"/>
            <w:noWrap/>
            <w:vAlign w:val="bottom"/>
          </w:tcPr>
          <w:p w:rsidR="003365DD" w:rsidRPr="00444E9A" w:rsidP="003365DD" w14:paraId="6F8C5948" w14:textId="77777777">
            <w:pPr>
              <w:jc w:val="right"/>
              <w:rPr>
                <w:rFonts w:ascii="Arial" w:hAnsi="Arial"/>
                <w:color w:val="000000" w:themeColor="text1"/>
                <w:sz w:val="20"/>
              </w:rPr>
            </w:pPr>
            <w:r w:rsidRPr="00444E9A">
              <w:rPr>
                <w:rFonts w:ascii="Arial" w:hAnsi="Arial"/>
                <w:sz w:val="20"/>
              </w:rPr>
              <w:t>44</w:t>
            </w:r>
          </w:p>
        </w:tc>
        <w:tc>
          <w:tcPr>
            <w:tcW w:w="1170" w:type="dxa"/>
            <w:tcBorders>
              <w:top w:val="single" w:sz="4" w:space="0" w:color="auto"/>
              <w:left w:val="nil"/>
              <w:bottom w:val="nil"/>
              <w:right w:val="nil"/>
            </w:tcBorders>
            <w:shd w:val="clear" w:color="auto" w:fill="auto"/>
            <w:noWrap/>
            <w:vAlign w:val="bottom"/>
          </w:tcPr>
          <w:p w:rsidR="003365DD" w:rsidRPr="00444E9A" w:rsidP="003365DD" w14:paraId="764A1444" w14:textId="77777777">
            <w:pPr>
              <w:jc w:val="right"/>
              <w:rPr>
                <w:rFonts w:ascii="Arial" w:hAnsi="Arial"/>
                <w:color w:val="000000" w:themeColor="text1"/>
                <w:sz w:val="20"/>
              </w:rPr>
            </w:pPr>
            <w:r w:rsidRPr="00444E9A">
              <w:rPr>
                <w:rFonts w:ascii="Arial" w:hAnsi="Arial"/>
                <w:sz w:val="20"/>
              </w:rPr>
              <w:t>984</w:t>
            </w:r>
          </w:p>
        </w:tc>
        <w:tc>
          <w:tcPr>
            <w:tcW w:w="1170" w:type="dxa"/>
            <w:tcBorders>
              <w:top w:val="single" w:sz="4" w:space="0" w:color="auto"/>
              <w:left w:val="single" w:sz="4" w:space="0" w:color="auto"/>
              <w:bottom w:val="nil"/>
              <w:right w:val="single" w:sz="4" w:space="0" w:color="auto"/>
            </w:tcBorders>
            <w:shd w:val="clear" w:color="auto" w:fill="auto"/>
            <w:noWrap/>
            <w:vAlign w:val="bottom"/>
          </w:tcPr>
          <w:p w:rsidR="003365DD" w:rsidRPr="00444E9A" w:rsidP="003365DD" w14:paraId="12F87150" w14:textId="77777777">
            <w:pPr>
              <w:jc w:val="right"/>
              <w:rPr>
                <w:rFonts w:ascii="Arial" w:hAnsi="Arial"/>
                <w:color w:val="000000" w:themeColor="text1"/>
                <w:sz w:val="20"/>
              </w:rPr>
            </w:pPr>
            <w:r w:rsidRPr="00444E9A">
              <w:rPr>
                <w:rFonts w:ascii="Arial" w:hAnsi="Arial"/>
                <w:sz w:val="20"/>
              </w:rPr>
              <w:t>82</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365DD" w:rsidRPr="00444E9A" w:rsidP="003365DD" w14:paraId="601FC03C" w14:textId="77777777">
            <w:pPr>
              <w:jc w:val="right"/>
              <w:rPr>
                <w:rFonts w:ascii="Arial" w:hAnsi="Arial"/>
                <w:color w:val="000000" w:themeColor="text1"/>
                <w:sz w:val="20"/>
              </w:rPr>
            </w:pPr>
            <w:r w:rsidRPr="00444E9A">
              <w:rPr>
                <w:rFonts w:ascii="Arial" w:hAnsi="Arial"/>
                <w:sz w:val="20"/>
              </w:rPr>
              <w:t>27</w:t>
            </w:r>
          </w:p>
        </w:tc>
        <w:tc>
          <w:tcPr>
            <w:tcW w:w="1346" w:type="dxa"/>
            <w:vMerge/>
            <w:tcBorders>
              <w:left w:val="single" w:sz="4" w:space="0" w:color="auto"/>
              <w:bottom w:val="single" w:sz="4" w:space="0" w:color="auto"/>
              <w:right w:val="single" w:sz="4" w:space="0" w:color="auto"/>
            </w:tcBorders>
          </w:tcPr>
          <w:p w:rsidR="003365DD" w:rsidRPr="00444E9A" w:rsidP="003365DD" w14:paraId="2D071ACD" w14:textId="21B2EC56">
            <w:pPr>
              <w:jc w:val="right"/>
              <w:rPr>
                <w:rFonts w:ascii="Arial" w:hAnsi="Arial"/>
                <w:sz w:val="20"/>
              </w:rPr>
            </w:pPr>
          </w:p>
        </w:tc>
        <w:tc>
          <w:tcPr>
            <w:tcW w:w="1354" w:type="dxa"/>
            <w:tcBorders>
              <w:top w:val="single" w:sz="4" w:space="0" w:color="auto"/>
              <w:left w:val="single" w:sz="4" w:space="0" w:color="auto"/>
              <w:bottom w:val="single" w:sz="4" w:space="0" w:color="auto"/>
              <w:right w:val="single" w:sz="4" w:space="0" w:color="auto"/>
            </w:tcBorders>
          </w:tcPr>
          <w:p w:rsidR="003365DD" w:rsidRPr="00444E9A" w:rsidP="003365DD" w14:paraId="1F0002C5" w14:textId="5BCB4EAC">
            <w:pPr>
              <w:jc w:val="right"/>
              <w:rPr>
                <w:rFonts w:ascii="Arial" w:hAnsi="Arial"/>
                <w:sz w:val="20"/>
              </w:rPr>
            </w:pPr>
            <w:r w:rsidRPr="00444E9A">
              <w:rPr>
                <w:rFonts w:ascii="Arial" w:hAnsi="Arial"/>
                <w:sz w:val="20"/>
              </w:rPr>
              <w:t xml:space="preserve"> $1,044 </w:t>
            </w:r>
          </w:p>
        </w:tc>
      </w:tr>
      <w:tr w14:paraId="06ACAF9D" w14:textId="5E76F776" w:rsidTr="00351517">
        <w:tblPrEx>
          <w:tblW w:w="14130" w:type="dxa"/>
          <w:tblInd w:w="-450" w:type="dxa"/>
          <w:tblLayout w:type="fixed"/>
          <w:tblLook w:val="04A0"/>
        </w:tblPrEx>
        <w:trPr>
          <w:trHeight w:val="254"/>
        </w:trPr>
        <w:tc>
          <w:tcPr>
            <w:tcW w:w="1310"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3365DD" w:rsidRPr="00444E9A" w:rsidP="003365DD" w14:paraId="5B8C244A" w14:textId="77777777">
            <w:pPr>
              <w:ind w:right="-136"/>
              <w:rPr>
                <w:rFonts w:ascii="Arial" w:hAnsi="Arial"/>
                <w:color w:val="000000" w:themeColor="text1"/>
                <w:sz w:val="20"/>
              </w:rPr>
            </w:pPr>
            <w:r w:rsidRPr="00444E9A">
              <w:rPr>
                <w:rFonts w:ascii="Arial" w:hAnsi="Arial"/>
                <w:color w:val="000000" w:themeColor="text1"/>
                <w:sz w:val="20"/>
              </w:rPr>
              <w:t>FRSR</w:t>
            </w:r>
          </w:p>
        </w:tc>
        <w:tc>
          <w:tcPr>
            <w:tcW w:w="2200" w:type="dxa"/>
            <w:tcBorders>
              <w:top w:val="single" w:sz="4" w:space="0" w:color="auto"/>
              <w:left w:val="nil"/>
              <w:bottom w:val="nil"/>
              <w:right w:val="single" w:sz="4" w:space="0" w:color="auto"/>
            </w:tcBorders>
            <w:shd w:val="clear" w:color="auto" w:fill="auto"/>
            <w:noWrap/>
            <w:vAlign w:val="bottom"/>
          </w:tcPr>
          <w:p w:rsidR="003365DD" w:rsidRPr="00444E9A" w:rsidP="003365DD" w14:paraId="2A590699" w14:textId="77777777">
            <w:pPr>
              <w:ind w:right="-110"/>
              <w:rPr>
                <w:rFonts w:ascii="Arial" w:hAnsi="Arial"/>
                <w:color w:val="000000" w:themeColor="text1"/>
                <w:sz w:val="20"/>
              </w:rPr>
            </w:pPr>
            <w:r w:rsidRPr="00444E9A">
              <w:rPr>
                <w:rFonts w:ascii="Arial" w:hAnsi="Arial"/>
                <w:sz w:val="20"/>
              </w:rPr>
              <w:t>SCs</w:t>
            </w:r>
          </w:p>
        </w:tc>
        <w:tc>
          <w:tcPr>
            <w:tcW w:w="1080" w:type="dxa"/>
            <w:vMerge/>
            <w:tcBorders>
              <w:top w:val="single" w:sz="4" w:space="0" w:color="auto"/>
              <w:left w:val="single" w:sz="4" w:space="0" w:color="auto"/>
              <w:bottom w:val="single" w:sz="4" w:space="0" w:color="000000"/>
              <w:right w:val="single" w:sz="4" w:space="0" w:color="auto"/>
            </w:tcBorders>
            <w:vAlign w:val="center"/>
          </w:tcPr>
          <w:p w:rsidR="003365DD" w:rsidRPr="00444E9A" w:rsidP="003365DD" w14:paraId="345EDBA6" w14:textId="77777777">
            <w:pPr>
              <w:rPr>
                <w:rFonts w:ascii="Arial" w:hAnsi="Arial"/>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361D2E65" w14:textId="77777777">
            <w:pPr>
              <w:jc w:val="right"/>
              <w:rPr>
                <w:rFonts w:ascii="Arial" w:hAnsi="Arial"/>
                <w:sz w:val="20"/>
              </w:rPr>
            </w:pPr>
            <w:r w:rsidRPr="00444E9A">
              <w:rPr>
                <w:rFonts w:ascii="Arial" w:hAnsi="Arial"/>
                <w:sz w:val="20"/>
              </w:rPr>
              <w:t>496</w:t>
            </w:r>
          </w:p>
        </w:tc>
        <w:tc>
          <w:tcPr>
            <w:tcW w:w="1080" w:type="dxa"/>
            <w:tcBorders>
              <w:top w:val="single" w:sz="4" w:space="0" w:color="auto"/>
              <w:left w:val="nil"/>
              <w:bottom w:val="single" w:sz="4" w:space="0" w:color="auto"/>
              <w:right w:val="nil"/>
            </w:tcBorders>
            <w:shd w:val="clear" w:color="auto" w:fill="auto"/>
            <w:noWrap/>
            <w:vAlign w:val="bottom"/>
          </w:tcPr>
          <w:p w:rsidR="003365DD" w:rsidRPr="00444E9A" w:rsidP="003365DD" w14:paraId="1889B049" w14:textId="77777777">
            <w:pPr>
              <w:jc w:val="right"/>
              <w:rPr>
                <w:rFonts w:ascii="Arial" w:hAnsi="Arial"/>
                <w:sz w:val="20"/>
              </w:rPr>
            </w:pPr>
            <w:r w:rsidRPr="00444E9A">
              <w:rPr>
                <w:rFonts w:ascii="Arial" w:hAnsi="Arial"/>
                <w:sz w:val="20"/>
              </w:rPr>
              <w:t>42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753CA0F4" w14:textId="77777777">
            <w:pPr>
              <w:jc w:val="right"/>
              <w:rPr>
                <w:rFonts w:ascii="Arial" w:hAnsi="Arial"/>
                <w:sz w:val="20"/>
              </w:rPr>
            </w:pPr>
            <w:r w:rsidRPr="00444E9A">
              <w:rPr>
                <w:rFonts w:ascii="Arial" w:hAnsi="Arial"/>
                <w:sz w:val="20"/>
              </w:rPr>
              <w:t>43</w:t>
            </w:r>
          </w:p>
        </w:tc>
        <w:tc>
          <w:tcPr>
            <w:tcW w:w="1170" w:type="dxa"/>
            <w:tcBorders>
              <w:top w:val="single" w:sz="4" w:space="0" w:color="auto"/>
              <w:left w:val="nil"/>
              <w:bottom w:val="single" w:sz="4" w:space="0" w:color="auto"/>
              <w:right w:val="nil"/>
            </w:tcBorders>
            <w:shd w:val="clear" w:color="auto" w:fill="auto"/>
            <w:noWrap/>
            <w:vAlign w:val="bottom"/>
          </w:tcPr>
          <w:p w:rsidR="003365DD" w:rsidRPr="00444E9A" w:rsidP="003365DD" w14:paraId="31F7B8F0" w14:textId="77777777">
            <w:pPr>
              <w:jc w:val="right"/>
              <w:rPr>
                <w:rFonts w:ascii="Arial" w:hAnsi="Arial"/>
                <w:sz w:val="20"/>
              </w:rPr>
            </w:pPr>
            <w:r w:rsidRPr="00444E9A">
              <w:rPr>
                <w:rFonts w:ascii="Arial" w:hAnsi="Arial"/>
                <w:sz w:val="20"/>
              </w:rPr>
              <w:t>581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077E9241" w14:textId="77777777">
            <w:pPr>
              <w:jc w:val="right"/>
              <w:rPr>
                <w:rFonts w:ascii="Arial" w:hAnsi="Arial"/>
                <w:sz w:val="20"/>
              </w:rPr>
            </w:pPr>
            <w:r w:rsidRPr="00444E9A">
              <w:rPr>
                <w:rFonts w:ascii="Arial" w:hAnsi="Arial"/>
                <w:sz w:val="20"/>
              </w:rPr>
              <w:t>48</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365DD" w:rsidRPr="00444E9A" w:rsidP="003365DD" w14:paraId="1DBD6A88" w14:textId="77777777">
            <w:pPr>
              <w:jc w:val="right"/>
              <w:rPr>
                <w:rFonts w:ascii="Arial" w:hAnsi="Arial"/>
                <w:sz w:val="20"/>
              </w:rPr>
            </w:pPr>
            <w:r w:rsidRPr="00444E9A">
              <w:rPr>
                <w:rFonts w:ascii="Arial" w:hAnsi="Arial"/>
                <w:sz w:val="20"/>
              </w:rPr>
              <w:t>16</w:t>
            </w:r>
          </w:p>
        </w:tc>
        <w:tc>
          <w:tcPr>
            <w:tcW w:w="1346" w:type="dxa"/>
            <w:tcBorders>
              <w:top w:val="single" w:sz="4" w:space="0" w:color="auto"/>
              <w:left w:val="single" w:sz="4" w:space="0" w:color="auto"/>
              <w:bottom w:val="single" w:sz="4" w:space="0" w:color="auto"/>
              <w:right w:val="single" w:sz="4" w:space="0" w:color="auto"/>
            </w:tcBorders>
          </w:tcPr>
          <w:p w:rsidR="003365DD" w:rsidRPr="00444E9A" w:rsidP="003365DD" w14:paraId="6EB7B5BE" w14:textId="219600BE">
            <w:pPr>
              <w:jc w:val="right"/>
              <w:rPr>
                <w:rFonts w:ascii="Arial" w:hAnsi="Arial"/>
                <w:sz w:val="20"/>
              </w:rPr>
            </w:pPr>
            <w:r w:rsidRPr="00444E9A">
              <w:rPr>
                <w:rFonts w:ascii="Arial" w:hAnsi="Arial"/>
                <w:sz w:val="20"/>
              </w:rPr>
              <w:t>$30.42</w:t>
            </w:r>
          </w:p>
        </w:tc>
        <w:tc>
          <w:tcPr>
            <w:tcW w:w="1354" w:type="dxa"/>
            <w:tcBorders>
              <w:top w:val="single" w:sz="4" w:space="0" w:color="auto"/>
              <w:left w:val="single" w:sz="4" w:space="0" w:color="auto"/>
              <w:bottom w:val="single" w:sz="4" w:space="0" w:color="auto"/>
              <w:right w:val="single" w:sz="4" w:space="0" w:color="auto"/>
            </w:tcBorders>
          </w:tcPr>
          <w:p w:rsidR="003365DD" w:rsidRPr="00444E9A" w:rsidP="003365DD" w14:paraId="1500570A" w14:textId="12A72DDA">
            <w:pPr>
              <w:jc w:val="right"/>
              <w:rPr>
                <w:rFonts w:ascii="Arial" w:hAnsi="Arial"/>
                <w:sz w:val="20"/>
              </w:rPr>
            </w:pPr>
            <w:r w:rsidRPr="00444E9A">
              <w:rPr>
                <w:rFonts w:ascii="Arial" w:hAnsi="Arial"/>
                <w:sz w:val="20"/>
              </w:rPr>
              <w:t xml:space="preserve"> $491 </w:t>
            </w:r>
          </w:p>
        </w:tc>
      </w:tr>
      <w:tr w14:paraId="7B7E24F1" w14:textId="4917E70F" w:rsidTr="00351517">
        <w:tblPrEx>
          <w:tblW w:w="14130" w:type="dxa"/>
          <w:tblInd w:w="-450" w:type="dxa"/>
          <w:tblLayout w:type="fixed"/>
          <w:tblLook w:val="04A0"/>
        </w:tblPrEx>
        <w:trPr>
          <w:trHeight w:val="254"/>
        </w:trPr>
        <w:tc>
          <w:tcPr>
            <w:tcW w:w="13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365DD" w:rsidRPr="00444E9A" w:rsidP="003365DD" w14:paraId="29D9C319" w14:textId="77777777">
            <w:pPr>
              <w:ind w:right="-136"/>
              <w:rPr>
                <w:rFonts w:ascii="Arial" w:hAnsi="Arial"/>
                <w:color w:val="000000" w:themeColor="text1"/>
                <w:sz w:val="20"/>
              </w:rPr>
            </w:pPr>
            <w:r w:rsidRPr="00444E9A">
              <w:rPr>
                <w:rFonts w:ascii="Arial" w:hAnsi="Arial"/>
                <w:color w:val="000000" w:themeColor="text1"/>
                <w:sz w:val="20"/>
              </w:rPr>
              <w:t>PTPR</w:t>
            </w:r>
          </w:p>
        </w:tc>
        <w:tc>
          <w:tcPr>
            <w:tcW w:w="2200" w:type="dxa"/>
            <w:tcBorders>
              <w:top w:val="single" w:sz="4" w:space="0" w:color="auto"/>
              <w:left w:val="nil"/>
              <w:bottom w:val="nil"/>
              <w:right w:val="single" w:sz="4" w:space="0" w:color="auto"/>
            </w:tcBorders>
            <w:shd w:val="clear" w:color="auto" w:fill="auto"/>
            <w:noWrap/>
            <w:vAlign w:val="bottom"/>
            <w:hideMark/>
          </w:tcPr>
          <w:p w:rsidR="003365DD" w:rsidRPr="00444E9A" w:rsidP="003365DD" w14:paraId="221E5E3D" w14:textId="77777777">
            <w:pPr>
              <w:ind w:right="-110"/>
              <w:rPr>
                <w:rFonts w:ascii="Arial" w:hAnsi="Arial"/>
                <w:color w:val="000000" w:themeColor="text1"/>
                <w:sz w:val="20"/>
              </w:rPr>
            </w:pPr>
            <w:r w:rsidRPr="00444E9A">
              <w:rPr>
                <w:rFonts w:ascii="Arial" w:hAnsi="Arial"/>
                <w:sz w:val="20"/>
              </w:rPr>
              <w:t>SSEs</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3365DD" w:rsidRPr="00444E9A" w:rsidP="003365DD" w14:paraId="021220EE" w14:textId="77777777">
            <w:pPr>
              <w:rPr>
                <w:rFonts w:ascii="Arial" w:hAnsi="Arial"/>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0C860AFA" w14:textId="77777777">
            <w:pPr>
              <w:jc w:val="right"/>
              <w:rPr>
                <w:rFonts w:ascii="Arial" w:hAnsi="Arial"/>
                <w:color w:val="000000" w:themeColor="text1"/>
                <w:sz w:val="20"/>
              </w:rPr>
            </w:pPr>
            <w:r w:rsidRPr="00444E9A">
              <w:rPr>
                <w:rFonts w:ascii="Arial" w:hAnsi="Arial"/>
                <w:sz w:val="20"/>
              </w:rPr>
              <w:t>179,337</w:t>
            </w:r>
          </w:p>
        </w:tc>
        <w:tc>
          <w:tcPr>
            <w:tcW w:w="1080" w:type="dxa"/>
            <w:tcBorders>
              <w:top w:val="single" w:sz="4" w:space="0" w:color="auto"/>
              <w:left w:val="nil"/>
              <w:bottom w:val="single" w:sz="4" w:space="0" w:color="auto"/>
              <w:right w:val="nil"/>
            </w:tcBorders>
            <w:shd w:val="clear" w:color="auto" w:fill="auto"/>
            <w:noWrap/>
            <w:vAlign w:val="bottom"/>
          </w:tcPr>
          <w:p w:rsidR="003365DD" w:rsidRPr="00444E9A" w:rsidP="003365DD" w14:paraId="0D5FDB5D" w14:textId="77777777">
            <w:pPr>
              <w:jc w:val="right"/>
              <w:rPr>
                <w:rFonts w:ascii="Arial" w:hAnsi="Arial"/>
                <w:color w:val="000000" w:themeColor="text1"/>
                <w:sz w:val="20"/>
              </w:rPr>
            </w:pPr>
            <w:r w:rsidRPr="00444E9A">
              <w:rPr>
                <w:rFonts w:ascii="Arial" w:hAnsi="Arial"/>
                <w:sz w:val="20"/>
              </w:rPr>
              <w:t>20,795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316F2E48" w14:textId="77777777">
            <w:pPr>
              <w:jc w:val="right"/>
              <w:rPr>
                <w:rFonts w:ascii="Arial" w:hAnsi="Arial"/>
                <w:color w:val="000000" w:themeColor="text1"/>
                <w:sz w:val="20"/>
              </w:rPr>
            </w:pPr>
            <w:r w:rsidRPr="00444E9A">
              <w:rPr>
                <w:rFonts w:ascii="Arial" w:hAnsi="Arial"/>
                <w:sz w:val="20"/>
              </w:rPr>
              <w:t>20,856</w:t>
            </w:r>
          </w:p>
        </w:tc>
        <w:tc>
          <w:tcPr>
            <w:tcW w:w="1170" w:type="dxa"/>
            <w:tcBorders>
              <w:top w:val="single" w:sz="4" w:space="0" w:color="auto"/>
              <w:left w:val="nil"/>
              <w:bottom w:val="single" w:sz="4" w:space="0" w:color="auto"/>
              <w:right w:val="nil"/>
            </w:tcBorders>
            <w:shd w:val="clear" w:color="auto" w:fill="auto"/>
            <w:noWrap/>
            <w:vAlign w:val="bottom"/>
          </w:tcPr>
          <w:p w:rsidR="003365DD" w:rsidRPr="00444E9A" w:rsidP="003365DD" w14:paraId="114F50E5" w14:textId="77777777">
            <w:pPr>
              <w:jc w:val="right"/>
              <w:rPr>
                <w:rFonts w:ascii="Arial" w:hAnsi="Arial"/>
                <w:color w:val="000000" w:themeColor="text1"/>
                <w:sz w:val="20"/>
              </w:rPr>
            </w:pPr>
            <w:r w:rsidRPr="00444E9A">
              <w:rPr>
                <w:rFonts w:ascii="Arial" w:hAnsi="Arial"/>
                <w:sz w:val="20"/>
              </w:rPr>
              <w:t>220,987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2ADF1D06" w14:textId="77777777">
            <w:pPr>
              <w:jc w:val="right"/>
              <w:rPr>
                <w:rFonts w:ascii="Arial" w:hAnsi="Arial"/>
                <w:color w:val="000000" w:themeColor="text1"/>
                <w:sz w:val="20"/>
              </w:rPr>
            </w:pPr>
            <w:r w:rsidRPr="00444E9A">
              <w:rPr>
                <w:rFonts w:ascii="Arial" w:hAnsi="Arial"/>
                <w:sz w:val="20"/>
              </w:rPr>
              <w:t>18,416</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365DD" w:rsidRPr="00444E9A" w:rsidP="003365DD" w14:paraId="4C69375F" w14:textId="77777777">
            <w:pPr>
              <w:jc w:val="right"/>
              <w:rPr>
                <w:rFonts w:ascii="Arial" w:hAnsi="Arial"/>
                <w:color w:val="000000" w:themeColor="text1"/>
                <w:sz w:val="20"/>
              </w:rPr>
            </w:pPr>
            <w:r w:rsidRPr="00444E9A">
              <w:rPr>
                <w:rFonts w:ascii="Arial" w:hAnsi="Arial"/>
                <w:sz w:val="20"/>
              </w:rPr>
              <w:t>6,139</w:t>
            </w:r>
          </w:p>
        </w:tc>
        <w:tc>
          <w:tcPr>
            <w:tcW w:w="1346" w:type="dxa"/>
            <w:vMerge w:val="restart"/>
            <w:tcBorders>
              <w:top w:val="single" w:sz="4" w:space="0" w:color="auto"/>
              <w:left w:val="single" w:sz="4" w:space="0" w:color="auto"/>
              <w:right w:val="single" w:sz="4" w:space="0" w:color="auto"/>
            </w:tcBorders>
            <w:vAlign w:val="center"/>
          </w:tcPr>
          <w:p w:rsidR="003365DD" w:rsidRPr="00444E9A" w14:paraId="39B5C382" w14:textId="67CF70C4">
            <w:pPr>
              <w:jc w:val="right"/>
              <w:rPr>
                <w:rFonts w:ascii="Arial" w:hAnsi="Arial"/>
                <w:sz w:val="20"/>
              </w:rPr>
            </w:pPr>
            <w:r w:rsidRPr="00444E9A">
              <w:rPr>
                <w:rFonts w:ascii="Arial" w:hAnsi="Arial"/>
                <w:sz w:val="20"/>
              </w:rPr>
              <w:t>$38.96</w:t>
            </w:r>
          </w:p>
        </w:tc>
        <w:tc>
          <w:tcPr>
            <w:tcW w:w="1354" w:type="dxa"/>
            <w:tcBorders>
              <w:top w:val="single" w:sz="4" w:space="0" w:color="auto"/>
              <w:left w:val="single" w:sz="4" w:space="0" w:color="auto"/>
              <w:bottom w:val="single" w:sz="4" w:space="0" w:color="auto"/>
              <w:right w:val="single" w:sz="4" w:space="0" w:color="auto"/>
            </w:tcBorders>
          </w:tcPr>
          <w:p w:rsidR="003365DD" w:rsidRPr="00444E9A" w:rsidP="003365DD" w14:paraId="35080EC7" w14:textId="5B646F68">
            <w:pPr>
              <w:jc w:val="right"/>
              <w:rPr>
                <w:rFonts w:ascii="Arial" w:hAnsi="Arial"/>
                <w:sz w:val="20"/>
              </w:rPr>
            </w:pPr>
            <w:r w:rsidRPr="00444E9A">
              <w:rPr>
                <w:rFonts w:ascii="Arial" w:hAnsi="Arial"/>
                <w:sz w:val="20"/>
              </w:rPr>
              <w:t xml:space="preserve"> $239,184 </w:t>
            </w:r>
          </w:p>
        </w:tc>
      </w:tr>
      <w:tr w14:paraId="5EDBF3B0" w14:textId="112BCA74" w:rsidTr="00F67B8D">
        <w:tblPrEx>
          <w:tblW w:w="14130" w:type="dxa"/>
          <w:tblInd w:w="-450" w:type="dxa"/>
          <w:tblLayout w:type="fixed"/>
          <w:tblLook w:val="04A0"/>
        </w:tblPrEx>
        <w:trPr>
          <w:trHeight w:val="254"/>
        </w:trPr>
        <w:tc>
          <w:tcPr>
            <w:tcW w:w="1310" w:type="dxa"/>
            <w:vMerge/>
            <w:tcBorders>
              <w:top w:val="single" w:sz="4" w:space="0" w:color="auto"/>
              <w:left w:val="single" w:sz="4" w:space="0" w:color="auto"/>
              <w:bottom w:val="single" w:sz="4" w:space="0" w:color="000000"/>
              <w:right w:val="single" w:sz="4" w:space="0" w:color="auto"/>
            </w:tcBorders>
            <w:vAlign w:val="center"/>
            <w:hideMark/>
          </w:tcPr>
          <w:p w:rsidR="003365DD" w:rsidRPr="00444E9A" w:rsidP="003365DD" w14:paraId="315C2996" w14:textId="77777777">
            <w:pPr>
              <w:ind w:right="-136"/>
              <w:rPr>
                <w:rFonts w:ascii="Arial" w:hAnsi="Arial"/>
                <w:color w:val="000000" w:themeColor="text1"/>
                <w:sz w:val="20"/>
              </w:rPr>
            </w:pPr>
          </w:p>
        </w:tc>
        <w:tc>
          <w:tcPr>
            <w:tcW w:w="2200" w:type="dxa"/>
            <w:tcBorders>
              <w:top w:val="nil"/>
              <w:left w:val="nil"/>
              <w:bottom w:val="single" w:sz="4" w:space="0" w:color="auto"/>
              <w:right w:val="single" w:sz="4" w:space="0" w:color="auto"/>
            </w:tcBorders>
            <w:shd w:val="clear" w:color="auto" w:fill="auto"/>
            <w:noWrap/>
            <w:vAlign w:val="bottom"/>
            <w:hideMark/>
          </w:tcPr>
          <w:p w:rsidR="003365DD" w:rsidRPr="00444E9A" w:rsidP="003365DD" w14:paraId="37B43908" w14:textId="77777777">
            <w:pPr>
              <w:ind w:right="-110"/>
              <w:rPr>
                <w:rFonts w:ascii="Arial" w:hAnsi="Arial"/>
                <w:color w:val="000000" w:themeColor="text1"/>
                <w:sz w:val="20"/>
              </w:rPr>
            </w:pPr>
            <w:r w:rsidRPr="00444E9A">
              <w:rPr>
                <w:rFonts w:ascii="Arial" w:hAnsi="Arial"/>
                <w:sz w:val="20"/>
              </w:rPr>
              <w:t>SCs</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3365DD" w:rsidRPr="00444E9A" w:rsidP="003365DD" w14:paraId="17FCC412" w14:textId="77777777">
            <w:pPr>
              <w:rPr>
                <w:rFonts w:ascii="Arial" w:hAnsi="Arial"/>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56FAAA0C" w14:textId="77777777">
            <w:pPr>
              <w:jc w:val="right"/>
              <w:rPr>
                <w:rFonts w:ascii="Arial" w:hAnsi="Arial"/>
                <w:color w:val="000000" w:themeColor="text1"/>
                <w:sz w:val="20"/>
              </w:rPr>
            </w:pPr>
            <w:r w:rsidRPr="00444E9A">
              <w:rPr>
                <w:rFonts w:ascii="Arial" w:hAnsi="Arial"/>
                <w:sz w:val="20"/>
              </w:rPr>
              <w:t>230</w:t>
            </w:r>
          </w:p>
        </w:tc>
        <w:tc>
          <w:tcPr>
            <w:tcW w:w="1080" w:type="dxa"/>
            <w:tcBorders>
              <w:top w:val="single" w:sz="4" w:space="0" w:color="auto"/>
              <w:left w:val="nil"/>
              <w:bottom w:val="single" w:sz="4" w:space="0" w:color="auto"/>
              <w:right w:val="nil"/>
            </w:tcBorders>
            <w:shd w:val="clear" w:color="auto" w:fill="auto"/>
            <w:noWrap/>
            <w:vAlign w:val="bottom"/>
          </w:tcPr>
          <w:p w:rsidR="003365DD" w:rsidRPr="00444E9A" w:rsidP="003365DD" w14:paraId="695A8172" w14:textId="77777777">
            <w:pPr>
              <w:jc w:val="right"/>
              <w:rPr>
                <w:rFonts w:ascii="Arial" w:hAnsi="Arial"/>
                <w:color w:val="000000" w:themeColor="text1"/>
                <w:sz w:val="20"/>
              </w:rPr>
            </w:pPr>
            <w:r w:rsidRPr="00444E9A">
              <w:rPr>
                <w:rFonts w:ascii="Arial" w:hAnsi="Arial"/>
                <w:sz w:val="20"/>
              </w:rPr>
              <w:t>30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5024F29E" w14:textId="77777777">
            <w:pPr>
              <w:jc w:val="right"/>
              <w:rPr>
                <w:rFonts w:ascii="Arial" w:hAnsi="Arial"/>
                <w:color w:val="000000" w:themeColor="text1"/>
                <w:sz w:val="20"/>
              </w:rPr>
            </w:pPr>
            <w:r w:rsidRPr="00444E9A">
              <w:rPr>
                <w:rFonts w:ascii="Arial" w:hAnsi="Arial"/>
                <w:sz w:val="20"/>
              </w:rPr>
              <w:t>31</w:t>
            </w:r>
          </w:p>
        </w:tc>
        <w:tc>
          <w:tcPr>
            <w:tcW w:w="1170" w:type="dxa"/>
            <w:tcBorders>
              <w:top w:val="single" w:sz="4" w:space="0" w:color="auto"/>
              <w:left w:val="nil"/>
              <w:bottom w:val="single" w:sz="4" w:space="0" w:color="auto"/>
              <w:right w:val="nil"/>
            </w:tcBorders>
            <w:shd w:val="clear" w:color="auto" w:fill="auto"/>
            <w:noWrap/>
            <w:vAlign w:val="bottom"/>
          </w:tcPr>
          <w:p w:rsidR="003365DD" w:rsidRPr="00444E9A" w:rsidP="003365DD" w14:paraId="347C6912" w14:textId="77777777">
            <w:pPr>
              <w:jc w:val="right"/>
              <w:rPr>
                <w:rFonts w:ascii="Arial" w:hAnsi="Arial"/>
                <w:color w:val="000000" w:themeColor="text1"/>
                <w:sz w:val="20"/>
              </w:rPr>
            </w:pPr>
            <w:r w:rsidRPr="00444E9A">
              <w:rPr>
                <w:rFonts w:ascii="Arial" w:hAnsi="Arial"/>
                <w:sz w:val="20"/>
              </w:rPr>
              <w:t>292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23D7B0EE" w14:textId="77777777">
            <w:pPr>
              <w:jc w:val="right"/>
              <w:rPr>
                <w:rFonts w:ascii="Arial" w:hAnsi="Arial"/>
                <w:color w:val="000000" w:themeColor="text1"/>
                <w:sz w:val="20"/>
              </w:rPr>
            </w:pPr>
            <w:r w:rsidRPr="00444E9A">
              <w:rPr>
                <w:rFonts w:ascii="Arial" w:hAnsi="Arial"/>
                <w:sz w:val="20"/>
              </w:rPr>
              <w:t>24</w:t>
            </w:r>
          </w:p>
        </w:tc>
        <w:tc>
          <w:tcPr>
            <w:tcW w:w="1260" w:type="dxa"/>
            <w:tcBorders>
              <w:top w:val="single" w:sz="4" w:space="0" w:color="auto"/>
              <w:left w:val="single" w:sz="4" w:space="0" w:color="auto"/>
              <w:bottom w:val="single" w:sz="4" w:space="0" w:color="auto"/>
            </w:tcBorders>
            <w:shd w:val="clear" w:color="auto" w:fill="auto"/>
            <w:noWrap/>
            <w:vAlign w:val="bottom"/>
          </w:tcPr>
          <w:p w:rsidR="003365DD" w:rsidRPr="00444E9A" w:rsidP="003365DD" w14:paraId="24AB68B0" w14:textId="77777777">
            <w:pPr>
              <w:jc w:val="right"/>
              <w:rPr>
                <w:rFonts w:ascii="Arial" w:hAnsi="Arial"/>
                <w:color w:val="000000" w:themeColor="text1"/>
                <w:sz w:val="20"/>
              </w:rPr>
            </w:pPr>
            <w:r w:rsidRPr="00444E9A">
              <w:rPr>
                <w:rFonts w:ascii="Arial" w:hAnsi="Arial"/>
                <w:sz w:val="20"/>
              </w:rPr>
              <w:t>8</w:t>
            </w:r>
          </w:p>
        </w:tc>
        <w:tc>
          <w:tcPr>
            <w:tcW w:w="1346" w:type="dxa"/>
            <w:vMerge/>
            <w:tcBorders>
              <w:left w:val="single" w:sz="4" w:space="0" w:color="auto"/>
              <w:bottom w:val="single" w:sz="4" w:space="0" w:color="auto"/>
              <w:right w:val="single" w:sz="4" w:space="0" w:color="auto"/>
            </w:tcBorders>
          </w:tcPr>
          <w:p w:rsidR="003365DD" w:rsidRPr="00444E9A" w:rsidP="003365DD" w14:paraId="3D2B1B9A" w14:textId="7A1AED2C">
            <w:pPr>
              <w:jc w:val="right"/>
              <w:rPr>
                <w:rFonts w:ascii="Arial" w:hAnsi="Arial"/>
                <w:sz w:val="20"/>
              </w:rPr>
            </w:pPr>
          </w:p>
        </w:tc>
        <w:tc>
          <w:tcPr>
            <w:tcW w:w="1354" w:type="dxa"/>
            <w:tcBorders>
              <w:top w:val="single" w:sz="4" w:space="0" w:color="auto"/>
              <w:left w:val="single" w:sz="4" w:space="0" w:color="auto"/>
              <w:bottom w:val="single" w:sz="4" w:space="0" w:color="auto"/>
              <w:right w:val="single" w:sz="4" w:space="0" w:color="auto"/>
            </w:tcBorders>
          </w:tcPr>
          <w:p w:rsidR="003365DD" w:rsidRPr="00444E9A" w:rsidP="003365DD" w14:paraId="580275AB" w14:textId="650647D6">
            <w:pPr>
              <w:jc w:val="right"/>
              <w:rPr>
                <w:rFonts w:ascii="Arial" w:hAnsi="Arial"/>
                <w:sz w:val="20"/>
              </w:rPr>
            </w:pPr>
            <w:r w:rsidRPr="00444E9A">
              <w:rPr>
                <w:rFonts w:ascii="Arial" w:hAnsi="Arial"/>
                <w:sz w:val="20"/>
              </w:rPr>
              <w:t xml:space="preserve"> $316 </w:t>
            </w:r>
          </w:p>
        </w:tc>
      </w:tr>
      <w:tr w14:paraId="6F09A793" w14:textId="7168FD6E" w:rsidTr="00351517">
        <w:tblPrEx>
          <w:tblW w:w="14130" w:type="dxa"/>
          <w:tblInd w:w="-450" w:type="dxa"/>
          <w:tblLayout w:type="fixed"/>
          <w:tblLook w:val="04A0"/>
        </w:tblPrEx>
        <w:trPr>
          <w:trHeight w:val="170"/>
        </w:trPr>
        <w:tc>
          <w:tcPr>
            <w:tcW w:w="1310" w:type="dxa"/>
            <w:tcBorders>
              <w:top w:val="nil"/>
              <w:left w:val="single" w:sz="4" w:space="0" w:color="auto"/>
              <w:bottom w:val="single" w:sz="4" w:space="0" w:color="auto"/>
              <w:right w:val="single" w:sz="4" w:space="0" w:color="auto"/>
            </w:tcBorders>
            <w:shd w:val="clear" w:color="auto" w:fill="auto"/>
            <w:noWrap/>
            <w:vAlign w:val="center"/>
            <w:hideMark/>
          </w:tcPr>
          <w:p w:rsidR="003365DD" w:rsidRPr="00444E9A" w:rsidP="003365DD" w14:paraId="37209947" w14:textId="77777777">
            <w:pPr>
              <w:ind w:right="-136"/>
              <w:rPr>
                <w:rFonts w:ascii="Arial" w:hAnsi="Arial"/>
                <w:color w:val="000000" w:themeColor="text1"/>
                <w:sz w:val="20"/>
              </w:rPr>
            </w:pPr>
            <w:r w:rsidRPr="00444E9A">
              <w:rPr>
                <w:rFonts w:ascii="Arial" w:hAnsi="Arial"/>
                <w:color w:val="000000" w:themeColor="text1"/>
                <w:sz w:val="20"/>
              </w:rPr>
              <w:t xml:space="preserve">OTRB </w:t>
            </w:r>
          </w:p>
        </w:tc>
        <w:tc>
          <w:tcPr>
            <w:tcW w:w="2200" w:type="dxa"/>
            <w:tcBorders>
              <w:top w:val="nil"/>
              <w:left w:val="nil"/>
              <w:bottom w:val="single" w:sz="4" w:space="0" w:color="auto"/>
              <w:right w:val="single" w:sz="4" w:space="0" w:color="auto"/>
            </w:tcBorders>
            <w:shd w:val="clear" w:color="auto" w:fill="auto"/>
            <w:noWrap/>
            <w:vAlign w:val="bottom"/>
            <w:hideMark/>
          </w:tcPr>
          <w:p w:rsidR="003365DD" w:rsidRPr="00444E9A" w:rsidP="003365DD" w14:paraId="78A519AC" w14:textId="77777777">
            <w:pPr>
              <w:ind w:right="-110"/>
              <w:rPr>
                <w:rFonts w:ascii="Arial" w:hAnsi="Arial"/>
                <w:color w:val="000000" w:themeColor="text1"/>
                <w:sz w:val="20"/>
              </w:rPr>
            </w:pPr>
            <w:r w:rsidRPr="00444E9A">
              <w:rPr>
                <w:rFonts w:ascii="Arial" w:hAnsi="Arial"/>
                <w:sz w:val="20"/>
              </w:rPr>
              <w:t>SCs</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365DD" w:rsidRPr="00444E9A" w:rsidP="003365DD" w14:paraId="70D6D65D" w14:textId="77777777">
            <w:pPr>
              <w:rPr>
                <w:rFonts w:ascii="Arial" w:hAnsi="Arial"/>
                <w:color w:val="000000" w:themeColor="text1"/>
                <w:sz w:val="20"/>
              </w:rPr>
            </w:pPr>
          </w:p>
        </w:tc>
        <w:tc>
          <w:tcPr>
            <w:tcW w:w="1080" w:type="dxa"/>
            <w:tcBorders>
              <w:top w:val="nil"/>
              <w:left w:val="nil"/>
              <w:bottom w:val="single" w:sz="4" w:space="0" w:color="auto"/>
              <w:right w:val="single" w:sz="4" w:space="0" w:color="auto"/>
            </w:tcBorders>
            <w:shd w:val="clear" w:color="auto" w:fill="auto"/>
            <w:noWrap/>
            <w:vAlign w:val="bottom"/>
          </w:tcPr>
          <w:p w:rsidR="003365DD" w:rsidRPr="00444E9A" w:rsidP="003365DD" w14:paraId="7CEAA9CA" w14:textId="77777777">
            <w:pPr>
              <w:jc w:val="right"/>
              <w:rPr>
                <w:rFonts w:ascii="Arial" w:hAnsi="Arial"/>
                <w:color w:val="000000" w:themeColor="text1"/>
                <w:sz w:val="20"/>
              </w:rPr>
            </w:pPr>
            <w:r w:rsidRPr="00444E9A">
              <w:rPr>
                <w:rFonts w:ascii="Arial" w:hAnsi="Arial"/>
                <w:sz w:val="20"/>
              </w:rPr>
              <w:t>444</w:t>
            </w:r>
          </w:p>
        </w:tc>
        <w:tc>
          <w:tcPr>
            <w:tcW w:w="1080" w:type="dxa"/>
            <w:tcBorders>
              <w:top w:val="nil"/>
              <w:left w:val="nil"/>
              <w:bottom w:val="single" w:sz="4" w:space="0" w:color="auto"/>
              <w:right w:val="nil"/>
            </w:tcBorders>
            <w:shd w:val="clear" w:color="auto" w:fill="auto"/>
            <w:noWrap/>
            <w:vAlign w:val="bottom"/>
          </w:tcPr>
          <w:p w:rsidR="003365DD" w:rsidRPr="00444E9A" w:rsidP="003365DD" w14:paraId="51809BE6" w14:textId="77777777">
            <w:pPr>
              <w:jc w:val="right"/>
              <w:rPr>
                <w:rFonts w:ascii="Arial" w:hAnsi="Arial"/>
                <w:color w:val="000000" w:themeColor="text1"/>
                <w:sz w:val="20"/>
              </w:rPr>
            </w:pPr>
            <w:r w:rsidRPr="00444E9A">
              <w:rPr>
                <w:rFonts w:ascii="Arial" w:hAnsi="Arial"/>
                <w:sz w:val="20"/>
              </w:rPr>
              <w:t>60</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3365DD" w:rsidRPr="00444E9A" w:rsidP="003365DD" w14:paraId="4DE9A796" w14:textId="77777777">
            <w:pPr>
              <w:jc w:val="right"/>
              <w:rPr>
                <w:rFonts w:ascii="Arial" w:hAnsi="Arial"/>
                <w:color w:val="000000" w:themeColor="text1"/>
                <w:sz w:val="20"/>
              </w:rPr>
            </w:pPr>
            <w:r w:rsidRPr="00444E9A">
              <w:rPr>
                <w:rFonts w:ascii="Arial" w:hAnsi="Arial"/>
                <w:sz w:val="20"/>
              </w:rPr>
              <w:t>61</w:t>
            </w:r>
          </w:p>
        </w:tc>
        <w:tc>
          <w:tcPr>
            <w:tcW w:w="1170" w:type="dxa"/>
            <w:tcBorders>
              <w:top w:val="nil"/>
              <w:left w:val="nil"/>
              <w:bottom w:val="single" w:sz="4" w:space="0" w:color="auto"/>
              <w:right w:val="nil"/>
            </w:tcBorders>
            <w:shd w:val="clear" w:color="auto" w:fill="auto"/>
            <w:noWrap/>
            <w:vAlign w:val="bottom"/>
          </w:tcPr>
          <w:p w:rsidR="003365DD" w:rsidRPr="00444E9A" w:rsidP="003365DD" w14:paraId="17CF07F3" w14:textId="77777777">
            <w:pPr>
              <w:jc w:val="right"/>
              <w:rPr>
                <w:rFonts w:ascii="Arial" w:hAnsi="Arial"/>
                <w:color w:val="000000" w:themeColor="text1"/>
                <w:sz w:val="20"/>
              </w:rPr>
            </w:pPr>
            <w:r w:rsidRPr="00444E9A">
              <w:rPr>
                <w:rFonts w:ascii="Arial" w:hAnsi="Arial"/>
                <w:sz w:val="20"/>
              </w:rPr>
              <w:t>564</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3365DD" w:rsidRPr="00444E9A" w:rsidP="003365DD" w14:paraId="7C70C2AD" w14:textId="77777777">
            <w:pPr>
              <w:jc w:val="right"/>
              <w:rPr>
                <w:rFonts w:ascii="Arial" w:hAnsi="Arial"/>
                <w:color w:val="000000" w:themeColor="text1"/>
                <w:sz w:val="20"/>
              </w:rPr>
            </w:pPr>
            <w:r w:rsidRPr="00444E9A">
              <w:rPr>
                <w:rFonts w:ascii="Arial" w:hAnsi="Arial"/>
                <w:sz w:val="20"/>
              </w:rPr>
              <w:t>47</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365DD" w:rsidRPr="00444E9A" w:rsidP="003365DD" w14:paraId="0CE9590B" w14:textId="77777777">
            <w:pPr>
              <w:jc w:val="right"/>
              <w:rPr>
                <w:rFonts w:ascii="Arial" w:hAnsi="Arial"/>
                <w:color w:val="000000" w:themeColor="text1"/>
                <w:sz w:val="20"/>
              </w:rPr>
            </w:pPr>
            <w:r w:rsidRPr="00444E9A">
              <w:rPr>
                <w:rFonts w:ascii="Arial" w:hAnsi="Arial"/>
                <w:sz w:val="20"/>
              </w:rPr>
              <w:t>16</w:t>
            </w:r>
          </w:p>
        </w:tc>
        <w:tc>
          <w:tcPr>
            <w:tcW w:w="1346" w:type="dxa"/>
            <w:tcBorders>
              <w:top w:val="single" w:sz="4" w:space="0" w:color="auto"/>
              <w:left w:val="single" w:sz="4" w:space="0" w:color="auto"/>
              <w:bottom w:val="single" w:sz="4" w:space="0" w:color="auto"/>
              <w:right w:val="single" w:sz="4" w:space="0" w:color="auto"/>
            </w:tcBorders>
          </w:tcPr>
          <w:p w:rsidR="003365DD" w:rsidRPr="00444E9A" w:rsidP="003365DD" w14:paraId="4B529B03" w14:textId="3CFEDBD2">
            <w:pPr>
              <w:jc w:val="right"/>
              <w:rPr>
                <w:rFonts w:ascii="Arial" w:hAnsi="Arial"/>
                <w:sz w:val="20"/>
              </w:rPr>
            </w:pPr>
            <w:r w:rsidRPr="00444E9A">
              <w:rPr>
                <w:rFonts w:ascii="Arial" w:hAnsi="Arial"/>
                <w:sz w:val="20"/>
              </w:rPr>
              <w:t>$27.87</w:t>
            </w:r>
          </w:p>
        </w:tc>
        <w:tc>
          <w:tcPr>
            <w:tcW w:w="1354" w:type="dxa"/>
            <w:tcBorders>
              <w:top w:val="single" w:sz="4" w:space="0" w:color="auto"/>
              <w:left w:val="single" w:sz="4" w:space="0" w:color="auto"/>
              <w:bottom w:val="single" w:sz="4" w:space="0" w:color="auto"/>
              <w:right w:val="single" w:sz="4" w:space="0" w:color="auto"/>
            </w:tcBorders>
          </w:tcPr>
          <w:p w:rsidR="003365DD" w:rsidRPr="00444E9A" w:rsidP="003365DD" w14:paraId="63CF5CC5" w14:textId="1843E387">
            <w:pPr>
              <w:jc w:val="right"/>
              <w:rPr>
                <w:rFonts w:ascii="Arial" w:hAnsi="Arial"/>
                <w:sz w:val="20"/>
              </w:rPr>
            </w:pPr>
            <w:r w:rsidRPr="00444E9A">
              <w:rPr>
                <w:rFonts w:ascii="Arial" w:hAnsi="Arial"/>
                <w:sz w:val="20"/>
              </w:rPr>
              <w:t xml:space="preserve"> $437 </w:t>
            </w:r>
          </w:p>
        </w:tc>
      </w:tr>
      <w:tr w14:paraId="1236D117" w14:textId="2526DC7E" w:rsidTr="00351517">
        <w:tblPrEx>
          <w:tblW w:w="14130" w:type="dxa"/>
          <w:tblInd w:w="-450" w:type="dxa"/>
          <w:tblLayout w:type="fixed"/>
          <w:tblLook w:val="04A0"/>
        </w:tblPrEx>
        <w:trPr>
          <w:trHeight w:val="367"/>
        </w:trPr>
        <w:tc>
          <w:tcPr>
            <w:tcW w:w="11430" w:type="dxa"/>
            <w:gridSpan w:val="9"/>
            <w:tcBorders>
              <w:top w:val="single" w:sz="4" w:space="0" w:color="auto"/>
              <w:left w:val="single" w:sz="4" w:space="0" w:color="auto"/>
              <w:bottom w:val="nil"/>
            </w:tcBorders>
            <w:shd w:val="clear" w:color="auto" w:fill="auto"/>
            <w:noWrap/>
            <w:vAlign w:val="center"/>
          </w:tcPr>
          <w:p w:rsidR="00E25526" w:rsidRPr="00444E9A" w:rsidP="00C1734D" w14:paraId="606EB586" w14:textId="77777777">
            <w:pPr>
              <w:ind w:left="1418"/>
              <w:rPr>
                <w:rFonts w:ascii="Arial" w:hAnsi="Arial"/>
                <w:sz w:val="20"/>
              </w:rPr>
            </w:pPr>
            <w:r w:rsidRPr="00444E9A">
              <w:rPr>
                <w:rFonts w:ascii="Arial" w:hAnsi="Arial"/>
                <w:b/>
                <w:bCs/>
                <w:sz w:val="20"/>
              </w:rPr>
              <w:t>Contact Information Updates</w:t>
            </w:r>
          </w:p>
        </w:tc>
        <w:tc>
          <w:tcPr>
            <w:tcW w:w="1346" w:type="dxa"/>
            <w:tcBorders>
              <w:top w:val="single" w:sz="4" w:space="0" w:color="auto"/>
              <w:bottom w:val="single" w:sz="4" w:space="0" w:color="auto"/>
            </w:tcBorders>
          </w:tcPr>
          <w:p w:rsidR="00E25526" w:rsidRPr="00444E9A" w:rsidP="00C1734D" w14:paraId="2B3F062A" w14:textId="77777777">
            <w:pPr>
              <w:ind w:left="1418"/>
              <w:rPr>
                <w:rFonts w:ascii="Arial" w:hAnsi="Arial"/>
                <w:b/>
                <w:bCs/>
                <w:sz w:val="20"/>
              </w:rPr>
            </w:pPr>
          </w:p>
        </w:tc>
        <w:tc>
          <w:tcPr>
            <w:tcW w:w="1354" w:type="dxa"/>
            <w:tcBorders>
              <w:top w:val="single" w:sz="4" w:space="0" w:color="auto"/>
              <w:bottom w:val="single" w:sz="4" w:space="0" w:color="auto"/>
              <w:right w:val="single" w:sz="4" w:space="0" w:color="auto"/>
            </w:tcBorders>
          </w:tcPr>
          <w:p w:rsidR="00E25526" w:rsidRPr="00444E9A" w:rsidP="00C1734D" w14:paraId="5EE588F7" w14:textId="77777777">
            <w:pPr>
              <w:ind w:left="1418"/>
              <w:rPr>
                <w:rFonts w:ascii="Arial" w:hAnsi="Arial"/>
                <w:b/>
                <w:bCs/>
                <w:sz w:val="20"/>
              </w:rPr>
            </w:pPr>
          </w:p>
        </w:tc>
      </w:tr>
      <w:tr w14:paraId="21804A24" w14:textId="26C4589A" w:rsidTr="00A2739A">
        <w:tblPrEx>
          <w:tblW w:w="14130" w:type="dxa"/>
          <w:tblInd w:w="-450" w:type="dxa"/>
          <w:tblLayout w:type="fixed"/>
          <w:tblLook w:val="04A0"/>
        </w:tblPrEx>
        <w:trPr>
          <w:trHeight w:val="254"/>
        </w:trPr>
        <w:tc>
          <w:tcPr>
            <w:tcW w:w="131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3365DD" w:rsidRPr="00444E9A" w:rsidP="003365DD" w14:paraId="5C00190D" w14:textId="77777777">
            <w:pPr>
              <w:ind w:right="-136"/>
              <w:rPr>
                <w:rFonts w:ascii="Arial" w:hAnsi="Arial"/>
                <w:color w:val="000000" w:themeColor="text1"/>
                <w:sz w:val="20"/>
              </w:rPr>
            </w:pPr>
            <w:r w:rsidRPr="00444E9A">
              <w:rPr>
                <w:rFonts w:ascii="Arial" w:hAnsi="Arial"/>
                <w:color w:val="000000" w:themeColor="text1"/>
                <w:sz w:val="20"/>
              </w:rPr>
              <w:t>Freight Rail</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3365DD" w:rsidRPr="00444E9A" w:rsidP="003365DD" w14:paraId="0ACDDC52" w14:textId="77777777">
            <w:pPr>
              <w:ind w:right="-110"/>
              <w:rPr>
                <w:rFonts w:ascii="Arial" w:hAnsi="Arial"/>
                <w:color w:val="000000" w:themeColor="text1"/>
                <w:sz w:val="20"/>
              </w:rPr>
            </w:pPr>
            <w:r w:rsidRPr="00444E9A">
              <w:rPr>
                <w:rFonts w:ascii="Arial" w:hAnsi="Arial"/>
                <w:sz w:val="20"/>
              </w:rPr>
              <w:t>SSEs</w:t>
            </w:r>
          </w:p>
        </w:tc>
        <w:tc>
          <w:tcPr>
            <w:tcW w:w="1080" w:type="dxa"/>
            <w:vMerge w:val="restart"/>
            <w:tcBorders>
              <w:top w:val="single" w:sz="4" w:space="0" w:color="auto"/>
              <w:left w:val="single" w:sz="4" w:space="0" w:color="auto"/>
              <w:right w:val="single" w:sz="4" w:space="0" w:color="auto"/>
            </w:tcBorders>
            <w:shd w:val="clear" w:color="auto" w:fill="auto"/>
            <w:noWrap/>
            <w:vAlign w:val="center"/>
            <w:hideMark/>
          </w:tcPr>
          <w:p w:rsidR="003365DD" w:rsidRPr="00444E9A" w:rsidP="003365DD" w14:paraId="1689EC0A" w14:textId="77777777">
            <w:pPr>
              <w:jc w:val="center"/>
              <w:rPr>
                <w:rFonts w:ascii="Arial" w:hAnsi="Arial"/>
                <w:color w:val="000000" w:themeColor="text1"/>
                <w:sz w:val="20"/>
              </w:rPr>
            </w:pPr>
            <w:r w:rsidRPr="00444E9A">
              <w:rPr>
                <w:rFonts w:ascii="Arial" w:hAnsi="Arial"/>
                <w:color w:val="000000" w:themeColor="text1"/>
                <w:sz w:val="20"/>
              </w:rPr>
              <w:t>0.09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44310297" w14:textId="77777777">
            <w:pPr>
              <w:jc w:val="right"/>
              <w:rPr>
                <w:rFonts w:ascii="Arial" w:hAnsi="Arial"/>
                <w:color w:val="000000" w:themeColor="text1"/>
                <w:sz w:val="20"/>
              </w:rPr>
            </w:pPr>
            <w:r w:rsidRPr="00444E9A">
              <w:rPr>
                <w:rFonts w:ascii="Arial" w:hAnsi="Arial"/>
                <w:sz w:val="20"/>
              </w:rPr>
              <w:t xml:space="preserve">12,369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273D3539" w14:textId="77777777">
            <w:pPr>
              <w:jc w:val="right"/>
              <w:rPr>
                <w:rFonts w:ascii="Arial" w:hAnsi="Arial"/>
                <w:color w:val="000000" w:themeColor="text1"/>
                <w:sz w:val="20"/>
              </w:rPr>
            </w:pPr>
            <w:r w:rsidRPr="00444E9A">
              <w:rPr>
                <w:rFonts w:ascii="Arial" w:hAnsi="Arial"/>
                <w:sz w:val="20"/>
              </w:rPr>
              <w:t>12,233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722F816E" w14:textId="77777777">
            <w:pPr>
              <w:jc w:val="right"/>
              <w:rPr>
                <w:rFonts w:ascii="Arial" w:hAnsi="Arial"/>
                <w:color w:val="000000" w:themeColor="text1"/>
                <w:sz w:val="20"/>
              </w:rPr>
            </w:pPr>
            <w:r w:rsidRPr="00444E9A">
              <w:rPr>
                <w:rFonts w:ascii="Arial" w:hAnsi="Arial"/>
                <w:sz w:val="20"/>
              </w:rPr>
              <w:t>12,098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23853BDE" w14:textId="77777777">
            <w:pPr>
              <w:jc w:val="right"/>
              <w:rPr>
                <w:rFonts w:ascii="Arial" w:hAnsi="Arial"/>
                <w:color w:val="000000" w:themeColor="text1"/>
                <w:sz w:val="20"/>
              </w:rPr>
            </w:pPr>
            <w:r w:rsidRPr="00444E9A">
              <w:rPr>
                <w:rFonts w:ascii="Arial" w:hAnsi="Arial"/>
                <w:sz w:val="20"/>
              </w:rPr>
              <w:t>36,700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4956847F" w14:textId="77777777">
            <w:pPr>
              <w:jc w:val="right"/>
              <w:rPr>
                <w:rFonts w:ascii="Arial" w:hAnsi="Arial"/>
                <w:color w:val="000000" w:themeColor="text1"/>
                <w:sz w:val="20"/>
              </w:rPr>
            </w:pPr>
            <w:r w:rsidRPr="00444E9A">
              <w:rPr>
                <w:rFonts w:ascii="Arial" w:hAnsi="Arial"/>
                <w:sz w:val="20"/>
              </w:rPr>
              <w:t>3,303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1725D59B" w14:textId="77777777">
            <w:pPr>
              <w:jc w:val="right"/>
              <w:rPr>
                <w:rFonts w:ascii="Arial" w:hAnsi="Arial"/>
                <w:color w:val="000000" w:themeColor="text1"/>
                <w:sz w:val="20"/>
              </w:rPr>
            </w:pPr>
            <w:r w:rsidRPr="00444E9A">
              <w:rPr>
                <w:rFonts w:ascii="Arial" w:hAnsi="Arial"/>
                <w:sz w:val="20"/>
              </w:rPr>
              <w:t>1,101</w:t>
            </w:r>
          </w:p>
        </w:tc>
        <w:tc>
          <w:tcPr>
            <w:tcW w:w="1346" w:type="dxa"/>
            <w:tcBorders>
              <w:top w:val="single" w:sz="4" w:space="0" w:color="auto"/>
              <w:left w:val="single" w:sz="4" w:space="0" w:color="auto"/>
              <w:bottom w:val="single" w:sz="4" w:space="0" w:color="auto"/>
              <w:right w:val="single" w:sz="4" w:space="0" w:color="auto"/>
            </w:tcBorders>
          </w:tcPr>
          <w:p w:rsidR="003365DD" w:rsidRPr="00444E9A" w:rsidP="003365DD" w14:paraId="3B33BCDF" w14:textId="77C4D35E">
            <w:pPr>
              <w:jc w:val="right"/>
              <w:rPr>
                <w:rFonts w:ascii="Arial" w:hAnsi="Arial"/>
                <w:sz w:val="20"/>
              </w:rPr>
            </w:pPr>
            <w:r w:rsidRPr="00444E9A">
              <w:rPr>
                <w:rFonts w:ascii="Arial" w:hAnsi="Arial"/>
                <w:sz w:val="20"/>
              </w:rPr>
              <w:t>$49.14</w:t>
            </w:r>
          </w:p>
        </w:tc>
        <w:tc>
          <w:tcPr>
            <w:tcW w:w="1354" w:type="dxa"/>
            <w:tcBorders>
              <w:top w:val="single" w:sz="4" w:space="0" w:color="auto"/>
              <w:left w:val="single" w:sz="4" w:space="0" w:color="auto"/>
              <w:bottom w:val="single" w:sz="4" w:space="0" w:color="auto"/>
              <w:right w:val="single" w:sz="4" w:space="0" w:color="auto"/>
            </w:tcBorders>
          </w:tcPr>
          <w:p w:rsidR="003365DD" w:rsidRPr="00444E9A" w:rsidP="003365DD" w14:paraId="5587E2DC" w14:textId="54EDC751">
            <w:pPr>
              <w:jc w:val="right"/>
              <w:rPr>
                <w:rFonts w:ascii="Arial" w:hAnsi="Arial"/>
                <w:sz w:val="20"/>
              </w:rPr>
            </w:pPr>
            <w:r w:rsidRPr="00444E9A">
              <w:rPr>
                <w:rFonts w:ascii="Arial" w:hAnsi="Arial"/>
                <w:sz w:val="20"/>
              </w:rPr>
              <w:t xml:space="preserve"> $54,103 </w:t>
            </w:r>
          </w:p>
        </w:tc>
      </w:tr>
      <w:tr w14:paraId="3981ABAE" w14:textId="591706BC" w:rsidTr="00A2739A">
        <w:tblPrEx>
          <w:tblW w:w="14130" w:type="dxa"/>
          <w:tblInd w:w="-450" w:type="dxa"/>
          <w:tblLayout w:type="fixed"/>
          <w:tblLook w:val="04A0"/>
        </w:tblPrEx>
        <w:trPr>
          <w:trHeight w:val="254"/>
        </w:trPr>
        <w:tc>
          <w:tcPr>
            <w:tcW w:w="1310" w:type="dxa"/>
            <w:vMerge/>
            <w:tcBorders>
              <w:top w:val="single" w:sz="4" w:space="0" w:color="auto"/>
              <w:left w:val="single" w:sz="4" w:space="0" w:color="auto"/>
              <w:bottom w:val="single" w:sz="4" w:space="0" w:color="000000"/>
              <w:right w:val="single" w:sz="4" w:space="0" w:color="auto"/>
            </w:tcBorders>
            <w:vAlign w:val="center"/>
            <w:hideMark/>
          </w:tcPr>
          <w:p w:rsidR="003365DD" w:rsidRPr="00444E9A" w:rsidP="003365DD" w14:paraId="51A90EB5" w14:textId="77777777">
            <w:pPr>
              <w:ind w:right="-136"/>
              <w:rPr>
                <w:rFonts w:ascii="Arial" w:hAnsi="Arial"/>
                <w:color w:val="000000" w:themeColor="text1"/>
                <w:sz w:val="20"/>
              </w:rPr>
            </w:pP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3365DD" w:rsidRPr="00444E9A" w:rsidP="003365DD" w14:paraId="5DA62878" w14:textId="77777777">
            <w:pPr>
              <w:ind w:right="-110"/>
              <w:rPr>
                <w:rFonts w:ascii="Arial" w:hAnsi="Arial"/>
                <w:color w:val="000000" w:themeColor="text1"/>
                <w:sz w:val="20"/>
              </w:rPr>
            </w:pPr>
            <w:r w:rsidRPr="00444E9A">
              <w:rPr>
                <w:rFonts w:ascii="Arial" w:hAnsi="Arial"/>
                <w:sz w:val="20"/>
              </w:rPr>
              <w:t>SCs</w:t>
            </w:r>
          </w:p>
        </w:tc>
        <w:tc>
          <w:tcPr>
            <w:tcW w:w="1080" w:type="dxa"/>
            <w:vMerge/>
            <w:tcBorders>
              <w:left w:val="single" w:sz="4" w:space="0" w:color="auto"/>
              <w:right w:val="single" w:sz="4" w:space="0" w:color="auto"/>
            </w:tcBorders>
            <w:vAlign w:val="center"/>
            <w:hideMark/>
          </w:tcPr>
          <w:p w:rsidR="003365DD" w:rsidRPr="00444E9A" w:rsidP="003365DD" w14:paraId="4A6B60F4" w14:textId="77777777">
            <w:pPr>
              <w:rPr>
                <w:rFonts w:ascii="Arial" w:hAnsi="Arial"/>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147356EC" w14:textId="77777777">
            <w:pPr>
              <w:jc w:val="right"/>
              <w:rPr>
                <w:rFonts w:ascii="Arial" w:hAnsi="Arial"/>
                <w:color w:val="000000" w:themeColor="text1"/>
                <w:sz w:val="20"/>
              </w:rPr>
            </w:pPr>
            <w:r w:rsidRPr="00444E9A">
              <w:rPr>
                <w:rFonts w:ascii="Arial" w:hAnsi="Arial"/>
                <w:sz w:val="20"/>
              </w:rPr>
              <w:t>91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27DA4CE4" w14:textId="77777777">
            <w:pPr>
              <w:jc w:val="right"/>
              <w:rPr>
                <w:rFonts w:ascii="Arial" w:hAnsi="Arial"/>
                <w:color w:val="000000" w:themeColor="text1"/>
                <w:sz w:val="20"/>
              </w:rPr>
            </w:pPr>
            <w:r w:rsidRPr="00444E9A">
              <w:rPr>
                <w:rFonts w:ascii="Arial" w:hAnsi="Arial"/>
                <w:sz w:val="20"/>
              </w:rPr>
              <w:t>92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7CC4804B" w14:textId="77777777">
            <w:pPr>
              <w:jc w:val="right"/>
              <w:rPr>
                <w:rFonts w:ascii="Arial" w:hAnsi="Arial"/>
                <w:color w:val="000000" w:themeColor="text1"/>
                <w:sz w:val="20"/>
              </w:rPr>
            </w:pPr>
            <w:r w:rsidRPr="00444E9A">
              <w:rPr>
                <w:rFonts w:ascii="Arial" w:hAnsi="Arial"/>
                <w:sz w:val="20"/>
              </w:rPr>
              <w:t>92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197AC9AA" w14:textId="77777777">
            <w:pPr>
              <w:jc w:val="right"/>
              <w:rPr>
                <w:rFonts w:ascii="Arial" w:hAnsi="Arial"/>
                <w:color w:val="000000" w:themeColor="text1"/>
                <w:sz w:val="20"/>
              </w:rPr>
            </w:pPr>
            <w:r w:rsidRPr="00444E9A">
              <w:rPr>
                <w:rFonts w:ascii="Arial" w:hAnsi="Arial"/>
                <w:sz w:val="20"/>
              </w:rPr>
              <w:t>275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16974186" w14:textId="77777777">
            <w:pPr>
              <w:jc w:val="right"/>
              <w:rPr>
                <w:rFonts w:ascii="Arial" w:hAnsi="Arial"/>
                <w:color w:val="000000" w:themeColor="text1"/>
                <w:sz w:val="20"/>
              </w:rPr>
            </w:pPr>
            <w:r w:rsidRPr="00444E9A">
              <w:rPr>
                <w:rFonts w:ascii="Arial" w:hAnsi="Arial"/>
                <w:sz w:val="20"/>
              </w:rPr>
              <w:t>25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43B95F16" w14:textId="77777777">
            <w:pPr>
              <w:jc w:val="right"/>
              <w:rPr>
                <w:rFonts w:ascii="Arial" w:hAnsi="Arial"/>
                <w:color w:val="000000" w:themeColor="text1"/>
                <w:sz w:val="20"/>
              </w:rPr>
            </w:pPr>
            <w:r w:rsidRPr="00444E9A">
              <w:rPr>
                <w:rFonts w:ascii="Arial" w:hAnsi="Arial"/>
                <w:sz w:val="20"/>
              </w:rPr>
              <w:t>8</w:t>
            </w:r>
          </w:p>
        </w:tc>
        <w:tc>
          <w:tcPr>
            <w:tcW w:w="1346" w:type="dxa"/>
            <w:tcBorders>
              <w:top w:val="single" w:sz="4" w:space="0" w:color="auto"/>
              <w:left w:val="single" w:sz="4" w:space="0" w:color="auto"/>
              <w:bottom w:val="single" w:sz="4" w:space="0" w:color="auto"/>
              <w:right w:val="single" w:sz="4" w:space="0" w:color="auto"/>
            </w:tcBorders>
          </w:tcPr>
          <w:p w:rsidR="003365DD" w:rsidRPr="00444E9A" w:rsidP="003365DD" w14:paraId="497378E5" w14:textId="4104462B">
            <w:pPr>
              <w:jc w:val="right"/>
              <w:rPr>
                <w:rFonts w:ascii="Arial" w:hAnsi="Arial"/>
                <w:sz w:val="20"/>
              </w:rPr>
            </w:pPr>
            <w:r w:rsidRPr="00444E9A">
              <w:rPr>
                <w:rFonts w:ascii="Arial" w:hAnsi="Arial"/>
                <w:sz w:val="20"/>
              </w:rPr>
              <w:t>$92.34</w:t>
            </w:r>
          </w:p>
        </w:tc>
        <w:tc>
          <w:tcPr>
            <w:tcW w:w="1354" w:type="dxa"/>
            <w:tcBorders>
              <w:top w:val="single" w:sz="4" w:space="0" w:color="auto"/>
              <w:left w:val="single" w:sz="4" w:space="0" w:color="auto"/>
              <w:bottom w:val="single" w:sz="4" w:space="0" w:color="auto"/>
              <w:right w:val="single" w:sz="4" w:space="0" w:color="auto"/>
            </w:tcBorders>
          </w:tcPr>
          <w:p w:rsidR="003365DD" w:rsidRPr="00444E9A" w:rsidP="003365DD" w14:paraId="636A3AF4" w14:textId="5C04ADFF">
            <w:pPr>
              <w:jc w:val="right"/>
              <w:rPr>
                <w:rFonts w:ascii="Arial" w:hAnsi="Arial"/>
                <w:sz w:val="20"/>
              </w:rPr>
            </w:pPr>
            <w:r w:rsidRPr="00444E9A">
              <w:rPr>
                <w:rFonts w:ascii="Arial" w:hAnsi="Arial"/>
                <w:sz w:val="20"/>
              </w:rPr>
              <w:t xml:space="preserve"> $761 </w:t>
            </w:r>
          </w:p>
        </w:tc>
      </w:tr>
      <w:tr w14:paraId="592AEF6F" w14:textId="7D64889D" w:rsidTr="00A2739A">
        <w:tblPrEx>
          <w:tblW w:w="14130" w:type="dxa"/>
          <w:tblInd w:w="-450" w:type="dxa"/>
          <w:tblLayout w:type="fixed"/>
          <w:tblLook w:val="04A0"/>
        </w:tblPrEx>
        <w:trPr>
          <w:trHeight w:val="254"/>
        </w:trPr>
        <w:tc>
          <w:tcPr>
            <w:tcW w:w="1310" w:type="dxa"/>
            <w:tcBorders>
              <w:top w:val="nil"/>
              <w:left w:val="single" w:sz="4" w:space="0" w:color="auto"/>
              <w:bottom w:val="single" w:sz="4" w:space="0" w:color="auto"/>
              <w:right w:val="single" w:sz="4" w:space="0" w:color="auto"/>
            </w:tcBorders>
            <w:shd w:val="clear" w:color="auto" w:fill="auto"/>
            <w:noWrap/>
            <w:vAlign w:val="center"/>
          </w:tcPr>
          <w:p w:rsidR="003365DD" w:rsidRPr="00444E9A" w:rsidP="003365DD" w14:paraId="3EA40023" w14:textId="77777777">
            <w:pPr>
              <w:ind w:right="-136"/>
              <w:rPr>
                <w:rFonts w:ascii="Arial" w:hAnsi="Arial"/>
                <w:color w:val="000000" w:themeColor="text1"/>
                <w:sz w:val="20"/>
              </w:rPr>
            </w:pPr>
            <w:r w:rsidRPr="00444E9A">
              <w:rPr>
                <w:rFonts w:ascii="Arial" w:hAnsi="Arial"/>
                <w:color w:val="000000" w:themeColor="text1"/>
                <w:sz w:val="20"/>
              </w:rPr>
              <w:t>FRSR</w:t>
            </w:r>
          </w:p>
        </w:tc>
        <w:tc>
          <w:tcPr>
            <w:tcW w:w="2200" w:type="dxa"/>
            <w:tcBorders>
              <w:top w:val="single" w:sz="4" w:space="0" w:color="auto"/>
              <w:left w:val="nil"/>
              <w:bottom w:val="single" w:sz="4" w:space="0" w:color="auto"/>
              <w:right w:val="single" w:sz="4" w:space="0" w:color="auto"/>
            </w:tcBorders>
            <w:shd w:val="clear" w:color="auto" w:fill="auto"/>
            <w:noWrap/>
            <w:vAlign w:val="bottom"/>
          </w:tcPr>
          <w:p w:rsidR="003365DD" w:rsidRPr="00444E9A" w:rsidP="003365DD" w14:paraId="34A614F5" w14:textId="77777777">
            <w:pPr>
              <w:ind w:right="-110"/>
              <w:rPr>
                <w:rFonts w:ascii="Arial" w:hAnsi="Arial"/>
                <w:color w:val="000000" w:themeColor="text1"/>
                <w:sz w:val="20"/>
              </w:rPr>
            </w:pPr>
            <w:r w:rsidRPr="00444E9A">
              <w:rPr>
                <w:rFonts w:ascii="Arial" w:hAnsi="Arial"/>
                <w:sz w:val="20"/>
              </w:rPr>
              <w:t>SCs</w:t>
            </w:r>
          </w:p>
        </w:tc>
        <w:tc>
          <w:tcPr>
            <w:tcW w:w="1080" w:type="dxa"/>
            <w:vMerge/>
            <w:tcBorders>
              <w:left w:val="single" w:sz="4" w:space="0" w:color="auto"/>
              <w:right w:val="single" w:sz="4" w:space="0" w:color="auto"/>
            </w:tcBorders>
            <w:vAlign w:val="center"/>
          </w:tcPr>
          <w:p w:rsidR="003365DD" w:rsidRPr="00444E9A" w:rsidP="003365DD" w14:paraId="627ED777" w14:textId="77777777">
            <w:pPr>
              <w:rPr>
                <w:rFonts w:ascii="Arial" w:hAnsi="Arial"/>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371CCF9D" w14:textId="77777777">
            <w:pPr>
              <w:jc w:val="right"/>
              <w:rPr>
                <w:rFonts w:ascii="Arial" w:hAnsi="Arial"/>
                <w:sz w:val="20"/>
              </w:rPr>
            </w:pPr>
            <w:r w:rsidRPr="00444E9A">
              <w:rPr>
                <w:rFonts w:ascii="Arial" w:hAnsi="Arial"/>
                <w:sz w:val="20"/>
              </w:rPr>
              <w:t>50</w:t>
            </w:r>
          </w:p>
        </w:tc>
        <w:tc>
          <w:tcPr>
            <w:tcW w:w="1080" w:type="dxa"/>
            <w:tcBorders>
              <w:top w:val="single" w:sz="4" w:space="0" w:color="auto"/>
              <w:left w:val="nil"/>
              <w:bottom w:val="single" w:sz="4" w:space="0" w:color="auto"/>
              <w:right w:val="nil"/>
            </w:tcBorders>
            <w:shd w:val="clear" w:color="auto" w:fill="auto"/>
            <w:noWrap/>
            <w:vAlign w:val="bottom"/>
          </w:tcPr>
          <w:p w:rsidR="003365DD" w:rsidRPr="00444E9A" w:rsidP="003365DD" w14:paraId="67559CA4" w14:textId="77777777">
            <w:pPr>
              <w:jc w:val="right"/>
              <w:rPr>
                <w:rFonts w:ascii="Arial" w:hAnsi="Arial"/>
                <w:sz w:val="20"/>
              </w:rPr>
            </w:pPr>
            <w:r w:rsidRPr="00444E9A">
              <w:rPr>
                <w:rFonts w:ascii="Arial" w:hAnsi="Arial"/>
                <w:sz w:val="20"/>
              </w:rPr>
              <w:t>51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5A671AEA" w14:textId="77777777">
            <w:pPr>
              <w:jc w:val="right"/>
              <w:rPr>
                <w:rFonts w:ascii="Arial" w:hAnsi="Arial"/>
                <w:sz w:val="20"/>
              </w:rPr>
            </w:pPr>
            <w:r w:rsidRPr="00444E9A">
              <w:rPr>
                <w:rFonts w:ascii="Arial" w:hAnsi="Arial"/>
                <w:sz w:val="20"/>
              </w:rPr>
              <w:t>52</w:t>
            </w:r>
          </w:p>
        </w:tc>
        <w:tc>
          <w:tcPr>
            <w:tcW w:w="1170" w:type="dxa"/>
            <w:tcBorders>
              <w:top w:val="single" w:sz="4" w:space="0" w:color="auto"/>
              <w:left w:val="nil"/>
              <w:bottom w:val="single" w:sz="4" w:space="0" w:color="auto"/>
              <w:right w:val="nil"/>
            </w:tcBorders>
            <w:shd w:val="clear" w:color="auto" w:fill="auto"/>
            <w:noWrap/>
            <w:vAlign w:val="bottom"/>
          </w:tcPr>
          <w:p w:rsidR="003365DD" w:rsidRPr="00444E9A" w:rsidP="003365DD" w14:paraId="40806CF5" w14:textId="77777777">
            <w:pPr>
              <w:jc w:val="right"/>
              <w:rPr>
                <w:rFonts w:ascii="Arial" w:hAnsi="Arial"/>
                <w:sz w:val="20"/>
              </w:rPr>
            </w:pPr>
            <w:r w:rsidRPr="00444E9A">
              <w:rPr>
                <w:rFonts w:ascii="Arial" w:hAnsi="Arial"/>
                <w:sz w:val="20"/>
              </w:rPr>
              <w:t>153</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19E0C6B4" w14:textId="77777777">
            <w:pPr>
              <w:jc w:val="right"/>
              <w:rPr>
                <w:rFonts w:ascii="Arial" w:hAnsi="Arial"/>
                <w:sz w:val="20"/>
              </w:rPr>
            </w:pPr>
            <w:r w:rsidRPr="00444E9A">
              <w:rPr>
                <w:rFonts w:ascii="Arial" w:hAnsi="Arial"/>
                <w:sz w:val="20"/>
              </w:rPr>
              <w:t>14</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365DD" w:rsidRPr="00444E9A" w:rsidP="003365DD" w14:paraId="5F3396BE" w14:textId="77777777">
            <w:pPr>
              <w:jc w:val="right"/>
              <w:rPr>
                <w:rFonts w:ascii="Arial" w:hAnsi="Arial"/>
                <w:sz w:val="20"/>
              </w:rPr>
            </w:pPr>
            <w:r w:rsidRPr="00444E9A">
              <w:rPr>
                <w:rFonts w:ascii="Arial" w:hAnsi="Arial"/>
                <w:sz w:val="20"/>
              </w:rPr>
              <w:t>5</w:t>
            </w:r>
          </w:p>
        </w:tc>
        <w:tc>
          <w:tcPr>
            <w:tcW w:w="1346" w:type="dxa"/>
            <w:tcBorders>
              <w:top w:val="single" w:sz="4" w:space="0" w:color="auto"/>
              <w:left w:val="nil"/>
              <w:bottom w:val="single" w:sz="4" w:space="0" w:color="auto"/>
              <w:right w:val="single" w:sz="4" w:space="0" w:color="auto"/>
            </w:tcBorders>
          </w:tcPr>
          <w:p w:rsidR="003365DD" w:rsidRPr="00444E9A" w:rsidP="003365DD" w14:paraId="6EB43D00" w14:textId="3A93E954">
            <w:pPr>
              <w:jc w:val="right"/>
              <w:rPr>
                <w:rFonts w:ascii="Arial" w:hAnsi="Arial"/>
                <w:sz w:val="20"/>
              </w:rPr>
            </w:pPr>
            <w:r w:rsidRPr="00444E9A">
              <w:rPr>
                <w:rFonts w:ascii="Arial" w:hAnsi="Arial"/>
                <w:sz w:val="20"/>
              </w:rPr>
              <w:t>$76.35</w:t>
            </w:r>
          </w:p>
        </w:tc>
        <w:tc>
          <w:tcPr>
            <w:tcW w:w="1354" w:type="dxa"/>
            <w:tcBorders>
              <w:top w:val="single" w:sz="4" w:space="0" w:color="auto"/>
              <w:left w:val="nil"/>
              <w:bottom w:val="single" w:sz="4" w:space="0" w:color="auto"/>
              <w:right w:val="single" w:sz="4" w:space="0" w:color="auto"/>
            </w:tcBorders>
          </w:tcPr>
          <w:p w:rsidR="003365DD" w:rsidRPr="00444E9A" w:rsidP="003365DD" w14:paraId="14D9F768" w14:textId="576AFF40">
            <w:pPr>
              <w:jc w:val="right"/>
              <w:rPr>
                <w:rFonts w:ascii="Arial" w:hAnsi="Arial"/>
                <w:sz w:val="20"/>
              </w:rPr>
            </w:pPr>
            <w:r w:rsidRPr="00444E9A">
              <w:rPr>
                <w:rFonts w:ascii="Arial" w:hAnsi="Arial"/>
                <w:sz w:val="20"/>
              </w:rPr>
              <w:t xml:space="preserve"> $351 </w:t>
            </w:r>
          </w:p>
        </w:tc>
      </w:tr>
      <w:tr w14:paraId="75511981" w14:textId="08F51ABD" w:rsidTr="00A2739A">
        <w:tblPrEx>
          <w:tblW w:w="14130" w:type="dxa"/>
          <w:tblInd w:w="-450" w:type="dxa"/>
          <w:tblLayout w:type="fixed"/>
          <w:tblLook w:val="04A0"/>
        </w:tblPrEx>
        <w:trPr>
          <w:trHeight w:val="254"/>
        </w:trPr>
        <w:tc>
          <w:tcPr>
            <w:tcW w:w="13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365DD" w:rsidRPr="00444E9A" w:rsidP="003365DD" w14:paraId="5F304B31" w14:textId="77777777">
            <w:pPr>
              <w:ind w:right="-136"/>
              <w:rPr>
                <w:rFonts w:ascii="Arial" w:hAnsi="Arial"/>
                <w:color w:val="000000" w:themeColor="text1"/>
                <w:sz w:val="20"/>
              </w:rPr>
            </w:pPr>
            <w:r w:rsidRPr="00444E9A">
              <w:rPr>
                <w:rFonts w:ascii="Arial" w:hAnsi="Arial"/>
                <w:color w:val="000000" w:themeColor="text1"/>
                <w:sz w:val="20"/>
              </w:rPr>
              <w:t>PTPR</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3365DD" w:rsidRPr="00444E9A" w:rsidP="003365DD" w14:paraId="5AC176C8" w14:textId="77777777">
            <w:pPr>
              <w:ind w:right="-110"/>
              <w:rPr>
                <w:rFonts w:ascii="Arial" w:hAnsi="Arial"/>
                <w:color w:val="000000" w:themeColor="text1"/>
                <w:sz w:val="20"/>
              </w:rPr>
            </w:pPr>
            <w:r w:rsidRPr="00444E9A">
              <w:rPr>
                <w:rFonts w:ascii="Arial" w:hAnsi="Arial"/>
                <w:sz w:val="20"/>
              </w:rPr>
              <w:t>SSEs</w:t>
            </w:r>
          </w:p>
        </w:tc>
        <w:tc>
          <w:tcPr>
            <w:tcW w:w="1080" w:type="dxa"/>
            <w:vMerge/>
            <w:tcBorders>
              <w:left w:val="single" w:sz="4" w:space="0" w:color="auto"/>
              <w:right w:val="single" w:sz="4" w:space="0" w:color="auto"/>
            </w:tcBorders>
            <w:vAlign w:val="center"/>
            <w:hideMark/>
          </w:tcPr>
          <w:p w:rsidR="003365DD" w:rsidRPr="00444E9A" w:rsidP="003365DD" w14:paraId="4AF6CAA5" w14:textId="77777777">
            <w:pPr>
              <w:rPr>
                <w:rFonts w:ascii="Arial" w:hAnsi="Arial"/>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78C8FCAC" w14:textId="77777777">
            <w:pPr>
              <w:jc w:val="right"/>
              <w:rPr>
                <w:rFonts w:ascii="Arial" w:hAnsi="Arial"/>
                <w:color w:val="000000" w:themeColor="text1"/>
                <w:sz w:val="20"/>
              </w:rPr>
            </w:pPr>
            <w:r w:rsidRPr="00444E9A">
              <w:rPr>
                <w:rFonts w:ascii="Arial" w:hAnsi="Arial"/>
                <w:sz w:val="20"/>
              </w:rPr>
              <w:t>18,147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51923F6E" w14:textId="77777777">
            <w:pPr>
              <w:jc w:val="right"/>
              <w:rPr>
                <w:rFonts w:ascii="Arial" w:hAnsi="Arial"/>
                <w:color w:val="000000" w:themeColor="text1"/>
                <w:sz w:val="20"/>
              </w:rPr>
            </w:pPr>
            <w:r w:rsidRPr="00444E9A">
              <w:rPr>
                <w:rFonts w:ascii="Arial" w:hAnsi="Arial"/>
                <w:sz w:val="20"/>
              </w:rPr>
              <w:t>18,200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72983CFE" w14:textId="77777777">
            <w:pPr>
              <w:jc w:val="right"/>
              <w:rPr>
                <w:rFonts w:ascii="Arial" w:hAnsi="Arial"/>
                <w:color w:val="000000" w:themeColor="text1"/>
                <w:sz w:val="20"/>
              </w:rPr>
            </w:pPr>
            <w:r w:rsidRPr="00444E9A">
              <w:rPr>
                <w:rFonts w:ascii="Arial" w:hAnsi="Arial"/>
                <w:sz w:val="20"/>
              </w:rPr>
              <w:t>18,254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5568DAE7" w14:textId="77777777">
            <w:pPr>
              <w:jc w:val="right"/>
              <w:rPr>
                <w:rFonts w:ascii="Arial" w:hAnsi="Arial"/>
                <w:color w:val="000000" w:themeColor="text1"/>
                <w:sz w:val="20"/>
              </w:rPr>
            </w:pPr>
            <w:r w:rsidRPr="00444E9A">
              <w:rPr>
                <w:rFonts w:ascii="Arial" w:hAnsi="Arial"/>
                <w:sz w:val="20"/>
              </w:rPr>
              <w:t>54,600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32A2A8DC" w14:textId="77777777">
            <w:pPr>
              <w:jc w:val="right"/>
              <w:rPr>
                <w:rFonts w:ascii="Arial" w:hAnsi="Arial"/>
                <w:color w:val="000000" w:themeColor="text1"/>
                <w:sz w:val="20"/>
              </w:rPr>
            </w:pPr>
            <w:r w:rsidRPr="00444E9A">
              <w:rPr>
                <w:rFonts w:ascii="Arial" w:hAnsi="Arial"/>
                <w:sz w:val="20"/>
              </w:rPr>
              <w:t>4,914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2534CAB4" w14:textId="77777777">
            <w:pPr>
              <w:jc w:val="right"/>
              <w:rPr>
                <w:rFonts w:ascii="Arial" w:hAnsi="Arial"/>
                <w:color w:val="000000" w:themeColor="text1"/>
                <w:sz w:val="20"/>
              </w:rPr>
            </w:pPr>
            <w:r w:rsidRPr="00444E9A">
              <w:rPr>
                <w:rFonts w:ascii="Arial" w:hAnsi="Arial"/>
                <w:sz w:val="20"/>
              </w:rPr>
              <w:t>1,638</w:t>
            </w:r>
          </w:p>
        </w:tc>
        <w:tc>
          <w:tcPr>
            <w:tcW w:w="1346" w:type="dxa"/>
            <w:tcBorders>
              <w:top w:val="single" w:sz="4" w:space="0" w:color="auto"/>
              <w:left w:val="single" w:sz="4" w:space="0" w:color="auto"/>
              <w:bottom w:val="single" w:sz="4" w:space="0" w:color="auto"/>
              <w:right w:val="single" w:sz="4" w:space="0" w:color="auto"/>
            </w:tcBorders>
          </w:tcPr>
          <w:p w:rsidR="003365DD" w:rsidRPr="00444E9A" w:rsidP="003365DD" w14:paraId="5797B878" w14:textId="3ECF1BE2">
            <w:pPr>
              <w:jc w:val="right"/>
              <w:rPr>
                <w:rFonts w:ascii="Arial" w:hAnsi="Arial"/>
                <w:sz w:val="20"/>
              </w:rPr>
            </w:pPr>
            <w:r w:rsidRPr="00444E9A">
              <w:rPr>
                <w:rFonts w:ascii="Arial" w:hAnsi="Arial"/>
                <w:sz w:val="20"/>
              </w:rPr>
              <w:t>$38.98</w:t>
            </w:r>
          </w:p>
        </w:tc>
        <w:tc>
          <w:tcPr>
            <w:tcW w:w="1354" w:type="dxa"/>
            <w:tcBorders>
              <w:top w:val="single" w:sz="4" w:space="0" w:color="auto"/>
              <w:left w:val="single" w:sz="4" w:space="0" w:color="auto"/>
              <w:bottom w:val="single" w:sz="4" w:space="0" w:color="auto"/>
              <w:right w:val="single" w:sz="4" w:space="0" w:color="auto"/>
            </w:tcBorders>
          </w:tcPr>
          <w:p w:rsidR="003365DD" w:rsidRPr="00444E9A" w:rsidP="003365DD" w14:paraId="3E0F82DA" w14:textId="2A6D7A94">
            <w:pPr>
              <w:jc w:val="right"/>
              <w:rPr>
                <w:rFonts w:ascii="Arial" w:hAnsi="Arial"/>
                <w:sz w:val="20"/>
              </w:rPr>
            </w:pPr>
            <w:r w:rsidRPr="00444E9A">
              <w:rPr>
                <w:rFonts w:ascii="Arial" w:hAnsi="Arial"/>
                <w:sz w:val="20"/>
              </w:rPr>
              <w:t xml:space="preserve"> $63,853 </w:t>
            </w:r>
          </w:p>
        </w:tc>
      </w:tr>
      <w:tr w14:paraId="78B0BFAB" w14:textId="741BB5E4" w:rsidTr="00A2739A">
        <w:tblPrEx>
          <w:tblW w:w="14130" w:type="dxa"/>
          <w:tblInd w:w="-450" w:type="dxa"/>
          <w:tblLayout w:type="fixed"/>
          <w:tblLook w:val="04A0"/>
        </w:tblPrEx>
        <w:trPr>
          <w:trHeight w:val="254"/>
        </w:trPr>
        <w:tc>
          <w:tcPr>
            <w:tcW w:w="1310" w:type="dxa"/>
            <w:vMerge/>
            <w:tcBorders>
              <w:top w:val="nil"/>
              <w:left w:val="single" w:sz="4" w:space="0" w:color="auto"/>
              <w:bottom w:val="single" w:sz="4" w:space="0" w:color="auto"/>
              <w:right w:val="single" w:sz="4" w:space="0" w:color="auto"/>
            </w:tcBorders>
            <w:vAlign w:val="center"/>
            <w:hideMark/>
          </w:tcPr>
          <w:p w:rsidR="003365DD" w:rsidRPr="00444E9A" w:rsidP="003365DD" w14:paraId="434C59F5" w14:textId="77777777">
            <w:pPr>
              <w:ind w:right="-136"/>
              <w:rPr>
                <w:rFonts w:ascii="Arial" w:hAnsi="Arial"/>
                <w:color w:val="000000" w:themeColor="text1"/>
                <w:sz w:val="20"/>
              </w:rPr>
            </w:pP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3365DD" w:rsidRPr="00444E9A" w:rsidP="003365DD" w14:paraId="6323DBA7" w14:textId="77777777">
            <w:pPr>
              <w:ind w:right="-110"/>
              <w:rPr>
                <w:rFonts w:ascii="Arial" w:hAnsi="Arial"/>
                <w:color w:val="000000" w:themeColor="text1"/>
                <w:sz w:val="20"/>
              </w:rPr>
            </w:pPr>
            <w:r w:rsidRPr="00444E9A">
              <w:rPr>
                <w:rFonts w:ascii="Arial" w:hAnsi="Arial"/>
                <w:sz w:val="20"/>
              </w:rPr>
              <w:t>SCs</w:t>
            </w:r>
          </w:p>
        </w:tc>
        <w:tc>
          <w:tcPr>
            <w:tcW w:w="1080" w:type="dxa"/>
            <w:vMerge/>
            <w:tcBorders>
              <w:left w:val="single" w:sz="4" w:space="0" w:color="auto"/>
              <w:right w:val="single" w:sz="4" w:space="0" w:color="auto"/>
            </w:tcBorders>
            <w:vAlign w:val="center"/>
            <w:hideMark/>
          </w:tcPr>
          <w:p w:rsidR="003365DD" w:rsidRPr="00444E9A" w:rsidP="003365DD" w14:paraId="71AE72BA" w14:textId="77777777">
            <w:pPr>
              <w:rPr>
                <w:rFonts w:ascii="Arial" w:hAnsi="Arial"/>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4C743A56" w14:textId="77777777">
            <w:pPr>
              <w:jc w:val="right"/>
              <w:rPr>
                <w:rFonts w:ascii="Arial" w:hAnsi="Arial"/>
                <w:color w:val="000000" w:themeColor="text1"/>
                <w:sz w:val="20"/>
              </w:rPr>
            </w:pPr>
            <w:r w:rsidRPr="00444E9A">
              <w:rPr>
                <w:rFonts w:ascii="Arial" w:hAnsi="Arial"/>
                <w:sz w:val="20"/>
              </w:rPr>
              <w:t>23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21EEDD52" w14:textId="77777777">
            <w:pPr>
              <w:jc w:val="right"/>
              <w:rPr>
                <w:rFonts w:ascii="Arial" w:hAnsi="Arial"/>
                <w:color w:val="000000" w:themeColor="text1"/>
                <w:sz w:val="20"/>
              </w:rPr>
            </w:pPr>
            <w:r w:rsidRPr="00444E9A">
              <w:rPr>
                <w:rFonts w:ascii="Arial" w:hAnsi="Arial"/>
                <w:sz w:val="20"/>
              </w:rPr>
              <w:t>24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63AD51BA" w14:textId="77777777">
            <w:pPr>
              <w:jc w:val="right"/>
              <w:rPr>
                <w:rFonts w:ascii="Arial" w:hAnsi="Arial"/>
                <w:color w:val="000000" w:themeColor="text1"/>
                <w:sz w:val="20"/>
              </w:rPr>
            </w:pPr>
            <w:r w:rsidRPr="00444E9A">
              <w:rPr>
                <w:rFonts w:ascii="Arial" w:hAnsi="Arial"/>
                <w:sz w:val="20"/>
              </w:rPr>
              <w:t>24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0B253C97" w14:textId="77777777">
            <w:pPr>
              <w:jc w:val="right"/>
              <w:rPr>
                <w:rFonts w:ascii="Arial" w:hAnsi="Arial"/>
                <w:color w:val="000000" w:themeColor="text1"/>
                <w:sz w:val="20"/>
              </w:rPr>
            </w:pPr>
            <w:r w:rsidRPr="00444E9A">
              <w:rPr>
                <w:rFonts w:ascii="Arial" w:hAnsi="Arial"/>
                <w:sz w:val="20"/>
              </w:rPr>
              <w:t>71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2E92358A" w14:textId="77777777">
            <w:pPr>
              <w:jc w:val="right"/>
              <w:rPr>
                <w:rFonts w:ascii="Arial" w:hAnsi="Arial"/>
                <w:color w:val="000000" w:themeColor="text1"/>
                <w:sz w:val="20"/>
              </w:rPr>
            </w:pPr>
            <w:r w:rsidRPr="00444E9A">
              <w:rPr>
                <w:rFonts w:ascii="Arial" w:hAnsi="Arial"/>
                <w:sz w:val="20"/>
              </w:rPr>
              <w:t>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3A1CA9F4" w14:textId="77777777">
            <w:pPr>
              <w:jc w:val="right"/>
              <w:rPr>
                <w:rFonts w:ascii="Arial" w:hAnsi="Arial"/>
                <w:color w:val="000000" w:themeColor="text1"/>
                <w:sz w:val="20"/>
              </w:rPr>
            </w:pPr>
            <w:r w:rsidRPr="00444E9A">
              <w:rPr>
                <w:rFonts w:ascii="Arial" w:hAnsi="Arial"/>
                <w:sz w:val="20"/>
              </w:rPr>
              <w:t>2</w:t>
            </w:r>
          </w:p>
        </w:tc>
        <w:tc>
          <w:tcPr>
            <w:tcW w:w="1346" w:type="dxa"/>
            <w:tcBorders>
              <w:top w:val="single" w:sz="4" w:space="0" w:color="auto"/>
              <w:left w:val="single" w:sz="4" w:space="0" w:color="auto"/>
              <w:bottom w:val="single" w:sz="4" w:space="0" w:color="auto"/>
              <w:right w:val="single" w:sz="4" w:space="0" w:color="auto"/>
            </w:tcBorders>
          </w:tcPr>
          <w:p w:rsidR="003365DD" w:rsidRPr="00444E9A" w:rsidP="003365DD" w14:paraId="1E053D89" w14:textId="45045290">
            <w:pPr>
              <w:jc w:val="right"/>
              <w:rPr>
                <w:rFonts w:ascii="Arial" w:hAnsi="Arial"/>
                <w:sz w:val="20"/>
              </w:rPr>
            </w:pPr>
            <w:r w:rsidRPr="00444E9A">
              <w:rPr>
                <w:rFonts w:ascii="Arial" w:hAnsi="Arial"/>
                <w:sz w:val="20"/>
              </w:rPr>
              <w:t>$88.41</w:t>
            </w:r>
          </w:p>
        </w:tc>
        <w:tc>
          <w:tcPr>
            <w:tcW w:w="1354" w:type="dxa"/>
            <w:tcBorders>
              <w:top w:val="single" w:sz="4" w:space="0" w:color="auto"/>
              <w:left w:val="single" w:sz="4" w:space="0" w:color="auto"/>
              <w:bottom w:val="single" w:sz="4" w:space="0" w:color="auto"/>
              <w:right w:val="single" w:sz="4" w:space="0" w:color="auto"/>
            </w:tcBorders>
          </w:tcPr>
          <w:p w:rsidR="003365DD" w:rsidRPr="00444E9A" w:rsidP="003365DD" w14:paraId="661DDDB8" w14:textId="51E02D23">
            <w:pPr>
              <w:jc w:val="right"/>
              <w:rPr>
                <w:rFonts w:ascii="Arial" w:hAnsi="Arial"/>
                <w:sz w:val="20"/>
              </w:rPr>
            </w:pPr>
            <w:r w:rsidRPr="00444E9A">
              <w:rPr>
                <w:rFonts w:ascii="Arial" w:hAnsi="Arial"/>
                <w:sz w:val="20"/>
              </w:rPr>
              <w:t xml:space="preserve"> $189 </w:t>
            </w:r>
          </w:p>
        </w:tc>
      </w:tr>
      <w:tr w14:paraId="1C97DDD6" w14:textId="22CFB948" w:rsidTr="00351517">
        <w:tblPrEx>
          <w:tblW w:w="14130" w:type="dxa"/>
          <w:tblInd w:w="-450" w:type="dxa"/>
          <w:tblLayout w:type="fixed"/>
          <w:tblLook w:val="04A0"/>
        </w:tblPrEx>
        <w:trPr>
          <w:trHeight w:val="254"/>
        </w:trPr>
        <w:tc>
          <w:tcPr>
            <w:tcW w:w="1310" w:type="dxa"/>
            <w:tcBorders>
              <w:top w:val="nil"/>
              <w:left w:val="single" w:sz="4" w:space="0" w:color="auto"/>
              <w:bottom w:val="single" w:sz="4" w:space="0" w:color="auto"/>
              <w:right w:val="single" w:sz="4" w:space="0" w:color="auto"/>
            </w:tcBorders>
            <w:shd w:val="clear" w:color="auto" w:fill="auto"/>
            <w:noWrap/>
            <w:vAlign w:val="center"/>
            <w:hideMark/>
          </w:tcPr>
          <w:p w:rsidR="003365DD" w:rsidRPr="00444E9A" w:rsidP="003365DD" w14:paraId="2FB5EEA5" w14:textId="77777777">
            <w:pPr>
              <w:ind w:right="-136"/>
              <w:rPr>
                <w:rFonts w:ascii="Arial" w:hAnsi="Arial"/>
                <w:color w:val="000000" w:themeColor="text1"/>
                <w:sz w:val="20"/>
              </w:rPr>
            </w:pPr>
            <w:r w:rsidRPr="00444E9A">
              <w:rPr>
                <w:rFonts w:ascii="Arial" w:hAnsi="Arial"/>
                <w:color w:val="000000" w:themeColor="text1"/>
                <w:sz w:val="20"/>
              </w:rPr>
              <w:t xml:space="preserve">OTRB </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3365DD" w:rsidRPr="00444E9A" w:rsidP="003365DD" w14:paraId="7190FC97" w14:textId="77777777">
            <w:pPr>
              <w:ind w:right="-110"/>
              <w:rPr>
                <w:rFonts w:ascii="Arial" w:hAnsi="Arial"/>
                <w:color w:val="000000" w:themeColor="text1"/>
                <w:sz w:val="20"/>
              </w:rPr>
            </w:pPr>
            <w:r w:rsidRPr="00444E9A">
              <w:rPr>
                <w:rFonts w:ascii="Arial" w:hAnsi="Arial"/>
                <w:sz w:val="20"/>
              </w:rPr>
              <w:t>SCs</w:t>
            </w:r>
          </w:p>
        </w:tc>
        <w:tc>
          <w:tcPr>
            <w:tcW w:w="1080" w:type="dxa"/>
            <w:vMerge/>
            <w:tcBorders>
              <w:left w:val="single" w:sz="4" w:space="0" w:color="auto"/>
              <w:bottom w:val="single" w:sz="4" w:space="0" w:color="auto"/>
              <w:right w:val="single" w:sz="4" w:space="0" w:color="auto"/>
            </w:tcBorders>
            <w:shd w:val="clear" w:color="auto" w:fill="auto"/>
            <w:noWrap/>
            <w:vAlign w:val="center"/>
            <w:hideMark/>
          </w:tcPr>
          <w:p w:rsidR="003365DD" w:rsidRPr="00444E9A" w:rsidP="003365DD" w14:paraId="62372616" w14:textId="77777777">
            <w:pPr>
              <w:jc w:val="right"/>
              <w:rPr>
                <w:rFonts w:ascii="Arial" w:hAnsi="Arial"/>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78BD164C" w14:textId="77777777">
            <w:pPr>
              <w:jc w:val="right"/>
              <w:rPr>
                <w:rFonts w:ascii="Arial" w:hAnsi="Arial"/>
                <w:color w:val="000000" w:themeColor="text1"/>
                <w:sz w:val="20"/>
              </w:rPr>
            </w:pPr>
            <w:r w:rsidRPr="00444E9A">
              <w:rPr>
                <w:rFonts w:ascii="Arial" w:hAnsi="Arial"/>
                <w:sz w:val="20"/>
              </w:rPr>
              <w:t>45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090D4891" w14:textId="77777777">
            <w:pPr>
              <w:jc w:val="right"/>
              <w:rPr>
                <w:rFonts w:ascii="Arial" w:hAnsi="Arial"/>
                <w:color w:val="000000" w:themeColor="text1"/>
                <w:sz w:val="20"/>
              </w:rPr>
            </w:pPr>
            <w:r w:rsidRPr="00444E9A">
              <w:rPr>
                <w:rFonts w:ascii="Arial" w:hAnsi="Arial"/>
                <w:sz w:val="20"/>
              </w:rPr>
              <w:t>46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5DA585F7" w14:textId="77777777">
            <w:pPr>
              <w:jc w:val="right"/>
              <w:rPr>
                <w:rFonts w:ascii="Arial" w:hAnsi="Arial"/>
                <w:color w:val="000000" w:themeColor="text1"/>
                <w:sz w:val="20"/>
              </w:rPr>
            </w:pPr>
            <w:r w:rsidRPr="00444E9A">
              <w:rPr>
                <w:rFonts w:ascii="Arial" w:hAnsi="Arial"/>
                <w:sz w:val="20"/>
              </w:rPr>
              <w:t>47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321143C6" w14:textId="77777777">
            <w:pPr>
              <w:jc w:val="right"/>
              <w:rPr>
                <w:rFonts w:ascii="Arial" w:hAnsi="Arial"/>
                <w:color w:val="000000" w:themeColor="text1"/>
                <w:sz w:val="20"/>
              </w:rPr>
            </w:pPr>
            <w:r w:rsidRPr="00444E9A">
              <w:rPr>
                <w:rFonts w:ascii="Arial" w:hAnsi="Arial"/>
                <w:sz w:val="20"/>
              </w:rPr>
              <w:t>137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5B61E41C" w14:textId="77777777">
            <w:pPr>
              <w:jc w:val="right"/>
              <w:rPr>
                <w:rFonts w:ascii="Arial" w:hAnsi="Arial"/>
                <w:color w:val="000000" w:themeColor="text1"/>
                <w:sz w:val="20"/>
              </w:rPr>
            </w:pPr>
            <w:r w:rsidRPr="00444E9A">
              <w:rPr>
                <w:rFonts w:ascii="Arial" w:hAnsi="Arial"/>
                <w:sz w:val="20"/>
              </w:rPr>
              <w:t>12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5578F690" w14:textId="77777777">
            <w:pPr>
              <w:jc w:val="right"/>
              <w:rPr>
                <w:rFonts w:ascii="Arial" w:hAnsi="Arial"/>
                <w:color w:val="000000" w:themeColor="text1"/>
                <w:sz w:val="20"/>
              </w:rPr>
            </w:pPr>
            <w:r w:rsidRPr="00444E9A">
              <w:rPr>
                <w:rFonts w:ascii="Arial" w:hAnsi="Arial"/>
                <w:sz w:val="20"/>
              </w:rPr>
              <w:t>4</w:t>
            </w:r>
          </w:p>
        </w:tc>
        <w:tc>
          <w:tcPr>
            <w:tcW w:w="1346" w:type="dxa"/>
            <w:tcBorders>
              <w:top w:val="single" w:sz="4" w:space="0" w:color="auto"/>
              <w:left w:val="single" w:sz="4" w:space="0" w:color="auto"/>
              <w:bottom w:val="single" w:sz="4" w:space="0" w:color="auto"/>
              <w:right w:val="single" w:sz="4" w:space="0" w:color="auto"/>
            </w:tcBorders>
          </w:tcPr>
          <w:p w:rsidR="003365DD" w:rsidRPr="00444E9A" w:rsidP="003365DD" w14:paraId="5B52310D" w14:textId="203074DA">
            <w:pPr>
              <w:jc w:val="right"/>
              <w:rPr>
                <w:rFonts w:ascii="Arial" w:hAnsi="Arial"/>
                <w:sz w:val="20"/>
              </w:rPr>
            </w:pPr>
            <w:r w:rsidRPr="00444E9A">
              <w:rPr>
                <w:rFonts w:ascii="Arial" w:hAnsi="Arial"/>
                <w:sz w:val="20"/>
              </w:rPr>
              <w:t>$69.63</w:t>
            </w:r>
          </w:p>
        </w:tc>
        <w:tc>
          <w:tcPr>
            <w:tcW w:w="1354" w:type="dxa"/>
            <w:tcBorders>
              <w:top w:val="single" w:sz="4" w:space="0" w:color="auto"/>
              <w:left w:val="single" w:sz="4" w:space="0" w:color="auto"/>
              <w:bottom w:val="single" w:sz="4" w:space="0" w:color="auto"/>
              <w:right w:val="single" w:sz="4" w:space="0" w:color="auto"/>
            </w:tcBorders>
          </w:tcPr>
          <w:p w:rsidR="003365DD" w:rsidRPr="00444E9A" w:rsidP="003365DD" w14:paraId="1603C60B" w14:textId="7DFFA090">
            <w:pPr>
              <w:jc w:val="right"/>
              <w:rPr>
                <w:rFonts w:ascii="Arial" w:hAnsi="Arial"/>
                <w:sz w:val="20"/>
              </w:rPr>
            </w:pPr>
            <w:r w:rsidRPr="00444E9A">
              <w:rPr>
                <w:rFonts w:ascii="Arial" w:hAnsi="Arial"/>
                <w:sz w:val="20"/>
              </w:rPr>
              <w:t xml:space="preserve"> $287 </w:t>
            </w:r>
          </w:p>
        </w:tc>
      </w:tr>
      <w:tr w14:paraId="17BF40B2" w14:textId="29D14108" w:rsidTr="00351517">
        <w:tblPrEx>
          <w:tblW w:w="14130" w:type="dxa"/>
          <w:tblInd w:w="-450" w:type="dxa"/>
          <w:tblLayout w:type="fixed"/>
          <w:tblLook w:val="04A0"/>
        </w:tblPrEx>
        <w:trPr>
          <w:trHeight w:val="299"/>
        </w:trPr>
        <w:tc>
          <w:tcPr>
            <w:tcW w:w="11430" w:type="dxa"/>
            <w:gridSpan w:val="9"/>
            <w:tcBorders>
              <w:top w:val="single" w:sz="4" w:space="0" w:color="auto"/>
              <w:left w:val="single" w:sz="4" w:space="0" w:color="auto"/>
              <w:bottom w:val="nil"/>
            </w:tcBorders>
            <w:shd w:val="clear" w:color="auto" w:fill="auto"/>
            <w:noWrap/>
            <w:vAlign w:val="bottom"/>
            <w:hideMark/>
          </w:tcPr>
          <w:p w:rsidR="00E25526" w:rsidRPr="00444E9A" w:rsidP="00C1734D" w14:paraId="09262753" w14:textId="77777777">
            <w:pPr>
              <w:ind w:left="1418" w:right="-110"/>
              <w:rPr>
                <w:rFonts w:ascii="Arial" w:hAnsi="Arial"/>
                <w:sz w:val="20"/>
              </w:rPr>
            </w:pPr>
            <w:r w:rsidRPr="00444E9A">
              <w:rPr>
                <w:rFonts w:ascii="Arial" w:hAnsi="Arial"/>
                <w:b/>
                <w:bCs/>
                <w:sz w:val="20"/>
              </w:rPr>
              <w:t>STA Customer Satisfaction Survey</w:t>
            </w:r>
          </w:p>
        </w:tc>
        <w:tc>
          <w:tcPr>
            <w:tcW w:w="1346" w:type="dxa"/>
            <w:tcBorders>
              <w:top w:val="single" w:sz="4" w:space="0" w:color="auto"/>
              <w:bottom w:val="single" w:sz="4" w:space="0" w:color="auto"/>
            </w:tcBorders>
          </w:tcPr>
          <w:p w:rsidR="00E25526" w:rsidRPr="00444E9A" w:rsidP="00C1734D" w14:paraId="174E43A3" w14:textId="77777777">
            <w:pPr>
              <w:ind w:left="1418" w:right="-110"/>
              <w:rPr>
                <w:rFonts w:ascii="Arial" w:hAnsi="Arial"/>
                <w:b/>
                <w:bCs/>
                <w:sz w:val="20"/>
              </w:rPr>
            </w:pPr>
          </w:p>
        </w:tc>
        <w:tc>
          <w:tcPr>
            <w:tcW w:w="1354" w:type="dxa"/>
            <w:tcBorders>
              <w:top w:val="single" w:sz="4" w:space="0" w:color="auto"/>
              <w:bottom w:val="single" w:sz="4" w:space="0" w:color="auto"/>
              <w:right w:val="single" w:sz="4" w:space="0" w:color="auto"/>
            </w:tcBorders>
          </w:tcPr>
          <w:p w:rsidR="00E25526" w:rsidRPr="00444E9A" w:rsidP="00C1734D" w14:paraId="5BB889C0" w14:textId="77777777">
            <w:pPr>
              <w:ind w:left="1418" w:right="-110"/>
              <w:rPr>
                <w:rFonts w:ascii="Arial" w:hAnsi="Arial"/>
                <w:b/>
                <w:bCs/>
                <w:sz w:val="20"/>
              </w:rPr>
            </w:pPr>
          </w:p>
        </w:tc>
      </w:tr>
      <w:tr w14:paraId="7D06B2BA" w14:textId="51896D48" w:rsidTr="00351517">
        <w:tblPrEx>
          <w:tblW w:w="14130" w:type="dxa"/>
          <w:tblInd w:w="-450" w:type="dxa"/>
          <w:tblLayout w:type="fixed"/>
          <w:tblLook w:val="04A0"/>
        </w:tblPrEx>
        <w:trPr>
          <w:trHeight w:val="254"/>
        </w:trPr>
        <w:tc>
          <w:tcPr>
            <w:tcW w:w="131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3365DD" w:rsidRPr="00444E9A" w:rsidP="003365DD" w14:paraId="1F21A038" w14:textId="77777777">
            <w:pPr>
              <w:ind w:right="-136"/>
              <w:rPr>
                <w:rFonts w:ascii="Arial" w:hAnsi="Arial"/>
                <w:color w:val="000000" w:themeColor="text1"/>
                <w:sz w:val="20"/>
              </w:rPr>
            </w:pPr>
            <w:r w:rsidRPr="00444E9A">
              <w:rPr>
                <w:rFonts w:ascii="Arial" w:hAnsi="Arial"/>
                <w:color w:val="000000" w:themeColor="text1"/>
                <w:sz w:val="20"/>
              </w:rPr>
              <w:t>Freight Rail</w:t>
            </w:r>
          </w:p>
        </w:tc>
        <w:tc>
          <w:tcPr>
            <w:tcW w:w="2200" w:type="dxa"/>
            <w:tcBorders>
              <w:top w:val="single" w:sz="4" w:space="0" w:color="auto"/>
              <w:left w:val="single" w:sz="4" w:space="0" w:color="auto"/>
              <w:bottom w:val="nil"/>
              <w:right w:val="single" w:sz="4" w:space="0" w:color="auto"/>
            </w:tcBorders>
            <w:shd w:val="clear" w:color="auto" w:fill="auto"/>
            <w:noWrap/>
            <w:vAlign w:val="bottom"/>
            <w:hideMark/>
          </w:tcPr>
          <w:p w:rsidR="003365DD" w:rsidRPr="00444E9A" w:rsidP="003365DD" w14:paraId="680C369E" w14:textId="77777777">
            <w:pPr>
              <w:ind w:right="-110"/>
              <w:rPr>
                <w:rFonts w:ascii="Arial" w:hAnsi="Arial"/>
                <w:color w:val="000000" w:themeColor="text1"/>
                <w:sz w:val="20"/>
              </w:rPr>
            </w:pPr>
            <w:r w:rsidRPr="00444E9A">
              <w:rPr>
                <w:rFonts w:ascii="Arial" w:hAnsi="Arial"/>
                <w:sz w:val="20"/>
              </w:rPr>
              <w:t>SSEs</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365DD" w:rsidRPr="00444E9A" w:rsidP="003365DD" w14:paraId="37984708" w14:textId="77777777">
            <w:pPr>
              <w:jc w:val="center"/>
              <w:rPr>
                <w:rFonts w:ascii="Arial" w:hAnsi="Arial"/>
                <w:color w:val="000000" w:themeColor="text1"/>
                <w:sz w:val="20"/>
              </w:rPr>
            </w:pPr>
            <w:r w:rsidRPr="00444E9A">
              <w:rPr>
                <w:rFonts w:ascii="Arial" w:hAnsi="Arial"/>
                <w:color w:val="000000" w:themeColor="text1"/>
                <w:sz w:val="20"/>
              </w:rPr>
              <w:t>0.08</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3365DD" w:rsidRPr="00444E9A" w:rsidP="003365DD" w14:paraId="67E9CC81" w14:textId="77777777">
            <w:pPr>
              <w:jc w:val="right"/>
              <w:rPr>
                <w:rFonts w:ascii="Arial" w:hAnsi="Arial"/>
                <w:color w:val="000000" w:themeColor="text1"/>
                <w:sz w:val="20"/>
              </w:rPr>
            </w:pPr>
            <w:r w:rsidRPr="00444E9A">
              <w:rPr>
                <w:rFonts w:ascii="Arial" w:hAnsi="Arial"/>
                <w:sz w:val="20"/>
              </w:rPr>
              <w:t>40,190</w:t>
            </w:r>
          </w:p>
        </w:tc>
        <w:tc>
          <w:tcPr>
            <w:tcW w:w="1080" w:type="dxa"/>
            <w:tcBorders>
              <w:top w:val="single" w:sz="4" w:space="0" w:color="auto"/>
              <w:left w:val="nil"/>
              <w:bottom w:val="single" w:sz="4" w:space="0" w:color="auto"/>
              <w:right w:val="nil"/>
            </w:tcBorders>
            <w:shd w:val="clear" w:color="auto" w:fill="auto"/>
            <w:noWrap/>
            <w:vAlign w:val="bottom"/>
          </w:tcPr>
          <w:p w:rsidR="003365DD" w:rsidRPr="00444E9A" w:rsidP="003365DD" w14:paraId="0F575F76" w14:textId="77777777">
            <w:pPr>
              <w:jc w:val="right"/>
              <w:rPr>
                <w:rFonts w:ascii="Arial" w:hAnsi="Arial"/>
                <w:color w:val="000000" w:themeColor="text1"/>
                <w:sz w:val="20"/>
              </w:rPr>
            </w:pPr>
            <w:r w:rsidRPr="00444E9A">
              <w:rPr>
                <w:rFonts w:ascii="Arial" w:hAnsi="Arial"/>
                <w:sz w:val="20"/>
              </w:rPr>
              <w:t>1,608</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25F5E93E" w14:textId="77777777">
            <w:pPr>
              <w:jc w:val="right"/>
              <w:rPr>
                <w:rFonts w:ascii="Arial" w:hAnsi="Arial"/>
                <w:color w:val="000000" w:themeColor="text1"/>
                <w:sz w:val="20"/>
              </w:rPr>
            </w:pPr>
            <w:r w:rsidRPr="00444E9A">
              <w:rPr>
                <w:rFonts w:ascii="Arial" w:hAnsi="Arial"/>
                <w:sz w:val="20"/>
              </w:rPr>
              <w:t>1,590</w:t>
            </w:r>
          </w:p>
        </w:tc>
        <w:tc>
          <w:tcPr>
            <w:tcW w:w="1170" w:type="dxa"/>
            <w:tcBorders>
              <w:top w:val="single" w:sz="4" w:space="0" w:color="auto"/>
              <w:left w:val="nil"/>
              <w:bottom w:val="single" w:sz="4" w:space="0" w:color="auto"/>
              <w:right w:val="nil"/>
            </w:tcBorders>
            <w:shd w:val="clear" w:color="auto" w:fill="auto"/>
            <w:noWrap/>
            <w:vAlign w:val="bottom"/>
          </w:tcPr>
          <w:p w:rsidR="003365DD" w:rsidRPr="00444E9A" w:rsidP="003365DD" w14:paraId="6601ABEA" w14:textId="77777777">
            <w:pPr>
              <w:jc w:val="right"/>
              <w:rPr>
                <w:rFonts w:ascii="Arial" w:hAnsi="Arial"/>
                <w:color w:val="000000" w:themeColor="text1"/>
                <w:sz w:val="20"/>
              </w:rPr>
            </w:pPr>
            <w:r w:rsidRPr="00444E9A">
              <w:rPr>
                <w:rFonts w:ascii="Arial" w:hAnsi="Arial"/>
                <w:sz w:val="20"/>
              </w:rPr>
              <w:t>43,387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692D1948" w14:textId="77777777">
            <w:pPr>
              <w:jc w:val="right"/>
              <w:rPr>
                <w:rFonts w:ascii="Arial" w:hAnsi="Arial"/>
                <w:color w:val="000000" w:themeColor="text1"/>
                <w:sz w:val="20"/>
              </w:rPr>
            </w:pPr>
            <w:r w:rsidRPr="00444E9A">
              <w:rPr>
                <w:rFonts w:ascii="Arial" w:hAnsi="Arial"/>
                <w:sz w:val="20"/>
              </w:rPr>
              <w:t>3,616</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365DD" w:rsidRPr="00444E9A" w:rsidP="003365DD" w14:paraId="022FC0DE" w14:textId="77777777">
            <w:pPr>
              <w:jc w:val="right"/>
              <w:rPr>
                <w:rFonts w:ascii="Arial" w:hAnsi="Arial"/>
                <w:color w:val="000000" w:themeColor="text1"/>
                <w:sz w:val="20"/>
              </w:rPr>
            </w:pPr>
            <w:r w:rsidRPr="00444E9A">
              <w:rPr>
                <w:rFonts w:ascii="Arial" w:hAnsi="Arial"/>
                <w:sz w:val="20"/>
              </w:rPr>
              <w:t>1,205</w:t>
            </w:r>
          </w:p>
        </w:tc>
        <w:tc>
          <w:tcPr>
            <w:tcW w:w="1346" w:type="dxa"/>
            <w:tcBorders>
              <w:top w:val="single" w:sz="4" w:space="0" w:color="auto"/>
              <w:left w:val="single" w:sz="4" w:space="0" w:color="auto"/>
              <w:bottom w:val="single" w:sz="4" w:space="0" w:color="auto"/>
              <w:right w:val="single" w:sz="4" w:space="0" w:color="auto"/>
            </w:tcBorders>
          </w:tcPr>
          <w:p w:rsidR="003365DD" w:rsidRPr="00444E9A" w:rsidP="003365DD" w14:paraId="0B6491F1" w14:textId="6B7BD4AE">
            <w:pPr>
              <w:jc w:val="right"/>
              <w:rPr>
                <w:rFonts w:ascii="Arial" w:hAnsi="Arial"/>
                <w:sz w:val="20"/>
              </w:rPr>
            </w:pPr>
            <w:r w:rsidRPr="00444E9A">
              <w:rPr>
                <w:rFonts w:ascii="Arial" w:hAnsi="Arial"/>
                <w:sz w:val="20"/>
              </w:rPr>
              <w:t>$49.14</w:t>
            </w:r>
          </w:p>
        </w:tc>
        <w:tc>
          <w:tcPr>
            <w:tcW w:w="1354" w:type="dxa"/>
            <w:tcBorders>
              <w:top w:val="single" w:sz="4" w:space="0" w:color="auto"/>
              <w:left w:val="single" w:sz="4" w:space="0" w:color="auto"/>
              <w:bottom w:val="single" w:sz="4" w:space="0" w:color="auto"/>
              <w:right w:val="single" w:sz="4" w:space="0" w:color="auto"/>
            </w:tcBorders>
          </w:tcPr>
          <w:p w:rsidR="003365DD" w:rsidRPr="00444E9A" w:rsidP="003365DD" w14:paraId="20323787" w14:textId="089AF8D9">
            <w:pPr>
              <w:jc w:val="right"/>
              <w:rPr>
                <w:rFonts w:ascii="Arial" w:hAnsi="Arial"/>
                <w:sz w:val="20"/>
              </w:rPr>
            </w:pPr>
            <w:r w:rsidRPr="00444E9A">
              <w:rPr>
                <w:rFonts w:ascii="Arial" w:hAnsi="Arial"/>
                <w:sz w:val="20"/>
              </w:rPr>
              <w:t xml:space="preserve"> $59,224 </w:t>
            </w:r>
          </w:p>
        </w:tc>
      </w:tr>
      <w:tr w14:paraId="04CAF175" w14:textId="4188FDC0" w:rsidTr="00A2739A">
        <w:tblPrEx>
          <w:tblW w:w="14130" w:type="dxa"/>
          <w:tblInd w:w="-450" w:type="dxa"/>
          <w:tblLayout w:type="fixed"/>
          <w:tblLook w:val="04A0"/>
        </w:tblPrEx>
        <w:trPr>
          <w:trHeight w:val="254"/>
        </w:trPr>
        <w:tc>
          <w:tcPr>
            <w:tcW w:w="1310" w:type="dxa"/>
            <w:vMerge/>
            <w:tcBorders>
              <w:top w:val="single" w:sz="4" w:space="0" w:color="auto"/>
              <w:left w:val="single" w:sz="4" w:space="0" w:color="auto"/>
              <w:bottom w:val="nil"/>
              <w:right w:val="single" w:sz="4" w:space="0" w:color="auto"/>
            </w:tcBorders>
            <w:vAlign w:val="center"/>
            <w:hideMark/>
          </w:tcPr>
          <w:p w:rsidR="003365DD" w:rsidRPr="00444E9A" w:rsidP="003365DD" w14:paraId="05037E9D" w14:textId="77777777">
            <w:pPr>
              <w:ind w:right="-136"/>
              <w:rPr>
                <w:rFonts w:ascii="Arial" w:hAnsi="Arial"/>
                <w:color w:val="000000" w:themeColor="text1"/>
                <w:sz w:val="20"/>
              </w:rPr>
            </w:pPr>
          </w:p>
        </w:tc>
        <w:tc>
          <w:tcPr>
            <w:tcW w:w="2200" w:type="dxa"/>
            <w:tcBorders>
              <w:top w:val="nil"/>
              <w:left w:val="nil"/>
              <w:bottom w:val="nil"/>
              <w:right w:val="single" w:sz="4" w:space="0" w:color="auto"/>
            </w:tcBorders>
            <w:shd w:val="clear" w:color="auto" w:fill="auto"/>
            <w:noWrap/>
            <w:vAlign w:val="bottom"/>
            <w:hideMark/>
          </w:tcPr>
          <w:p w:rsidR="003365DD" w:rsidRPr="00444E9A" w:rsidP="003365DD" w14:paraId="721D0CF2" w14:textId="77777777">
            <w:pPr>
              <w:ind w:right="-110"/>
              <w:rPr>
                <w:rFonts w:ascii="Arial" w:hAnsi="Arial"/>
                <w:color w:val="000000" w:themeColor="text1"/>
                <w:sz w:val="20"/>
              </w:rPr>
            </w:pPr>
            <w:r w:rsidRPr="00444E9A">
              <w:rPr>
                <w:rFonts w:ascii="Arial" w:hAnsi="Arial"/>
                <w:sz w:val="20"/>
              </w:rPr>
              <w:t>SCs</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3365DD" w:rsidRPr="00444E9A" w:rsidP="003365DD" w14:paraId="5F869DCB" w14:textId="77777777">
            <w:pPr>
              <w:rPr>
                <w:rFonts w:ascii="Arial" w:hAnsi="Arial"/>
                <w:color w:val="000000" w:themeColor="text1"/>
                <w:sz w:val="2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3365DD" w:rsidRPr="00444E9A" w:rsidP="003365DD" w14:paraId="4A605494" w14:textId="77777777">
            <w:pPr>
              <w:jc w:val="right"/>
              <w:rPr>
                <w:rFonts w:ascii="Arial" w:hAnsi="Arial"/>
                <w:color w:val="000000" w:themeColor="text1"/>
                <w:sz w:val="20"/>
              </w:rPr>
            </w:pPr>
            <w:r w:rsidRPr="00444E9A">
              <w:rPr>
                <w:rFonts w:ascii="Arial" w:hAnsi="Arial"/>
                <w:sz w:val="20"/>
              </w:rPr>
              <w:t>156</w:t>
            </w:r>
          </w:p>
        </w:tc>
        <w:tc>
          <w:tcPr>
            <w:tcW w:w="1080" w:type="dxa"/>
            <w:tcBorders>
              <w:top w:val="single" w:sz="4" w:space="0" w:color="auto"/>
              <w:left w:val="nil"/>
              <w:bottom w:val="single" w:sz="4" w:space="0" w:color="auto"/>
              <w:right w:val="nil"/>
            </w:tcBorders>
            <w:shd w:val="clear" w:color="auto" w:fill="auto"/>
            <w:noWrap/>
            <w:vAlign w:val="bottom"/>
          </w:tcPr>
          <w:p w:rsidR="003365DD" w:rsidRPr="00444E9A" w:rsidP="003365DD" w14:paraId="6C9997D1" w14:textId="77777777">
            <w:pPr>
              <w:jc w:val="right"/>
              <w:rPr>
                <w:rFonts w:ascii="Arial" w:hAnsi="Arial"/>
                <w:color w:val="000000" w:themeColor="text1"/>
                <w:sz w:val="20"/>
              </w:rPr>
            </w:pPr>
            <w:r w:rsidRPr="00444E9A">
              <w:rPr>
                <w:rFonts w:ascii="Arial" w:hAnsi="Arial"/>
                <w:sz w:val="20"/>
              </w:rPr>
              <w:t>8</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5B6215E6" w14:textId="77777777">
            <w:pPr>
              <w:jc w:val="right"/>
              <w:rPr>
                <w:rFonts w:ascii="Arial" w:hAnsi="Arial"/>
                <w:color w:val="000000" w:themeColor="text1"/>
                <w:sz w:val="20"/>
              </w:rPr>
            </w:pPr>
            <w:r w:rsidRPr="00444E9A">
              <w:rPr>
                <w:rFonts w:ascii="Arial" w:hAnsi="Arial"/>
                <w:sz w:val="20"/>
              </w:rPr>
              <w:t>8</w:t>
            </w:r>
          </w:p>
        </w:tc>
        <w:tc>
          <w:tcPr>
            <w:tcW w:w="1170" w:type="dxa"/>
            <w:tcBorders>
              <w:top w:val="single" w:sz="4" w:space="0" w:color="auto"/>
              <w:left w:val="nil"/>
              <w:bottom w:val="single" w:sz="4" w:space="0" w:color="auto"/>
              <w:right w:val="nil"/>
            </w:tcBorders>
            <w:shd w:val="clear" w:color="auto" w:fill="auto"/>
            <w:noWrap/>
            <w:vAlign w:val="bottom"/>
          </w:tcPr>
          <w:p w:rsidR="003365DD" w:rsidRPr="00444E9A" w:rsidP="003365DD" w14:paraId="5CEF04D3" w14:textId="77777777">
            <w:pPr>
              <w:jc w:val="right"/>
              <w:rPr>
                <w:rFonts w:ascii="Arial" w:hAnsi="Arial"/>
                <w:color w:val="000000" w:themeColor="text1"/>
                <w:sz w:val="20"/>
              </w:rPr>
            </w:pPr>
            <w:r w:rsidRPr="00444E9A">
              <w:rPr>
                <w:rFonts w:ascii="Arial" w:hAnsi="Arial"/>
                <w:sz w:val="20"/>
              </w:rPr>
              <w:t>171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5898FE8C" w14:textId="77777777">
            <w:pPr>
              <w:jc w:val="right"/>
              <w:rPr>
                <w:rFonts w:ascii="Arial" w:hAnsi="Arial"/>
                <w:color w:val="000000" w:themeColor="text1"/>
                <w:sz w:val="20"/>
              </w:rPr>
            </w:pPr>
            <w:r w:rsidRPr="00444E9A">
              <w:rPr>
                <w:rFonts w:ascii="Arial" w:hAnsi="Arial"/>
                <w:sz w:val="20"/>
              </w:rPr>
              <w:t>14</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365DD" w:rsidRPr="00444E9A" w:rsidP="003365DD" w14:paraId="006A3048" w14:textId="77777777">
            <w:pPr>
              <w:jc w:val="right"/>
              <w:rPr>
                <w:rFonts w:ascii="Arial" w:hAnsi="Arial"/>
                <w:color w:val="000000" w:themeColor="text1"/>
                <w:sz w:val="20"/>
              </w:rPr>
            </w:pPr>
            <w:r w:rsidRPr="00444E9A">
              <w:rPr>
                <w:rFonts w:ascii="Arial" w:hAnsi="Arial"/>
                <w:sz w:val="20"/>
              </w:rPr>
              <w:t>5</w:t>
            </w:r>
          </w:p>
        </w:tc>
        <w:tc>
          <w:tcPr>
            <w:tcW w:w="1346" w:type="dxa"/>
            <w:tcBorders>
              <w:top w:val="single" w:sz="4" w:space="0" w:color="auto"/>
              <w:left w:val="single" w:sz="4" w:space="0" w:color="auto"/>
              <w:bottom w:val="single" w:sz="4" w:space="0" w:color="auto"/>
              <w:right w:val="single" w:sz="4" w:space="0" w:color="auto"/>
            </w:tcBorders>
          </w:tcPr>
          <w:p w:rsidR="003365DD" w:rsidRPr="00444E9A" w:rsidP="003365DD" w14:paraId="1B905BAF" w14:textId="3C494405">
            <w:pPr>
              <w:jc w:val="right"/>
              <w:rPr>
                <w:rFonts w:ascii="Arial" w:hAnsi="Arial"/>
                <w:sz w:val="20"/>
              </w:rPr>
            </w:pPr>
            <w:r w:rsidRPr="00444E9A">
              <w:rPr>
                <w:rFonts w:ascii="Arial" w:hAnsi="Arial"/>
                <w:sz w:val="20"/>
              </w:rPr>
              <w:t>$92.34</w:t>
            </w:r>
          </w:p>
        </w:tc>
        <w:tc>
          <w:tcPr>
            <w:tcW w:w="1354" w:type="dxa"/>
            <w:tcBorders>
              <w:top w:val="single" w:sz="4" w:space="0" w:color="auto"/>
              <w:left w:val="single" w:sz="4" w:space="0" w:color="auto"/>
              <w:bottom w:val="single" w:sz="4" w:space="0" w:color="auto"/>
              <w:right w:val="single" w:sz="4" w:space="0" w:color="auto"/>
            </w:tcBorders>
          </w:tcPr>
          <w:p w:rsidR="003365DD" w:rsidRPr="00444E9A" w:rsidP="003365DD" w14:paraId="3F7B8212" w14:textId="61C34D94">
            <w:pPr>
              <w:jc w:val="right"/>
              <w:rPr>
                <w:rFonts w:ascii="Arial" w:hAnsi="Arial"/>
                <w:sz w:val="20"/>
              </w:rPr>
            </w:pPr>
            <w:r w:rsidRPr="00444E9A">
              <w:rPr>
                <w:rFonts w:ascii="Arial" w:hAnsi="Arial"/>
                <w:sz w:val="20"/>
              </w:rPr>
              <w:t xml:space="preserve"> $438 </w:t>
            </w:r>
          </w:p>
        </w:tc>
      </w:tr>
      <w:tr w14:paraId="227D253D" w14:textId="0039C5C8" w:rsidTr="00351517">
        <w:tblPrEx>
          <w:tblW w:w="14130" w:type="dxa"/>
          <w:tblInd w:w="-450" w:type="dxa"/>
          <w:tblLayout w:type="fixed"/>
          <w:tblLook w:val="04A0"/>
        </w:tblPrEx>
        <w:trPr>
          <w:trHeight w:val="254"/>
        </w:trPr>
        <w:tc>
          <w:tcPr>
            <w:tcW w:w="1310" w:type="dxa"/>
            <w:tcBorders>
              <w:top w:val="single" w:sz="4" w:space="0" w:color="auto"/>
              <w:left w:val="single" w:sz="4" w:space="0" w:color="auto"/>
              <w:bottom w:val="single" w:sz="4" w:space="0" w:color="000000"/>
              <w:right w:val="nil"/>
            </w:tcBorders>
            <w:shd w:val="clear" w:color="auto" w:fill="auto"/>
            <w:noWrap/>
            <w:vAlign w:val="center"/>
          </w:tcPr>
          <w:p w:rsidR="003365DD" w:rsidRPr="00444E9A" w:rsidP="003365DD" w14:paraId="789DCAED" w14:textId="77777777">
            <w:pPr>
              <w:ind w:right="-136"/>
              <w:rPr>
                <w:rFonts w:ascii="Arial" w:hAnsi="Arial"/>
                <w:color w:val="000000" w:themeColor="text1"/>
                <w:sz w:val="20"/>
              </w:rPr>
            </w:pPr>
            <w:r w:rsidRPr="00444E9A">
              <w:rPr>
                <w:rFonts w:ascii="Arial" w:hAnsi="Arial"/>
                <w:color w:val="000000" w:themeColor="text1"/>
                <w:sz w:val="20"/>
              </w:rPr>
              <w:t>FRSR</w:t>
            </w:r>
          </w:p>
        </w:tc>
        <w:tc>
          <w:tcPr>
            <w:tcW w:w="2200" w:type="dxa"/>
            <w:tcBorders>
              <w:top w:val="single" w:sz="4" w:space="0" w:color="auto"/>
              <w:left w:val="single" w:sz="4" w:space="0" w:color="auto"/>
              <w:bottom w:val="nil"/>
              <w:right w:val="single" w:sz="4" w:space="0" w:color="auto"/>
            </w:tcBorders>
            <w:shd w:val="clear" w:color="auto" w:fill="auto"/>
            <w:noWrap/>
            <w:vAlign w:val="bottom"/>
          </w:tcPr>
          <w:p w:rsidR="003365DD" w:rsidRPr="00444E9A" w:rsidP="003365DD" w14:paraId="587EDEFD" w14:textId="77777777">
            <w:pPr>
              <w:ind w:right="-110"/>
              <w:rPr>
                <w:rFonts w:ascii="Arial" w:hAnsi="Arial"/>
                <w:sz w:val="20"/>
              </w:rPr>
            </w:pPr>
            <w:r w:rsidRPr="00444E9A">
              <w:rPr>
                <w:rFonts w:ascii="Arial" w:hAnsi="Arial"/>
                <w:sz w:val="20"/>
              </w:rPr>
              <w:t>SCs</w:t>
            </w:r>
          </w:p>
        </w:tc>
        <w:tc>
          <w:tcPr>
            <w:tcW w:w="1080" w:type="dxa"/>
            <w:vMerge/>
            <w:tcBorders>
              <w:top w:val="single" w:sz="4" w:space="0" w:color="auto"/>
              <w:left w:val="single" w:sz="4" w:space="0" w:color="auto"/>
              <w:bottom w:val="single" w:sz="4" w:space="0" w:color="000000"/>
              <w:right w:val="single" w:sz="4" w:space="0" w:color="auto"/>
            </w:tcBorders>
            <w:vAlign w:val="center"/>
          </w:tcPr>
          <w:p w:rsidR="003365DD" w:rsidRPr="00444E9A" w:rsidP="003365DD" w14:paraId="163D784A" w14:textId="77777777">
            <w:pPr>
              <w:rPr>
                <w:rFonts w:ascii="Arial" w:hAnsi="Arial"/>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4F3C6355" w14:textId="77777777">
            <w:pPr>
              <w:jc w:val="right"/>
              <w:rPr>
                <w:rFonts w:ascii="Arial" w:hAnsi="Arial"/>
                <w:sz w:val="20"/>
              </w:rPr>
            </w:pPr>
            <w:r w:rsidRPr="00444E9A">
              <w:rPr>
                <w:rFonts w:ascii="Arial" w:hAnsi="Arial"/>
                <w:sz w:val="20"/>
              </w:rPr>
              <w:t>82</w:t>
            </w:r>
          </w:p>
        </w:tc>
        <w:tc>
          <w:tcPr>
            <w:tcW w:w="1080" w:type="dxa"/>
            <w:tcBorders>
              <w:top w:val="single" w:sz="4" w:space="0" w:color="auto"/>
              <w:left w:val="nil"/>
              <w:bottom w:val="single" w:sz="4" w:space="0" w:color="auto"/>
              <w:right w:val="nil"/>
            </w:tcBorders>
            <w:shd w:val="clear" w:color="auto" w:fill="auto"/>
            <w:noWrap/>
            <w:vAlign w:val="bottom"/>
          </w:tcPr>
          <w:p w:rsidR="003365DD" w:rsidRPr="00444E9A" w:rsidP="003365DD" w14:paraId="5ABB9369" w14:textId="77777777">
            <w:pPr>
              <w:jc w:val="right"/>
              <w:rPr>
                <w:rFonts w:ascii="Arial" w:hAnsi="Arial"/>
                <w:sz w:val="20"/>
              </w:rPr>
            </w:pPr>
            <w:r w:rsidRPr="00444E9A">
              <w:rPr>
                <w:rFonts w:ascii="Arial" w:hAnsi="Arial"/>
                <w:sz w:val="20"/>
              </w:rPr>
              <w:t>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691313AF" w14:textId="77777777">
            <w:pPr>
              <w:jc w:val="right"/>
              <w:rPr>
                <w:rFonts w:ascii="Arial" w:hAnsi="Arial"/>
                <w:sz w:val="20"/>
              </w:rPr>
            </w:pPr>
            <w:r w:rsidRPr="00444E9A">
              <w:rPr>
                <w:rFonts w:ascii="Arial" w:hAnsi="Arial"/>
                <w:sz w:val="20"/>
              </w:rPr>
              <w:t>7</w:t>
            </w:r>
          </w:p>
        </w:tc>
        <w:tc>
          <w:tcPr>
            <w:tcW w:w="1170" w:type="dxa"/>
            <w:tcBorders>
              <w:top w:val="single" w:sz="4" w:space="0" w:color="auto"/>
              <w:left w:val="nil"/>
              <w:bottom w:val="single" w:sz="4" w:space="0" w:color="auto"/>
              <w:right w:val="nil"/>
            </w:tcBorders>
            <w:shd w:val="clear" w:color="auto" w:fill="auto"/>
            <w:noWrap/>
            <w:vAlign w:val="bottom"/>
          </w:tcPr>
          <w:p w:rsidR="003365DD" w:rsidRPr="00444E9A" w:rsidP="003365DD" w14:paraId="1BE71A09" w14:textId="77777777">
            <w:pPr>
              <w:jc w:val="right"/>
              <w:rPr>
                <w:rFonts w:ascii="Arial" w:hAnsi="Arial"/>
                <w:sz w:val="20"/>
              </w:rPr>
            </w:pPr>
            <w:r w:rsidRPr="00444E9A">
              <w:rPr>
                <w:rFonts w:ascii="Arial" w:hAnsi="Arial"/>
                <w:sz w:val="20"/>
              </w:rPr>
              <w:t>96</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0BDE8F9C" w14:textId="77777777">
            <w:pPr>
              <w:jc w:val="right"/>
              <w:rPr>
                <w:rFonts w:ascii="Arial" w:hAnsi="Arial"/>
                <w:sz w:val="20"/>
              </w:rPr>
            </w:pPr>
            <w:r w:rsidRPr="00444E9A">
              <w:rPr>
                <w:rFonts w:ascii="Arial" w:hAnsi="Arial"/>
                <w:sz w:val="20"/>
              </w:rPr>
              <w:t>8</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365DD" w:rsidRPr="00444E9A" w:rsidP="003365DD" w14:paraId="7437F9F5" w14:textId="77777777">
            <w:pPr>
              <w:jc w:val="right"/>
              <w:rPr>
                <w:rFonts w:ascii="Arial" w:hAnsi="Arial"/>
                <w:sz w:val="20"/>
              </w:rPr>
            </w:pPr>
            <w:r w:rsidRPr="00444E9A">
              <w:rPr>
                <w:rFonts w:ascii="Arial" w:hAnsi="Arial"/>
                <w:sz w:val="20"/>
              </w:rPr>
              <w:t>3</w:t>
            </w:r>
          </w:p>
        </w:tc>
        <w:tc>
          <w:tcPr>
            <w:tcW w:w="1346" w:type="dxa"/>
            <w:tcBorders>
              <w:top w:val="single" w:sz="4" w:space="0" w:color="auto"/>
              <w:left w:val="single" w:sz="4" w:space="0" w:color="auto"/>
              <w:bottom w:val="single" w:sz="4" w:space="0" w:color="auto"/>
              <w:right w:val="single" w:sz="4" w:space="0" w:color="auto"/>
            </w:tcBorders>
          </w:tcPr>
          <w:p w:rsidR="003365DD" w:rsidRPr="00444E9A" w:rsidP="003365DD" w14:paraId="5B51D71E" w14:textId="1C8417D6">
            <w:pPr>
              <w:jc w:val="right"/>
              <w:rPr>
                <w:rFonts w:ascii="Arial" w:hAnsi="Arial"/>
                <w:sz w:val="20"/>
              </w:rPr>
            </w:pPr>
            <w:r w:rsidRPr="00444E9A">
              <w:rPr>
                <w:rFonts w:ascii="Arial" w:hAnsi="Arial"/>
                <w:sz w:val="20"/>
              </w:rPr>
              <w:t>$76.35</w:t>
            </w:r>
          </w:p>
        </w:tc>
        <w:tc>
          <w:tcPr>
            <w:tcW w:w="1354" w:type="dxa"/>
            <w:tcBorders>
              <w:top w:val="single" w:sz="4" w:space="0" w:color="auto"/>
              <w:left w:val="single" w:sz="4" w:space="0" w:color="auto"/>
              <w:bottom w:val="single" w:sz="4" w:space="0" w:color="auto"/>
              <w:right w:val="single" w:sz="4" w:space="0" w:color="auto"/>
            </w:tcBorders>
          </w:tcPr>
          <w:p w:rsidR="003365DD" w:rsidRPr="00444E9A" w:rsidP="003365DD" w14:paraId="436549F2" w14:textId="129323E4">
            <w:pPr>
              <w:jc w:val="right"/>
              <w:rPr>
                <w:rFonts w:ascii="Arial" w:hAnsi="Arial"/>
                <w:sz w:val="20"/>
              </w:rPr>
            </w:pPr>
            <w:r w:rsidRPr="00444E9A">
              <w:rPr>
                <w:rFonts w:ascii="Arial" w:hAnsi="Arial"/>
                <w:sz w:val="20"/>
              </w:rPr>
              <w:t xml:space="preserve"> $203 </w:t>
            </w:r>
          </w:p>
        </w:tc>
      </w:tr>
      <w:tr w14:paraId="06119F5D" w14:textId="1FD29CEA" w:rsidTr="00A2739A">
        <w:tblPrEx>
          <w:tblW w:w="14130" w:type="dxa"/>
          <w:tblInd w:w="-450" w:type="dxa"/>
          <w:tblLayout w:type="fixed"/>
          <w:tblLook w:val="04A0"/>
        </w:tblPrEx>
        <w:trPr>
          <w:trHeight w:val="254"/>
        </w:trPr>
        <w:tc>
          <w:tcPr>
            <w:tcW w:w="1310"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3365DD" w:rsidRPr="00444E9A" w:rsidP="003365DD" w14:paraId="360A6B1B" w14:textId="77777777">
            <w:pPr>
              <w:ind w:right="-136"/>
              <w:rPr>
                <w:rFonts w:ascii="Arial" w:hAnsi="Arial"/>
                <w:color w:val="000000" w:themeColor="text1"/>
                <w:sz w:val="20"/>
              </w:rPr>
            </w:pPr>
            <w:r w:rsidRPr="00444E9A">
              <w:rPr>
                <w:rFonts w:ascii="Arial" w:hAnsi="Arial"/>
                <w:color w:val="000000" w:themeColor="text1"/>
                <w:sz w:val="20"/>
              </w:rPr>
              <w:t>PTPR</w:t>
            </w:r>
          </w:p>
        </w:tc>
        <w:tc>
          <w:tcPr>
            <w:tcW w:w="2200" w:type="dxa"/>
            <w:tcBorders>
              <w:top w:val="single" w:sz="4" w:space="0" w:color="auto"/>
              <w:left w:val="single" w:sz="4" w:space="0" w:color="auto"/>
              <w:bottom w:val="nil"/>
              <w:right w:val="single" w:sz="4" w:space="0" w:color="auto"/>
            </w:tcBorders>
            <w:shd w:val="clear" w:color="auto" w:fill="auto"/>
            <w:noWrap/>
            <w:vAlign w:val="bottom"/>
            <w:hideMark/>
          </w:tcPr>
          <w:p w:rsidR="003365DD" w:rsidRPr="00444E9A" w:rsidP="003365DD" w14:paraId="48BBAB66" w14:textId="77777777">
            <w:pPr>
              <w:ind w:right="-110"/>
              <w:rPr>
                <w:rFonts w:ascii="Arial" w:hAnsi="Arial"/>
                <w:color w:val="000000" w:themeColor="text1"/>
                <w:sz w:val="20"/>
              </w:rPr>
            </w:pPr>
            <w:r w:rsidRPr="00444E9A">
              <w:rPr>
                <w:rFonts w:ascii="Arial" w:hAnsi="Arial"/>
                <w:sz w:val="20"/>
              </w:rPr>
              <w:t>SSEs</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3365DD" w:rsidRPr="00444E9A" w:rsidP="003365DD" w14:paraId="62AB318F" w14:textId="77777777">
            <w:pPr>
              <w:rPr>
                <w:rFonts w:ascii="Arial" w:hAnsi="Arial"/>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5C991C0E" w14:textId="77777777">
            <w:pPr>
              <w:jc w:val="right"/>
              <w:rPr>
                <w:rFonts w:ascii="Arial" w:hAnsi="Arial"/>
                <w:color w:val="000000" w:themeColor="text1"/>
                <w:sz w:val="20"/>
              </w:rPr>
            </w:pPr>
            <w:r w:rsidRPr="00444E9A">
              <w:rPr>
                <w:rFonts w:ascii="Arial" w:hAnsi="Arial"/>
                <w:sz w:val="20"/>
              </w:rPr>
              <w:t>62,566</w:t>
            </w:r>
          </w:p>
        </w:tc>
        <w:tc>
          <w:tcPr>
            <w:tcW w:w="1080" w:type="dxa"/>
            <w:tcBorders>
              <w:top w:val="single" w:sz="4" w:space="0" w:color="auto"/>
              <w:left w:val="nil"/>
              <w:bottom w:val="single" w:sz="4" w:space="0" w:color="auto"/>
              <w:right w:val="nil"/>
            </w:tcBorders>
            <w:shd w:val="clear" w:color="auto" w:fill="auto"/>
            <w:noWrap/>
            <w:vAlign w:val="bottom"/>
          </w:tcPr>
          <w:p w:rsidR="003365DD" w:rsidRPr="00444E9A" w:rsidP="003365DD" w14:paraId="78D62E82" w14:textId="77777777">
            <w:pPr>
              <w:jc w:val="right"/>
              <w:rPr>
                <w:rFonts w:ascii="Arial" w:hAnsi="Arial"/>
                <w:color w:val="000000" w:themeColor="text1"/>
                <w:sz w:val="20"/>
              </w:rPr>
            </w:pPr>
            <w:r w:rsidRPr="00444E9A">
              <w:rPr>
                <w:rFonts w:ascii="Arial" w:hAnsi="Arial"/>
                <w:sz w:val="20"/>
              </w:rPr>
              <w:t>7,255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4BC320DF" w14:textId="77777777">
            <w:pPr>
              <w:jc w:val="right"/>
              <w:rPr>
                <w:rFonts w:ascii="Arial" w:hAnsi="Arial"/>
                <w:color w:val="000000" w:themeColor="text1"/>
                <w:sz w:val="20"/>
              </w:rPr>
            </w:pPr>
            <w:r w:rsidRPr="00444E9A">
              <w:rPr>
                <w:rFonts w:ascii="Arial" w:hAnsi="Arial"/>
                <w:sz w:val="20"/>
              </w:rPr>
              <w:t>7,276</w:t>
            </w:r>
          </w:p>
        </w:tc>
        <w:tc>
          <w:tcPr>
            <w:tcW w:w="1170" w:type="dxa"/>
            <w:tcBorders>
              <w:top w:val="single" w:sz="4" w:space="0" w:color="auto"/>
              <w:left w:val="nil"/>
              <w:bottom w:val="single" w:sz="4" w:space="0" w:color="auto"/>
              <w:right w:val="nil"/>
            </w:tcBorders>
            <w:shd w:val="clear" w:color="auto" w:fill="auto"/>
            <w:noWrap/>
            <w:vAlign w:val="bottom"/>
          </w:tcPr>
          <w:p w:rsidR="003365DD" w:rsidRPr="00444E9A" w:rsidP="003365DD" w14:paraId="17D0D75E" w14:textId="77777777">
            <w:pPr>
              <w:jc w:val="right"/>
              <w:rPr>
                <w:rFonts w:ascii="Arial" w:hAnsi="Arial"/>
                <w:color w:val="000000" w:themeColor="text1"/>
                <w:sz w:val="20"/>
              </w:rPr>
            </w:pPr>
            <w:r w:rsidRPr="00444E9A">
              <w:rPr>
                <w:rFonts w:ascii="Arial" w:hAnsi="Arial"/>
                <w:sz w:val="20"/>
              </w:rPr>
              <w:t>77,097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41E2E825" w14:textId="77777777">
            <w:pPr>
              <w:jc w:val="right"/>
              <w:rPr>
                <w:rFonts w:ascii="Arial" w:hAnsi="Arial"/>
                <w:color w:val="000000" w:themeColor="text1"/>
                <w:sz w:val="20"/>
              </w:rPr>
            </w:pPr>
            <w:r w:rsidRPr="00444E9A">
              <w:rPr>
                <w:rFonts w:ascii="Arial" w:hAnsi="Arial"/>
                <w:sz w:val="20"/>
              </w:rPr>
              <w:t>6,425</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365DD" w:rsidRPr="00444E9A" w:rsidP="003365DD" w14:paraId="38F0B9B8" w14:textId="77777777">
            <w:pPr>
              <w:jc w:val="right"/>
              <w:rPr>
                <w:rFonts w:ascii="Arial" w:hAnsi="Arial"/>
                <w:color w:val="000000" w:themeColor="text1"/>
                <w:sz w:val="20"/>
              </w:rPr>
            </w:pPr>
            <w:r w:rsidRPr="00444E9A">
              <w:rPr>
                <w:rFonts w:ascii="Arial" w:hAnsi="Arial"/>
                <w:sz w:val="20"/>
              </w:rPr>
              <w:t>2,142</w:t>
            </w:r>
          </w:p>
        </w:tc>
        <w:tc>
          <w:tcPr>
            <w:tcW w:w="1346" w:type="dxa"/>
            <w:tcBorders>
              <w:top w:val="single" w:sz="4" w:space="0" w:color="auto"/>
              <w:left w:val="single" w:sz="4" w:space="0" w:color="auto"/>
              <w:bottom w:val="single" w:sz="4" w:space="0" w:color="auto"/>
              <w:right w:val="single" w:sz="4" w:space="0" w:color="auto"/>
            </w:tcBorders>
          </w:tcPr>
          <w:p w:rsidR="003365DD" w:rsidRPr="00444E9A" w:rsidP="003365DD" w14:paraId="0ED00550" w14:textId="31D4AFAE">
            <w:pPr>
              <w:jc w:val="right"/>
              <w:rPr>
                <w:rFonts w:ascii="Arial" w:hAnsi="Arial"/>
                <w:sz w:val="20"/>
              </w:rPr>
            </w:pPr>
            <w:r w:rsidRPr="00444E9A">
              <w:rPr>
                <w:rFonts w:ascii="Arial" w:hAnsi="Arial"/>
                <w:sz w:val="20"/>
              </w:rPr>
              <w:t>$38.98</w:t>
            </w:r>
          </w:p>
        </w:tc>
        <w:tc>
          <w:tcPr>
            <w:tcW w:w="1354" w:type="dxa"/>
            <w:tcBorders>
              <w:top w:val="single" w:sz="4" w:space="0" w:color="auto"/>
              <w:left w:val="single" w:sz="4" w:space="0" w:color="auto"/>
              <w:bottom w:val="single" w:sz="4" w:space="0" w:color="auto"/>
              <w:right w:val="single" w:sz="4" w:space="0" w:color="auto"/>
            </w:tcBorders>
          </w:tcPr>
          <w:p w:rsidR="003365DD" w:rsidRPr="00444E9A" w:rsidP="003365DD" w14:paraId="6DDA7042" w14:textId="4764757C">
            <w:pPr>
              <w:jc w:val="right"/>
              <w:rPr>
                <w:rFonts w:ascii="Arial" w:hAnsi="Arial"/>
                <w:sz w:val="20"/>
              </w:rPr>
            </w:pPr>
            <w:r w:rsidRPr="00444E9A">
              <w:rPr>
                <w:rFonts w:ascii="Arial" w:hAnsi="Arial"/>
                <w:sz w:val="20"/>
              </w:rPr>
              <w:t xml:space="preserve"> $83,482 </w:t>
            </w:r>
          </w:p>
        </w:tc>
      </w:tr>
      <w:tr w14:paraId="06274B46" w14:textId="7011771B" w:rsidTr="00A2739A">
        <w:tblPrEx>
          <w:tblW w:w="14130" w:type="dxa"/>
          <w:tblInd w:w="-450" w:type="dxa"/>
          <w:tblLayout w:type="fixed"/>
          <w:tblLook w:val="04A0"/>
        </w:tblPrEx>
        <w:trPr>
          <w:trHeight w:val="254"/>
        </w:trPr>
        <w:tc>
          <w:tcPr>
            <w:tcW w:w="1310" w:type="dxa"/>
            <w:vMerge/>
            <w:tcBorders>
              <w:top w:val="single" w:sz="4" w:space="0" w:color="auto"/>
              <w:left w:val="single" w:sz="4" w:space="0" w:color="auto"/>
              <w:bottom w:val="single" w:sz="4" w:space="0" w:color="000000"/>
              <w:right w:val="nil"/>
            </w:tcBorders>
            <w:vAlign w:val="center"/>
            <w:hideMark/>
          </w:tcPr>
          <w:p w:rsidR="003365DD" w:rsidRPr="00444E9A" w:rsidP="003365DD" w14:paraId="6D1B6C41" w14:textId="77777777">
            <w:pPr>
              <w:ind w:right="-136"/>
              <w:rPr>
                <w:rFonts w:ascii="Arial" w:hAnsi="Arial"/>
                <w:color w:val="000000" w:themeColor="text1"/>
                <w:sz w:val="20"/>
              </w:rPr>
            </w:pPr>
          </w:p>
        </w:tc>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3365DD" w:rsidRPr="00444E9A" w:rsidP="003365DD" w14:paraId="5014DFAA" w14:textId="77777777">
            <w:pPr>
              <w:ind w:right="-110"/>
              <w:rPr>
                <w:rFonts w:ascii="Arial" w:hAnsi="Arial"/>
                <w:color w:val="000000" w:themeColor="text1"/>
                <w:sz w:val="20"/>
              </w:rPr>
            </w:pPr>
            <w:r w:rsidRPr="00444E9A">
              <w:rPr>
                <w:rFonts w:ascii="Arial" w:hAnsi="Arial"/>
                <w:sz w:val="20"/>
              </w:rPr>
              <w:t>SCs</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3365DD" w:rsidRPr="00444E9A" w:rsidP="003365DD" w14:paraId="4BD565E2" w14:textId="77777777">
            <w:pPr>
              <w:rPr>
                <w:rFonts w:ascii="Arial" w:hAnsi="Arial"/>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54B262DF" w14:textId="77777777">
            <w:pPr>
              <w:jc w:val="right"/>
              <w:rPr>
                <w:rFonts w:ascii="Arial" w:hAnsi="Arial"/>
                <w:color w:val="000000" w:themeColor="text1"/>
                <w:sz w:val="20"/>
              </w:rPr>
            </w:pPr>
            <w:r w:rsidRPr="00444E9A">
              <w:rPr>
                <w:rFonts w:ascii="Arial" w:hAnsi="Arial"/>
                <w:sz w:val="20"/>
              </w:rPr>
              <w:t>42</w:t>
            </w:r>
          </w:p>
        </w:tc>
        <w:tc>
          <w:tcPr>
            <w:tcW w:w="1080" w:type="dxa"/>
            <w:tcBorders>
              <w:top w:val="single" w:sz="4" w:space="0" w:color="auto"/>
              <w:left w:val="nil"/>
              <w:bottom w:val="single" w:sz="4" w:space="0" w:color="auto"/>
              <w:right w:val="nil"/>
            </w:tcBorders>
            <w:shd w:val="clear" w:color="auto" w:fill="auto"/>
            <w:noWrap/>
            <w:vAlign w:val="bottom"/>
          </w:tcPr>
          <w:p w:rsidR="003365DD" w:rsidRPr="00444E9A" w:rsidP="003365DD" w14:paraId="5A87E1B2" w14:textId="77777777">
            <w:pPr>
              <w:jc w:val="right"/>
              <w:rPr>
                <w:rFonts w:ascii="Arial" w:hAnsi="Arial"/>
                <w:color w:val="000000" w:themeColor="text1"/>
                <w:sz w:val="20"/>
              </w:rPr>
            </w:pPr>
            <w:r w:rsidRPr="00444E9A">
              <w:rPr>
                <w:rFonts w:ascii="Arial" w:hAnsi="Arial"/>
                <w:sz w:val="20"/>
              </w:rPr>
              <w:t>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29EA5DF4" w14:textId="77777777">
            <w:pPr>
              <w:jc w:val="right"/>
              <w:rPr>
                <w:rFonts w:ascii="Arial" w:hAnsi="Arial"/>
                <w:color w:val="000000" w:themeColor="text1"/>
                <w:sz w:val="20"/>
              </w:rPr>
            </w:pPr>
            <w:r w:rsidRPr="00444E9A">
              <w:rPr>
                <w:rFonts w:ascii="Arial" w:hAnsi="Arial"/>
                <w:sz w:val="20"/>
              </w:rPr>
              <w:t>6</w:t>
            </w:r>
          </w:p>
        </w:tc>
        <w:tc>
          <w:tcPr>
            <w:tcW w:w="1170" w:type="dxa"/>
            <w:tcBorders>
              <w:top w:val="single" w:sz="4" w:space="0" w:color="auto"/>
              <w:left w:val="nil"/>
              <w:bottom w:val="single" w:sz="4" w:space="0" w:color="auto"/>
              <w:right w:val="nil"/>
            </w:tcBorders>
            <w:shd w:val="clear" w:color="auto" w:fill="auto"/>
            <w:noWrap/>
            <w:vAlign w:val="bottom"/>
          </w:tcPr>
          <w:p w:rsidR="003365DD" w:rsidRPr="00444E9A" w:rsidP="003365DD" w14:paraId="1F232FE3" w14:textId="77777777">
            <w:pPr>
              <w:jc w:val="right"/>
              <w:rPr>
                <w:rFonts w:ascii="Arial" w:hAnsi="Arial"/>
                <w:color w:val="000000" w:themeColor="text1"/>
                <w:sz w:val="20"/>
              </w:rPr>
            </w:pPr>
            <w:r w:rsidRPr="00444E9A">
              <w:rPr>
                <w:rFonts w:ascii="Arial" w:hAnsi="Arial"/>
                <w:sz w:val="20"/>
              </w:rPr>
              <w:t>54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23F0CD91" w14:textId="77777777">
            <w:pPr>
              <w:jc w:val="right"/>
              <w:rPr>
                <w:rFonts w:ascii="Arial" w:hAnsi="Arial"/>
                <w:color w:val="000000" w:themeColor="text1"/>
                <w:sz w:val="20"/>
              </w:rPr>
            </w:pPr>
            <w:r w:rsidRPr="00444E9A">
              <w:rPr>
                <w:rFonts w:ascii="Arial" w:hAnsi="Arial"/>
                <w:sz w:val="20"/>
              </w:rPr>
              <w:t>4</w:t>
            </w:r>
          </w:p>
        </w:tc>
        <w:tc>
          <w:tcPr>
            <w:tcW w:w="1260" w:type="dxa"/>
            <w:tcBorders>
              <w:top w:val="single" w:sz="4" w:space="0" w:color="auto"/>
              <w:left w:val="single" w:sz="4" w:space="0" w:color="auto"/>
              <w:bottom w:val="single" w:sz="4" w:space="0" w:color="auto"/>
            </w:tcBorders>
            <w:shd w:val="clear" w:color="auto" w:fill="auto"/>
            <w:noWrap/>
            <w:vAlign w:val="bottom"/>
          </w:tcPr>
          <w:p w:rsidR="003365DD" w:rsidRPr="00444E9A" w:rsidP="003365DD" w14:paraId="680AECB2" w14:textId="77777777">
            <w:pPr>
              <w:jc w:val="right"/>
              <w:rPr>
                <w:rFonts w:ascii="Arial" w:hAnsi="Arial"/>
                <w:color w:val="000000" w:themeColor="text1"/>
                <w:sz w:val="20"/>
              </w:rPr>
            </w:pPr>
            <w:r w:rsidRPr="00444E9A">
              <w:rPr>
                <w:rFonts w:ascii="Arial" w:hAnsi="Arial"/>
                <w:sz w:val="20"/>
              </w:rPr>
              <w:t>1</w:t>
            </w:r>
          </w:p>
        </w:tc>
        <w:tc>
          <w:tcPr>
            <w:tcW w:w="1346" w:type="dxa"/>
            <w:tcBorders>
              <w:top w:val="single" w:sz="4" w:space="0" w:color="auto"/>
              <w:left w:val="single" w:sz="4" w:space="0" w:color="auto"/>
              <w:bottom w:val="single" w:sz="4" w:space="0" w:color="auto"/>
            </w:tcBorders>
          </w:tcPr>
          <w:p w:rsidR="003365DD" w:rsidRPr="00444E9A" w:rsidP="003365DD" w14:paraId="0F9441E8" w14:textId="73FBF6A0">
            <w:pPr>
              <w:jc w:val="right"/>
              <w:rPr>
                <w:rFonts w:ascii="Arial" w:hAnsi="Arial"/>
                <w:sz w:val="20"/>
              </w:rPr>
            </w:pPr>
            <w:r w:rsidRPr="00444E9A">
              <w:rPr>
                <w:rFonts w:ascii="Arial" w:hAnsi="Arial"/>
                <w:sz w:val="20"/>
              </w:rPr>
              <w:t>$88.41</w:t>
            </w:r>
          </w:p>
        </w:tc>
        <w:tc>
          <w:tcPr>
            <w:tcW w:w="1354" w:type="dxa"/>
            <w:tcBorders>
              <w:top w:val="single" w:sz="4" w:space="0" w:color="auto"/>
              <w:left w:val="single" w:sz="4" w:space="0" w:color="auto"/>
              <w:bottom w:val="single" w:sz="4" w:space="0" w:color="auto"/>
              <w:right w:val="single" w:sz="4" w:space="0" w:color="auto"/>
            </w:tcBorders>
          </w:tcPr>
          <w:p w:rsidR="003365DD" w:rsidRPr="00444E9A" w:rsidP="003365DD" w14:paraId="69132CA2" w14:textId="24315D80">
            <w:pPr>
              <w:jc w:val="right"/>
              <w:rPr>
                <w:rFonts w:ascii="Arial" w:hAnsi="Arial"/>
                <w:sz w:val="20"/>
              </w:rPr>
            </w:pPr>
            <w:r w:rsidRPr="00444E9A">
              <w:rPr>
                <w:rFonts w:ascii="Arial" w:hAnsi="Arial"/>
                <w:sz w:val="20"/>
              </w:rPr>
              <w:t xml:space="preserve"> $132 </w:t>
            </w:r>
          </w:p>
        </w:tc>
      </w:tr>
      <w:tr w14:paraId="4B8652DF" w14:textId="1FA43D5D" w:rsidTr="00351517">
        <w:tblPrEx>
          <w:tblW w:w="14130" w:type="dxa"/>
          <w:tblInd w:w="-450" w:type="dxa"/>
          <w:tblLayout w:type="fixed"/>
          <w:tblLook w:val="04A0"/>
        </w:tblPrEx>
        <w:trPr>
          <w:trHeight w:val="254"/>
        </w:trPr>
        <w:tc>
          <w:tcPr>
            <w:tcW w:w="1310" w:type="dxa"/>
            <w:tcBorders>
              <w:top w:val="nil"/>
              <w:left w:val="single" w:sz="4" w:space="0" w:color="auto"/>
              <w:bottom w:val="single" w:sz="4" w:space="0" w:color="auto"/>
              <w:right w:val="nil"/>
            </w:tcBorders>
            <w:shd w:val="clear" w:color="auto" w:fill="auto"/>
            <w:noWrap/>
            <w:vAlign w:val="center"/>
            <w:hideMark/>
          </w:tcPr>
          <w:p w:rsidR="003365DD" w:rsidRPr="00444E9A" w:rsidP="003365DD" w14:paraId="2C7F7168" w14:textId="77777777">
            <w:pPr>
              <w:ind w:right="-136"/>
              <w:rPr>
                <w:rFonts w:ascii="Arial" w:hAnsi="Arial"/>
                <w:color w:val="000000" w:themeColor="text1"/>
                <w:sz w:val="20"/>
              </w:rPr>
            </w:pPr>
            <w:r w:rsidRPr="00444E9A">
              <w:rPr>
                <w:rFonts w:ascii="Arial" w:hAnsi="Arial"/>
                <w:color w:val="000000" w:themeColor="text1"/>
                <w:sz w:val="20"/>
              </w:rPr>
              <w:t xml:space="preserve">OTRB </w:t>
            </w:r>
          </w:p>
        </w:tc>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3365DD" w:rsidRPr="00444E9A" w:rsidP="003365DD" w14:paraId="302E665E" w14:textId="77777777">
            <w:pPr>
              <w:ind w:right="-110"/>
              <w:rPr>
                <w:rFonts w:ascii="Arial" w:hAnsi="Arial"/>
                <w:color w:val="000000" w:themeColor="text1"/>
                <w:sz w:val="20"/>
              </w:rPr>
            </w:pPr>
            <w:r w:rsidRPr="00444E9A">
              <w:rPr>
                <w:rFonts w:ascii="Arial" w:hAnsi="Arial"/>
                <w:sz w:val="20"/>
              </w:rPr>
              <w:t>SCs</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365DD" w:rsidRPr="00444E9A" w:rsidP="003365DD" w14:paraId="7F19F7D7" w14:textId="77777777">
            <w:pPr>
              <w:rPr>
                <w:rFonts w:ascii="Arial" w:hAnsi="Arial"/>
                <w:color w:val="000000" w:themeColor="text1"/>
                <w:sz w:val="2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3365DD" w:rsidRPr="00444E9A" w:rsidP="003365DD" w14:paraId="2245EF30" w14:textId="77777777">
            <w:pPr>
              <w:jc w:val="right"/>
              <w:rPr>
                <w:rFonts w:ascii="Arial" w:hAnsi="Arial"/>
                <w:color w:val="000000" w:themeColor="text1"/>
                <w:sz w:val="20"/>
              </w:rPr>
            </w:pPr>
            <w:r w:rsidRPr="00444E9A">
              <w:rPr>
                <w:rFonts w:ascii="Arial" w:hAnsi="Arial"/>
                <w:color w:val="000000" w:themeColor="text1"/>
                <w:sz w:val="20"/>
              </w:rPr>
              <w:t>54</w:t>
            </w:r>
          </w:p>
        </w:tc>
        <w:tc>
          <w:tcPr>
            <w:tcW w:w="1080" w:type="dxa"/>
            <w:tcBorders>
              <w:top w:val="single" w:sz="4" w:space="0" w:color="auto"/>
              <w:left w:val="nil"/>
              <w:bottom w:val="single" w:sz="4" w:space="0" w:color="auto"/>
              <w:right w:val="nil"/>
            </w:tcBorders>
            <w:shd w:val="clear" w:color="auto" w:fill="auto"/>
            <w:noWrap/>
            <w:vAlign w:val="bottom"/>
          </w:tcPr>
          <w:p w:rsidR="003365DD" w:rsidRPr="00444E9A" w:rsidP="003365DD" w14:paraId="6FF5D67B" w14:textId="77777777">
            <w:pPr>
              <w:jc w:val="right"/>
              <w:rPr>
                <w:rFonts w:ascii="Arial" w:hAnsi="Arial"/>
                <w:color w:val="000000" w:themeColor="text1"/>
                <w:sz w:val="20"/>
              </w:rPr>
            </w:pPr>
            <w:r w:rsidRPr="00444E9A">
              <w:rPr>
                <w:rFonts w:ascii="Arial" w:hAnsi="Arial"/>
                <w:color w:val="000000" w:themeColor="text1"/>
                <w:sz w:val="20"/>
              </w:rPr>
              <w:t>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453228EA" w14:textId="77777777">
            <w:pPr>
              <w:jc w:val="right"/>
              <w:rPr>
                <w:rFonts w:ascii="Arial" w:hAnsi="Arial"/>
                <w:color w:val="000000" w:themeColor="text1"/>
                <w:sz w:val="20"/>
              </w:rPr>
            </w:pPr>
            <w:r w:rsidRPr="00444E9A">
              <w:rPr>
                <w:rFonts w:ascii="Arial" w:hAnsi="Arial"/>
                <w:color w:val="000000" w:themeColor="text1"/>
                <w:sz w:val="20"/>
              </w:rPr>
              <w:t>7</w:t>
            </w:r>
          </w:p>
        </w:tc>
        <w:tc>
          <w:tcPr>
            <w:tcW w:w="1170" w:type="dxa"/>
            <w:tcBorders>
              <w:top w:val="single" w:sz="4" w:space="0" w:color="auto"/>
              <w:left w:val="nil"/>
              <w:bottom w:val="single" w:sz="4" w:space="0" w:color="auto"/>
              <w:right w:val="nil"/>
            </w:tcBorders>
            <w:shd w:val="clear" w:color="auto" w:fill="auto"/>
            <w:noWrap/>
            <w:vAlign w:val="bottom"/>
          </w:tcPr>
          <w:p w:rsidR="003365DD" w:rsidRPr="00444E9A" w:rsidP="003365DD" w14:paraId="30587924" w14:textId="77777777">
            <w:pPr>
              <w:jc w:val="right"/>
              <w:rPr>
                <w:rFonts w:ascii="Arial" w:hAnsi="Arial"/>
                <w:color w:val="000000" w:themeColor="text1"/>
                <w:sz w:val="20"/>
              </w:rPr>
            </w:pPr>
            <w:r w:rsidRPr="00444E9A">
              <w:rPr>
                <w:rFonts w:ascii="Arial" w:hAnsi="Arial"/>
                <w:color w:val="000000" w:themeColor="text1"/>
                <w:sz w:val="20"/>
              </w:rPr>
              <w:t>69</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5DD" w:rsidRPr="00444E9A" w:rsidP="003365DD" w14:paraId="4D2C35A4" w14:textId="77777777">
            <w:pPr>
              <w:jc w:val="right"/>
              <w:rPr>
                <w:rFonts w:ascii="Arial" w:hAnsi="Arial"/>
                <w:color w:val="000000" w:themeColor="text1"/>
                <w:sz w:val="20"/>
              </w:rPr>
            </w:pPr>
            <w:r w:rsidRPr="00444E9A">
              <w:rPr>
                <w:rFonts w:ascii="Arial" w:hAnsi="Arial"/>
                <w:color w:val="000000" w:themeColor="text1"/>
                <w:sz w:val="20"/>
              </w:rPr>
              <w:t>6</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365DD" w:rsidRPr="00444E9A" w:rsidP="003365DD" w14:paraId="3412AD12" w14:textId="77777777">
            <w:pPr>
              <w:jc w:val="right"/>
              <w:rPr>
                <w:rFonts w:ascii="Arial" w:hAnsi="Arial"/>
                <w:color w:val="000000" w:themeColor="text1"/>
                <w:sz w:val="20"/>
              </w:rPr>
            </w:pPr>
            <w:r w:rsidRPr="00444E9A">
              <w:rPr>
                <w:rFonts w:ascii="Arial" w:hAnsi="Arial"/>
                <w:color w:val="000000" w:themeColor="text1"/>
                <w:sz w:val="20"/>
              </w:rPr>
              <w:t>2</w:t>
            </w:r>
          </w:p>
        </w:tc>
        <w:tc>
          <w:tcPr>
            <w:tcW w:w="1346" w:type="dxa"/>
            <w:tcBorders>
              <w:top w:val="single" w:sz="4" w:space="0" w:color="auto"/>
              <w:left w:val="single" w:sz="4" w:space="0" w:color="auto"/>
              <w:bottom w:val="single" w:sz="4" w:space="0" w:color="auto"/>
              <w:right w:val="single" w:sz="4" w:space="0" w:color="auto"/>
            </w:tcBorders>
          </w:tcPr>
          <w:p w:rsidR="003365DD" w:rsidRPr="00444E9A" w:rsidP="003365DD" w14:paraId="392ABD79" w14:textId="14DCB744">
            <w:pPr>
              <w:jc w:val="right"/>
              <w:rPr>
                <w:rFonts w:ascii="Arial" w:hAnsi="Arial"/>
                <w:color w:val="000000" w:themeColor="text1"/>
                <w:sz w:val="20"/>
              </w:rPr>
            </w:pPr>
            <w:r w:rsidRPr="00444E9A">
              <w:rPr>
                <w:rFonts w:ascii="Arial" w:hAnsi="Arial"/>
                <w:sz w:val="20"/>
              </w:rPr>
              <w:t>$69.63</w:t>
            </w:r>
          </w:p>
        </w:tc>
        <w:tc>
          <w:tcPr>
            <w:tcW w:w="1354" w:type="dxa"/>
            <w:tcBorders>
              <w:top w:val="single" w:sz="4" w:space="0" w:color="auto"/>
              <w:left w:val="single" w:sz="4" w:space="0" w:color="auto"/>
              <w:bottom w:val="single" w:sz="4" w:space="0" w:color="auto"/>
              <w:right w:val="single" w:sz="4" w:space="0" w:color="auto"/>
            </w:tcBorders>
          </w:tcPr>
          <w:p w:rsidR="003365DD" w:rsidRPr="00444E9A" w:rsidP="003365DD" w14:paraId="7AD2CB95" w14:textId="726F7548">
            <w:pPr>
              <w:jc w:val="right"/>
              <w:rPr>
                <w:rFonts w:ascii="Arial" w:hAnsi="Arial"/>
                <w:color w:val="000000" w:themeColor="text1"/>
                <w:sz w:val="20"/>
              </w:rPr>
            </w:pPr>
            <w:r w:rsidRPr="00444E9A">
              <w:rPr>
                <w:rFonts w:ascii="Arial" w:hAnsi="Arial"/>
                <w:sz w:val="20"/>
              </w:rPr>
              <w:t xml:space="preserve"> $133 </w:t>
            </w:r>
          </w:p>
        </w:tc>
      </w:tr>
      <w:tr w14:paraId="432BD754" w14:textId="03D9192E" w:rsidTr="00351517">
        <w:tblPrEx>
          <w:tblW w:w="14130" w:type="dxa"/>
          <w:tblInd w:w="-450" w:type="dxa"/>
          <w:tblLayout w:type="fixed"/>
          <w:tblLook w:val="04A0"/>
        </w:tblPrEx>
        <w:trPr>
          <w:trHeight w:val="254"/>
        </w:trPr>
        <w:tc>
          <w:tcPr>
            <w:tcW w:w="4590" w:type="dxa"/>
            <w:gridSpan w:val="3"/>
            <w:tcBorders>
              <w:top w:val="single" w:sz="4" w:space="0" w:color="auto"/>
              <w:left w:val="single" w:sz="4" w:space="0" w:color="auto"/>
              <w:bottom w:val="single" w:sz="4" w:space="0" w:color="auto"/>
              <w:right w:val="nil"/>
            </w:tcBorders>
            <w:shd w:val="clear" w:color="auto" w:fill="auto"/>
            <w:noWrap/>
            <w:vAlign w:val="bottom"/>
            <w:hideMark/>
          </w:tcPr>
          <w:p w:rsidR="00E25526" w:rsidRPr="00444E9A" w:rsidP="00C1734D" w14:paraId="7B260BDA" w14:textId="77777777">
            <w:pPr>
              <w:ind w:left="1418"/>
              <w:rPr>
                <w:rFonts w:ascii="Arial" w:hAnsi="Arial"/>
                <w:b/>
                <w:bCs/>
                <w:sz w:val="20"/>
              </w:rPr>
            </w:pPr>
            <w:r w:rsidRPr="00444E9A">
              <w:rPr>
                <w:rFonts w:ascii="Arial" w:hAnsi="Arial"/>
                <w:b/>
                <w:bCs/>
                <w:color w:val="000000" w:themeColor="text1"/>
                <w:sz w:val="20"/>
              </w:rPr>
              <w:t>Total</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5526" w:rsidRPr="00444E9A" w:rsidP="00C1734D" w14:paraId="7DA19809" w14:textId="77777777">
            <w:pPr>
              <w:jc w:val="right"/>
              <w:rPr>
                <w:rFonts w:ascii="Arial" w:hAnsi="Arial"/>
                <w:b/>
                <w:bCs/>
                <w:color w:val="000000" w:themeColor="text1"/>
                <w:sz w:val="20"/>
              </w:rPr>
            </w:pPr>
            <w:r w:rsidRPr="00444E9A">
              <w:rPr>
                <w:rFonts w:ascii="Arial" w:hAnsi="Arial"/>
                <w:b/>
                <w:bCs/>
                <w:sz w:val="20"/>
              </w:rPr>
              <w:t>741,985</w:t>
            </w:r>
          </w:p>
        </w:tc>
        <w:tc>
          <w:tcPr>
            <w:tcW w:w="1080" w:type="dxa"/>
            <w:tcBorders>
              <w:top w:val="single" w:sz="4" w:space="0" w:color="auto"/>
              <w:left w:val="nil"/>
              <w:bottom w:val="single" w:sz="4" w:space="0" w:color="auto"/>
              <w:right w:val="nil"/>
            </w:tcBorders>
            <w:shd w:val="clear" w:color="auto" w:fill="auto"/>
            <w:noWrap/>
            <w:vAlign w:val="bottom"/>
          </w:tcPr>
          <w:p w:rsidR="00E25526" w:rsidRPr="00444E9A" w:rsidP="00C1734D" w14:paraId="3B529C90" w14:textId="77777777">
            <w:pPr>
              <w:jc w:val="right"/>
              <w:rPr>
                <w:rFonts w:ascii="Arial" w:hAnsi="Arial"/>
                <w:b/>
                <w:bCs/>
                <w:color w:val="000000" w:themeColor="text1"/>
                <w:sz w:val="20"/>
              </w:rPr>
            </w:pPr>
            <w:r w:rsidRPr="00444E9A">
              <w:rPr>
                <w:rFonts w:ascii="Arial" w:hAnsi="Arial"/>
                <w:b/>
                <w:bCs/>
                <w:sz w:val="20"/>
              </w:rPr>
              <w:t>91,331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5526" w:rsidRPr="00444E9A" w:rsidP="00C1734D" w14:paraId="6B4D0D90" w14:textId="77777777">
            <w:pPr>
              <w:jc w:val="right"/>
              <w:rPr>
                <w:rFonts w:ascii="Arial" w:hAnsi="Arial"/>
                <w:b/>
                <w:bCs/>
                <w:color w:val="000000" w:themeColor="text1"/>
                <w:sz w:val="20"/>
              </w:rPr>
            </w:pPr>
            <w:r w:rsidRPr="00444E9A">
              <w:rPr>
                <w:rFonts w:ascii="Arial" w:hAnsi="Arial"/>
                <w:b/>
                <w:bCs/>
                <w:sz w:val="20"/>
              </w:rPr>
              <w:t>91,278</w:t>
            </w:r>
          </w:p>
        </w:tc>
        <w:tc>
          <w:tcPr>
            <w:tcW w:w="1170" w:type="dxa"/>
            <w:tcBorders>
              <w:top w:val="single" w:sz="4" w:space="0" w:color="auto"/>
              <w:left w:val="nil"/>
              <w:bottom w:val="single" w:sz="4" w:space="0" w:color="auto"/>
              <w:right w:val="nil"/>
            </w:tcBorders>
            <w:shd w:val="clear" w:color="auto" w:fill="auto"/>
            <w:noWrap/>
            <w:vAlign w:val="bottom"/>
            <w:hideMark/>
          </w:tcPr>
          <w:p w:rsidR="00E25526" w:rsidRPr="00444E9A" w:rsidP="00C1734D" w14:paraId="060E3192" w14:textId="77777777">
            <w:pPr>
              <w:jc w:val="right"/>
              <w:rPr>
                <w:rFonts w:ascii="Arial" w:hAnsi="Arial"/>
                <w:b/>
                <w:bCs/>
                <w:color w:val="000000" w:themeColor="text1"/>
                <w:sz w:val="20"/>
              </w:rPr>
            </w:pPr>
            <w:r w:rsidRPr="00444E9A">
              <w:rPr>
                <w:rFonts w:ascii="Arial" w:hAnsi="Arial"/>
                <w:b/>
                <w:bCs/>
                <w:sz w:val="20"/>
              </w:rPr>
              <w:t>924,594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5526" w:rsidRPr="00444E9A" w:rsidP="00C1734D" w14:paraId="69906303" w14:textId="77777777">
            <w:pPr>
              <w:jc w:val="right"/>
              <w:rPr>
                <w:rFonts w:ascii="Arial" w:hAnsi="Arial"/>
                <w:b/>
                <w:bCs/>
                <w:color w:val="000000" w:themeColor="text1"/>
                <w:sz w:val="20"/>
              </w:rPr>
            </w:pPr>
            <w:r w:rsidRPr="00444E9A">
              <w:rPr>
                <w:rFonts w:ascii="Arial" w:hAnsi="Arial"/>
                <w:b/>
                <w:bCs/>
                <w:sz w:val="20"/>
              </w:rPr>
              <w:t>544,035</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E25526" w:rsidRPr="00444E9A" w:rsidP="00C1734D" w14:paraId="63335409" w14:textId="77777777">
            <w:pPr>
              <w:jc w:val="right"/>
              <w:rPr>
                <w:rFonts w:ascii="Arial" w:hAnsi="Arial"/>
                <w:b/>
                <w:bCs/>
                <w:color w:val="000000" w:themeColor="text1"/>
                <w:sz w:val="20"/>
              </w:rPr>
            </w:pPr>
            <w:r w:rsidRPr="00444E9A">
              <w:rPr>
                <w:rFonts w:ascii="Arial" w:hAnsi="Arial"/>
                <w:b/>
                <w:bCs/>
                <w:sz w:val="20"/>
              </w:rPr>
              <w:t>181,345</w:t>
            </w:r>
          </w:p>
        </w:tc>
        <w:tc>
          <w:tcPr>
            <w:tcW w:w="1346" w:type="dxa"/>
            <w:tcBorders>
              <w:top w:val="single" w:sz="4" w:space="0" w:color="auto"/>
              <w:left w:val="single" w:sz="4" w:space="0" w:color="auto"/>
              <w:bottom w:val="single" w:sz="4" w:space="0" w:color="auto"/>
              <w:right w:val="single" w:sz="4" w:space="0" w:color="auto"/>
            </w:tcBorders>
          </w:tcPr>
          <w:p w:rsidR="00E25526" w:rsidRPr="00444E9A" w:rsidP="00C1734D" w14:paraId="7F1F964C" w14:textId="77777777">
            <w:pPr>
              <w:jc w:val="right"/>
              <w:rPr>
                <w:rFonts w:ascii="Arial" w:hAnsi="Arial"/>
                <w:b/>
                <w:bCs/>
                <w:sz w:val="20"/>
              </w:rPr>
            </w:pPr>
          </w:p>
        </w:tc>
        <w:tc>
          <w:tcPr>
            <w:tcW w:w="1354" w:type="dxa"/>
            <w:tcBorders>
              <w:top w:val="single" w:sz="4" w:space="0" w:color="auto"/>
              <w:left w:val="single" w:sz="4" w:space="0" w:color="auto"/>
              <w:bottom w:val="single" w:sz="4" w:space="0" w:color="auto"/>
              <w:right w:val="single" w:sz="4" w:space="0" w:color="auto"/>
            </w:tcBorders>
          </w:tcPr>
          <w:p w:rsidR="00E25526" w:rsidRPr="00444E9A" w:rsidP="00C1734D" w14:paraId="3AA7AB8A" w14:textId="2D4EFEB6">
            <w:pPr>
              <w:jc w:val="right"/>
              <w:rPr>
                <w:rFonts w:ascii="Arial" w:hAnsi="Arial"/>
                <w:b/>
                <w:bCs/>
                <w:sz w:val="20"/>
              </w:rPr>
            </w:pPr>
            <w:r w:rsidRPr="00444E9A">
              <w:rPr>
                <w:rFonts w:ascii="Arial" w:hAnsi="Arial"/>
                <w:b/>
                <w:bCs/>
                <w:sz w:val="20"/>
              </w:rPr>
              <w:t>$7,724,482</w:t>
            </w:r>
          </w:p>
        </w:tc>
      </w:tr>
    </w:tbl>
    <w:p w:rsidR="003E2B98" w:rsidRPr="00BA4FDF" w:rsidP="00F12AED" w14:paraId="50E81179" w14:textId="6F80B22B">
      <w:pPr>
        <w:keepNext/>
        <w:keepLines/>
        <w:rPr>
          <w:rFonts w:eastAsiaTheme="minorHAnsi" w:cstheme="minorBidi"/>
          <w:b/>
          <w:bCs/>
          <w:color w:val="auto"/>
          <w:sz w:val="20"/>
        </w:rPr>
      </w:pPr>
      <w:r w:rsidRPr="00BA4FDF">
        <w:rPr>
          <w:rFonts w:eastAsiaTheme="minorHAnsi" w:cstheme="minorBidi"/>
          <w:color w:val="auto"/>
          <w:sz w:val="20"/>
          <w:szCs w:val="22"/>
        </w:rPr>
        <w:t xml:space="preserve">Note: </w:t>
      </w:r>
      <w:r w:rsidR="00537546">
        <w:rPr>
          <w:rFonts w:eastAsiaTheme="minorHAnsi" w:cstheme="minorBidi"/>
          <w:color w:val="auto"/>
          <w:sz w:val="20"/>
          <w:szCs w:val="22"/>
        </w:rPr>
        <w:t>Calculations may not be exact due to rounding in the table</w:t>
      </w:r>
      <w:r w:rsidRPr="00BA4FDF">
        <w:rPr>
          <w:rFonts w:eastAsiaTheme="minorHAnsi" w:cstheme="minorBidi"/>
          <w:color w:val="auto"/>
          <w:sz w:val="20"/>
          <w:szCs w:val="22"/>
        </w:rPr>
        <w:t>.</w:t>
      </w:r>
    </w:p>
    <w:p w:rsidR="00790C6D" w:rsidP="000A7669" w14:paraId="49E6854C" w14:textId="56966DE9">
      <w:pPr>
        <w:tabs>
          <w:tab w:val="left" w:pos="360"/>
        </w:tabs>
        <w:rPr>
          <w:b/>
          <w:i/>
        </w:rPr>
      </w:pPr>
    </w:p>
    <w:p w:rsidR="00952702" w:rsidP="000A7669" w14:paraId="07B43EDF" w14:textId="77777777">
      <w:pPr>
        <w:tabs>
          <w:tab w:val="left" w:pos="360"/>
        </w:tabs>
        <w:ind w:left="360"/>
        <w:rPr>
          <w:rFonts w:ascii="Arial Narrow" w:hAnsi="Arial Narrow"/>
        </w:rPr>
        <w:sectPr w:rsidSect="00677CE6">
          <w:headerReference w:type="first" r:id="rId14"/>
          <w:pgSz w:w="15840" w:h="12240" w:orient="landscape" w:code="1"/>
          <w:pgMar w:top="1440" w:right="1440" w:bottom="1440" w:left="1440" w:header="720" w:footer="720" w:gutter="0"/>
          <w:cols w:space="720"/>
          <w:titlePg/>
          <w:docGrid w:linePitch="360"/>
        </w:sectPr>
      </w:pPr>
    </w:p>
    <w:p w:rsidR="002A1342" w:rsidP="000A7669" w14:paraId="359CAD32" w14:textId="77777777">
      <w:pPr>
        <w:numPr>
          <w:ilvl w:val="0"/>
          <w:numId w:val="1"/>
        </w:numPr>
        <w:tabs>
          <w:tab w:val="left" w:pos="360"/>
        </w:tabs>
        <w:rPr>
          <w:b/>
          <w:i/>
        </w:rPr>
      </w:pPr>
      <w:r w:rsidRPr="000A2B4A">
        <w:rPr>
          <w:b/>
          <w:i/>
        </w:rPr>
        <w:t>Provide an estimate of the total annual cost burden to respondents or recordkeepers resulting from the collection of information.</w:t>
      </w:r>
    </w:p>
    <w:p w:rsidR="00DE2994" w:rsidP="000A7669" w14:paraId="56AD1CFF" w14:textId="77777777">
      <w:pPr>
        <w:tabs>
          <w:tab w:val="left" w:pos="360"/>
        </w:tabs>
        <w:rPr>
          <w:b/>
          <w:i/>
        </w:rPr>
      </w:pPr>
    </w:p>
    <w:p w:rsidR="005C5E19" w:rsidRPr="005C5E19" w:rsidP="00FA0B47" w14:paraId="0FAA6C1D" w14:textId="16AF9AA9">
      <w:pPr>
        <w:spacing w:after="120"/>
        <w:ind w:left="360"/>
        <w:rPr>
          <w:rFonts w:eastAsiaTheme="minorHAnsi" w:cstheme="minorBidi"/>
          <w:color w:val="auto"/>
          <w:szCs w:val="22"/>
        </w:rPr>
      </w:pPr>
      <w:r>
        <w:rPr>
          <w:rFonts w:eastAsiaTheme="minorHAnsi" w:cstheme="minorBidi"/>
          <w:color w:val="auto"/>
          <w:szCs w:val="22"/>
        </w:rPr>
        <w:t>TSA proposes to collect</w:t>
      </w:r>
      <w:r w:rsidR="005E2793">
        <w:rPr>
          <w:rFonts w:eastAsiaTheme="minorHAnsi" w:cstheme="minorBidi"/>
          <w:color w:val="auto"/>
          <w:szCs w:val="22"/>
        </w:rPr>
        <w:t xml:space="preserve"> a</w:t>
      </w:r>
      <w:r>
        <w:rPr>
          <w:rFonts w:eastAsiaTheme="minorHAnsi" w:cstheme="minorBidi"/>
          <w:color w:val="auto"/>
          <w:szCs w:val="22"/>
        </w:rPr>
        <w:t xml:space="preserve"> Level</w:t>
      </w:r>
      <w:r w:rsidR="005E2793">
        <w:rPr>
          <w:rFonts w:eastAsiaTheme="minorHAnsi" w:cstheme="minorBidi"/>
          <w:color w:val="auto"/>
          <w:szCs w:val="22"/>
        </w:rPr>
        <w:t xml:space="preserve"> </w:t>
      </w:r>
      <w:r>
        <w:rPr>
          <w:rFonts w:eastAsiaTheme="minorHAnsi" w:cstheme="minorBidi"/>
          <w:color w:val="auto"/>
          <w:szCs w:val="22"/>
        </w:rPr>
        <w:t>2 STA fee of $6</w:t>
      </w:r>
      <w:r w:rsidR="00506438">
        <w:rPr>
          <w:rFonts w:eastAsiaTheme="minorHAnsi" w:cstheme="minorBidi"/>
          <w:color w:val="auto"/>
          <w:szCs w:val="22"/>
        </w:rPr>
        <w:t>6</w:t>
      </w:r>
      <w:r w:rsidR="005E2793">
        <w:rPr>
          <w:rFonts w:eastAsiaTheme="minorHAnsi" w:cstheme="minorBidi"/>
          <w:color w:val="auto"/>
          <w:szCs w:val="22"/>
        </w:rPr>
        <w:t>,</w:t>
      </w:r>
      <w:r>
        <w:rPr>
          <w:rFonts w:eastAsiaTheme="minorHAnsi" w:cstheme="minorBidi"/>
          <w:color w:val="auto"/>
          <w:szCs w:val="22"/>
        </w:rPr>
        <w:t xml:space="preserve"> </w:t>
      </w:r>
      <w:r w:rsidR="005E2793">
        <w:rPr>
          <w:rFonts w:eastAsiaTheme="minorHAnsi" w:cstheme="minorBidi"/>
          <w:color w:val="auto"/>
          <w:szCs w:val="22"/>
        </w:rPr>
        <w:t xml:space="preserve">per applicant, </w:t>
      </w:r>
      <w:r w:rsidR="00206044">
        <w:rPr>
          <w:rFonts w:eastAsiaTheme="minorHAnsi" w:cstheme="minorBidi"/>
          <w:color w:val="auto"/>
          <w:szCs w:val="22"/>
        </w:rPr>
        <w:t>for</w:t>
      </w:r>
      <w:r w:rsidR="005E2793">
        <w:rPr>
          <w:rFonts w:eastAsiaTheme="minorHAnsi" w:cstheme="minorBidi"/>
          <w:color w:val="auto"/>
          <w:szCs w:val="22"/>
        </w:rPr>
        <w:t xml:space="preserve"> the</w:t>
      </w:r>
      <w:r w:rsidR="00206044">
        <w:rPr>
          <w:rFonts w:eastAsiaTheme="minorHAnsi" w:cstheme="minorBidi"/>
          <w:color w:val="auto"/>
          <w:szCs w:val="22"/>
        </w:rPr>
        <w:t xml:space="preserve"> </w:t>
      </w:r>
      <w:r w:rsidR="007277C1">
        <w:rPr>
          <w:rFonts w:eastAsiaTheme="minorHAnsi" w:cstheme="minorBidi"/>
          <w:color w:val="auto"/>
          <w:szCs w:val="22"/>
        </w:rPr>
        <w:t>initial</w:t>
      </w:r>
      <w:r w:rsidR="005E2793">
        <w:rPr>
          <w:rFonts w:eastAsiaTheme="minorHAnsi" w:cstheme="minorBidi"/>
          <w:color w:val="auto"/>
          <w:szCs w:val="22"/>
        </w:rPr>
        <w:t xml:space="preserve"> in-</w:t>
      </w:r>
      <w:r w:rsidR="007277C1">
        <w:rPr>
          <w:rFonts w:eastAsiaTheme="minorHAnsi" w:cstheme="minorBidi"/>
          <w:color w:val="auto"/>
          <w:szCs w:val="22"/>
        </w:rPr>
        <w:t xml:space="preserve">person enrollments of </w:t>
      </w:r>
      <w:r w:rsidR="00ED42E0">
        <w:rPr>
          <w:rFonts w:eastAsiaTheme="minorHAnsi" w:cstheme="minorBidi"/>
          <w:color w:val="auto"/>
          <w:szCs w:val="22"/>
        </w:rPr>
        <w:t>SSEs</w:t>
      </w:r>
      <w:r w:rsidR="00206044">
        <w:rPr>
          <w:rFonts w:eastAsiaTheme="minorHAnsi" w:cstheme="minorBidi"/>
          <w:color w:val="auto"/>
          <w:szCs w:val="22"/>
        </w:rPr>
        <w:t xml:space="preserve"> in freight rail and PTPR</w:t>
      </w:r>
      <w:r w:rsidR="007277C1">
        <w:rPr>
          <w:rFonts w:eastAsiaTheme="minorHAnsi" w:cstheme="minorBidi"/>
          <w:color w:val="auto"/>
          <w:szCs w:val="22"/>
        </w:rPr>
        <w:t>.</w:t>
      </w:r>
      <w:r>
        <w:rPr>
          <w:rStyle w:val="FootnoteReference"/>
          <w:rFonts w:eastAsiaTheme="minorHAnsi" w:cstheme="minorBidi"/>
          <w:color w:val="auto"/>
          <w:szCs w:val="22"/>
        </w:rPr>
        <w:footnoteReference w:id="13"/>
      </w:r>
      <w:r w:rsidR="00206044">
        <w:rPr>
          <w:rFonts w:eastAsiaTheme="minorHAnsi" w:cstheme="minorBidi"/>
          <w:color w:val="auto"/>
          <w:szCs w:val="22"/>
        </w:rPr>
        <w:t xml:space="preserve"> </w:t>
      </w:r>
      <w:r w:rsidR="006705F5">
        <w:rPr>
          <w:rFonts w:eastAsiaTheme="minorHAnsi" w:cstheme="minorBidi"/>
          <w:color w:val="auto"/>
          <w:szCs w:val="22"/>
        </w:rPr>
        <w:t xml:space="preserve"> </w:t>
      </w:r>
      <w:r w:rsidR="005E2793">
        <w:rPr>
          <w:rFonts w:eastAsiaTheme="minorHAnsi" w:cstheme="minorBidi"/>
          <w:color w:val="auto"/>
          <w:szCs w:val="22"/>
        </w:rPr>
        <w:t xml:space="preserve">TSA proposes to collect a </w:t>
      </w:r>
      <w:r>
        <w:rPr>
          <w:rFonts w:eastAsiaTheme="minorHAnsi" w:cstheme="minorBidi"/>
          <w:color w:val="auto"/>
          <w:szCs w:val="22"/>
        </w:rPr>
        <w:t>Level-3 STA fee</w:t>
      </w:r>
      <w:r w:rsidR="005E2793">
        <w:rPr>
          <w:rFonts w:eastAsiaTheme="minorHAnsi" w:cstheme="minorBidi"/>
          <w:color w:val="auto"/>
          <w:szCs w:val="22"/>
        </w:rPr>
        <w:t xml:space="preserve"> </w:t>
      </w:r>
      <w:r>
        <w:rPr>
          <w:rFonts w:eastAsiaTheme="minorHAnsi" w:cstheme="minorBidi"/>
          <w:color w:val="auto"/>
          <w:szCs w:val="22"/>
        </w:rPr>
        <w:t>of $8</w:t>
      </w:r>
      <w:r w:rsidR="00506438">
        <w:rPr>
          <w:rFonts w:eastAsiaTheme="minorHAnsi" w:cstheme="minorBidi"/>
          <w:color w:val="auto"/>
          <w:szCs w:val="22"/>
        </w:rPr>
        <w:t>7</w:t>
      </w:r>
      <w:r w:rsidR="005E2793">
        <w:rPr>
          <w:rFonts w:eastAsiaTheme="minorHAnsi" w:cstheme="minorBidi"/>
          <w:color w:val="auto"/>
          <w:szCs w:val="22"/>
        </w:rPr>
        <w:t>, per applicant,</w:t>
      </w:r>
      <w:r w:rsidR="005058DC">
        <w:rPr>
          <w:rFonts w:eastAsiaTheme="minorHAnsi" w:cstheme="minorBidi"/>
          <w:color w:val="auto"/>
          <w:szCs w:val="22"/>
        </w:rPr>
        <w:t xml:space="preserve"> </w:t>
      </w:r>
      <w:r w:rsidR="00206044">
        <w:rPr>
          <w:rFonts w:eastAsiaTheme="minorHAnsi" w:cstheme="minorBidi"/>
          <w:color w:val="auto"/>
          <w:szCs w:val="22"/>
        </w:rPr>
        <w:t xml:space="preserve">for </w:t>
      </w:r>
      <w:r w:rsidR="005E2793">
        <w:rPr>
          <w:rFonts w:eastAsiaTheme="minorHAnsi" w:cstheme="minorBidi"/>
          <w:color w:val="auto"/>
          <w:szCs w:val="22"/>
        </w:rPr>
        <w:t>the initial in-person</w:t>
      </w:r>
      <w:r w:rsidR="008B192B">
        <w:rPr>
          <w:rFonts w:eastAsiaTheme="minorHAnsi" w:cstheme="minorBidi"/>
          <w:color w:val="auto"/>
          <w:szCs w:val="22"/>
        </w:rPr>
        <w:t xml:space="preserve"> enrollments of</w:t>
      </w:r>
      <w:r w:rsidR="005E2793">
        <w:rPr>
          <w:rFonts w:eastAsiaTheme="minorHAnsi" w:cstheme="minorBidi"/>
          <w:color w:val="auto"/>
          <w:szCs w:val="22"/>
        </w:rPr>
        <w:t xml:space="preserve"> </w:t>
      </w:r>
      <w:r w:rsidR="00206044">
        <w:rPr>
          <w:rFonts w:eastAsiaTheme="minorHAnsi" w:cstheme="minorBidi"/>
          <w:color w:val="auto"/>
          <w:szCs w:val="22"/>
        </w:rPr>
        <w:t xml:space="preserve">freight rail, PTPR and OTRB </w:t>
      </w:r>
      <w:r w:rsidR="00F633F0">
        <w:rPr>
          <w:rFonts w:eastAsiaTheme="minorHAnsi" w:cstheme="minorBidi"/>
          <w:color w:val="auto"/>
          <w:szCs w:val="22"/>
        </w:rPr>
        <w:t>SCs</w:t>
      </w:r>
      <w:r w:rsidR="005E2793">
        <w:rPr>
          <w:rFonts w:eastAsiaTheme="minorHAnsi" w:cstheme="minorBidi"/>
          <w:color w:val="auto"/>
          <w:szCs w:val="22"/>
        </w:rPr>
        <w:t>.</w:t>
      </w:r>
      <w:r>
        <w:rPr>
          <w:rStyle w:val="FootnoteReference"/>
          <w:rFonts w:eastAsiaTheme="minorHAnsi" w:cstheme="minorBidi"/>
          <w:color w:val="auto"/>
          <w:szCs w:val="22"/>
        </w:rPr>
        <w:footnoteReference w:id="14"/>
      </w:r>
      <w:r w:rsidR="006705F5">
        <w:rPr>
          <w:rFonts w:eastAsiaTheme="minorHAnsi" w:cstheme="minorBidi"/>
          <w:color w:val="auto"/>
          <w:szCs w:val="22"/>
        </w:rPr>
        <w:t xml:space="preserve"> </w:t>
      </w:r>
      <w:r w:rsidR="00206044">
        <w:rPr>
          <w:rFonts w:eastAsiaTheme="minorHAnsi" w:cstheme="minorBidi"/>
          <w:color w:val="auto"/>
          <w:szCs w:val="22"/>
        </w:rPr>
        <w:t xml:space="preserve"> </w:t>
      </w:r>
      <w:r w:rsidR="008B192B">
        <w:rPr>
          <w:rFonts w:eastAsiaTheme="minorHAnsi" w:cstheme="minorBidi"/>
          <w:color w:val="auto"/>
          <w:szCs w:val="22"/>
        </w:rPr>
        <w:t xml:space="preserve">For applicants with a comparable STA, TSA proposes to collect a fee of $30, per applicant, for applicable </w:t>
      </w:r>
      <w:r w:rsidR="00ED42E0">
        <w:rPr>
          <w:rFonts w:eastAsiaTheme="minorHAnsi" w:cstheme="minorBidi"/>
          <w:color w:val="auto"/>
          <w:szCs w:val="22"/>
        </w:rPr>
        <w:t>SSEs</w:t>
      </w:r>
      <w:r w:rsidR="008B192B">
        <w:rPr>
          <w:rFonts w:eastAsiaTheme="minorHAnsi" w:cstheme="minorBidi"/>
          <w:color w:val="auto"/>
          <w:szCs w:val="22"/>
        </w:rPr>
        <w:t xml:space="preserve"> and </w:t>
      </w:r>
      <w:r w:rsidR="00ED42E0">
        <w:rPr>
          <w:rFonts w:eastAsiaTheme="minorHAnsi" w:cstheme="minorBidi"/>
          <w:color w:val="auto"/>
          <w:szCs w:val="22"/>
        </w:rPr>
        <w:t>SCs</w:t>
      </w:r>
      <w:r w:rsidR="008B192B">
        <w:rPr>
          <w:rFonts w:eastAsiaTheme="minorHAnsi" w:cstheme="minorBidi"/>
          <w:color w:val="auto"/>
          <w:szCs w:val="22"/>
        </w:rPr>
        <w:t xml:space="preserve"> in freight rail, FRSR, PTPR, and OTRB.</w:t>
      </w:r>
      <w:r w:rsidR="00914E3F">
        <w:rPr>
          <w:rFonts w:eastAsiaTheme="minorHAnsi" w:cstheme="minorBidi"/>
          <w:color w:val="auto"/>
          <w:szCs w:val="22"/>
        </w:rPr>
        <w:t xml:space="preserve"> </w:t>
      </w:r>
      <w:r w:rsidR="00FE22DA">
        <w:rPr>
          <w:rFonts w:eastAsiaTheme="minorHAnsi" w:cstheme="minorBidi"/>
          <w:color w:val="auto"/>
          <w:szCs w:val="22"/>
        </w:rPr>
        <w:fldChar w:fldCharType="begin"/>
      </w:r>
      <w:r w:rsidR="00FE22DA">
        <w:rPr>
          <w:rFonts w:eastAsiaTheme="minorHAnsi" w:cstheme="minorBidi"/>
          <w:color w:val="auto"/>
          <w:szCs w:val="22"/>
        </w:rPr>
        <w:instrText xml:space="preserve"> REF _Ref51324609 \h </w:instrText>
      </w:r>
      <w:r w:rsidR="00FE22DA">
        <w:rPr>
          <w:rFonts w:eastAsiaTheme="minorHAnsi" w:cstheme="minorBidi"/>
          <w:color w:val="auto"/>
          <w:szCs w:val="22"/>
        </w:rPr>
        <w:fldChar w:fldCharType="separate"/>
      </w:r>
      <w:r w:rsidR="00FE22DA">
        <w:t xml:space="preserve">Table </w:t>
      </w:r>
      <w:r w:rsidR="00FE22DA">
        <w:rPr>
          <w:rFonts w:eastAsiaTheme="minorHAnsi" w:cstheme="minorBidi"/>
          <w:color w:val="auto"/>
          <w:szCs w:val="22"/>
        </w:rPr>
        <w:fldChar w:fldCharType="end"/>
      </w:r>
      <w:r w:rsidR="00C9661F">
        <w:rPr>
          <w:rFonts w:eastAsiaTheme="minorHAnsi" w:cstheme="minorBidi"/>
          <w:color w:val="auto"/>
          <w:szCs w:val="22"/>
        </w:rPr>
        <w:t>3</w:t>
      </w:r>
      <w:r w:rsidR="00FE22DA">
        <w:rPr>
          <w:rFonts w:eastAsiaTheme="minorHAnsi" w:cstheme="minorBidi"/>
          <w:color w:val="auto"/>
          <w:szCs w:val="22"/>
        </w:rPr>
        <w:t xml:space="preserve"> displays the STA </w:t>
      </w:r>
      <w:r w:rsidR="00445127">
        <w:rPr>
          <w:rFonts w:eastAsiaTheme="minorHAnsi" w:cstheme="minorBidi"/>
          <w:color w:val="auto"/>
          <w:szCs w:val="22"/>
        </w:rPr>
        <w:t xml:space="preserve">fee </w:t>
      </w:r>
      <w:r w:rsidR="00FE22DA">
        <w:rPr>
          <w:rFonts w:eastAsiaTheme="minorHAnsi" w:cstheme="minorBidi"/>
          <w:color w:val="auto"/>
          <w:szCs w:val="22"/>
        </w:rPr>
        <w:t>costs.</w:t>
      </w:r>
    </w:p>
    <w:p w:rsidR="005C5E19" w:rsidRPr="00444E9A" w:rsidP="00445127" w14:paraId="004F3741" w14:textId="01C02F12">
      <w:pPr>
        <w:pStyle w:val="Caption"/>
        <w:spacing w:after="0"/>
        <w:jc w:val="center"/>
        <w:rPr>
          <w:rFonts w:ascii="Arial" w:hAnsi="Arial"/>
          <w:b/>
          <w:i w:val="0"/>
          <w:sz w:val="22"/>
          <w:szCs w:val="22"/>
        </w:rPr>
      </w:pPr>
      <w:bookmarkStart w:id="6" w:name="_Ref51324609"/>
      <w:r w:rsidRPr="00444E9A">
        <w:rPr>
          <w:rFonts w:ascii="Arial" w:hAnsi="Arial"/>
          <w:b/>
          <w:i w:val="0"/>
          <w:color w:val="000000" w:themeColor="text1"/>
          <w:sz w:val="22"/>
          <w:szCs w:val="22"/>
        </w:rPr>
        <w:t xml:space="preserve">Table </w:t>
      </w:r>
      <w:bookmarkEnd w:id="6"/>
      <w:r w:rsidRPr="00444E9A" w:rsidR="00C9661F">
        <w:rPr>
          <w:rFonts w:ascii="Arial" w:hAnsi="Arial"/>
          <w:b/>
          <w:i w:val="0"/>
          <w:color w:val="000000" w:themeColor="text1"/>
          <w:sz w:val="22"/>
          <w:szCs w:val="22"/>
        </w:rPr>
        <w:t>3</w:t>
      </w:r>
      <w:r w:rsidRPr="00444E9A">
        <w:rPr>
          <w:rFonts w:ascii="Arial" w:hAnsi="Arial"/>
          <w:b/>
          <w:i w:val="0"/>
          <w:color w:val="000000" w:themeColor="text1"/>
          <w:sz w:val="22"/>
          <w:szCs w:val="22"/>
        </w:rPr>
        <w:t xml:space="preserve">: STA </w:t>
      </w:r>
      <w:r w:rsidRPr="00444E9A" w:rsidR="00445127">
        <w:rPr>
          <w:rFonts w:ascii="Arial" w:hAnsi="Arial"/>
          <w:b/>
          <w:i w:val="0"/>
          <w:color w:val="000000" w:themeColor="text1"/>
          <w:sz w:val="22"/>
          <w:szCs w:val="22"/>
        </w:rPr>
        <w:t xml:space="preserve">Fee </w:t>
      </w:r>
      <w:r w:rsidRPr="00444E9A">
        <w:rPr>
          <w:rFonts w:ascii="Arial" w:hAnsi="Arial"/>
          <w:b/>
          <w:i w:val="0"/>
          <w:color w:val="000000" w:themeColor="text1"/>
          <w:sz w:val="22"/>
          <w:szCs w:val="22"/>
        </w:rPr>
        <w:t>Costs</w:t>
      </w:r>
      <w:r w:rsidRPr="00444E9A" w:rsidR="007277C1">
        <w:rPr>
          <w:rFonts w:ascii="Arial" w:hAnsi="Arial"/>
          <w:b/>
          <w:i w:val="0"/>
          <w:color w:val="000000" w:themeColor="text1"/>
          <w:sz w:val="22"/>
          <w:szCs w:val="22"/>
        </w:rPr>
        <w:t xml:space="preserve"> for </w:t>
      </w:r>
      <w:r w:rsidRPr="00444E9A" w:rsidR="00F34984">
        <w:rPr>
          <w:rFonts w:ascii="Arial" w:hAnsi="Arial"/>
          <w:b/>
          <w:i w:val="0"/>
          <w:color w:val="000000" w:themeColor="text1"/>
          <w:sz w:val="22"/>
          <w:szCs w:val="22"/>
        </w:rPr>
        <w:t>Initial</w:t>
      </w:r>
      <w:r w:rsidRPr="00444E9A" w:rsidR="007277C1">
        <w:rPr>
          <w:rFonts w:ascii="Arial" w:hAnsi="Arial"/>
          <w:b/>
          <w:i w:val="0"/>
          <w:color w:val="000000" w:themeColor="text1"/>
          <w:sz w:val="22"/>
          <w:szCs w:val="22"/>
        </w:rPr>
        <w:t xml:space="preserve"> Enrollments</w:t>
      </w:r>
    </w:p>
    <w:tbl>
      <w:tblPr>
        <w:tblW w:w="9350" w:type="dxa"/>
        <w:tblLayout w:type="fixed"/>
        <w:tblCellMar>
          <w:left w:w="115" w:type="dxa"/>
          <w:right w:w="115" w:type="dxa"/>
        </w:tblCellMar>
        <w:tblLook w:val="04A0"/>
      </w:tblPr>
      <w:tblGrid>
        <w:gridCol w:w="1228"/>
        <w:gridCol w:w="2598"/>
        <w:gridCol w:w="1114"/>
        <w:gridCol w:w="1688"/>
        <w:gridCol w:w="1323"/>
        <w:gridCol w:w="1399"/>
      </w:tblGrid>
      <w:tr w14:paraId="3FCF2499" w14:textId="77777777" w:rsidTr="00B57037">
        <w:tblPrEx>
          <w:tblW w:w="9350" w:type="dxa"/>
          <w:tblLayout w:type="fixed"/>
          <w:tblCellMar>
            <w:left w:w="115" w:type="dxa"/>
            <w:right w:w="115" w:type="dxa"/>
          </w:tblCellMar>
          <w:tblLook w:val="04A0"/>
        </w:tblPrEx>
        <w:trPr>
          <w:trHeight w:val="600"/>
        </w:trPr>
        <w:tc>
          <w:tcPr>
            <w:tcW w:w="12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E22DA" w:rsidRPr="00444E9A" w:rsidP="00FE22DA" w14:paraId="7C2E73C3" w14:textId="77777777">
            <w:pPr>
              <w:jc w:val="center"/>
              <w:rPr>
                <w:rFonts w:ascii="Arial" w:hAnsi="Arial"/>
                <w:b/>
                <w:color w:val="auto"/>
                <w:sz w:val="20"/>
              </w:rPr>
            </w:pPr>
            <w:r w:rsidRPr="00444E9A">
              <w:rPr>
                <w:rFonts w:ascii="Arial" w:hAnsi="Arial"/>
                <w:b/>
                <w:color w:val="auto"/>
                <w:sz w:val="20"/>
              </w:rPr>
              <w:t>Industry</w:t>
            </w:r>
          </w:p>
        </w:tc>
        <w:tc>
          <w:tcPr>
            <w:tcW w:w="259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E22DA" w:rsidRPr="00444E9A" w:rsidP="00FE22DA" w14:paraId="1D1C013E" w14:textId="77777777">
            <w:pPr>
              <w:jc w:val="center"/>
              <w:rPr>
                <w:rFonts w:ascii="Arial" w:hAnsi="Arial"/>
                <w:b/>
                <w:color w:val="auto"/>
                <w:sz w:val="20"/>
              </w:rPr>
            </w:pPr>
            <w:r w:rsidRPr="00444E9A">
              <w:rPr>
                <w:rFonts w:ascii="Arial" w:hAnsi="Arial"/>
                <w:b/>
                <w:color w:val="auto"/>
                <w:sz w:val="20"/>
              </w:rPr>
              <w:t>Employee Type</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22DA" w:rsidRPr="00444E9A" w:rsidP="00FE22DA" w14:paraId="566875AC" w14:textId="77777777">
            <w:pPr>
              <w:jc w:val="center"/>
              <w:rPr>
                <w:rFonts w:ascii="Arial" w:hAnsi="Arial"/>
                <w:b/>
                <w:bCs/>
                <w:color w:val="auto"/>
                <w:sz w:val="20"/>
              </w:rPr>
            </w:pPr>
            <w:r w:rsidRPr="00444E9A">
              <w:rPr>
                <w:rFonts w:ascii="Arial" w:hAnsi="Arial"/>
                <w:b/>
                <w:bCs/>
                <w:color w:val="auto"/>
                <w:sz w:val="20"/>
              </w:rPr>
              <w:t>STA Fee Cost</w:t>
            </w:r>
          </w:p>
        </w:tc>
        <w:tc>
          <w:tcPr>
            <w:tcW w:w="16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22DA" w:rsidRPr="00444E9A" w:rsidP="00FE22DA" w14:paraId="007732A3" w14:textId="77777777">
            <w:pPr>
              <w:jc w:val="center"/>
              <w:rPr>
                <w:rFonts w:ascii="Arial" w:hAnsi="Arial"/>
                <w:b/>
                <w:bCs/>
                <w:color w:val="auto"/>
                <w:sz w:val="20"/>
              </w:rPr>
            </w:pPr>
            <w:r w:rsidRPr="00444E9A">
              <w:rPr>
                <w:rFonts w:ascii="Arial" w:hAnsi="Arial"/>
                <w:b/>
                <w:bCs/>
                <w:color w:val="auto"/>
                <w:sz w:val="20"/>
              </w:rPr>
              <w:t>3-Year Total Respondents</w:t>
            </w:r>
          </w:p>
        </w:tc>
        <w:tc>
          <w:tcPr>
            <w:tcW w:w="13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22DA" w:rsidRPr="00444E9A" w:rsidP="00FE22DA" w14:paraId="77DE40F2" w14:textId="77777777">
            <w:pPr>
              <w:jc w:val="center"/>
              <w:rPr>
                <w:rFonts w:ascii="Arial" w:hAnsi="Arial"/>
                <w:b/>
                <w:bCs/>
                <w:color w:val="auto"/>
                <w:sz w:val="20"/>
              </w:rPr>
            </w:pPr>
            <w:r w:rsidRPr="00444E9A">
              <w:rPr>
                <w:rFonts w:ascii="Arial" w:hAnsi="Arial"/>
                <w:b/>
                <w:bCs/>
                <w:color w:val="auto"/>
                <w:sz w:val="20"/>
              </w:rPr>
              <w:t>3-Year STA Fee Cost</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22DA" w:rsidRPr="00444E9A" w:rsidP="00FE22DA" w14:paraId="246E8ACA" w14:textId="77777777">
            <w:pPr>
              <w:jc w:val="center"/>
              <w:rPr>
                <w:rFonts w:ascii="Arial" w:hAnsi="Arial"/>
                <w:b/>
                <w:bCs/>
                <w:color w:val="auto"/>
                <w:sz w:val="20"/>
              </w:rPr>
            </w:pPr>
            <w:r w:rsidRPr="00444E9A">
              <w:rPr>
                <w:rFonts w:ascii="Arial" w:hAnsi="Arial"/>
                <w:b/>
                <w:bCs/>
                <w:color w:val="auto"/>
                <w:sz w:val="20"/>
              </w:rPr>
              <w:t>Average Annual Cost</w:t>
            </w:r>
          </w:p>
        </w:tc>
      </w:tr>
      <w:tr w14:paraId="4A9F8DC1" w14:textId="77777777" w:rsidTr="00B57037">
        <w:tblPrEx>
          <w:tblW w:w="9350" w:type="dxa"/>
          <w:tblLayout w:type="fixed"/>
          <w:tblCellMar>
            <w:left w:w="115" w:type="dxa"/>
            <w:right w:w="115" w:type="dxa"/>
          </w:tblCellMar>
          <w:tblLook w:val="04A0"/>
        </w:tblPrEx>
        <w:trPr>
          <w:trHeight w:val="276"/>
        </w:trPr>
        <w:tc>
          <w:tcPr>
            <w:tcW w:w="1228" w:type="dxa"/>
            <w:vMerge/>
            <w:tcBorders>
              <w:top w:val="single" w:sz="4" w:space="0" w:color="auto"/>
              <w:left w:val="single" w:sz="4" w:space="0" w:color="auto"/>
              <w:bottom w:val="single" w:sz="4" w:space="0" w:color="000000"/>
              <w:right w:val="single" w:sz="4" w:space="0" w:color="auto"/>
            </w:tcBorders>
            <w:vAlign w:val="center"/>
            <w:hideMark/>
          </w:tcPr>
          <w:p w:rsidR="00FE22DA" w:rsidRPr="00444E9A" w:rsidP="00FE22DA" w14:paraId="08BBEAC9" w14:textId="77777777">
            <w:pPr>
              <w:rPr>
                <w:rFonts w:ascii="Arial" w:hAnsi="Arial"/>
                <w:color w:val="auto"/>
                <w:sz w:val="20"/>
              </w:rPr>
            </w:pPr>
          </w:p>
        </w:tc>
        <w:tc>
          <w:tcPr>
            <w:tcW w:w="2598" w:type="dxa"/>
            <w:vMerge/>
            <w:tcBorders>
              <w:top w:val="single" w:sz="4" w:space="0" w:color="auto"/>
              <w:left w:val="single" w:sz="4" w:space="0" w:color="auto"/>
              <w:bottom w:val="single" w:sz="4" w:space="0" w:color="000000"/>
              <w:right w:val="single" w:sz="4" w:space="0" w:color="auto"/>
            </w:tcBorders>
            <w:vAlign w:val="center"/>
            <w:hideMark/>
          </w:tcPr>
          <w:p w:rsidR="00FE22DA" w:rsidRPr="00444E9A" w:rsidP="00FE22DA" w14:paraId="2C2AD565" w14:textId="77777777">
            <w:pPr>
              <w:rPr>
                <w:rFonts w:ascii="Arial" w:hAnsi="Arial"/>
                <w:color w:val="auto"/>
                <w:sz w:val="20"/>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FE22DA" w:rsidRPr="00444E9A" w:rsidP="00FE22DA" w14:paraId="02495C43" w14:textId="77777777">
            <w:pPr>
              <w:rPr>
                <w:rFonts w:ascii="Arial" w:hAnsi="Arial"/>
                <w:b/>
                <w:bCs/>
                <w:color w:val="auto"/>
                <w:sz w:val="20"/>
              </w:rPr>
            </w:pPr>
          </w:p>
        </w:tc>
        <w:tc>
          <w:tcPr>
            <w:tcW w:w="1688" w:type="dxa"/>
            <w:vMerge/>
            <w:tcBorders>
              <w:top w:val="single" w:sz="4" w:space="0" w:color="auto"/>
              <w:left w:val="single" w:sz="4" w:space="0" w:color="auto"/>
              <w:bottom w:val="single" w:sz="4" w:space="0" w:color="auto"/>
              <w:right w:val="single" w:sz="4" w:space="0" w:color="auto"/>
            </w:tcBorders>
            <w:vAlign w:val="center"/>
            <w:hideMark/>
          </w:tcPr>
          <w:p w:rsidR="00FE22DA" w:rsidRPr="00444E9A" w:rsidP="00FE22DA" w14:paraId="53651E47" w14:textId="77777777">
            <w:pPr>
              <w:rPr>
                <w:rFonts w:ascii="Arial" w:hAnsi="Arial"/>
                <w:b/>
                <w:bCs/>
                <w:color w:val="auto"/>
                <w:sz w:val="20"/>
              </w:rPr>
            </w:pP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FE22DA" w:rsidRPr="00444E9A" w:rsidP="00FE22DA" w14:paraId="69475C84" w14:textId="77777777">
            <w:pPr>
              <w:rPr>
                <w:rFonts w:ascii="Arial" w:hAnsi="Arial"/>
                <w:b/>
                <w:bCs/>
                <w:color w:val="auto"/>
                <w:sz w:val="20"/>
              </w:rPr>
            </w:pPr>
          </w:p>
        </w:tc>
        <w:tc>
          <w:tcPr>
            <w:tcW w:w="1399" w:type="dxa"/>
            <w:vMerge/>
            <w:tcBorders>
              <w:top w:val="single" w:sz="4" w:space="0" w:color="auto"/>
              <w:left w:val="single" w:sz="4" w:space="0" w:color="auto"/>
              <w:bottom w:val="single" w:sz="4" w:space="0" w:color="000000"/>
              <w:right w:val="single" w:sz="4" w:space="0" w:color="auto"/>
            </w:tcBorders>
            <w:vAlign w:val="center"/>
            <w:hideMark/>
          </w:tcPr>
          <w:p w:rsidR="00FE22DA" w:rsidRPr="00444E9A" w:rsidP="00FE22DA" w14:paraId="71B512CF" w14:textId="77777777">
            <w:pPr>
              <w:rPr>
                <w:rFonts w:ascii="Arial" w:hAnsi="Arial"/>
                <w:b/>
                <w:bCs/>
                <w:color w:val="auto"/>
                <w:sz w:val="20"/>
              </w:rPr>
            </w:pPr>
          </w:p>
        </w:tc>
      </w:tr>
      <w:tr w14:paraId="70867D92" w14:textId="77777777" w:rsidTr="00B57037">
        <w:tblPrEx>
          <w:tblW w:w="9350" w:type="dxa"/>
          <w:tblLayout w:type="fixed"/>
          <w:tblCellMar>
            <w:left w:w="115" w:type="dxa"/>
            <w:right w:w="115" w:type="dxa"/>
          </w:tblCellMar>
          <w:tblLook w:val="04A0"/>
        </w:tblPrEx>
        <w:trPr>
          <w:trHeight w:val="179"/>
        </w:trPr>
        <w:tc>
          <w:tcPr>
            <w:tcW w:w="1228" w:type="dxa"/>
            <w:vMerge/>
            <w:tcBorders>
              <w:top w:val="single" w:sz="4" w:space="0" w:color="auto"/>
              <w:left w:val="single" w:sz="4" w:space="0" w:color="auto"/>
              <w:bottom w:val="single" w:sz="4" w:space="0" w:color="auto"/>
              <w:right w:val="single" w:sz="4" w:space="0" w:color="auto"/>
            </w:tcBorders>
            <w:vAlign w:val="center"/>
            <w:hideMark/>
          </w:tcPr>
          <w:p w:rsidR="00FE22DA" w:rsidRPr="00444E9A" w:rsidP="00FE22DA" w14:paraId="660DF702" w14:textId="77777777">
            <w:pPr>
              <w:rPr>
                <w:rFonts w:ascii="Arial" w:hAnsi="Arial"/>
                <w:color w:val="auto"/>
                <w:sz w:val="20"/>
              </w:rPr>
            </w:pPr>
          </w:p>
        </w:tc>
        <w:tc>
          <w:tcPr>
            <w:tcW w:w="2598" w:type="dxa"/>
            <w:vMerge/>
            <w:tcBorders>
              <w:top w:val="single" w:sz="4" w:space="0" w:color="auto"/>
              <w:left w:val="single" w:sz="4" w:space="0" w:color="auto"/>
              <w:bottom w:val="single" w:sz="4" w:space="0" w:color="auto"/>
              <w:right w:val="single" w:sz="4" w:space="0" w:color="auto"/>
            </w:tcBorders>
            <w:vAlign w:val="center"/>
            <w:hideMark/>
          </w:tcPr>
          <w:p w:rsidR="00FE22DA" w:rsidRPr="00444E9A" w:rsidP="00FE22DA" w14:paraId="40C9F605" w14:textId="77777777">
            <w:pPr>
              <w:rPr>
                <w:rFonts w:ascii="Arial" w:hAnsi="Arial"/>
                <w:color w:val="auto"/>
                <w:sz w:val="20"/>
              </w:rPr>
            </w:pPr>
          </w:p>
        </w:tc>
        <w:tc>
          <w:tcPr>
            <w:tcW w:w="1114" w:type="dxa"/>
            <w:tcBorders>
              <w:top w:val="nil"/>
              <w:left w:val="nil"/>
              <w:bottom w:val="single" w:sz="4" w:space="0" w:color="auto"/>
              <w:right w:val="single" w:sz="4" w:space="0" w:color="auto"/>
            </w:tcBorders>
            <w:shd w:val="clear" w:color="auto" w:fill="auto"/>
            <w:noWrap/>
            <w:vAlign w:val="bottom"/>
            <w:hideMark/>
          </w:tcPr>
          <w:p w:rsidR="00FE22DA" w:rsidRPr="00444E9A" w:rsidP="00FE22DA" w14:paraId="1EF0060B" w14:textId="3363F3C9">
            <w:pPr>
              <w:jc w:val="center"/>
              <w:rPr>
                <w:rFonts w:ascii="Arial" w:hAnsi="Arial"/>
                <w:b/>
                <w:color w:val="auto"/>
                <w:sz w:val="20"/>
              </w:rPr>
            </w:pPr>
            <w:r w:rsidRPr="00444E9A">
              <w:rPr>
                <w:rFonts w:ascii="Arial" w:hAnsi="Arial"/>
                <w:b/>
                <w:color w:val="auto"/>
                <w:sz w:val="20"/>
              </w:rPr>
              <w:t>a</w:t>
            </w:r>
          </w:p>
        </w:tc>
        <w:tc>
          <w:tcPr>
            <w:tcW w:w="1688" w:type="dxa"/>
            <w:tcBorders>
              <w:top w:val="nil"/>
              <w:left w:val="nil"/>
              <w:bottom w:val="single" w:sz="4" w:space="0" w:color="auto"/>
              <w:right w:val="single" w:sz="4" w:space="0" w:color="auto"/>
            </w:tcBorders>
            <w:shd w:val="clear" w:color="auto" w:fill="auto"/>
            <w:noWrap/>
            <w:vAlign w:val="bottom"/>
            <w:hideMark/>
          </w:tcPr>
          <w:p w:rsidR="00FE22DA" w:rsidRPr="00444E9A" w:rsidP="00FE22DA" w14:paraId="7924A0DF" w14:textId="4BF0874A">
            <w:pPr>
              <w:jc w:val="center"/>
              <w:rPr>
                <w:rFonts w:ascii="Arial" w:hAnsi="Arial"/>
                <w:b/>
                <w:color w:val="auto"/>
                <w:sz w:val="20"/>
              </w:rPr>
            </w:pPr>
            <w:r w:rsidRPr="00444E9A">
              <w:rPr>
                <w:rFonts w:ascii="Arial" w:hAnsi="Arial"/>
                <w:b/>
                <w:color w:val="auto"/>
                <w:sz w:val="20"/>
              </w:rPr>
              <w:t>b</w:t>
            </w:r>
          </w:p>
        </w:tc>
        <w:tc>
          <w:tcPr>
            <w:tcW w:w="1323" w:type="dxa"/>
            <w:tcBorders>
              <w:top w:val="nil"/>
              <w:left w:val="nil"/>
              <w:bottom w:val="single" w:sz="4" w:space="0" w:color="auto"/>
              <w:right w:val="nil"/>
            </w:tcBorders>
            <w:shd w:val="clear" w:color="auto" w:fill="auto"/>
            <w:noWrap/>
            <w:vAlign w:val="bottom"/>
            <w:hideMark/>
          </w:tcPr>
          <w:p w:rsidR="00FE22DA" w:rsidRPr="00444E9A" w:rsidP="00FE22DA" w14:paraId="0D3C72CA" w14:textId="705B3335">
            <w:pPr>
              <w:jc w:val="center"/>
              <w:rPr>
                <w:rFonts w:ascii="Arial" w:hAnsi="Arial"/>
                <w:b/>
                <w:color w:val="auto"/>
                <w:sz w:val="20"/>
              </w:rPr>
            </w:pPr>
            <w:r w:rsidRPr="00444E9A">
              <w:rPr>
                <w:rFonts w:ascii="Arial" w:hAnsi="Arial"/>
                <w:b/>
                <w:color w:val="auto"/>
                <w:sz w:val="20"/>
              </w:rPr>
              <w:t>c = a × b</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22DA" w:rsidRPr="00444E9A" w:rsidP="00FE22DA" w14:paraId="630C78E3" w14:textId="26015AD8">
            <w:pPr>
              <w:jc w:val="center"/>
              <w:rPr>
                <w:rFonts w:ascii="Arial" w:hAnsi="Arial"/>
                <w:b/>
                <w:color w:val="auto"/>
                <w:sz w:val="20"/>
              </w:rPr>
            </w:pPr>
            <w:r w:rsidRPr="00444E9A">
              <w:rPr>
                <w:rFonts w:ascii="Arial" w:hAnsi="Arial"/>
                <w:b/>
                <w:color w:val="auto"/>
                <w:sz w:val="20"/>
              </w:rPr>
              <w:t>d = c ÷ 3</w:t>
            </w:r>
          </w:p>
        </w:tc>
      </w:tr>
      <w:tr w14:paraId="54FE6767" w14:textId="77777777" w:rsidTr="00B57037">
        <w:tblPrEx>
          <w:tblW w:w="9350" w:type="dxa"/>
          <w:tblLayout w:type="fixed"/>
          <w:tblCellMar>
            <w:left w:w="115" w:type="dxa"/>
            <w:right w:w="115" w:type="dxa"/>
          </w:tblCellMar>
          <w:tblLook w:val="04A0"/>
        </w:tblPrEx>
        <w:trPr>
          <w:trHeight w:val="255"/>
        </w:trPr>
        <w:tc>
          <w:tcPr>
            <w:tcW w:w="1228" w:type="dxa"/>
            <w:vMerge w:val="restart"/>
            <w:tcBorders>
              <w:top w:val="single" w:sz="4" w:space="0" w:color="auto"/>
              <w:left w:val="single" w:sz="4" w:space="0" w:color="auto"/>
              <w:bottom w:val="single" w:sz="4" w:space="0" w:color="auto"/>
              <w:right w:val="nil"/>
            </w:tcBorders>
            <w:shd w:val="clear" w:color="000000" w:fill="FFFFFF"/>
            <w:noWrap/>
            <w:vAlign w:val="center"/>
            <w:hideMark/>
          </w:tcPr>
          <w:p w:rsidR="007277C1" w:rsidRPr="00444E9A" w:rsidP="007277C1" w14:paraId="728C3376" w14:textId="77777777">
            <w:pPr>
              <w:rPr>
                <w:rFonts w:ascii="Arial" w:hAnsi="Arial"/>
                <w:sz w:val="20"/>
              </w:rPr>
            </w:pPr>
            <w:r w:rsidRPr="00444E9A">
              <w:rPr>
                <w:rFonts w:ascii="Arial" w:hAnsi="Arial"/>
                <w:sz w:val="20"/>
              </w:rPr>
              <w:t>Freight Rail</w:t>
            </w:r>
          </w:p>
        </w:tc>
        <w:tc>
          <w:tcPr>
            <w:tcW w:w="2598" w:type="dxa"/>
            <w:tcBorders>
              <w:top w:val="single" w:sz="4" w:space="0" w:color="auto"/>
              <w:left w:val="single" w:sz="4" w:space="0" w:color="auto"/>
              <w:right w:val="nil"/>
            </w:tcBorders>
            <w:shd w:val="clear" w:color="auto" w:fill="auto"/>
            <w:noWrap/>
            <w:vAlign w:val="bottom"/>
          </w:tcPr>
          <w:p w:rsidR="007277C1" w:rsidRPr="00444E9A" w:rsidP="007277C1" w14:paraId="079F2597" w14:textId="19188469">
            <w:pPr>
              <w:rPr>
                <w:rFonts w:ascii="Arial" w:hAnsi="Arial"/>
                <w:color w:val="auto"/>
                <w:sz w:val="20"/>
              </w:rPr>
            </w:pPr>
            <w:r w:rsidRPr="00444E9A">
              <w:rPr>
                <w:rFonts w:ascii="Arial" w:hAnsi="Arial"/>
                <w:color w:val="auto"/>
                <w:sz w:val="20"/>
              </w:rPr>
              <w:t>SSEs</w:t>
            </w:r>
          </w:p>
        </w:tc>
        <w:tc>
          <w:tcPr>
            <w:tcW w:w="1114" w:type="dxa"/>
            <w:tcBorders>
              <w:top w:val="single" w:sz="4" w:space="0" w:color="auto"/>
              <w:left w:val="single" w:sz="4" w:space="0" w:color="auto"/>
              <w:right w:val="single" w:sz="4" w:space="0" w:color="auto"/>
            </w:tcBorders>
            <w:shd w:val="clear" w:color="auto" w:fill="auto"/>
            <w:noWrap/>
          </w:tcPr>
          <w:p w:rsidR="007277C1" w:rsidRPr="00444E9A" w:rsidP="007277C1" w14:paraId="7F71BEBC" w14:textId="5B668CC1">
            <w:pPr>
              <w:jc w:val="right"/>
              <w:rPr>
                <w:rFonts w:ascii="Arial" w:hAnsi="Arial"/>
                <w:color w:val="auto"/>
                <w:sz w:val="20"/>
              </w:rPr>
            </w:pPr>
            <w:r w:rsidRPr="00444E9A">
              <w:rPr>
                <w:rFonts w:ascii="Arial" w:hAnsi="Arial"/>
                <w:sz w:val="20"/>
              </w:rPr>
              <w:t>$66</w:t>
            </w:r>
          </w:p>
        </w:tc>
        <w:tc>
          <w:tcPr>
            <w:tcW w:w="1688" w:type="dxa"/>
            <w:tcBorders>
              <w:top w:val="single" w:sz="4" w:space="0" w:color="auto"/>
              <w:left w:val="nil"/>
              <w:right w:val="single" w:sz="4" w:space="0" w:color="auto"/>
            </w:tcBorders>
            <w:shd w:val="clear" w:color="auto" w:fill="auto"/>
            <w:noWrap/>
          </w:tcPr>
          <w:p w:rsidR="007277C1" w:rsidRPr="00444E9A" w:rsidP="007277C1" w14:paraId="49AF2AEE" w14:textId="01320293">
            <w:pPr>
              <w:jc w:val="right"/>
              <w:rPr>
                <w:rFonts w:ascii="Arial" w:hAnsi="Arial"/>
                <w:color w:val="auto"/>
                <w:sz w:val="20"/>
              </w:rPr>
            </w:pPr>
            <w:r w:rsidRPr="00444E9A">
              <w:rPr>
                <w:rFonts w:ascii="Arial" w:hAnsi="Arial"/>
                <w:sz w:val="20"/>
              </w:rPr>
              <w:t>123,964</w:t>
            </w:r>
          </w:p>
        </w:tc>
        <w:tc>
          <w:tcPr>
            <w:tcW w:w="1323" w:type="dxa"/>
            <w:tcBorders>
              <w:top w:val="single" w:sz="4" w:space="0" w:color="auto"/>
              <w:left w:val="single" w:sz="4" w:space="0" w:color="auto"/>
              <w:right w:val="nil"/>
            </w:tcBorders>
            <w:shd w:val="clear" w:color="auto" w:fill="auto"/>
            <w:noWrap/>
          </w:tcPr>
          <w:p w:rsidR="007277C1" w:rsidRPr="00444E9A" w:rsidP="007277C1" w14:paraId="600ED762" w14:textId="7725E5D9">
            <w:pPr>
              <w:jc w:val="right"/>
              <w:rPr>
                <w:rFonts w:ascii="Arial" w:hAnsi="Arial"/>
                <w:color w:val="auto"/>
                <w:sz w:val="20"/>
              </w:rPr>
            </w:pPr>
            <w:r w:rsidRPr="00444E9A">
              <w:rPr>
                <w:rFonts w:ascii="Arial" w:hAnsi="Arial"/>
                <w:sz w:val="20"/>
              </w:rPr>
              <w:t xml:space="preserve"> $8,181,597 </w:t>
            </w:r>
          </w:p>
        </w:tc>
        <w:tc>
          <w:tcPr>
            <w:tcW w:w="1399" w:type="dxa"/>
            <w:tcBorders>
              <w:top w:val="single" w:sz="4" w:space="0" w:color="auto"/>
              <w:left w:val="single" w:sz="4" w:space="0" w:color="auto"/>
              <w:right w:val="single" w:sz="4" w:space="0" w:color="auto"/>
            </w:tcBorders>
            <w:shd w:val="clear" w:color="auto" w:fill="auto"/>
            <w:noWrap/>
          </w:tcPr>
          <w:p w:rsidR="007277C1" w:rsidRPr="00444E9A" w:rsidP="007277C1" w14:paraId="3469AC29" w14:textId="6D227091">
            <w:pPr>
              <w:jc w:val="right"/>
              <w:rPr>
                <w:rFonts w:ascii="Arial" w:hAnsi="Arial"/>
                <w:color w:val="auto"/>
                <w:sz w:val="20"/>
              </w:rPr>
            </w:pPr>
            <w:r w:rsidRPr="00444E9A">
              <w:rPr>
                <w:rFonts w:ascii="Arial" w:hAnsi="Arial"/>
                <w:sz w:val="20"/>
              </w:rPr>
              <w:t xml:space="preserve"> $2,727,199 </w:t>
            </w:r>
          </w:p>
        </w:tc>
      </w:tr>
      <w:tr w14:paraId="1D2A668F" w14:textId="77777777" w:rsidTr="00B57037">
        <w:tblPrEx>
          <w:tblW w:w="9350" w:type="dxa"/>
          <w:tblLayout w:type="fixed"/>
          <w:tblCellMar>
            <w:left w:w="115" w:type="dxa"/>
            <w:right w:w="115" w:type="dxa"/>
          </w:tblCellMar>
          <w:tblLook w:val="04A0"/>
        </w:tblPrEx>
        <w:trPr>
          <w:trHeight w:val="255"/>
        </w:trPr>
        <w:tc>
          <w:tcPr>
            <w:tcW w:w="1228" w:type="dxa"/>
            <w:vMerge/>
            <w:tcBorders>
              <w:left w:val="single" w:sz="4" w:space="0" w:color="auto"/>
              <w:bottom w:val="single" w:sz="4" w:space="0" w:color="auto"/>
              <w:right w:val="single" w:sz="4" w:space="0" w:color="auto"/>
            </w:tcBorders>
            <w:vAlign w:val="center"/>
            <w:hideMark/>
          </w:tcPr>
          <w:p w:rsidR="007277C1" w:rsidRPr="00444E9A" w:rsidP="007277C1" w14:paraId="3ED1B156" w14:textId="77777777">
            <w:pPr>
              <w:rPr>
                <w:rFonts w:ascii="Arial" w:hAnsi="Arial"/>
                <w:sz w:val="20"/>
              </w:rPr>
            </w:pPr>
          </w:p>
        </w:tc>
        <w:tc>
          <w:tcPr>
            <w:tcW w:w="2598" w:type="dxa"/>
            <w:tcBorders>
              <w:left w:val="single" w:sz="4" w:space="0" w:color="auto"/>
              <w:right w:val="single" w:sz="4" w:space="0" w:color="auto"/>
            </w:tcBorders>
            <w:shd w:val="clear" w:color="auto" w:fill="auto"/>
            <w:noWrap/>
            <w:vAlign w:val="bottom"/>
          </w:tcPr>
          <w:p w:rsidR="007277C1" w:rsidRPr="00444E9A" w:rsidP="007277C1" w14:paraId="0D8CFEB2" w14:textId="2F1B330B">
            <w:pPr>
              <w:rPr>
                <w:rFonts w:ascii="Arial" w:hAnsi="Arial"/>
                <w:color w:val="auto"/>
                <w:sz w:val="20"/>
              </w:rPr>
            </w:pPr>
            <w:r w:rsidRPr="00444E9A">
              <w:rPr>
                <w:rFonts w:ascii="Arial" w:hAnsi="Arial"/>
                <w:color w:val="auto"/>
                <w:sz w:val="20"/>
              </w:rPr>
              <w:t>SCs</w:t>
            </w:r>
          </w:p>
        </w:tc>
        <w:tc>
          <w:tcPr>
            <w:tcW w:w="1114" w:type="dxa"/>
            <w:tcBorders>
              <w:left w:val="single" w:sz="4" w:space="0" w:color="auto"/>
              <w:right w:val="single" w:sz="4" w:space="0" w:color="auto"/>
            </w:tcBorders>
            <w:shd w:val="clear" w:color="auto" w:fill="auto"/>
            <w:noWrap/>
          </w:tcPr>
          <w:p w:rsidR="007277C1" w:rsidRPr="00444E9A" w:rsidP="007277C1" w14:paraId="7513ACF5" w14:textId="0D4611DE">
            <w:pPr>
              <w:jc w:val="right"/>
              <w:rPr>
                <w:rFonts w:ascii="Arial" w:hAnsi="Arial"/>
                <w:color w:val="auto"/>
                <w:sz w:val="20"/>
              </w:rPr>
            </w:pPr>
            <w:r w:rsidRPr="00444E9A">
              <w:rPr>
                <w:rFonts w:ascii="Arial" w:hAnsi="Arial"/>
                <w:sz w:val="20"/>
              </w:rPr>
              <w:t>$87</w:t>
            </w:r>
          </w:p>
        </w:tc>
        <w:tc>
          <w:tcPr>
            <w:tcW w:w="1688" w:type="dxa"/>
            <w:tcBorders>
              <w:left w:val="single" w:sz="4" w:space="0" w:color="auto"/>
              <w:right w:val="single" w:sz="4" w:space="0" w:color="auto"/>
            </w:tcBorders>
            <w:shd w:val="clear" w:color="auto" w:fill="auto"/>
            <w:noWrap/>
          </w:tcPr>
          <w:p w:rsidR="007277C1" w:rsidRPr="00444E9A" w:rsidP="007277C1" w14:paraId="0EDF18FC" w14:textId="6F3D0874">
            <w:pPr>
              <w:jc w:val="right"/>
              <w:rPr>
                <w:rFonts w:ascii="Arial" w:hAnsi="Arial"/>
                <w:color w:val="auto"/>
                <w:sz w:val="20"/>
              </w:rPr>
            </w:pPr>
            <w:r w:rsidRPr="00444E9A">
              <w:rPr>
                <w:rFonts w:ascii="Arial" w:hAnsi="Arial"/>
                <w:sz w:val="20"/>
              </w:rPr>
              <w:t>488</w:t>
            </w:r>
          </w:p>
        </w:tc>
        <w:tc>
          <w:tcPr>
            <w:tcW w:w="1323" w:type="dxa"/>
            <w:tcBorders>
              <w:left w:val="single" w:sz="4" w:space="0" w:color="auto"/>
              <w:right w:val="single" w:sz="4" w:space="0" w:color="auto"/>
            </w:tcBorders>
            <w:shd w:val="clear" w:color="auto" w:fill="auto"/>
            <w:noWrap/>
          </w:tcPr>
          <w:p w:rsidR="007277C1" w:rsidRPr="00444E9A" w:rsidP="007277C1" w14:paraId="1FCE3744" w14:textId="3EFB84E3">
            <w:pPr>
              <w:jc w:val="right"/>
              <w:rPr>
                <w:rFonts w:ascii="Arial" w:hAnsi="Arial"/>
                <w:color w:val="auto"/>
                <w:sz w:val="20"/>
              </w:rPr>
            </w:pPr>
            <w:r w:rsidRPr="00444E9A">
              <w:rPr>
                <w:rFonts w:ascii="Arial" w:hAnsi="Arial"/>
                <w:sz w:val="20"/>
              </w:rPr>
              <w:t xml:space="preserve"> $42,431 </w:t>
            </w:r>
          </w:p>
        </w:tc>
        <w:tc>
          <w:tcPr>
            <w:tcW w:w="1399" w:type="dxa"/>
            <w:tcBorders>
              <w:left w:val="single" w:sz="4" w:space="0" w:color="auto"/>
              <w:right w:val="single" w:sz="4" w:space="0" w:color="auto"/>
            </w:tcBorders>
            <w:shd w:val="clear" w:color="auto" w:fill="auto"/>
            <w:noWrap/>
          </w:tcPr>
          <w:p w:rsidR="007277C1" w:rsidRPr="00444E9A" w:rsidP="007277C1" w14:paraId="452AFCA0" w14:textId="1EE15A87">
            <w:pPr>
              <w:jc w:val="right"/>
              <w:rPr>
                <w:rFonts w:ascii="Arial" w:hAnsi="Arial"/>
                <w:color w:val="auto"/>
                <w:sz w:val="20"/>
              </w:rPr>
            </w:pPr>
            <w:r w:rsidRPr="00444E9A">
              <w:rPr>
                <w:rFonts w:ascii="Arial" w:hAnsi="Arial"/>
                <w:sz w:val="20"/>
              </w:rPr>
              <w:t xml:space="preserve"> $14,144 </w:t>
            </w:r>
          </w:p>
        </w:tc>
      </w:tr>
      <w:tr w14:paraId="4F71261A" w14:textId="77777777" w:rsidTr="00B57037">
        <w:tblPrEx>
          <w:tblW w:w="9350" w:type="dxa"/>
          <w:tblLayout w:type="fixed"/>
          <w:tblCellMar>
            <w:left w:w="115" w:type="dxa"/>
            <w:right w:w="115" w:type="dxa"/>
          </w:tblCellMar>
          <w:tblLook w:val="04A0"/>
        </w:tblPrEx>
        <w:trPr>
          <w:trHeight w:val="255"/>
        </w:trPr>
        <w:tc>
          <w:tcPr>
            <w:tcW w:w="1228" w:type="dxa"/>
            <w:vMerge/>
            <w:tcBorders>
              <w:left w:val="single" w:sz="4" w:space="0" w:color="auto"/>
              <w:bottom w:val="single" w:sz="4" w:space="0" w:color="auto"/>
              <w:right w:val="single" w:sz="4" w:space="0" w:color="auto"/>
            </w:tcBorders>
            <w:vAlign w:val="center"/>
          </w:tcPr>
          <w:p w:rsidR="007277C1" w:rsidRPr="00444E9A" w:rsidP="007277C1" w14:paraId="283D5439" w14:textId="77777777">
            <w:pPr>
              <w:rPr>
                <w:rFonts w:ascii="Arial" w:hAnsi="Arial"/>
                <w:sz w:val="20"/>
              </w:rPr>
            </w:pPr>
          </w:p>
        </w:tc>
        <w:tc>
          <w:tcPr>
            <w:tcW w:w="2598" w:type="dxa"/>
            <w:tcBorders>
              <w:left w:val="single" w:sz="4" w:space="0" w:color="auto"/>
              <w:right w:val="single" w:sz="4" w:space="0" w:color="auto"/>
            </w:tcBorders>
            <w:shd w:val="clear" w:color="auto" w:fill="auto"/>
            <w:noWrap/>
            <w:vAlign w:val="bottom"/>
          </w:tcPr>
          <w:p w:rsidR="007277C1" w:rsidRPr="00444E9A" w:rsidP="007277C1" w14:paraId="53D4E28D" w14:textId="11121924">
            <w:pPr>
              <w:rPr>
                <w:rFonts w:ascii="Arial" w:hAnsi="Arial"/>
                <w:color w:val="auto"/>
                <w:sz w:val="20"/>
              </w:rPr>
            </w:pPr>
            <w:r w:rsidRPr="00444E9A">
              <w:rPr>
                <w:rFonts w:ascii="Arial" w:hAnsi="Arial"/>
                <w:color w:val="auto"/>
                <w:sz w:val="20"/>
              </w:rPr>
              <w:t>Comparable STA SSEs</w:t>
            </w:r>
          </w:p>
        </w:tc>
        <w:tc>
          <w:tcPr>
            <w:tcW w:w="1114" w:type="dxa"/>
            <w:tcBorders>
              <w:left w:val="single" w:sz="4" w:space="0" w:color="auto"/>
              <w:right w:val="single" w:sz="4" w:space="0" w:color="auto"/>
            </w:tcBorders>
            <w:shd w:val="clear" w:color="auto" w:fill="auto"/>
            <w:noWrap/>
          </w:tcPr>
          <w:p w:rsidR="007277C1" w:rsidRPr="00444E9A" w:rsidP="007277C1" w14:paraId="29041EE1" w14:textId="5764E399">
            <w:pPr>
              <w:jc w:val="right"/>
              <w:rPr>
                <w:rFonts w:ascii="Arial" w:hAnsi="Arial"/>
                <w:color w:val="auto"/>
                <w:sz w:val="20"/>
              </w:rPr>
            </w:pPr>
            <w:r w:rsidRPr="00444E9A">
              <w:rPr>
                <w:rFonts w:ascii="Arial" w:hAnsi="Arial"/>
                <w:sz w:val="20"/>
              </w:rPr>
              <w:t>$30</w:t>
            </w:r>
          </w:p>
        </w:tc>
        <w:tc>
          <w:tcPr>
            <w:tcW w:w="1688" w:type="dxa"/>
            <w:tcBorders>
              <w:left w:val="single" w:sz="4" w:space="0" w:color="auto"/>
              <w:right w:val="single" w:sz="4" w:space="0" w:color="auto"/>
            </w:tcBorders>
            <w:shd w:val="clear" w:color="auto" w:fill="auto"/>
            <w:noWrap/>
          </w:tcPr>
          <w:p w:rsidR="007277C1" w:rsidRPr="00444E9A" w:rsidP="007277C1" w14:paraId="1E21678C" w14:textId="547C4C6F">
            <w:pPr>
              <w:jc w:val="right"/>
              <w:rPr>
                <w:rFonts w:ascii="Arial" w:hAnsi="Arial"/>
                <w:color w:val="auto"/>
                <w:sz w:val="20"/>
              </w:rPr>
            </w:pPr>
            <w:r w:rsidRPr="00444E9A">
              <w:rPr>
                <w:rFonts w:ascii="Arial" w:hAnsi="Arial"/>
                <w:sz w:val="20"/>
              </w:rPr>
              <w:t>7,997</w:t>
            </w:r>
          </w:p>
        </w:tc>
        <w:tc>
          <w:tcPr>
            <w:tcW w:w="1323" w:type="dxa"/>
            <w:tcBorders>
              <w:left w:val="single" w:sz="4" w:space="0" w:color="auto"/>
              <w:right w:val="single" w:sz="4" w:space="0" w:color="auto"/>
            </w:tcBorders>
            <w:shd w:val="clear" w:color="auto" w:fill="auto"/>
            <w:noWrap/>
          </w:tcPr>
          <w:p w:rsidR="007277C1" w:rsidRPr="00444E9A" w:rsidP="007277C1" w14:paraId="028E161E" w14:textId="3F8D0EB9">
            <w:pPr>
              <w:jc w:val="right"/>
              <w:rPr>
                <w:rFonts w:ascii="Arial" w:hAnsi="Arial"/>
                <w:color w:val="auto"/>
                <w:sz w:val="20"/>
              </w:rPr>
            </w:pPr>
            <w:r w:rsidRPr="00444E9A">
              <w:rPr>
                <w:rFonts w:ascii="Arial" w:hAnsi="Arial"/>
                <w:sz w:val="20"/>
              </w:rPr>
              <w:t xml:space="preserve"> $239,924 </w:t>
            </w:r>
          </w:p>
        </w:tc>
        <w:tc>
          <w:tcPr>
            <w:tcW w:w="1399" w:type="dxa"/>
            <w:tcBorders>
              <w:left w:val="single" w:sz="4" w:space="0" w:color="auto"/>
              <w:right w:val="single" w:sz="4" w:space="0" w:color="auto"/>
            </w:tcBorders>
            <w:shd w:val="clear" w:color="auto" w:fill="auto"/>
            <w:noWrap/>
          </w:tcPr>
          <w:p w:rsidR="007277C1" w:rsidRPr="00444E9A" w:rsidP="007277C1" w14:paraId="1FF32F7A" w14:textId="217AA53A">
            <w:pPr>
              <w:jc w:val="right"/>
              <w:rPr>
                <w:rFonts w:ascii="Arial" w:hAnsi="Arial"/>
                <w:color w:val="auto"/>
                <w:sz w:val="20"/>
              </w:rPr>
            </w:pPr>
            <w:r w:rsidRPr="00444E9A">
              <w:rPr>
                <w:rFonts w:ascii="Arial" w:hAnsi="Arial"/>
                <w:sz w:val="20"/>
              </w:rPr>
              <w:t xml:space="preserve"> $79,975 </w:t>
            </w:r>
          </w:p>
        </w:tc>
      </w:tr>
      <w:tr w14:paraId="30B9CD61" w14:textId="77777777" w:rsidTr="00B57037">
        <w:tblPrEx>
          <w:tblW w:w="9350" w:type="dxa"/>
          <w:tblLayout w:type="fixed"/>
          <w:tblCellMar>
            <w:left w:w="115" w:type="dxa"/>
            <w:right w:w="115" w:type="dxa"/>
          </w:tblCellMar>
          <w:tblLook w:val="04A0"/>
        </w:tblPrEx>
        <w:trPr>
          <w:trHeight w:val="255"/>
        </w:trPr>
        <w:tc>
          <w:tcPr>
            <w:tcW w:w="1228" w:type="dxa"/>
            <w:vMerge/>
            <w:tcBorders>
              <w:left w:val="single" w:sz="4" w:space="0" w:color="auto"/>
              <w:bottom w:val="single" w:sz="4" w:space="0" w:color="auto"/>
              <w:right w:val="single" w:sz="4" w:space="0" w:color="auto"/>
            </w:tcBorders>
            <w:vAlign w:val="center"/>
          </w:tcPr>
          <w:p w:rsidR="007277C1" w:rsidRPr="00444E9A" w:rsidP="007277C1" w14:paraId="3BD7768E" w14:textId="77777777">
            <w:pPr>
              <w:rPr>
                <w:rFonts w:ascii="Arial" w:hAnsi="Arial"/>
                <w:sz w:val="20"/>
              </w:rPr>
            </w:pPr>
          </w:p>
        </w:tc>
        <w:tc>
          <w:tcPr>
            <w:tcW w:w="2598" w:type="dxa"/>
            <w:tcBorders>
              <w:left w:val="single" w:sz="4" w:space="0" w:color="auto"/>
              <w:bottom w:val="single" w:sz="4" w:space="0" w:color="auto"/>
              <w:right w:val="single" w:sz="4" w:space="0" w:color="auto"/>
            </w:tcBorders>
            <w:shd w:val="clear" w:color="auto" w:fill="auto"/>
            <w:noWrap/>
            <w:vAlign w:val="bottom"/>
          </w:tcPr>
          <w:p w:rsidR="007277C1" w:rsidRPr="00444E9A" w:rsidP="007277C1" w14:paraId="53EBFCA7" w14:textId="36B80393">
            <w:pPr>
              <w:rPr>
                <w:rFonts w:ascii="Arial" w:hAnsi="Arial"/>
                <w:color w:val="auto"/>
                <w:sz w:val="20"/>
              </w:rPr>
            </w:pPr>
            <w:r w:rsidRPr="00444E9A">
              <w:rPr>
                <w:rFonts w:ascii="Arial" w:hAnsi="Arial"/>
                <w:color w:val="auto"/>
                <w:sz w:val="20"/>
              </w:rPr>
              <w:t>Comparable STA SCs</w:t>
            </w:r>
          </w:p>
        </w:tc>
        <w:tc>
          <w:tcPr>
            <w:tcW w:w="1114" w:type="dxa"/>
            <w:tcBorders>
              <w:left w:val="single" w:sz="4" w:space="0" w:color="auto"/>
              <w:bottom w:val="single" w:sz="4" w:space="0" w:color="auto"/>
              <w:right w:val="single" w:sz="4" w:space="0" w:color="auto"/>
            </w:tcBorders>
            <w:shd w:val="clear" w:color="auto" w:fill="auto"/>
            <w:noWrap/>
          </w:tcPr>
          <w:p w:rsidR="007277C1" w:rsidRPr="00444E9A" w:rsidP="007277C1" w14:paraId="1F486F0F" w14:textId="792169A0">
            <w:pPr>
              <w:jc w:val="right"/>
              <w:rPr>
                <w:rFonts w:ascii="Arial" w:hAnsi="Arial"/>
                <w:color w:val="auto"/>
                <w:sz w:val="20"/>
              </w:rPr>
            </w:pPr>
            <w:r w:rsidRPr="00444E9A">
              <w:rPr>
                <w:rFonts w:ascii="Arial" w:hAnsi="Arial"/>
                <w:sz w:val="20"/>
              </w:rPr>
              <w:t>$30</w:t>
            </w:r>
          </w:p>
        </w:tc>
        <w:tc>
          <w:tcPr>
            <w:tcW w:w="1688" w:type="dxa"/>
            <w:tcBorders>
              <w:left w:val="single" w:sz="4" w:space="0" w:color="auto"/>
              <w:bottom w:val="single" w:sz="4" w:space="0" w:color="auto"/>
              <w:right w:val="single" w:sz="4" w:space="0" w:color="auto"/>
            </w:tcBorders>
            <w:shd w:val="clear" w:color="auto" w:fill="auto"/>
            <w:noWrap/>
          </w:tcPr>
          <w:p w:rsidR="007277C1" w:rsidRPr="00444E9A" w:rsidP="007277C1" w14:paraId="38D94481" w14:textId="11DE0AE0">
            <w:pPr>
              <w:jc w:val="right"/>
              <w:rPr>
                <w:rFonts w:ascii="Arial" w:hAnsi="Arial"/>
                <w:color w:val="auto"/>
                <w:sz w:val="20"/>
              </w:rPr>
            </w:pPr>
            <w:r w:rsidRPr="00444E9A">
              <w:rPr>
                <w:rFonts w:ascii="Arial" w:hAnsi="Arial"/>
                <w:sz w:val="20"/>
              </w:rPr>
              <w:t>497</w:t>
            </w:r>
          </w:p>
        </w:tc>
        <w:tc>
          <w:tcPr>
            <w:tcW w:w="1323" w:type="dxa"/>
            <w:tcBorders>
              <w:left w:val="single" w:sz="4" w:space="0" w:color="auto"/>
              <w:bottom w:val="single" w:sz="4" w:space="0" w:color="auto"/>
              <w:right w:val="single" w:sz="4" w:space="0" w:color="auto"/>
            </w:tcBorders>
            <w:shd w:val="clear" w:color="auto" w:fill="auto"/>
            <w:noWrap/>
          </w:tcPr>
          <w:p w:rsidR="007277C1" w:rsidRPr="00444E9A" w:rsidP="007277C1" w14:paraId="0225C93B" w14:textId="0E53EEA6">
            <w:pPr>
              <w:jc w:val="right"/>
              <w:rPr>
                <w:rFonts w:ascii="Arial" w:hAnsi="Arial"/>
                <w:color w:val="auto"/>
                <w:sz w:val="20"/>
              </w:rPr>
            </w:pPr>
            <w:r w:rsidRPr="00444E9A">
              <w:rPr>
                <w:rFonts w:ascii="Arial" w:hAnsi="Arial"/>
                <w:sz w:val="20"/>
              </w:rPr>
              <w:t xml:space="preserve"> $14,899 </w:t>
            </w:r>
          </w:p>
        </w:tc>
        <w:tc>
          <w:tcPr>
            <w:tcW w:w="1399" w:type="dxa"/>
            <w:tcBorders>
              <w:left w:val="single" w:sz="4" w:space="0" w:color="auto"/>
              <w:bottom w:val="single" w:sz="4" w:space="0" w:color="auto"/>
              <w:right w:val="single" w:sz="4" w:space="0" w:color="auto"/>
            </w:tcBorders>
            <w:shd w:val="clear" w:color="auto" w:fill="auto"/>
            <w:noWrap/>
          </w:tcPr>
          <w:p w:rsidR="007277C1" w:rsidRPr="00444E9A" w:rsidP="007277C1" w14:paraId="7EA59108" w14:textId="44F6FD6B">
            <w:pPr>
              <w:jc w:val="right"/>
              <w:rPr>
                <w:rFonts w:ascii="Arial" w:hAnsi="Arial"/>
                <w:color w:val="auto"/>
                <w:sz w:val="20"/>
              </w:rPr>
            </w:pPr>
            <w:r w:rsidRPr="00444E9A">
              <w:rPr>
                <w:rFonts w:ascii="Arial" w:hAnsi="Arial"/>
                <w:sz w:val="20"/>
              </w:rPr>
              <w:t xml:space="preserve"> $4,966 </w:t>
            </w:r>
          </w:p>
        </w:tc>
      </w:tr>
      <w:tr w14:paraId="18B9DCC2" w14:textId="77777777" w:rsidTr="00B57037">
        <w:tblPrEx>
          <w:tblW w:w="9350" w:type="dxa"/>
          <w:tblLayout w:type="fixed"/>
          <w:tblCellMar>
            <w:left w:w="115" w:type="dxa"/>
            <w:right w:w="115" w:type="dxa"/>
          </w:tblCellMar>
          <w:tblLook w:val="04A0"/>
        </w:tblPrEx>
        <w:trPr>
          <w:trHeight w:val="255"/>
        </w:trPr>
        <w:tc>
          <w:tcPr>
            <w:tcW w:w="12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277C1" w:rsidRPr="00444E9A" w:rsidP="007277C1" w14:paraId="7603F39E" w14:textId="1C6D17D1">
            <w:pPr>
              <w:rPr>
                <w:rFonts w:ascii="Arial" w:hAnsi="Arial"/>
                <w:sz w:val="20"/>
              </w:rPr>
            </w:pPr>
            <w:r w:rsidRPr="00444E9A">
              <w:rPr>
                <w:rFonts w:ascii="Arial" w:hAnsi="Arial"/>
                <w:sz w:val="20"/>
              </w:rPr>
              <w:t>FRSR</w:t>
            </w:r>
          </w:p>
        </w:tc>
        <w:tc>
          <w:tcPr>
            <w:tcW w:w="2598" w:type="dxa"/>
            <w:tcBorders>
              <w:top w:val="single" w:sz="4" w:space="0" w:color="auto"/>
              <w:left w:val="single" w:sz="4" w:space="0" w:color="auto"/>
              <w:right w:val="single" w:sz="4" w:space="0" w:color="auto"/>
            </w:tcBorders>
            <w:shd w:val="clear" w:color="auto" w:fill="auto"/>
            <w:noWrap/>
            <w:vAlign w:val="bottom"/>
          </w:tcPr>
          <w:p w:rsidR="007277C1" w:rsidRPr="00444E9A" w:rsidP="007277C1" w14:paraId="10A5F4C1" w14:textId="3A912DC0">
            <w:pPr>
              <w:rPr>
                <w:rFonts w:ascii="Arial" w:hAnsi="Arial"/>
                <w:sz w:val="20"/>
              </w:rPr>
            </w:pPr>
            <w:r w:rsidRPr="00444E9A">
              <w:rPr>
                <w:rFonts w:ascii="Arial" w:hAnsi="Arial"/>
                <w:sz w:val="20"/>
              </w:rPr>
              <w:t>SCs</w:t>
            </w:r>
          </w:p>
        </w:tc>
        <w:tc>
          <w:tcPr>
            <w:tcW w:w="1114" w:type="dxa"/>
            <w:tcBorders>
              <w:top w:val="single" w:sz="4" w:space="0" w:color="auto"/>
              <w:left w:val="single" w:sz="4" w:space="0" w:color="auto"/>
              <w:bottom w:val="nil"/>
              <w:right w:val="single" w:sz="4" w:space="0" w:color="auto"/>
            </w:tcBorders>
            <w:shd w:val="clear" w:color="auto" w:fill="auto"/>
            <w:noWrap/>
          </w:tcPr>
          <w:p w:rsidR="007277C1" w:rsidRPr="00444E9A" w:rsidP="007277C1" w14:paraId="49AB496F" w14:textId="5264C4AB">
            <w:pPr>
              <w:jc w:val="right"/>
              <w:rPr>
                <w:rFonts w:ascii="Arial" w:hAnsi="Arial"/>
                <w:sz w:val="20"/>
              </w:rPr>
            </w:pPr>
            <w:r w:rsidRPr="00444E9A">
              <w:rPr>
                <w:rFonts w:ascii="Arial" w:hAnsi="Arial"/>
                <w:sz w:val="20"/>
              </w:rPr>
              <w:t>$87</w:t>
            </w:r>
          </w:p>
        </w:tc>
        <w:tc>
          <w:tcPr>
            <w:tcW w:w="1688" w:type="dxa"/>
            <w:tcBorders>
              <w:top w:val="single" w:sz="4" w:space="0" w:color="auto"/>
              <w:left w:val="single" w:sz="4" w:space="0" w:color="auto"/>
              <w:bottom w:val="nil"/>
              <w:right w:val="single" w:sz="4" w:space="0" w:color="auto"/>
            </w:tcBorders>
            <w:shd w:val="clear" w:color="auto" w:fill="auto"/>
            <w:noWrap/>
          </w:tcPr>
          <w:p w:rsidR="007277C1" w:rsidRPr="00444E9A" w:rsidP="007277C1" w14:paraId="4B2CFF71" w14:textId="7ED9A2F1">
            <w:pPr>
              <w:jc w:val="right"/>
              <w:rPr>
                <w:rFonts w:ascii="Arial" w:hAnsi="Arial"/>
                <w:sz w:val="20"/>
              </w:rPr>
            </w:pPr>
            <w:r w:rsidRPr="00444E9A">
              <w:rPr>
                <w:rFonts w:ascii="Arial" w:hAnsi="Arial"/>
                <w:sz w:val="20"/>
              </w:rPr>
              <w:t>274</w:t>
            </w:r>
          </w:p>
        </w:tc>
        <w:tc>
          <w:tcPr>
            <w:tcW w:w="1323" w:type="dxa"/>
            <w:tcBorders>
              <w:top w:val="single" w:sz="4" w:space="0" w:color="auto"/>
              <w:left w:val="single" w:sz="4" w:space="0" w:color="auto"/>
              <w:bottom w:val="nil"/>
              <w:right w:val="single" w:sz="4" w:space="0" w:color="auto"/>
            </w:tcBorders>
            <w:shd w:val="clear" w:color="auto" w:fill="auto"/>
            <w:noWrap/>
          </w:tcPr>
          <w:p w:rsidR="007277C1" w:rsidRPr="00444E9A" w:rsidP="007277C1" w14:paraId="18505CE8" w14:textId="7E4CFB0C">
            <w:pPr>
              <w:jc w:val="right"/>
              <w:rPr>
                <w:rFonts w:ascii="Arial" w:hAnsi="Arial"/>
                <w:sz w:val="20"/>
              </w:rPr>
            </w:pPr>
            <w:r w:rsidRPr="00444E9A">
              <w:rPr>
                <w:rFonts w:ascii="Arial" w:hAnsi="Arial"/>
                <w:sz w:val="20"/>
              </w:rPr>
              <w:t xml:space="preserve"> $23,812 </w:t>
            </w:r>
          </w:p>
        </w:tc>
        <w:tc>
          <w:tcPr>
            <w:tcW w:w="1399" w:type="dxa"/>
            <w:tcBorders>
              <w:top w:val="single" w:sz="4" w:space="0" w:color="auto"/>
              <w:left w:val="single" w:sz="4" w:space="0" w:color="auto"/>
              <w:bottom w:val="nil"/>
              <w:right w:val="single" w:sz="4" w:space="0" w:color="auto"/>
            </w:tcBorders>
            <w:shd w:val="clear" w:color="auto" w:fill="auto"/>
            <w:noWrap/>
          </w:tcPr>
          <w:p w:rsidR="007277C1" w:rsidRPr="00444E9A" w:rsidP="007277C1" w14:paraId="5E08F55D" w14:textId="6A47F32B">
            <w:pPr>
              <w:jc w:val="right"/>
              <w:rPr>
                <w:rFonts w:ascii="Arial" w:hAnsi="Arial"/>
                <w:sz w:val="20"/>
              </w:rPr>
            </w:pPr>
            <w:r w:rsidRPr="00444E9A">
              <w:rPr>
                <w:rFonts w:ascii="Arial" w:hAnsi="Arial"/>
                <w:sz w:val="20"/>
              </w:rPr>
              <w:t xml:space="preserve"> $7,937 </w:t>
            </w:r>
          </w:p>
        </w:tc>
      </w:tr>
      <w:tr w14:paraId="7F05F009" w14:textId="77777777" w:rsidTr="00B57037">
        <w:tblPrEx>
          <w:tblW w:w="9350" w:type="dxa"/>
          <w:tblLayout w:type="fixed"/>
          <w:tblCellMar>
            <w:left w:w="115" w:type="dxa"/>
            <w:right w:w="115" w:type="dxa"/>
          </w:tblCellMar>
          <w:tblLook w:val="04A0"/>
        </w:tblPrEx>
        <w:trPr>
          <w:trHeight w:val="255"/>
        </w:trPr>
        <w:tc>
          <w:tcPr>
            <w:tcW w:w="1228" w:type="dxa"/>
            <w:vMerge/>
            <w:tcBorders>
              <w:left w:val="single" w:sz="4" w:space="0" w:color="auto"/>
              <w:bottom w:val="single" w:sz="4" w:space="0" w:color="auto"/>
              <w:right w:val="single" w:sz="4" w:space="0" w:color="auto"/>
            </w:tcBorders>
            <w:shd w:val="clear" w:color="auto" w:fill="auto"/>
            <w:noWrap/>
            <w:vAlign w:val="center"/>
          </w:tcPr>
          <w:p w:rsidR="007277C1" w:rsidRPr="00444E9A" w:rsidP="007277C1" w14:paraId="3087532A" w14:textId="77777777">
            <w:pPr>
              <w:rPr>
                <w:rFonts w:ascii="Arial" w:hAnsi="Arial"/>
                <w:sz w:val="20"/>
              </w:rPr>
            </w:pPr>
          </w:p>
        </w:tc>
        <w:tc>
          <w:tcPr>
            <w:tcW w:w="2598" w:type="dxa"/>
            <w:tcBorders>
              <w:left w:val="single" w:sz="4" w:space="0" w:color="auto"/>
              <w:bottom w:val="single" w:sz="4" w:space="0" w:color="auto"/>
              <w:right w:val="single" w:sz="4" w:space="0" w:color="auto"/>
            </w:tcBorders>
            <w:shd w:val="clear" w:color="auto" w:fill="auto"/>
            <w:noWrap/>
            <w:vAlign w:val="bottom"/>
          </w:tcPr>
          <w:p w:rsidR="007277C1" w:rsidRPr="00444E9A" w:rsidP="007277C1" w14:paraId="528E44FA" w14:textId="76A38028">
            <w:pPr>
              <w:rPr>
                <w:rFonts w:ascii="Arial" w:hAnsi="Arial"/>
                <w:sz w:val="20"/>
              </w:rPr>
            </w:pPr>
            <w:r w:rsidRPr="00444E9A">
              <w:rPr>
                <w:rFonts w:ascii="Arial" w:hAnsi="Arial"/>
                <w:sz w:val="20"/>
              </w:rPr>
              <w:t>Comparable STA SCs</w:t>
            </w:r>
          </w:p>
        </w:tc>
        <w:tc>
          <w:tcPr>
            <w:tcW w:w="1114" w:type="dxa"/>
            <w:tcBorders>
              <w:left w:val="single" w:sz="4" w:space="0" w:color="auto"/>
              <w:bottom w:val="single" w:sz="4" w:space="0" w:color="auto"/>
              <w:right w:val="single" w:sz="4" w:space="0" w:color="auto"/>
            </w:tcBorders>
            <w:shd w:val="clear" w:color="auto" w:fill="auto"/>
            <w:noWrap/>
          </w:tcPr>
          <w:p w:rsidR="007277C1" w:rsidRPr="00444E9A" w:rsidP="007277C1" w14:paraId="36F9190A" w14:textId="6548A38B">
            <w:pPr>
              <w:jc w:val="right"/>
              <w:rPr>
                <w:rFonts w:ascii="Arial" w:hAnsi="Arial"/>
                <w:sz w:val="20"/>
              </w:rPr>
            </w:pPr>
            <w:r w:rsidRPr="00444E9A">
              <w:rPr>
                <w:rFonts w:ascii="Arial" w:hAnsi="Arial"/>
                <w:sz w:val="20"/>
              </w:rPr>
              <w:t>$30</w:t>
            </w:r>
          </w:p>
        </w:tc>
        <w:tc>
          <w:tcPr>
            <w:tcW w:w="1688" w:type="dxa"/>
            <w:tcBorders>
              <w:left w:val="single" w:sz="4" w:space="0" w:color="auto"/>
              <w:bottom w:val="single" w:sz="4" w:space="0" w:color="auto"/>
              <w:right w:val="single" w:sz="4" w:space="0" w:color="auto"/>
            </w:tcBorders>
            <w:shd w:val="clear" w:color="auto" w:fill="auto"/>
            <w:noWrap/>
          </w:tcPr>
          <w:p w:rsidR="007277C1" w:rsidRPr="00444E9A" w:rsidP="007277C1" w14:paraId="0D4275E5" w14:textId="2EB6ED0E">
            <w:pPr>
              <w:jc w:val="right"/>
              <w:rPr>
                <w:rFonts w:ascii="Arial" w:hAnsi="Arial"/>
                <w:sz w:val="20"/>
              </w:rPr>
            </w:pPr>
            <w:r w:rsidRPr="00444E9A">
              <w:rPr>
                <w:rFonts w:ascii="Arial" w:hAnsi="Arial"/>
                <w:sz w:val="20"/>
              </w:rPr>
              <w:t>308</w:t>
            </w:r>
          </w:p>
        </w:tc>
        <w:tc>
          <w:tcPr>
            <w:tcW w:w="1323" w:type="dxa"/>
            <w:tcBorders>
              <w:left w:val="single" w:sz="4" w:space="0" w:color="auto"/>
              <w:bottom w:val="single" w:sz="4" w:space="0" w:color="auto"/>
              <w:right w:val="single" w:sz="4" w:space="0" w:color="auto"/>
            </w:tcBorders>
            <w:shd w:val="clear" w:color="auto" w:fill="auto"/>
            <w:noWrap/>
          </w:tcPr>
          <w:p w:rsidR="007277C1" w:rsidRPr="00444E9A" w:rsidP="007277C1" w14:paraId="49B17CD3" w14:textId="3AB0F898">
            <w:pPr>
              <w:jc w:val="right"/>
              <w:rPr>
                <w:rFonts w:ascii="Arial" w:hAnsi="Arial"/>
                <w:sz w:val="20"/>
              </w:rPr>
            </w:pPr>
            <w:r w:rsidRPr="00444E9A">
              <w:rPr>
                <w:rFonts w:ascii="Arial" w:hAnsi="Arial"/>
                <w:sz w:val="20"/>
              </w:rPr>
              <w:t xml:space="preserve"> $9,233 </w:t>
            </w:r>
          </w:p>
        </w:tc>
        <w:tc>
          <w:tcPr>
            <w:tcW w:w="1399" w:type="dxa"/>
            <w:tcBorders>
              <w:left w:val="single" w:sz="4" w:space="0" w:color="auto"/>
              <w:bottom w:val="single" w:sz="4" w:space="0" w:color="auto"/>
              <w:right w:val="single" w:sz="4" w:space="0" w:color="auto"/>
            </w:tcBorders>
            <w:shd w:val="clear" w:color="auto" w:fill="auto"/>
            <w:noWrap/>
          </w:tcPr>
          <w:p w:rsidR="007277C1" w:rsidRPr="00444E9A" w:rsidP="007277C1" w14:paraId="390E920E" w14:textId="323DB623">
            <w:pPr>
              <w:jc w:val="right"/>
              <w:rPr>
                <w:rFonts w:ascii="Arial" w:hAnsi="Arial"/>
                <w:sz w:val="20"/>
              </w:rPr>
            </w:pPr>
            <w:r w:rsidRPr="00444E9A">
              <w:rPr>
                <w:rFonts w:ascii="Arial" w:hAnsi="Arial"/>
                <w:sz w:val="20"/>
              </w:rPr>
              <w:t xml:space="preserve"> $3,078 </w:t>
            </w:r>
          </w:p>
        </w:tc>
      </w:tr>
      <w:tr w14:paraId="308B8E45" w14:textId="77777777" w:rsidTr="00B57037">
        <w:tblPrEx>
          <w:tblW w:w="9350" w:type="dxa"/>
          <w:tblLayout w:type="fixed"/>
          <w:tblCellMar>
            <w:left w:w="115" w:type="dxa"/>
            <w:right w:w="115" w:type="dxa"/>
          </w:tblCellMar>
          <w:tblLook w:val="04A0"/>
        </w:tblPrEx>
        <w:trPr>
          <w:trHeight w:val="255"/>
        </w:trPr>
        <w:tc>
          <w:tcPr>
            <w:tcW w:w="1228" w:type="dxa"/>
            <w:vMerge w:val="restart"/>
            <w:tcBorders>
              <w:top w:val="single" w:sz="4" w:space="0" w:color="auto"/>
              <w:left w:val="single" w:sz="4" w:space="0" w:color="auto"/>
              <w:right w:val="single" w:sz="4" w:space="0" w:color="auto"/>
            </w:tcBorders>
            <w:shd w:val="clear" w:color="auto" w:fill="auto"/>
            <w:noWrap/>
            <w:vAlign w:val="center"/>
            <w:hideMark/>
          </w:tcPr>
          <w:p w:rsidR="007277C1" w:rsidRPr="00444E9A" w:rsidP="007277C1" w14:paraId="7EAD4D05" w14:textId="77777777">
            <w:pPr>
              <w:rPr>
                <w:rFonts w:ascii="Arial" w:hAnsi="Arial"/>
                <w:sz w:val="20"/>
              </w:rPr>
            </w:pPr>
            <w:r w:rsidRPr="00444E9A">
              <w:rPr>
                <w:rFonts w:ascii="Arial" w:hAnsi="Arial"/>
                <w:sz w:val="20"/>
              </w:rPr>
              <w:t>PTPR</w:t>
            </w:r>
          </w:p>
        </w:tc>
        <w:tc>
          <w:tcPr>
            <w:tcW w:w="2598" w:type="dxa"/>
            <w:tcBorders>
              <w:top w:val="single" w:sz="4" w:space="0" w:color="auto"/>
              <w:left w:val="single" w:sz="4" w:space="0" w:color="auto"/>
              <w:bottom w:val="nil"/>
              <w:right w:val="single" w:sz="4" w:space="0" w:color="auto"/>
            </w:tcBorders>
            <w:shd w:val="clear" w:color="auto" w:fill="auto"/>
            <w:noWrap/>
            <w:vAlign w:val="bottom"/>
          </w:tcPr>
          <w:p w:rsidR="007277C1" w:rsidRPr="00444E9A" w:rsidP="007277C1" w14:paraId="5970A72F" w14:textId="75CD09A1">
            <w:pPr>
              <w:rPr>
                <w:rFonts w:ascii="Arial" w:hAnsi="Arial"/>
                <w:color w:val="auto"/>
                <w:sz w:val="20"/>
              </w:rPr>
            </w:pPr>
            <w:r w:rsidRPr="00444E9A">
              <w:rPr>
                <w:rFonts w:ascii="Arial" w:hAnsi="Arial"/>
                <w:color w:val="auto"/>
                <w:sz w:val="20"/>
              </w:rPr>
              <w:t>SSEs</w:t>
            </w:r>
          </w:p>
        </w:tc>
        <w:tc>
          <w:tcPr>
            <w:tcW w:w="1114" w:type="dxa"/>
            <w:tcBorders>
              <w:top w:val="single" w:sz="4" w:space="0" w:color="auto"/>
              <w:left w:val="single" w:sz="4" w:space="0" w:color="auto"/>
              <w:bottom w:val="nil"/>
              <w:right w:val="single" w:sz="4" w:space="0" w:color="auto"/>
            </w:tcBorders>
            <w:shd w:val="clear" w:color="auto" w:fill="auto"/>
            <w:noWrap/>
          </w:tcPr>
          <w:p w:rsidR="007277C1" w:rsidRPr="00444E9A" w:rsidP="007277C1" w14:paraId="51CAA558" w14:textId="6CA03EA7">
            <w:pPr>
              <w:jc w:val="right"/>
              <w:rPr>
                <w:rFonts w:ascii="Arial" w:hAnsi="Arial"/>
                <w:color w:val="auto"/>
                <w:sz w:val="20"/>
              </w:rPr>
            </w:pPr>
            <w:r w:rsidRPr="00444E9A">
              <w:rPr>
                <w:rFonts w:ascii="Arial" w:hAnsi="Arial"/>
                <w:sz w:val="20"/>
              </w:rPr>
              <w:t>$66</w:t>
            </w:r>
          </w:p>
        </w:tc>
        <w:tc>
          <w:tcPr>
            <w:tcW w:w="1688" w:type="dxa"/>
            <w:tcBorders>
              <w:top w:val="single" w:sz="4" w:space="0" w:color="auto"/>
              <w:left w:val="single" w:sz="4" w:space="0" w:color="auto"/>
              <w:bottom w:val="nil"/>
              <w:right w:val="single" w:sz="4" w:space="0" w:color="auto"/>
            </w:tcBorders>
            <w:shd w:val="clear" w:color="auto" w:fill="auto"/>
            <w:noWrap/>
          </w:tcPr>
          <w:p w:rsidR="007277C1" w:rsidRPr="00444E9A" w:rsidP="007277C1" w14:paraId="6635F0B1" w14:textId="2C672F95">
            <w:pPr>
              <w:jc w:val="right"/>
              <w:rPr>
                <w:rFonts w:ascii="Arial" w:hAnsi="Arial"/>
                <w:color w:val="auto"/>
                <w:sz w:val="20"/>
              </w:rPr>
            </w:pPr>
            <w:r w:rsidRPr="00444E9A">
              <w:rPr>
                <w:rFonts w:ascii="Arial" w:hAnsi="Arial"/>
                <w:sz w:val="20"/>
              </w:rPr>
              <w:t>220,276</w:t>
            </w:r>
          </w:p>
        </w:tc>
        <w:tc>
          <w:tcPr>
            <w:tcW w:w="1323" w:type="dxa"/>
            <w:tcBorders>
              <w:top w:val="single" w:sz="4" w:space="0" w:color="auto"/>
              <w:left w:val="single" w:sz="4" w:space="0" w:color="auto"/>
              <w:bottom w:val="nil"/>
              <w:right w:val="single" w:sz="4" w:space="0" w:color="auto"/>
            </w:tcBorders>
            <w:shd w:val="clear" w:color="auto" w:fill="auto"/>
            <w:noWrap/>
          </w:tcPr>
          <w:p w:rsidR="007277C1" w:rsidRPr="00444E9A" w:rsidP="007277C1" w14:paraId="3E5F9A55" w14:textId="35766501">
            <w:pPr>
              <w:jc w:val="right"/>
              <w:rPr>
                <w:rFonts w:ascii="Arial" w:hAnsi="Arial"/>
                <w:color w:val="auto"/>
                <w:sz w:val="20"/>
              </w:rPr>
            </w:pPr>
            <w:r w:rsidRPr="00444E9A">
              <w:rPr>
                <w:rFonts w:ascii="Arial" w:hAnsi="Arial"/>
                <w:sz w:val="20"/>
              </w:rPr>
              <w:t xml:space="preserve"> $14,538,198 </w:t>
            </w:r>
          </w:p>
        </w:tc>
        <w:tc>
          <w:tcPr>
            <w:tcW w:w="1399" w:type="dxa"/>
            <w:tcBorders>
              <w:top w:val="single" w:sz="4" w:space="0" w:color="auto"/>
              <w:left w:val="single" w:sz="4" w:space="0" w:color="auto"/>
              <w:bottom w:val="nil"/>
              <w:right w:val="single" w:sz="4" w:space="0" w:color="auto"/>
            </w:tcBorders>
            <w:shd w:val="clear" w:color="auto" w:fill="auto"/>
            <w:noWrap/>
          </w:tcPr>
          <w:p w:rsidR="007277C1" w:rsidRPr="00444E9A" w:rsidP="007277C1" w14:paraId="74B07529" w14:textId="576253B4">
            <w:pPr>
              <w:jc w:val="right"/>
              <w:rPr>
                <w:rFonts w:ascii="Arial" w:hAnsi="Arial"/>
                <w:color w:val="auto"/>
                <w:sz w:val="20"/>
              </w:rPr>
            </w:pPr>
            <w:r w:rsidRPr="00444E9A">
              <w:rPr>
                <w:rFonts w:ascii="Arial" w:hAnsi="Arial"/>
                <w:sz w:val="20"/>
              </w:rPr>
              <w:t xml:space="preserve"> $4,846,066 </w:t>
            </w:r>
          </w:p>
        </w:tc>
      </w:tr>
      <w:tr w14:paraId="3C0EC744" w14:textId="77777777" w:rsidTr="00B57037">
        <w:tblPrEx>
          <w:tblW w:w="9350" w:type="dxa"/>
          <w:tblLayout w:type="fixed"/>
          <w:tblCellMar>
            <w:left w:w="115" w:type="dxa"/>
            <w:right w:w="115" w:type="dxa"/>
          </w:tblCellMar>
          <w:tblLook w:val="04A0"/>
        </w:tblPrEx>
        <w:trPr>
          <w:trHeight w:val="255"/>
        </w:trPr>
        <w:tc>
          <w:tcPr>
            <w:tcW w:w="1228" w:type="dxa"/>
            <w:vMerge/>
            <w:tcBorders>
              <w:left w:val="single" w:sz="4" w:space="0" w:color="auto"/>
              <w:right w:val="single" w:sz="4" w:space="0" w:color="auto"/>
            </w:tcBorders>
            <w:vAlign w:val="center"/>
            <w:hideMark/>
          </w:tcPr>
          <w:p w:rsidR="007277C1" w:rsidRPr="00444E9A" w:rsidP="007277C1" w14:paraId="74DDC7F4" w14:textId="77777777">
            <w:pPr>
              <w:rPr>
                <w:rFonts w:ascii="Arial" w:hAnsi="Arial"/>
                <w:sz w:val="20"/>
              </w:rPr>
            </w:pPr>
          </w:p>
        </w:tc>
        <w:tc>
          <w:tcPr>
            <w:tcW w:w="2598" w:type="dxa"/>
            <w:tcBorders>
              <w:left w:val="single" w:sz="4" w:space="0" w:color="auto"/>
              <w:right w:val="single" w:sz="4" w:space="0" w:color="auto"/>
            </w:tcBorders>
            <w:shd w:val="clear" w:color="auto" w:fill="auto"/>
            <w:noWrap/>
            <w:vAlign w:val="bottom"/>
          </w:tcPr>
          <w:p w:rsidR="007277C1" w:rsidRPr="00444E9A" w:rsidP="007277C1" w14:paraId="7B4CC224" w14:textId="1BC278F4">
            <w:pPr>
              <w:rPr>
                <w:rFonts w:ascii="Arial" w:hAnsi="Arial"/>
                <w:color w:val="auto"/>
                <w:sz w:val="20"/>
              </w:rPr>
            </w:pPr>
            <w:r w:rsidRPr="00444E9A">
              <w:rPr>
                <w:rFonts w:ascii="Arial" w:hAnsi="Arial"/>
                <w:color w:val="auto"/>
                <w:sz w:val="20"/>
              </w:rPr>
              <w:t>SCs</w:t>
            </w:r>
          </w:p>
        </w:tc>
        <w:tc>
          <w:tcPr>
            <w:tcW w:w="1114" w:type="dxa"/>
            <w:tcBorders>
              <w:left w:val="single" w:sz="4" w:space="0" w:color="auto"/>
              <w:right w:val="single" w:sz="4" w:space="0" w:color="auto"/>
            </w:tcBorders>
            <w:shd w:val="clear" w:color="auto" w:fill="auto"/>
            <w:noWrap/>
          </w:tcPr>
          <w:p w:rsidR="007277C1" w:rsidRPr="00444E9A" w:rsidP="007277C1" w14:paraId="4AC0CB80" w14:textId="1F306E8D">
            <w:pPr>
              <w:jc w:val="right"/>
              <w:rPr>
                <w:rFonts w:ascii="Arial" w:hAnsi="Arial"/>
                <w:color w:val="auto"/>
                <w:sz w:val="20"/>
              </w:rPr>
            </w:pPr>
            <w:r w:rsidRPr="00444E9A">
              <w:rPr>
                <w:rFonts w:ascii="Arial" w:hAnsi="Arial"/>
                <w:sz w:val="20"/>
              </w:rPr>
              <w:t>$87</w:t>
            </w:r>
          </w:p>
        </w:tc>
        <w:tc>
          <w:tcPr>
            <w:tcW w:w="1688" w:type="dxa"/>
            <w:tcBorders>
              <w:left w:val="single" w:sz="4" w:space="0" w:color="auto"/>
              <w:right w:val="single" w:sz="4" w:space="0" w:color="auto"/>
            </w:tcBorders>
            <w:shd w:val="clear" w:color="auto" w:fill="auto"/>
            <w:noWrap/>
          </w:tcPr>
          <w:p w:rsidR="007277C1" w:rsidRPr="00444E9A" w:rsidP="007277C1" w14:paraId="614BC10B" w14:textId="2F573206">
            <w:pPr>
              <w:jc w:val="right"/>
              <w:rPr>
                <w:rFonts w:ascii="Arial" w:hAnsi="Arial"/>
                <w:color w:val="auto"/>
                <w:sz w:val="20"/>
              </w:rPr>
            </w:pPr>
            <w:r w:rsidRPr="00444E9A">
              <w:rPr>
                <w:rFonts w:ascii="Arial" w:hAnsi="Arial"/>
                <w:sz w:val="20"/>
              </w:rPr>
              <w:t>154</w:t>
            </w:r>
          </w:p>
        </w:tc>
        <w:tc>
          <w:tcPr>
            <w:tcW w:w="1323" w:type="dxa"/>
            <w:tcBorders>
              <w:left w:val="single" w:sz="4" w:space="0" w:color="auto"/>
              <w:right w:val="single" w:sz="4" w:space="0" w:color="auto"/>
            </w:tcBorders>
            <w:shd w:val="clear" w:color="auto" w:fill="auto"/>
            <w:noWrap/>
          </w:tcPr>
          <w:p w:rsidR="007277C1" w:rsidRPr="00444E9A" w:rsidP="007277C1" w14:paraId="3239B124" w14:textId="1AAB71B7">
            <w:pPr>
              <w:jc w:val="right"/>
              <w:rPr>
                <w:rFonts w:ascii="Arial" w:hAnsi="Arial"/>
                <w:color w:val="auto"/>
                <w:sz w:val="20"/>
              </w:rPr>
            </w:pPr>
            <w:r w:rsidRPr="00444E9A">
              <w:rPr>
                <w:rFonts w:ascii="Arial" w:hAnsi="Arial"/>
                <w:sz w:val="20"/>
              </w:rPr>
              <w:t xml:space="preserve"> $13,365 </w:t>
            </w:r>
          </w:p>
        </w:tc>
        <w:tc>
          <w:tcPr>
            <w:tcW w:w="1399" w:type="dxa"/>
            <w:tcBorders>
              <w:left w:val="single" w:sz="4" w:space="0" w:color="auto"/>
              <w:right w:val="single" w:sz="4" w:space="0" w:color="auto"/>
            </w:tcBorders>
            <w:shd w:val="clear" w:color="auto" w:fill="auto"/>
            <w:noWrap/>
          </w:tcPr>
          <w:p w:rsidR="007277C1" w:rsidRPr="00444E9A" w:rsidP="007277C1" w14:paraId="6A4D8C5D" w14:textId="2AD95148">
            <w:pPr>
              <w:jc w:val="right"/>
              <w:rPr>
                <w:rFonts w:ascii="Arial" w:hAnsi="Arial"/>
                <w:color w:val="auto"/>
                <w:sz w:val="20"/>
              </w:rPr>
            </w:pPr>
            <w:r w:rsidRPr="00444E9A">
              <w:rPr>
                <w:rFonts w:ascii="Arial" w:hAnsi="Arial"/>
                <w:sz w:val="20"/>
              </w:rPr>
              <w:t xml:space="preserve"> $4,455 </w:t>
            </w:r>
          </w:p>
        </w:tc>
      </w:tr>
      <w:tr w14:paraId="3C91BF09" w14:textId="77777777" w:rsidTr="00B57037">
        <w:tblPrEx>
          <w:tblW w:w="9350" w:type="dxa"/>
          <w:tblLayout w:type="fixed"/>
          <w:tblCellMar>
            <w:left w:w="115" w:type="dxa"/>
            <w:right w:w="115" w:type="dxa"/>
          </w:tblCellMar>
          <w:tblLook w:val="04A0"/>
        </w:tblPrEx>
        <w:trPr>
          <w:trHeight w:val="255"/>
        </w:trPr>
        <w:tc>
          <w:tcPr>
            <w:tcW w:w="1228" w:type="dxa"/>
            <w:vMerge/>
            <w:tcBorders>
              <w:left w:val="single" w:sz="4" w:space="0" w:color="auto"/>
              <w:right w:val="single" w:sz="4" w:space="0" w:color="auto"/>
            </w:tcBorders>
            <w:vAlign w:val="center"/>
          </w:tcPr>
          <w:p w:rsidR="007277C1" w:rsidRPr="00444E9A" w:rsidP="007277C1" w14:paraId="5D1F252F" w14:textId="77777777">
            <w:pPr>
              <w:rPr>
                <w:rFonts w:ascii="Arial" w:hAnsi="Arial"/>
                <w:sz w:val="20"/>
              </w:rPr>
            </w:pPr>
          </w:p>
        </w:tc>
        <w:tc>
          <w:tcPr>
            <w:tcW w:w="2598" w:type="dxa"/>
            <w:tcBorders>
              <w:left w:val="single" w:sz="4" w:space="0" w:color="auto"/>
              <w:right w:val="single" w:sz="4" w:space="0" w:color="auto"/>
            </w:tcBorders>
            <w:shd w:val="clear" w:color="auto" w:fill="auto"/>
            <w:noWrap/>
            <w:vAlign w:val="bottom"/>
          </w:tcPr>
          <w:p w:rsidR="007277C1" w:rsidRPr="00444E9A" w:rsidP="007277C1" w14:paraId="0EE25F35" w14:textId="09C0B5DA">
            <w:pPr>
              <w:rPr>
                <w:rFonts w:ascii="Arial" w:hAnsi="Arial"/>
                <w:color w:val="auto"/>
                <w:sz w:val="20"/>
              </w:rPr>
            </w:pPr>
            <w:r w:rsidRPr="00444E9A">
              <w:rPr>
                <w:rFonts w:ascii="Arial" w:hAnsi="Arial"/>
                <w:color w:val="auto"/>
                <w:sz w:val="20"/>
              </w:rPr>
              <w:t>Comparable STA SSEs</w:t>
            </w:r>
          </w:p>
        </w:tc>
        <w:tc>
          <w:tcPr>
            <w:tcW w:w="1114" w:type="dxa"/>
            <w:tcBorders>
              <w:left w:val="single" w:sz="4" w:space="0" w:color="auto"/>
              <w:right w:val="single" w:sz="4" w:space="0" w:color="auto"/>
            </w:tcBorders>
            <w:shd w:val="clear" w:color="auto" w:fill="auto"/>
            <w:noWrap/>
          </w:tcPr>
          <w:p w:rsidR="007277C1" w:rsidRPr="00444E9A" w:rsidP="007277C1" w14:paraId="1D6B33A5" w14:textId="7B8B7275">
            <w:pPr>
              <w:jc w:val="right"/>
              <w:rPr>
                <w:rFonts w:ascii="Arial" w:hAnsi="Arial"/>
                <w:color w:val="auto"/>
                <w:sz w:val="20"/>
              </w:rPr>
            </w:pPr>
            <w:r w:rsidRPr="00444E9A">
              <w:rPr>
                <w:rFonts w:ascii="Arial" w:hAnsi="Arial"/>
                <w:sz w:val="20"/>
              </w:rPr>
              <w:t>$30</w:t>
            </w:r>
          </w:p>
        </w:tc>
        <w:tc>
          <w:tcPr>
            <w:tcW w:w="1688" w:type="dxa"/>
            <w:tcBorders>
              <w:left w:val="single" w:sz="4" w:space="0" w:color="auto"/>
              <w:right w:val="single" w:sz="4" w:space="0" w:color="auto"/>
            </w:tcBorders>
            <w:shd w:val="clear" w:color="auto" w:fill="auto"/>
            <w:noWrap/>
          </w:tcPr>
          <w:p w:rsidR="007277C1" w:rsidRPr="00444E9A" w:rsidP="007277C1" w14:paraId="34A90E0B" w14:textId="2FB2DFC0">
            <w:pPr>
              <w:jc w:val="right"/>
              <w:rPr>
                <w:rFonts w:ascii="Arial" w:hAnsi="Arial"/>
                <w:color w:val="auto"/>
                <w:sz w:val="20"/>
              </w:rPr>
            </w:pPr>
            <w:r w:rsidRPr="00444E9A">
              <w:rPr>
                <w:rFonts w:ascii="Arial" w:hAnsi="Arial"/>
                <w:sz w:val="20"/>
              </w:rPr>
              <w:t>712</w:t>
            </w:r>
          </w:p>
        </w:tc>
        <w:tc>
          <w:tcPr>
            <w:tcW w:w="1323" w:type="dxa"/>
            <w:tcBorders>
              <w:left w:val="single" w:sz="4" w:space="0" w:color="auto"/>
              <w:right w:val="single" w:sz="4" w:space="0" w:color="auto"/>
            </w:tcBorders>
            <w:shd w:val="clear" w:color="auto" w:fill="auto"/>
            <w:noWrap/>
          </w:tcPr>
          <w:p w:rsidR="007277C1" w:rsidRPr="00444E9A" w:rsidP="007277C1" w14:paraId="548C9250" w14:textId="7C3E9C4B">
            <w:pPr>
              <w:jc w:val="right"/>
              <w:rPr>
                <w:rFonts w:ascii="Arial" w:hAnsi="Arial"/>
                <w:color w:val="auto"/>
                <w:sz w:val="20"/>
              </w:rPr>
            </w:pPr>
            <w:r w:rsidRPr="00444E9A">
              <w:rPr>
                <w:rFonts w:ascii="Arial" w:hAnsi="Arial"/>
                <w:sz w:val="20"/>
              </w:rPr>
              <w:t xml:space="preserve"> $21,353 </w:t>
            </w:r>
          </w:p>
        </w:tc>
        <w:tc>
          <w:tcPr>
            <w:tcW w:w="1399" w:type="dxa"/>
            <w:tcBorders>
              <w:left w:val="single" w:sz="4" w:space="0" w:color="auto"/>
              <w:right w:val="single" w:sz="4" w:space="0" w:color="auto"/>
            </w:tcBorders>
            <w:shd w:val="clear" w:color="auto" w:fill="auto"/>
            <w:noWrap/>
          </w:tcPr>
          <w:p w:rsidR="007277C1" w:rsidRPr="00444E9A" w:rsidP="007277C1" w14:paraId="2FD5EA7E" w14:textId="08FED765">
            <w:pPr>
              <w:jc w:val="right"/>
              <w:rPr>
                <w:rFonts w:ascii="Arial" w:hAnsi="Arial"/>
                <w:color w:val="auto"/>
                <w:sz w:val="20"/>
              </w:rPr>
            </w:pPr>
            <w:r w:rsidRPr="00444E9A">
              <w:rPr>
                <w:rFonts w:ascii="Arial" w:hAnsi="Arial"/>
                <w:sz w:val="20"/>
              </w:rPr>
              <w:t xml:space="preserve"> $7,118 </w:t>
            </w:r>
          </w:p>
        </w:tc>
      </w:tr>
      <w:tr w14:paraId="693DEFFB" w14:textId="77777777" w:rsidTr="00B57037">
        <w:tblPrEx>
          <w:tblW w:w="9350" w:type="dxa"/>
          <w:tblLayout w:type="fixed"/>
          <w:tblCellMar>
            <w:left w:w="115" w:type="dxa"/>
            <w:right w:w="115" w:type="dxa"/>
          </w:tblCellMar>
          <w:tblLook w:val="04A0"/>
        </w:tblPrEx>
        <w:trPr>
          <w:trHeight w:val="255"/>
        </w:trPr>
        <w:tc>
          <w:tcPr>
            <w:tcW w:w="1228" w:type="dxa"/>
            <w:vMerge/>
            <w:tcBorders>
              <w:left w:val="single" w:sz="4" w:space="0" w:color="auto"/>
              <w:bottom w:val="single" w:sz="4" w:space="0" w:color="auto"/>
              <w:right w:val="single" w:sz="4" w:space="0" w:color="auto"/>
            </w:tcBorders>
            <w:vAlign w:val="center"/>
          </w:tcPr>
          <w:p w:rsidR="007277C1" w:rsidRPr="00444E9A" w:rsidP="007277C1" w14:paraId="670163C9" w14:textId="77777777">
            <w:pPr>
              <w:rPr>
                <w:rFonts w:ascii="Arial" w:hAnsi="Arial"/>
                <w:sz w:val="20"/>
              </w:rPr>
            </w:pPr>
          </w:p>
        </w:tc>
        <w:tc>
          <w:tcPr>
            <w:tcW w:w="2598" w:type="dxa"/>
            <w:tcBorders>
              <w:left w:val="single" w:sz="4" w:space="0" w:color="auto"/>
              <w:bottom w:val="single" w:sz="4" w:space="0" w:color="auto"/>
              <w:right w:val="single" w:sz="4" w:space="0" w:color="auto"/>
            </w:tcBorders>
            <w:shd w:val="clear" w:color="auto" w:fill="auto"/>
            <w:noWrap/>
            <w:vAlign w:val="bottom"/>
          </w:tcPr>
          <w:p w:rsidR="007277C1" w:rsidRPr="00444E9A" w:rsidP="007277C1" w14:paraId="3B5E060A" w14:textId="410D22F8">
            <w:pPr>
              <w:rPr>
                <w:rFonts w:ascii="Arial" w:hAnsi="Arial"/>
                <w:color w:val="auto"/>
                <w:sz w:val="20"/>
              </w:rPr>
            </w:pPr>
            <w:r w:rsidRPr="00444E9A">
              <w:rPr>
                <w:rFonts w:ascii="Arial" w:hAnsi="Arial"/>
                <w:color w:val="auto"/>
                <w:sz w:val="20"/>
              </w:rPr>
              <w:t>Comparable STA SCs</w:t>
            </w:r>
          </w:p>
        </w:tc>
        <w:tc>
          <w:tcPr>
            <w:tcW w:w="1114" w:type="dxa"/>
            <w:tcBorders>
              <w:left w:val="single" w:sz="4" w:space="0" w:color="auto"/>
              <w:bottom w:val="single" w:sz="4" w:space="0" w:color="auto"/>
              <w:right w:val="single" w:sz="4" w:space="0" w:color="auto"/>
            </w:tcBorders>
            <w:shd w:val="clear" w:color="auto" w:fill="auto"/>
            <w:noWrap/>
          </w:tcPr>
          <w:p w:rsidR="007277C1" w:rsidRPr="00444E9A" w:rsidP="007277C1" w14:paraId="211A7651" w14:textId="3399F1C5">
            <w:pPr>
              <w:jc w:val="right"/>
              <w:rPr>
                <w:rFonts w:ascii="Arial" w:hAnsi="Arial"/>
                <w:color w:val="auto"/>
                <w:sz w:val="20"/>
              </w:rPr>
            </w:pPr>
            <w:r w:rsidRPr="00444E9A">
              <w:rPr>
                <w:rFonts w:ascii="Arial" w:hAnsi="Arial"/>
                <w:sz w:val="20"/>
              </w:rPr>
              <w:t>$30</w:t>
            </w:r>
          </w:p>
        </w:tc>
        <w:tc>
          <w:tcPr>
            <w:tcW w:w="1688" w:type="dxa"/>
            <w:tcBorders>
              <w:left w:val="single" w:sz="4" w:space="0" w:color="auto"/>
              <w:bottom w:val="single" w:sz="4" w:space="0" w:color="auto"/>
              <w:right w:val="single" w:sz="4" w:space="0" w:color="auto"/>
            </w:tcBorders>
            <w:shd w:val="clear" w:color="auto" w:fill="auto"/>
            <w:noWrap/>
          </w:tcPr>
          <w:p w:rsidR="007277C1" w:rsidRPr="00444E9A" w:rsidP="007277C1" w14:paraId="0F39BC3F" w14:textId="33DCCF42">
            <w:pPr>
              <w:jc w:val="right"/>
              <w:rPr>
                <w:rFonts w:ascii="Arial" w:hAnsi="Arial"/>
                <w:color w:val="auto"/>
                <w:sz w:val="20"/>
              </w:rPr>
            </w:pPr>
            <w:r w:rsidRPr="00444E9A">
              <w:rPr>
                <w:rFonts w:ascii="Arial" w:hAnsi="Arial"/>
                <w:sz w:val="20"/>
              </w:rPr>
              <w:t>138</w:t>
            </w:r>
          </w:p>
        </w:tc>
        <w:tc>
          <w:tcPr>
            <w:tcW w:w="1323" w:type="dxa"/>
            <w:tcBorders>
              <w:left w:val="single" w:sz="4" w:space="0" w:color="auto"/>
              <w:bottom w:val="single" w:sz="4" w:space="0" w:color="auto"/>
              <w:right w:val="single" w:sz="4" w:space="0" w:color="auto"/>
            </w:tcBorders>
            <w:shd w:val="clear" w:color="auto" w:fill="auto"/>
            <w:noWrap/>
          </w:tcPr>
          <w:p w:rsidR="007277C1" w:rsidRPr="00444E9A" w:rsidP="007277C1" w14:paraId="34F786EB" w14:textId="3907F5C3">
            <w:pPr>
              <w:jc w:val="right"/>
              <w:rPr>
                <w:rFonts w:ascii="Arial" w:hAnsi="Arial"/>
                <w:color w:val="auto"/>
                <w:sz w:val="20"/>
              </w:rPr>
            </w:pPr>
            <w:r w:rsidRPr="00444E9A">
              <w:rPr>
                <w:rFonts w:ascii="Arial" w:hAnsi="Arial"/>
                <w:sz w:val="20"/>
              </w:rPr>
              <w:t xml:space="preserve"> $4,139 </w:t>
            </w:r>
          </w:p>
        </w:tc>
        <w:tc>
          <w:tcPr>
            <w:tcW w:w="1399" w:type="dxa"/>
            <w:tcBorders>
              <w:left w:val="single" w:sz="4" w:space="0" w:color="auto"/>
              <w:bottom w:val="single" w:sz="4" w:space="0" w:color="auto"/>
              <w:right w:val="single" w:sz="4" w:space="0" w:color="auto"/>
            </w:tcBorders>
            <w:shd w:val="clear" w:color="auto" w:fill="auto"/>
            <w:noWrap/>
          </w:tcPr>
          <w:p w:rsidR="007277C1" w:rsidRPr="00444E9A" w:rsidP="007277C1" w14:paraId="16FFAA88" w14:textId="016C0B11">
            <w:pPr>
              <w:jc w:val="right"/>
              <w:rPr>
                <w:rFonts w:ascii="Arial" w:hAnsi="Arial"/>
                <w:color w:val="auto"/>
                <w:sz w:val="20"/>
              </w:rPr>
            </w:pPr>
            <w:r w:rsidRPr="00444E9A">
              <w:rPr>
                <w:rFonts w:ascii="Arial" w:hAnsi="Arial"/>
                <w:sz w:val="20"/>
              </w:rPr>
              <w:t xml:space="preserve"> $1,380 </w:t>
            </w:r>
          </w:p>
        </w:tc>
      </w:tr>
      <w:tr w14:paraId="62BE6E01" w14:textId="77777777" w:rsidTr="00B57037">
        <w:tblPrEx>
          <w:tblW w:w="9350" w:type="dxa"/>
          <w:tblLayout w:type="fixed"/>
          <w:tblCellMar>
            <w:left w:w="115" w:type="dxa"/>
            <w:right w:w="115" w:type="dxa"/>
          </w:tblCellMar>
          <w:tblLook w:val="04A0"/>
        </w:tblPrEx>
        <w:trPr>
          <w:trHeight w:val="255"/>
        </w:trPr>
        <w:tc>
          <w:tcPr>
            <w:tcW w:w="1228" w:type="dxa"/>
            <w:vMerge w:val="restart"/>
            <w:tcBorders>
              <w:top w:val="single" w:sz="4" w:space="0" w:color="auto"/>
              <w:left w:val="single" w:sz="4" w:space="0" w:color="auto"/>
              <w:right w:val="single" w:sz="4" w:space="0" w:color="auto"/>
            </w:tcBorders>
            <w:shd w:val="clear" w:color="auto" w:fill="auto"/>
            <w:noWrap/>
            <w:vAlign w:val="center"/>
            <w:hideMark/>
          </w:tcPr>
          <w:p w:rsidR="007277C1" w:rsidRPr="00444E9A" w:rsidP="007277C1" w14:paraId="1DFF62BB" w14:textId="77777777">
            <w:pPr>
              <w:rPr>
                <w:rFonts w:ascii="Arial" w:hAnsi="Arial"/>
                <w:color w:val="auto"/>
                <w:sz w:val="20"/>
              </w:rPr>
            </w:pPr>
            <w:r w:rsidRPr="00444E9A">
              <w:rPr>
                <w:rFonts w:ascii="Arial" w:hAnsi="Arial"/>
                <w:color w:val="auto"/>
                <w:sz w:val="20"/>
              </w:rPr>
              <w:t xml:space="preserve">OTRB </w:t>
            </w:r>
          </w:p>
        </w:tc>
        <w:tc>
          <w:tcPr>
            <w:tcW w:w="2598" w:type="dxa"/>
            <w:tcBorders>
              <w:top w:val="single" w:sz="4" w:space="0" w:color="auto"/>
              <w:left w:val="single" w:sz="4" w:space="0" w:color="auto"/>
              <w:right w:val="single" w:sz="4" w:space="0" w:color="auto"/>
            </w:tcBorders>
            <w:shd w:val="clear" w:color="auto" w:fill="auto"/>
            <w:noWrap/>
            <w:vAlign w:val="bottom"/>
            <w:hideMark/>
          </w:tcPr>
          <w:p w:rsidR="007277C1" w:rsidRPr="00444E9A" w:rsidP="007277C1" w14:paraId="697B7068" w14:textId="49BA8271">
            <w:pPr>
              <w:rPr>
                <w:rFonts w:ascii="Arial" w:hAnsi="Arial"/>
                <w:color w:val="auto"/>
                <w:sz w:val="20"/>
              </w:rPr>
            </w:pPr>
            <w:r w:rsidRPr="00444E9A">
              <w:rPr>
                <w:rFonts w:ascii="Arial" w:hAnsi="Arial"/>
                <w:sz w:val="20"/>
              </w:rPr>
              <w:t>SCs</w:t>
            </w:r>
          </w:p>
        </w:tc>
        <w:tc>
          <w:tcPr>
            <w:tcW w:w="1114" w:type="dxa"/>
            <w:tcBorders>
              <w:top w:val="single" w:sz="4" w:space="0" w:color="auto"/>
              <w:left w:val="single" w:sz="4" w:space="0" w:color="auto"/>
              <w:right w:val="single" w:sz="4" w:space="0" w:color="auto"/>
            </w:tcBorders>
            <w:shd w:val="clear" w:color="auto" w:fill="auto"/>
            <w:noWrap/>
            <w:hideMark/>
          </w:tcPr>
          <w:p w:rsidR="007277C1" w:rsidRPr="00444E9A" w:rsidP="007277C1" w14:paraId="3F9422C5" w14:textId="0F9DF45A">
            <w:pPr>
              <w:jc w:val="right"/>
              <w:rPr>
                <w:rFonts w:ascii="Arial" w:hAnsi="Arial"/>
                <w:color w:val="auto"/>
                <w:sz w:val="20"/>
              </w:rPr>
            </w:pPr>
            <w:r w:rsidRPr="00444E9A">
              <w:rPr>
                <w:rFonts w:ascii="Arial" w:hAnsi="Arial"/>
                <w:sz w:val="20"/>
              </w:rPr>
              <w:t>$87</w:t>
            </w:r>
          </w:p>
        </w:tc>
        <w:tc>
          <w:tcPr>
            <w:tcW w:w="1688" w:type="dxa"/>
            <w:tcBorders>
              <w:top w:val="single" w:sz="4" w:space="0" w:color="auto"/>
              <w:left w:val="single" w:sz="4" w:space="0" w:color="auto"/>
              <w:right w:val="single" w:sz="4" w:space="0" w:color="auto"/>
            </w:tcBorders>
            <w:shd w:val="clear" w:color="auto" w:fill="auto"/>
            <w:noWrap/>
          </w:tcPr>
          <w:p w:rsidR="007277C1" w:rsidRPr="00444E9A" w:rsidP="007277C1" w14:paraId="3106A301" w14:textId="7FD4F72A">
            <w:pPr>
              <w:jc w:val="right"/>
              <w:rPr>
                <w:rFonts w:ascii="Arial" w:hAnsi="Arial"/>
                <w:color w:val="auto"/>
                <w:sz w:val="20"/>
              </w:rPr>
            </w:pPr>
            <w:r w:rsidRPr="00444E9A">
              <w:rPr>
                <w:rFonts w:ascii="Arial" w:hAnsi="Arial"/>
                <w:sz w:val="20"/>
              </w:rPr>
              <w:t>197</w:t>
            </w:r>
          </w:p>
        </w:tc>
        <w:tc>
          <w:tcPr>
            <w:tcW w:w="1323" w:type="dxa"/>
            <w:tcBorders>
              <w:top w:val="single" w:sz="4" w:space="0" w:color="auto"/>
              <w:left w:val="single" w:sz="4" w:space="0" w:color="auto"/>
              <w:right w:val="single" w:sz="4" w:space="0" w:color="auto"/>
            </w:tcBorders>
            <w:shd w:val="clear" w:color="auto" w:fill="auto"/>
            <w:noWrap/>
          </w:tcPr>
          <w:p w:rsidR="007277C1" w:rsidRPr="00444E9A" w:rsidP="007277C1" w14:paraId="66A8231F" w14:textId="38ABE432">
            <w:pPr>
              <w:jc w:val="right"/>
              <w:rPr>
                <w:rFonts w:ascii="Arial" w:hAnsi="Arial"/>
                <w:color w:val="auto"/>
                <w:sz w:val="20"/>
              </w:rPr>
            </w:pPr>
            <w:r w:rsidRPr="00444E9A">
              <w:rPr>
                <w:rFonts w:ascii="Arial" w:hAnsi="Arial"/>
                <w:sz w:val="20"/>
              </w:rPr>
              <w:t xml:space="preserve"> $17,099 </w:t>
            </w:r>
          </w:p>
        </w:tc>
        <w:tc>
          <w:tcPr>
            <w:tcW w:w="1399" w:type="dxa"/>
            <w:tcBorders>
              <w:top w:val="single" w:sz="4" w:space="0" w:color="auto"/>
              <w:left w:val="single" w:sz="4" w:space="0" w:color="auto"/>
              <w:right w:val="single" w:sz="4" w:space="0" w:color="auto"/>
            </w:tcBorders>
            <w:shd w:val="clear" w:color="auto" w:fill="auto"/>
            <w:noWrap/>
          </w:tcPr>
          <w:p w:rsidR="007277C1" w:rsidRPr="00444E9A" w:rsidP="007277C1" w14:paraId="5B583A38" w14:textId="151B389C">
            <w:pPr>
              <w:jc w:val="right"/>
              <w:rPr>
                <w:rFonts w:ascii="Arial" w:hAnsi="Arial"/>
                <w:color w:val="auto"/>
                <w:sz w:val="20"/>
              </w:rPr>
            </w:pPr>
            <w:r w:rsidRPr="00444E9A">
              <w:rPr>
                <w:rFonts w:ascii="Arial" w:hAnsi="Arial"/>
                <w:sz w:val="20"/>
              </w:rPr>
              <w:t xml:space="preserve"> $5,700 </w:t>
            </w:r>
          </w:p>
        </w:tc>
      </w:tr>
      <w:tr w14:paraId="3DBF4660" w14:textId="77777777" w:rsidTr="00B57037">
        <w:tblPrEx>
          <w:tblW w:w="9350" w:type="dxa"/>
          <w:tblLayout w:type="fixed"/>
          <w:tblCellMar>
            <w:left w:w="115" w:type="dxa"/>
            <w:right w:w="115" w:type="dxa"/>
          </w:tblCellMar>
          <w:tblLook w:val="04A0"/>
        </w:tblPrEx>
        <w:trPr>
          <w:trHeight w:val="255"/>
        </w:trPr>
        <w:tc>
          <w:tcPr>
            <w:tcW w:w="1228" w:type="dxa"/>
            <w:vMerge/>
            <w:tcBorders>
              <w:left w:val="single" w:sz="4" w:space="0" w:color="auto"/>
              <w:bottom w:val="nil"/>
              <w:right w:val="single" w:sz="4" w:space="0" w:color="auto"/>
            </w:tcBorders>
            <w:shd w:val="clear" w:color="auto" w:fill="auto"/>
            <w:noWrap/>
            <w:vAlign w:val="center"/>
          </w:tcPr>
          <w:p w:rsidR="007277C1" w:rsidRPr="00444E9A" w:rsidP="007277C1" w14:paraId="0781CC36" w14:textId="77777777">
            <w:pPr>
              <w:rPr>
                <w:rFonts w:ascii="Arial" w:hAnsi="Arial"/>
                <w:color w:val="auto"/>
                <w:sz w:val="20"/>
              </w:rPr>
            </w:pPr>
          </w:p>
        </w:tc>
        <w:tc>
          <w:tcPr>
            <w:tcW w:w="2598" w:type="dxa"/>
            <w:tcBorders>
              <w:left w:val="single" w:sz="4" w:space="0" w:color="auto"/>
              <w:bottom w:val="single" w:sz="4" w:space="0" w:color="auto"/>
              <w:right w:val="single" w:sz="4" w:space="0" w:color="auto"/>
            </w:tcBorders>
            <w:shd w:val="clear" w:color="auto" w:fill="auto"/>
            <w:noWrap/>
            <w:vAlign w:val="bottom"/>
          </w:tcPr>
          <w:p w:rsidR="007277C1" w:rsidRPr="00444E9A" w:rsidP="007277C1" w14:paraId="1983E153" w14:textId="0E3A3572">
            <w:pPr>
              <w:rPr>
                <w:rFonts w:ascii="Arial" w:hAnsi="Arial"/>
                <w:color w:val="auto"/>
                <w:sz w:val="20"/>
              </w:rPr>
            </w:pPr>
            <w:r w:rsidRPr="00444E9A">
              <w:rPr>
                <w:rFonts w:ascii="Arial" w:hAnsi="Arial"/>
                <w:sz w:val="20"/>
              </w:rPr>
              <w:t>Comparable STA SCs</w:t>
            </w:r>
          </w:p>
        </w:tc>
        <w:tc>
          <w:tcPr>
            <w:tcW w:w="1114" w:type="dxa"/>
            <w:tcBorders>
              <w:left w:val="single" w:sz="4" w:space="0" w:color="auto"/>
              <w:bottom w:val="single" w:sz="4" w:space="0" w:color="auto"/>
              <w:right w:val="single" w:sz="4" w:space="0" w:color="auto"/>
            </w:tcBorders>
            <w:shd w:val="clear" w:color="auto" w:fill="auto"/>
            <w:noWrap/>
          </w:tcPr>
          <w:p w:rsidR="007277C1" w:rsidRPr="00444E9A" w:rsidP="007277C1" w14:paraId="7367FF59" w14:textId="39F4BF21">
            <w:pPr>
              <w:jc w:val="right"/>
              <w:rPr>
                <w:rFonts w:ascii="Arial" w:hAnsi="Arial"/>
                <w:color w:val="auto"/>
                <w:sz w:val="20"/>
              </w:rPr>
            </w:pPr>
            <w:r w:rsidRPr="00444E9A">
              <w:rPr>
                <w:rFonts w:ascii="Arial" w:hAnsi="Arial"/>
                <w:sz w:val="20"/>
              </w:rPr>
              <w:t>$30</w:t>
            </w:r>
          </w:p>
        </w:tc>
        <w:tc>
          <w:tcPr>
            <w:tcW w:w="1688" w:type="dxa"/>
            <w:tcBorders>
              <w:left w:val="single" w:sz="4" w:space="0" w:color="auto"/>
              <w:bottom w:val="single" w:sz="4" w:space="0" w:color="auto"/>
              <w:right w:val="single" w:sz="4" w:space="0" w:color="auto"/>
            </w:tcBorders>
            <w:shd w:val="clear" w:color="auto" w:fill="auto"/>
            <w:noWrap/>
          </w:tcPr>
          <w:p w:rsidR="007277C1" w:rsidRPr="00444E9A" w:rsidP="007277C1" w14:paraId="77BBDD22" w14:textId="7D551B45">
            <w:pPr>
              <w:jc w:val="right"/>
              <w:rPr>
                <w:rFonts w:ascii="Arial" w:hAnsi="Arial"/>
                <w:color w:val="auto"/>
                <w:sz w:val="20"/>
              </w:rPr>
            </w:pPr>
            <w:r w:rsidRPr="00444E9A">
              <w:rPr>
                <w:rFonts w:ascii="Arial" w:hAnsi="Arial"/>
                <w:sz w:val="20"/>
              </w:rPr>
              <w:t>367</w:t>
            </w:r>
          </w:p>
        </w:tc>
        <w:tc>
          <w:tcPr>
            <w:tcW w:w="1323" w:type="dxa"/>
            <w:tcBorders>
              <w:left w:val="single" w:sz="4" w:space="0" w:color="auto"/>
              <w:bottom w:val="single" w:sz="4" w:space="0" w:color="auto"/>
              <w:right w:val="single" w:sz="4" w:space="0" w:color="auto"/>
            </w:tcBorders>
            <w:shd w:val="clear" w:color="auto" w:fill="auto"/>
            <w:noWrap/>
          </w:tcPr>
          <w:p w:rsidR="007277C1" w:rsidRPr="00444E9A" w:rsidP="007277C1" w14:paraId="7D1F5F74" w14:textId="45040E71">
            <w:pPr>
              <w:jc w:val="right"/>
              <w:rPr>
                <w:rFonts w:ascii="Arial" w:hAnsi="Arial"/>
                <w:color w:val="auto"/>
                <w:sz w:val="20"/>
              </w:rPr>
            </w:pPr>
            <w:r w:rsidRPr="00444E9A">
              <w:rPr>
                <w:rFonts w:ascii="Arial" w:hAnsi="Arial"/>
                <w:sz w:val="20"/>
              </w:rPr>
              <w:t xml:space="preserve"> $11,024 </w:t>
            </w:r>
          </w:p>
        </w:tc>
        <w:tc>
          <w:tcPr>
            <w:tcW w:w="1399" w:type="dxa"/>
            <w:tcBorders>
              <w:left w:val="single" w:sz="4" w:space="0" w:color="auto"/>
              <w:bottom w:val="single" w:sz="4" w:space="0" w:color="auto"/>
              <w:right w:val="single" w:sz="4" w:space="0" w:color="auto"/>
            </w:tcBorders>
            <w:shd w:val="clear" w:color="auto" w:fill="auto"/>
            <w:noWrap/>
          </w:tcPr>
          <w:p w:rsidR="007277C1" w:rsidRPr="00444E9A" w:rsidP="007277C1" w14:paraId="379DD9F4" w14:textId="47AADFF0">
            <w:pPr>
              <w:jc w:val="right"/>
              <w:rPr>
                <w:rFonts w:ascii="Arial" w:hAnsi="Arial"/>
                <w:color w:val="auto"/>
                <w:sz w:val="20"/>
              </w:rPr>
            </w:pPr>
            <w:r w:rsidRPr="00444E9A">
              <w:rPr>
                <w:rFonts w:ascii="Arial" w:hAnsi="Arial"/>
                <w:sz w:val="20"/>
              </w:rPr>
              <w:t xml:space="preserve"> $3,675 </w:t>
            </w:r>
          </w:p>
        </w:tc>
      </w:tr>
      <w:tr w14:paraId="7F2A19A7" w14:textId="77777777" w:rsidTr="00B57037">
        <w:tblPrEx>
          <w:tblW w:w="9350" w:type="dxa"/>
          <w:tblLayout w:type="fixed"/>
          <w:tblCellMar>
            <w:left w:w="115" w:type="dxa"/>
            <w:right w:w="115" w:type="dxa"/>
          </w:tblCellMar>
          <w:tblLook w:val="04A0"/>
        </w:tblPrEx>
        <w:trPr>
          <w:trHeight w:val="224"/>
        </w:trPr>
        <w:tc>
          <w:tcPr>
            <w:tcW w:w="1228" w:type="dxa"/>
            <w:tcBorders>
              <w:top w:val="single" w:sz="4" w:space="0" w:color="auto"/>
              <w:left w:val="single" w:sz="4" w:space="0" w:color="auto"/>
              <w:bottom w:val="single" w:sz="4" w:space="0" w:color="auto"/>
              <w:right w:val="nil"/>
            </w:tcBorders>
            <w:shd w:val="clear" w:color="auto" w:fill="auto"/>
            <w:noWrap/>
            <w:vAlign w:val="bottom"/>
            <w:hideMark/>
          </w:tcPr>
          <w:p w:rsidR="007277C1" w:rsidRPr="00444E9A" w:rsidP="007277C1" w14:paraId="3E8EF946" w14:textId="77777777">
            <w:pPr>
              <w:rPr>
                <w:rFonts w:ascii="Arial" w:hAnsi="Arial"/>
                <w:b/>
                <w:bCs/>
                <w:color w:val="auto"/>
                <w:sz w:val="20"/>
              </w:rPr>
            </w:pPr>
            <w:r w:rsidRPr="00444E9A">
              <w:rPr>
                <w:rFonts w:ascii="Arial" w:hAnsi="Arial"/>
                <w:b/>
                <w:bCs/>
                <w:color w:val="auto"/>
                <w:sz w:val="20"/>
              </w:rPr>
              <w:t>Total</w:t>
            </w:r>
          </w:p>
        </w:tc>
        <w:tc>
          <w:tcPr>
            <w:tcW w:w="2598" w:type="dxa"/>
            <w:tcBorders>
              <w:top w:val="single" w:sz="4" w:space="0" w:color="auto"/>
              <w:left w:val="nil"/>
              <w:bottom w:val="single" w:sz="4" w:space="0" w:color="auto"/>
              <w:right w:val="nil"/>
            </w:tcBorders>
            <w:shd w:val="clear" w:color="auto" w:fill="auto"/>
            <w:noWrap/>
            <w:vAlign w:val="bottom"/>
            <w:hideMark/>
          </w:tcPr>
          <w:p w:rsidR="007277C1" w:rsidRPr="00444E9A" w:rsidP="007277C1" w14:paraId="0DFDD543" w14:textId="77777777">
            <w:pPr>
              <w:rPr>
                <w:rFonts w:ascii="Arial" w:hAnsi="Arial"/>
                <w:color w:val="auto"/>
                <w:sz w:val="20"/>
              </w:rPr>
            </w:pPr>
            <w:r w:rsidRPr="00444E9A">
              <w:rPr>
                <w:rFonts w:ascii="Arial" w:hAnsi="Arial"/>
                <w:color w:val="auto"/>
                <w:sz w:val="20"/>
              </w:rPr>
              <w:t> </w:t>
            </w:r>
          </w:p>
        </w:tc>
        <w:tc>
          <w:tcPr>
            <w:tcW w:w="1114" w:type="dxa"/>
            <w:tcBorders>
              <w:top w:val="single" w:sz="4" w:space="0" w:color="auto"/>
              <w:left w:val="nil"/>
              <w:bottom w:val="single" w:sz="4" w:space="0" w:color="auto"/>
              <w:right w:val="nil"/>
            </w:tcBorders>
            <w:shd w:val="clear" w:color="auto" w:fill="auto"/>
            <w:noWrap/>
            <w:vAlign w:val="bottom"/>
            <w:hideMark/>
          </w:tcPr>
          <w:p w:rsidR="007277C1" w:rsidRPr="00444E9A" w:rsidP="007277C1" w14:paraId="5DEB3538" w14:textId="77777777">
            <w:pPr>
              <w:rPr>
                <w:rFonts w:ascii="Arial" w:hAnsi="Arial"/>
                <w:color w:val="auto"/>
                <w:sz w:val="20"/>
              </w:rPr>
            </w:pPr>
            <w:r w:rsidRPr="00444E9A">
              <w:rPr>
                <w:rFonts w:ascii="Arial" w:hAnsi="Arial"/>
                <w:color w:val="auto"/>
                <w:sz w:val="20"/>
              </w:rPr>
              <w:t> </w:t>
            </w:r>
          </w:p>
        </w:tc>
        <w:tc>
          <w:tcPr>
            <w:tcW w:w="1688" w:type="dxa"/>
            <w:tcBorders>
              <w:top w:val="single" w:sz="4" w:space="0" w:color="auto"/>
              <w:left w:val="single" w:sz="4" w:space="0" w:color="auto"/>
              <w:bottom w:val="single" w:sz="4" w:space="0" w:color="auto"/>
              <w:right w:val="single" w:sz="4" w:space="0" w:color="auto"/>
            </w:tcBorders>
            <w:shd w:val="clear" w:color="auto" w:fill="auto"/>
            <w:noWrap/>
          </w:tcPr>
          <w:p w:rsidR="007277C1" w:rsidRPr="00444E9A" w:rsidP="007277C1" w14:paraId="236582EE" w14:textId="610EFEC6">
            <w:pPr>
              <w:jc w:val="right"/>
              <w:rPr>
                <w:rFonts w:ascii="Arial" w:hAnsi="Arial"/>
                <w:b/>
                <w:bCs/>
                <w:color w:val="auto"/>
                <w:sz w:val="20"/>
              </w:rPr>
            </w:pPr>
            <w:r w:rsidRPr="00444E9A">
              <w:rPr>
                <w:rFonts w:ascii="Arial" w:hAnsi="Arial"/>
                <w:b/>
                <w:sz w:val="20"/>
              </w:rPr>
              <w:t>355,370</w:t>
            </w:r>
          </w:p>
        </w:tc>
        <w:tc>
          <w:tcPr>
            <w:tcW w:w="1323" w:type="dxa"/>
            <w:tcBorders>
              <w:top w:val="single" w:sz="4" w:space="0" w:color="auto"/>
              <w:left w:val="nil"/>
              <w:bottom w:val="single" w:sz="4" w:space="0" w:color="auto"/>
              <w:right w:val="single" w:sz="4" w:space="0" w:color="auto"/>
            </w:tcBorders>
            <w:shd w:val="clear" w:color="auto" w:fill="auto"/>
            <w:noWrap/>
          </w:tcPr>
          <w:p w:rsidR="007277C1" w:rsidRPr="00444E9A" w:rsidP="007277C1" w14:paraId="085CB949" w14:textId="16AF126B">
            <w:pPr>
              <w:jc w:val="right"/>
              <w:rPr>
                <w:rFonts w:ascii="Arial" w:hAnsi="Arial"/>
                <w:b/>
                <w:bCs/>
                <w:color w:val="auto"/>
                <w:sz w:val="20"/>
              </w:rPr>
            </w:pPr>
            <w:r w:rsidRPr="00444E9A">
              <w:rPr>
                <w:rFonts w:ascii="Arial" w:hAnsi="Arial"/>
                <w:b/>
                <w:sz w:val="20"/>
              </w:rPr>
              <w:t xml:space="preserve"> $23,117,074 </w:t>
            </w:r>
          </w:p>
        </w:tc>
        <w:tc>
          <w:tcPr>
            <w:tcW w:w="1399" w:type="dxa"/>
            <w:tcBorders>
              <w:top w:val="single" w:sz="4" w:space="0" w:color="auto"/>
              <w:left w:val="nil"/>
              <w:bottom w:val="single" w:sz="4" w:space="0" w:color="auto"/>
              <w:right w:val="single" w:sz="4" w:space="0" w:color="auto"/>
            </w:tcBorders>
            <w:shd w:val="clear" w:color="auto" w:fill="auto"/>
            <w:noWrap/>
          </w:tcPr>
          <w:p w:rsidR="007277C1" w:rsidRPr="00444E9A" w:rsidP="007277C1" w14:paraId="683CCA4F" w14:textId="0DDC4E7E">
            <w:pPr>
              <w:jc w:val="right"/>
              <w:rPr>
                <w:rFonts w:ascii="Arial" w:hAnsi="Arial"/>
                <w:b/>
                <w:bCs/>
                <w:color w:val="auto"/>
                <w:sz w:val="20"/>
              </w:rPr>
            </w:pPr>
            <w:r w:rsidRPr="00444E9A">
              <w:rPr>
                <w:rFonts w:ascii="Arial" w:hAnsi="Arial"/>
                <w:b/>
                <w:sz w:val="20"/>
              </w:rPr>
              <w:t xml:space="preserve"> $7,705,691 </w:t>
            </w:r>
          </w:p>
        </w:tc>
      </w:tr>
    </w:tbl>
    <w:p w:rsidR="003E2B98" w:rsidRPr="00BA4FDF" w:rsidP="003E2B98" w14:paraId="40BE882A" w14:textId="77777777">
      <w:pPr>
        <w:rPr>
          <w:rFonts w:eastAsiaTheme="minorHAnsi" w:cstheme="minorBidi"/>
          <w:b/>
          <w:bCs/>
          <w:color w:val="auto"/>
          <w:sz w:val="20"/>
        </w:rPr>
      </w:pPr>
      <w:r w:rsidRPr="00BA4FDF">
        <w:rPr>
          <w:rFonts w:eastAsiaTheme="minorHAnsi" w:cstheme="minorBidi"/>
          <w:color w:val="auto"/>
          <w:sz w:val="20"/>
          <w:szCs w:val="22"/>
        </w:rPr>
        <w:t>Note: Totals may not add due to rounding.</w:t>
      </w:r>
    </w:p>
    <w:p w:rsidR="00FE22DA" w:rsidP="008D595F" w14:paraId="36786E44" w14:textId="77777777">
      <w:pPr>
        <w:numPr>
          <w:ilvl w:val="12"/>
          <w:numId w:val="0"/>
        </w:numPr>
        <w:ind w:left="360"/>
      </w:pPr>
    </w:p>
    <w:p w:rsidR="00DE2994" w:rsidRPr="000A2B4A" w:rsidP="000A7669" w14:paraId="524C52DA" w14:textId="77777777">
      <w:pPr>
        <w:tabs>
          <w:tab w:val="left" w:pos="360"/>
        </w:tabs>
        <w:rPr>
          <w:b/>
          <w:i/>
        </w:rPr>
      </w:pPr>
    </w:p>
    <w:p w:rsidR="002A1342" w:rsidRPr="000A2B4A" w:rsidP="000A7669" w14:paraId="5513527B" w14:textId="77777777">
      <w:pPr>
        <w:numPr>
          <w:ilvl w:val="0"/>
          <w:numId w:val="1"/>
        </w:numPr>
        <w:tabs>
          <w:tab w:val="left" w:pos="360"/>
        </w:tabs>
        <w:rPr>
          <w:b/>
          <w:i/>
        </w:rPr>
      </w:pPr>
      <w:r w:rsidRPr="000A2B4A">
        <w:rPr>
          <w:b/>
          <w:i/>
        </w:rPr>
        <w:t>Provide estimates of annualized cost to the Federal Government.  Also, provide a description of the method used to estimate cost, and other expenses that would not have been incurred without this collection of information</w:t>
      </w:r>
    </w:p>
    <w:p w:rsidR="00320387" w:rsidP="000A7669" w14:paraId="615017FE" w14:textId="77777777">
      <w:pPr>
        <w:numPr>
          <w:ilvl w:val="12"/>
          <w:numId w:val="0"/>
        </w:numPr>
        <w:ind w:left="360"/>
      </w:pPr>
    </w:p>
    <w:p w:rsidR="00712EC6" w:rsidP="007C5D4E" w14:paraId="48716123" w14:textId="65DAA8A7">
      <w:pPr>
        <w:tabs>
          <w:tab w:val="left" w:pos="360"/>
        </w:tabs>
        <w:ind w:left="360"/>
      </w:pPr>
      <w:r>
        <w:rPr>
          <w:rFonts w:cs="Times New Roman"/>
          <w:color w:val="auto"/>
          <w:szCs w:val="24"/>
        </w:rPr>
        <w:t>TSA’s</w:t>
      </w:r>
      <w:r w:rsidRPr="003306B9" w:rsidR="003306B9">
        <w:rPr>
          <w:rFonts w:cs="Times New Roman"/>
          <w:color w:val="auto"/>
          <w:szCs w:val="24"/>
        </w:rPr>
        <w:t xml:space="preserve"> </w:t>
      </w:r>
      <w:r w:rsidR="007A0A54">
        <w:rPr>
          <w:rFonts w:cs="Times New Roman"/>
          <w:color w:val="auto"/>
          <w:szCs w:val="24"/>
        </w:rPr>
        <w:t xml:space="preserve">cost of </w:t>
      </w:r>
      <w:r>
        <w:rPr>
          <w:rFonts w:cs="Times New Roman"/>
          <w:color w:val="auto"/>
          <w:szCs w:val="24"/>
        </w:rPr>
        <w:t xml:space="preserve">the </w:t>
      </w:r>
      <w:r w:rsidR="003306B9">
        <w:rPr>
          <w:rFonts w:cs="Times New Roman"/>
          <w:color w:val="auto"/>
          <w:szCs w:val="24"/>
        </w:rPr>
        <w:t>Security Vetting</w:t>
      </w:r>
      <w:r w:rsidRPr="003306B9" w:rsidR="003306B9">
        <w:rPr>
          <w:rFonts w:cs="Times New Roman"/>
          <w:color w:val="auto"/>
          <w:szCs w:val="24"/>
        </w:rPr>
        <w:t xml:space="preserve"> </w:t>
      </w:r>
      <w:r w:rsidR="007A0A54">
        <w:rPr>
          <w:rFonts w:cs="Times New Roman"/>
          <w:color w:val="auto"/>
          <w:szCs w:val="24"/>
        </w:rPr>
        <w:t xml:space="preserve">NPRM </w:t>
      </w:r>
      <w:r w:rsidRPr="003306B9" w:rsidR="003306B9">
        <w:rPr>
          <w:rFonts w:cs="Times New Roman"/>
          <w:color w:val="auto"/>
          <w:szCs w:val="24"/>
        </w:rPr>
        <w:t xml:space="preserve">is funded entirely by applicant fees and is not augmented by appropriated funding (see </w:t>
      </w:r>
      <w:r w:rsidR="007A0A54">
        <w:rPr>
          <w:rFonts w:cs="Times New Roman"/>
          <w:color w:val="auto"/>
          <w:szCs w:val="24"/>
        </w:rPr>
        <w:t>response to question 13</w:t>
      </w:r>
      <w:r w:rsidRPr="003306B9" w:rsidR="003306B9">
        <w:rPr>
          <w:rFonts w:cs="Times New Roman"/>
          <w:color w:val="auto"/>
          <w:szCs w:val="24"/>
        </w:rPr>
        <w:t>).  The</w:t>
      </w:r>
      <w:r w:rsidR="003306B9">
        <w:rPr>
          <w:rFonts w:cs="Times New Roman"/>
          <w:color w:val="auto"/>
          <w:szCs w:val="24"/>
        </w:rPr>
        <w:t xml:space="preserve"> </w:t>
      </w:r>
      <w:r w:rsidRPr="003306B9" w:rsidR="003306B9">
        <w:rPr>
          <w:rFonts w:cs="Times New Roman"/>
          <w:color w:val="auto"/>
          <w:szCs w:val="24"/>
        </w:rPr>
        <w:t>fee covers applicant</w:t>
      </w:r>
      <w:r>
        <w:rPr>
          <w:rFonts w:cs="Times New Roman"/>
          <w:color w:val="auto"/>
          <w:szCs w:val="24"/>
        </w:rPr>
        <w:t>s’</w:t>
      </w:r>
      <w:r w:rsidRPr="003306B9" w:rsidR="003306B9">
        <w:rPr>
          <w:rFonts w:cs="Times New Roman"/>
          <w:color w:val="auto"/>
          <w:szCs w:val="24"/>
        </w:rPr>
        <w:t xml:space="preserve"> enrollment, vetting, adjudication, redress procedures and credentialing, and other operational </w:t>
      </w:r>
      <w:r w:rsidR="007A0A54">
        <w:rPr>
          <w:rFonts w:cs="Times New Roman"/>
          <w:color w:val="auto"/>
          <w:szCs w:val="24"/>
        </w:rPr>
        <w:t xml:space="preserve">TSA </w:t>
      </w:r>
      <w:r w:rsidRPr="003306B9" w:rsidR="003306B9">
        <w:rPr>
          <w:rFonts w:cs="Times New Roman"/>
          <w:color w:val="auto"/>
          <w:szCs w:val="24"/>
        </w:rPr>
        <w:t>costs associated with the program.</w:t>
      </w:r>
      <w:bookmarkStart w:id="7" w:name="PRA"/>
      <w:bookmarkStart w:id="8" w:name="RegEval"/>
      <w:bookmarkStart w:id="9" w:name="Rule"/>
      <w:bookmarkEnd w:id="7"/>
      <w:bookmarkEnd w:id="8"/>
      <w:bookmarkEnd w:id="9"/>
    </w:p>
    <w:p w:rsidR="00712EC6" w:rsidP="000A7669" w14:paraId="2C04A527" w14:textId="77777777">
      <w:pPr>
        <w:tabs>
          <w:tab w:val="left" w:pos="360"/>
        </w:tabs>
      </w:pPr>
    </w:p>
    <w:p w:rsidR="00320387" w:rsidP="000A7669" w14:paraId="6D46CAFC" w14:textId="77777777">
      <w:pPr>
        <w:numPr>
          <w:ilvl w:val="0"/>
          <w:numId w:val="1"/>
        </w:numPr>
        <w:tabs>
          <w:tab w:val="left" w:pos="360"/>
        </w:tabs>
        <w:rPr>
          <w:b/>
          <w:i/>
        </w:rPr>
      </w:pPr>
      <w:r>
        <w:rPr>
          <w:b/>
          <w:i/>
        </w:rPr>
        <w:t>Explain the reasons for any program changes or adjustments reported in Items 13 or 14 of the OMB Form 83-I.</w:t>
      </w:r>
    </w:p>
    <w:p w:rsidR="00320387" w:rsidP="000A7669" w14:paraId="4FE629B8" w14:textId="77777777">
      <w:pPr>
        <w:numPr>
          <w:ilvl w:val="12"/>
          <w:numId w:val="0"/>
        </w:numPr>
        <w:ind w:left="360"/>
      </w:pPr>
    </w:p>
    <w:p w:rsidR="00A0469F" w:rsidP="00FA0B47" w14:paraId="4BDB6191" w14:textId="1286385D">
      <w:pPr>
        <w:ind w:firstLine="360"/>
      </w:pPr>
      <w:r>
        <w:t>This is a new information collection request.</w:t>
      </w:r>
    </w:p>
    <w:p w:rsidR="00A0469F" w:rsidRPr="00A0469F" w:rsidP="00FA0B47" w14:paraId="3A3ADCD4" w14:textId="77777777">
      <w:pPr>
        <w:ind w:firstLine="360"/>
      </w:pPr>
    </w:p>
    <w:p w:rsidR="00320387" w:rsidP="000A7669" w14:paraId="7F369318" w14:textId="0FA2CD33">
      <w:pPr>
        <w:numPr>
          <w:ilvl w:val="0"/>
          <w:numId w:val="1"/>
        </w:numPr>
        <w:tabs>
          <w:tab w:val="left" w:pos="360"/>
        </w:tabs>
        <w:rPr>
          <w:b/>
          <w:i/>
        </w:rPr>
      </w:pPr>
      <w:r>
        <w:rPr>
          <w:b/>
          <w:i/>
        </w:rPr>
        <w:t xml:space="preserve">For collections of information whose results </w:t>
      </w:r>
      <w:r w:rsidR="00E026CB">
        <w:rPr>
          <w:b/>
          <w:i/>
        </w:rPr>
        <w:t>w</w:t>
      </w:r>
      <w:r w:rsidR="00E5491F">
        <w:rPr>
          <w:b/>
          <w:i/>
        </w:rPr>
        <w:t>ill</w:t>
      </w:r>
      <w:r>
        <w:rPr>
          <w:b/>
          <w:i/>
        </w:rPr>
        <w:t xml:space="preserve"> be published, outline plans for tabulation and publication.  Address any complex analytical techniques that </w:t>
      </w:r>
      <w:r w:rsidR="00E5491F">
        <w:rPr>
          <w:b/>
          <w:i/>
        </w:rPr>
        <w:t>will</w:t>
      </w:r>
      <w:r>
        <w:rPr>
          <w:b/>
          <w:i/>
        </w:rPr>
        <w:t xml:space="preserve"> be used.  Provide the time schedule for the entire project, including beginning and ending dates of the collection of information, completion of report, publication dates, and other actions.</w:t>
      </w:r>
    </w:p>
    <w:p w:rsidR="00320387" w:rsidP="000A7669" w14:paraId="6BB5F701" w14:textId="77777777">
      <w:pPr>
        <w:numPr>
          <w:ilvl w:val="12"/>
          <w:numId w:val="0"/>
        </w:numPr>
        <w:ind w:left="360"/>
      </w:pPr>
    </w:p>
    <w:p w:rsidR="00320387" w:rsidP="000A7669" w14:paraId="3ED1C1CC" w14:textId="0C4F8BA8">
      <w:pPr>
        <w:numPr>
          <w:ilvl w:val="12"/>
          <w:numId w:val="0"/>
        </w:numPr>
        <w:ind w:left="360"/>
      </w:pPr>
      <w:r>
        <w:t xml:space="preserve">TSA </w:t>
      </w:r>
      <w:r w:rsidR="00E026CB">
        <w:t>would</w:t>
      </w:r>
      <w:r>
        <w:t xml:space="preserve"> not publish the re</w:t>
      </w:r>
      <w:r w:rsidR="00443DFA">
        <w:t>sults of this collection.</w:t>
      </w:r>
    </w:p>
    <w:p w:rsidR="004C71B5" w:rsidRPr="004C71B5" w:rsidP="000A7669" w14:paraId="10048043" w14:textId="77777777">
      <w:pPr>
        <w:pStyle w:val="Index1"/>
      </w:pPr>
    </w:p>
    <w:p w:rsidR="00320387" w:rsidP="000A7669" w14:paraId="17B932F4" w14:textId="77777777">
      <w:pPr>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320387" w:rsidP="000A7669" w14:paraId="36E47F5A" w14:textId="77777777">
      <w:pPr>
        <w:numPr>
          <w:ilvl w:val="12"/>
          <w:numId w:val="0"/>
        </w:numPr>
        <w:ind w:left="360"/>
      </w:pPr>
    </w:p>
    <w:p w:rsidR="008D5683" w:rsidP="000A7669" w14:paraId="76F668D3" w14:textId="3E6C2E70">
      <w:pPr>
        <w:numPr>
          <w:ilvl w:val="12"/>
          <w:numId w:val="0"/>
        </w:numPr>
        <w:ind w:left="360"/>
      </w:pPr>
      <w:r>
        <w:t>TSA is not seeking such approval.</w:t>
      </w:r>
    </w:p>
    <w:p w:rsidR="008D5683" w:rsidP="000A7669" w14:paraId="66204B47" w14:textId="77777777">
      <w:pPr>
        <w:numPr>
          <w:ilvl w:val="12"/>
          <w:numId w:val="0"/>
        </w:numPr>
        <w:tabs>
          <w:tab w:val="left" w:pos="360"/>
        </w:tabs>
      </w:pPr>
    </w:p>
    <w:p w:rsidR="00320387" w:rsidP="000A7669" w14:paraId="7FF4E0E5" w14:textId="77777777">
      <w:pPr>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320387" w:rsidP="000A7669" w14:paraId="7064A5ED" w14:textId="77777777">
      <w:pPr>
        <w:numPr>
          <w:ilvl w:val="12"/>
          <w:numId w:val="0"/>
        </w:numPr>
        <w:ind w:left="360"/>
      </w:pPr>
    </w:p>
    <w:p w:rsidR="003C0F11" w:rsidP="000A7669" w14:paraId="603E7526" w14:textId="7EDEBD84">
      <w:pPr>
        <w:numPr>
          <w:ilvl w:val="12"/>
          <w:numId w:val="0"/>
        </w:numPr>
        <w:ind w:left="360"/>
      </w:pPr>
      <w:r>
        <w:t>TSA is not seeking any exceptions.</w:t>
      </w:r>
    </w:p>
    <w:p w:rsidR="00D22615" w:rsidP="000A7669" w14:paraId="57211CFA" w14:textId="77777777">
      <w:pPr>
        <w:numPr>
          <w:ilvl w:val="12"/>
          <w:numId w:val="0"/>
        </w:numPr>
        <w:ind w:left="360"/>
      </w:pPr>
    </w:p>
    <w:p w:rsidR="00D22615" w:rsidP="000A7669" w14:paraId="2C618B6C" w14:textId="77777777">
      <w:pPr>
        <w:tabs>
          <w:tab w:val="num" w:pos="1440"/>
        </w:tabs>
        <w:spacing w:line="480" w:lineRule="auto"/>
        <w:ind w:left="720"/>
      </w:pPr>
    </w:p>
    <w:sectPr w:rsidSect="00EA7190">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276" w14:paraId="58AC0261"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6264A" w14:paraId="318C3314" w14:textId="77777777">
      <w:r>
        <w:separator/>
      </w:r>
    </w:p>
  </w:footnote>
  <w:footnote w:type="continuationSeparator" w:id="1">
    <w:p w:rsidR="00F6264A" w14:paraId="40C951B6" w14:textId="77777777">
      <w:r>
        <w:continuationSeparator/>
      </w:r>
    </w:p>
  </w:footnote>
  <w:footnote w:type="continuationNotice" w:id="2">
    <w:p w:rsidR="00F6264A" w14:paraId="5C75B694" w14:textId="77777777"/>
  </w:footnote>
  <w:footnote w:id="3">
    <w:p w:rsidR="00BB7276" w:rsidP="00241F14" w14:paraId="4CD2812C" w14:textId="38911698">
      <w:pPr>
        <w:pStyle w:val="FootnoteText"/>
      </w:pPr>
      <w:r>
        <w:rPr>
          <w:rStyle w:val="FootnoteReference"/>
        </w:rPr>
        <w:footnoteRef/>
      </w:r>
      <w:r>
        <w:t xml:space="preserve"> </w:t>
      </w:r>
      <w:r w:rsidRPr="007D661F">
        <w:t>Pub. L. 107-71</w:t>
      </w:r>
      <w:r>
        <w:t xml:space="preserve"> 115 (Stat. 597;</w:t>
      </w:r>
      <w:r w:rsidRPr="007D661F">
        <w:t xml:space="preserve"> Nov. 19, 2001)</w:t>
      </w:r>
      <w:r>
        <w:t>.  ATSA</w:t>
      </w:r>
      <w:r w:rsidRPr="007D661F">
        <w:t xml:space="preserve"> created TSA </w:t>
      </w:r>
      <w:r>
        <w:t xml:space="preserve">as a component of the Department of Transportation.  </w:t>
      </w:r>
      <w:r w:rsidRPr="007D661F">
        <w:t>Section 403(2) of the Homeland Security Act of 2002</w:t>
      </w:r>
      <w:r>
        <w:t xml:space="preserve"> </w:t>
      </w:r>
      <w:r w:rsidRPr="007D661F">
        <w:t xml:space="preserve">(HSA), Pub. L. 107-296 </w:t>
      </w:r>
      <w:r w:rsidR="00C37C45">
        <w:t>(</w:t>
      </w:r>
      <w:r w:rsidRPr="007D661F">
        <w:t>116 Stat. 2</w:t>
      </w:r>
      <w:r>
        <w:t>13</w:t>
      </w:r>
      <w:r w:rsidRPr="007D661F">
        <w:t>5</w:t>
      </w:r>
      <w:r w:rsidR="00C37C45">
        <w:t>;</w:t>
      </w:r>
      <w:r w:rsidRPr="007D661F">
        <w:t xml:space="preserve"> </w:t>
      </w:r>
      <w:r>
        <w:t xml:space="preserve">Nov. </w:t>
      </w:r>
      <w:r w:rsidRPr="000E4426">
        <w:t>25</w:t>
      </w:r>
      <w:r>
        <w:t xml:space="preserve">, </w:t>
      </w:r>
      <w:r w:rsidRPr="007D661F">
        <w:t xml:space="preserve">2002), transferred all functions related to transportation security, including those of the Secretary of Transportation and the Under Secretary of Transportation </w:t>
      </w:r>
      <w:r>
        <w:t>for</w:t>
      </w:r>
      <w:r w:rsidRPr="007D661F">
        <w:t xml:space="preserve"> Security, to the Secretary of Homeland Security.  Pursuant to DHS Delegation Number 7060.2, the Secretary delegated to the Administrator, subject to the Secretary</w:t>
      </w:r>
      <w:r>
        <w:t>’</w:t>
      </w:r>
      <w:r w:rsidRPr="007D661F">
        <w:t>s guidance and control, the authority vested in the Secretary with respect to TSA, including th</w:t>
      </w:r>
      <w:r>
        <w:t xml:space="preserve">e authority </w:t>
      </w:r>
      <w:r w:rsidRPr="007D661F">
        <w:t>in sec. 403(2) of the HSA.</w:t>
      </w:r>
    </w:p>
  </w:footnote>
  <w:footnote w:id="4">
    <w:p w:rsidR="00BB7276" w:rsidRPr="007D661F" w:rsidP="00241F14" w14:paraId="42B251AC" w14:textId="77777777">
      <w:pPr>
        <w:pStyle w:val="FootnoteText"/>
      </w:pPr>
      <w:r w:rsidRPr="007D661F">
        <w:rPr>
          <w:rStyle w:val="FootnoteReference"/>
        </w:rPr>
        <w:footnoteRef/>
      </w:r>
      <w:r>
        <w:rPr>
          <w:i/>
        </w:rPr>
        <w:t xml:space="preserve"> </w:t>
      </w:r>
      <w:r w:rsidRPr="00642A4F">
        <w:rPr>
          <w:i/>
        </w:rPr>
        <w:t>See</w:t>
      </w:r>
      <w:r w:rsidRPr="007D661F">
        <w:t xml:space="preserve"> </w:t>
      </w:r>
      <w:r>
        <w:t>49 U.S.C. 114, which codified section 101 of ATSA.</w:t>
      </w:r>
    </w:p>
  </w:footnote>
  <w:footnote w:id="5">
    <w:p w:rsidR="00BB7276" w:rsidRPr="000231EC" w:rsidP="00241F14" w14:paraId="4DF40169" w14:textId="77777777">
      <w:pPr>
        <w:pStyle w:val="FootnoteText"/>
      </w:pPr>
      <w:r w:rsidRPr="000231EC">
        <w:rPr>
          <w:rStyle w:val="FootnoteReference"/>
        </w:rPr>
        <w:footnoteRef/>
      </w:r>
      <w:r w:rsidRPr="000231EC">
        <w:t xml:space="preserve"> </w:t>
      </w:r>
      <w:r>
        <w:rPr>
          <w:i/>
        </w:rPr>
        <w:t>Id.</w:t>
      </w:r>
    </w:p>
  </w:footnote>
  <w:footnote w:id="6">
    <w:p w:rsidR="00BB7276" w:rsidP="00FA22AF" w14:paraId="6B4EFDBB" w14:textId="74921328">
      <w:pPr>
        <w:pStyle w:val="FootnoteText"/>
      </w:pPr>
      <w:r>
        <w:rPr>
          <w:rStyle w:val="FootnoteReference"/>
        </w:rPr>
        <w:footnoteRef/>
      </w:r>
      <w:r>
        <w:t xml:space="preserve"> </w:t>
      </w:r>
      <w:r w:rsidRPr="007D661F">
        <w:t xml:space="preserve">Pub. L. 110-53 </w:t>
      </w:r>
      <w:r w:rsidR="00C37C45">
        <w:t>(</w:t>
      </w:r>
      <w:r w:rsidRPr="007D661F">
        <w:t>121 Stat. 266</w:t>
      </w:r>
      <w:r w:rsidR="00C37C45">
        <w:t>;</w:t>
      </w:r>
      <w:r w:rsidRPr="007D661F">
        <w:t xml:space="preserve"> Aug</w:t>
      </w:r>
      <w:r>
        <w:t>.</w:t>
      </w:r>
      <w:r w:rsidRPr="007D661F">
        <w:t xml:space="preserve"> 3, 2007)</w:t>
      </w:r>
      <w:r>
        <w:t>.</w:t>
      </w:r>
    </w:p>
  </w:footnote>
  <w:footnote w:id="7">
    <w:p w:rsidR="00FC0D74" w14:paraId="4257BB98" w14:textId="77777777"/>
    <w:p w:rsidR="00BB7276" w14:paraId="04F513EB" w14:textId="77777777"/>
  </w:footnote>
  <w:footnote w:id="8">
    <w:p w:rsidR="00BB7276" w14:paraId="1215BB2C" w14:textId="7AE09B99">
      <w:pPr>
        <w:pStyle w:val="FootnoteText"/>
      </w:pPr>
      <w:r>
        <w:rPr>
          <w:rStyle w:val="FootnoteReference"/>
        </w:rPr>
        <w:footnoteRef/>
      </w:r>
      <w:r>
        <w:t xml:space="preserve"> See Section 2.2, Affected Populations, in the Regulatory Impact Analysis accompanying the NPRM for details on the estimation of the population of owners/operators.</w:t>
      </w:r>
    </w:p>
  </w:footnote>
  <w:footnote w:id="9">
    <w:p w:rsidR="00BB7276" w14:paraId="24EC7757" w14:textId="4BA16F67">
      <w:pPr>
        <w:pStyle w:val="FootnoteText"/>
      </w:pPr>
      <w:r>
        <w:rPr>
          <w:rStyle w:val="FootnoteReference"/>
        </w:rPr>
        <w:footnoteRef/>
      </w:r>
      <w:r>
        <w:t xml:space="preserve"> See ‘Respondent Population Categories’ in Question 12 of this supporting statement.</w:t>
      </w:r>
    </w:p>
  </w:footnote>
  <w:footnote w:id="10">
    <w:p w:rsidR="00BB7276" w:rsidP="00FA6526" w14:paraId="49307603" w14:textId="6EBCAC53">
      <w:pPr>
        <w:pStyle w:val="FootnoteText"/>
      </w:pPr>
      <w:r>
        <w:rPr>
          <w:rStyle w:val="FootnoteReference"/>
        </w:rPr>
        <w:footnoteRef/>
      </w:r>
      <w:r>
        <w:t xml:space="preserve"> </w:t>
      </w:r>
      <w:r w:rsidRPr="00B260B3">
        <w:t>TSA may accept a valid, unexpired STA, background check, or investigation conducted by TSA or another Federal governmental agency to satisfy the STA requirement.</w:t>
      </w:r>
    </w:p>
  </w:footnote>
  <w:footnote w:id="11">
    <w:p w:rsidR="00BB7276" w14:paraId="34E76DE0" w14:textId="46F92FD8">
      <w:pPr>
        <w:pStyle w:val="FootnoteText"/>
      </w:pPr>
      <w:r>
        <w:rPr>
          <w:rStyle w:val="FootnoteReference"/>
        </w:rPr>
        <w:footnoteRef/>
      </w:r>
      <w:r>
        <w:t xml:space="preserve"> </w:t>
      </w:r>
      <w:r w:rsidRPr="00FB5313">
        <w:t xml:space="preserve">See </w:t>
      </w:r>
      <w:r>
        <w:t>Section 2.3, Compensation Rates,</w:t>
      </w:r>
      <w:r w:rsidRPr="00FB5313">
        <w:t xml:space="preserve"> in</w:t>
      </w:r>
      <w:r>
        <w:t xml:space="preserve"> the Regulatory Impact Analysis accompanying the NPRM for details on the estimation of the compensation rates under Question 12 of this supporting statement.</w:t>
      </w:r>
    </w:p>
  </w:footnote>
  <w:footnote w:id="12">
    <w:p w:rsidR="00BB7276" w:rsidRPr="00186755" w:rsidP="00A56ED5" w14:paraId="47CB0897" w14:textId="77777777">
      <w:pPr>
        <w:pStyle w:val="FootnoteText"/>
        <w:tabs>
          <w:tab w:val="left" w:pos="360"/>
        </w:tabs>
        <w:ind w:left="360" w:hanging="360"/>
      </w:pPr>
      <w:r w:rsidRPr="00C3327F">
        <w:rPr>
          <w:rStyle w:val="FootnoteReference"/>
        </w:rPr>
        <w:footnoteRef/>
      </w:r>
      <w:r w:rsidRPr="00186755">
        <w:t xml:space="preserve"> </w:t>
      </w:r>
      <w:r>
        <w:tab/>
      </w:r>
      <w:r w:rsidRPr="00186755">
        <w:t>The list of disqualifying crimes is set out in proposed § 1530.503.</w:t>
      </w:r>
    </w:p>
  </w:footnote>
  <w:footnote w:id="13">
    <w:p w:rsidR="00BB7276" w14:paraId="5A2481ED" w14:textId="5AE1D66A">
      <w:pPr>
        <w:pStyle w:val="FootnoteText"/>
      </w:pPr>
      <w:r>
        <w:rPr>
          <w:rStyle w:val="FootnoteReference"/>
        </w:rPr>
        <w:footnoteRef/>
      </w:r>
      <w:r>
        <w:t xml:space="preserve"> The $66 Level 2 STA fee for SSE includes the </w:t>
      </w:r>
      <w:r w:rsidRPr="005E2793">
        <w:t>processing fee, terrorism</w:t>
      </w:r>
      <w:r>
        <w:t>/</w:t>
      </w:r>
      <w:r w:rsidRPr="005E2793">
        <w:t xml:space="preserve"> other</w:t>
      </w:r>
      <w:r>
        <w:t xml:space="preserve"> analyses check fee, and immigration </w:t>
      </w:r>
      <w:r w:rsidRPr="005E2793">
        <w:t>check fee</w:t>
      </w:r>
      <w:r>
        <w:t>.</w:t>
      </w:r>
    </w:p>
  </w:footnote>
  <w:footnote w:id="14">
    <w:p w:rsidR="00BB7276" w14:paraId="5117C201" w14:textId="18946F83">
      <w:pPr>
        <w:pStyle w:val="FootnoteText"/>
      </w:pPr>
      <w:r>
        <w:rPr>
          <w:rStyle w:val="FootnoteReference"/>
        </w:rPr>
        <w:footnoteRef/>
      </w:r>
      <w:r>
        <w:t xml:space="preserve"> The $87 Level 3 STA fee for SC includes the </w:t>
      </w:r>
      <w:r w:rsidRPr="005058DC">
        <w:rPr>
          <w:rFonts w:eastAsiaTheme="minorHAnsi" w:cstheme="minorBidi"/>
          <w:color w:val="auto"/>
          <w:szCs w:val="22"/>
        </w:rPr>
        <w:t>processing fee, terrorism</w:t>
      </w:r>
      <w:r>
        <w:rPr>
          <w:rFonts w:eastAsiaTheme="minorHAnsi" w:cstheme="minorBidi"/>
          <w:color w:val="auto"/>
          <w:szCs w:val="22"/>
        </w:rPr>
        <w:t>/</w:t>
      </w:r>
      <w:r w:rsidRPr="005058DC">
        <w:rPr>
          <w:rFonts w:eastAsiaTheme="minorHAnsi" w:cstheme="minorBidi"/>
          <w:color w:val="auto"/>
          <w:szCs w:val="22"/>
        </w:rPr>
        <w:t>other analyses</w:t>
      </w:r>
      <w:r>
        <w:rPr>
          <w:rFonts w:eastAsiaTheme="minorHAnsi" w:cstheme="minorBidi"/>
          <w:color w:val="auto"/>
          <w:szCs w:val="22"/>
        </w:rPr>
        <w:t xml:space="preserve"> check</w:t>
      </w:r>
      <w:r w:rsidRPr="005058DC">
        <w:rPr>
          <w:rFonts w:eastAsiaTheme="minorHAnsi" w:cstheme="minorBidi"/>
          <w:color w:val="auto"/>
          <w:szCs w:val="22"/>
        </w:rPr>
        <w:t xml:space="preserve"> fee, immigration</w:t>
      </w:r>
      <w:r>
        <w:rPr>
          <w:rFonts w:eastAsiaTheme="minorHAnsi" w:cstheme="minorBidi"/>
          <w:color w:val="auto"/>
          <w:szCs w:val="22"/>
        </w:rPr>
        <w:t xml:space="preserve"> </w:t>
      </w:r>
      <w:r w:rsidRPr="005058DC">
        <w:rPr>
          <w:rFonts w:eastAsiaTheme="minorHAnsi" w:cstheme="minorBidi"/>
          <w:color w:val="auto"/>
          <w:szCs w:val="22"/>
        </w:rPr>
        <w:t>check fee</w:t>
      </w:r>
      <w:r>
        <w:rPr>
          <w:rFonts w:eastAsiaTheme="minorHAnsi" w:cstheme="minorBidi"/>
          <w:color w:val="auto"/>
          <w:szCs w:val="22"/>
        </w:rPr>
        <w:t>, and CHRC fee.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276" w14:paraId="7D519B8F" w14:textId="3A905419">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5E21AF">
      <w:rPr>
        <w:rStyle w:val="PageNumber"/>
        <w:rFonts w:ascii="Times New Roman" w:hAnsi="Times New Roman"/>
        <w:noProof/>
        <w:sz w:val="24"/>
      </w:rPr>
      <w:t>5</w:t>
    </w:r>
    <w:r>
      <w:rPr>
        <w:rStyle w:val="PageNumber"/>
        <w:rFonts w:ascii="Times New Roman" w:hAnsi="Times New Roman"/>
        <w:sz w:val="24"/>
      </w:rPr>
      <w:fldChar w:fldCharType="end"/>
    </w:r>
  </w:p>
  <w:p w:rsidR="00BB7276" w:rsidRPr="00320387" w14:paraId="3EC9BA3B" w14:textId="7777777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276" w:rsidP="00707EAB" w14:paraId="351FB39F" w14:textId="5E52C96F">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675969">
      <w:rPr>
        <w:rStyle w:val="PageNumber"/>
        <w:rFonts w:ascii="Times New Roman" w:hAnsi="Times New Roman"/>
        <w:noProof/>
        <w:sz w:val="24"/>
      </w:rPr>
      <w:t>1</w:t>
    </w:r>
    <w:r>
      <w:rPr>
        <w:rStyle w:val="PageNumber"/>
        <w:rFonts w:ascii="Times New Roman" w:hAnsi="Times New Roman"/>
        <w:sz w:val="24"/>
      </w:rPr>
      <w:fldChar w:fldCharType="end"/>
    </w:r>
  </w:p>
  <w:p w:rsidR="00BB7276" w:rsidP="00D60C55" w14:paraId="20EE0649"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BB7276" w:rsidP="00D60C55" w14:paraId="6673EED7" w14:textId="77777777">
    <w:pPr>
      <w:jc w:val="center"/>
      <w:rPr>
        <w:rFonts w:cs="Times New Roman"/>
        <w:b/>
        <w:sz w:val="28"/>
      </w:rPr>
    </w:pPr>
  </w:p>
  <w:p w:rsidR="00BB7276" w:rsidP="00D60C55" w14:paraId="089EA386" w14:textId="77777777">
    <w:pPr>
      <w:jc w:val="center"/>
      <w:rPr>
        <w:rFonts w:cs="Times New Roman"/>
        <w:b/>
        <w:sz w:val="28"/>
      </w:rPr>
    </w:pPr>
    <w:r>
      <w:rPr>
        <w:rFonts w:cs="Times New Roman"/>
        <w:b/>
        <w:sz w:val="28"/>
      </w:rPr>
      <w:t>Security Vetting of Certain Surface Transportation Workers</w:t>
    </w:r>
  </w:p>
  <w:p w:rsidR="00BB7276" w:rsidP="00D60C55" w14:paraId="48F3F0FE" w14:textId="77777777">
    <w:pPr>
      <w:jc w:val="center"/>
      <w:rPr>
        <w:rFonts w:cs="Times New Roman"/>
        <w:b/>
        <w:sz w:val="28"/>
      </w:rPr>
    </w:pPr>
  </w:p>
  <w:p w:rsidR="00BB7276" w:rsidP="00D60C55" w14:paraId="51712BA5" w14:textId="77777777">
    <w:pPr>
      <w:jc w:val="center"/>
      <w:rPr>
        <w:rFonts w:cs="Times New Roman"/>
        <w:b/>
      </w:rPr>
    </w:pPr>
    <w:r>
      <w:rPr>
        <w:rFonts w:cs="Times New Roman"/>
        <w:b/>
      </w:rPr>
      <w:t>(Security Vetting of Certain Surface Transportation Workers Notice of Proposed Rulemaking)</w:t>
    </w:r>
  </w:p>
  <w:p w:rsidR="00BB7276" w:rsidP="00D60193" w14:paraId="24FB427A" w14:textId="1DDD98BE">
    <w:pPr>
      <w:pStyle w:val="Header"/>
      <w:keepLines w:val="0"/>
      <w:rPr>
        <w:rFonts w:ascii="Times New Roman" w:hAnsi="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276" w:rsidP="00707EAB" w14:paraId="4C0A5E83" w14:textId="279000C8">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5E21AF">
      <w:rPr>
        <w:rStyle w:val="PageNumber"/>
        <w:rFonts w:ascii="Times New Roman" w:hAnsi="Times New Roman"/>
        <w:noProof/>
        <w:sz w:val="24"/>
      </w:rPr>
      <w:t>18</w:t>
    </w:r>
    <w:r>
      <w:rPr>
        <w:rStyle w:val="PageNumber"/>
        <w:rFonts w:ascii="Times New Roman" w:hAnsi="Times New Roman"/>
        <w:sz w:val="24"/>
      </w:rPr>
      <w:fldChar w:fldCharType="end"/>
    </w:r>
  </w:p>
  <w:p w:rsidR="00BB7276" w:rsidP="00D60193" w14:paraId="44D89571" w14:textId="77777777">
    <w:pPr>
      <w:pStyle w:val="Header"/>
      <w:keepLines w:val="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CC45CB"/>
    <w:multiLevelType w:val="hybridMultilevel"/>
    <w:tmpl w:val="EF46D61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5425A71"/>
    <w:multiLevelType w:val="hybridMultilevel"/>
    <w:tmpl w:val="55865598"/>
    <w:lvl w:ilvl="0">
      <w:start w:val="1"/>
      <w:numFmt w:val="decimal"/>
      <w:lvlText w:val="%1)"/>
      <w:lvlJc w:val="left"/>
      <w:pPr>
        <w:ind w:left="32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7B7A3D"/>
    <w:multiLevelType w:val="hybridMultilevel"/>
    <w:tmpl w:val="6CC0825E"/>
    <w:lvl w:ilvl="0">
      <w:start w:val="1"/>
      <w:numFmt w:val="decimal"/>
      <w:lvlText w:val="%1)"/>
      <w:lvlJc w:val="left"/>
      <w:pPr>
        <w:ind w:left="360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7A458A6"/>
    <w:multiLevelType w:val="hybridMultilevel"/>
    <w:tmpl w:val="977E4A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BE055F"/>
    <w:multiLevelType w:val="hybridMultilevel"/>
    <w:tmpl w:val="66E018F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9467F59"/>
    <w:multiLevelType w:val="hybridMultilevel"/>
    <w:tmpl w:val="9194673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28568E"/>
    <w:multiLevelType w:val="hybridMultilevel"/>
    <w:tmpl w:val="A2B6B0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decimal"/>
      <w:lvlText w:val="%3."/>
      <w:lvlJc w:val="lef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DCF7C78"/>
    <w:multiLevelType w:val="hybridMultilevel"/>
    <w:tmpl w:val="8C8A1D2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0C62222"/>
    <w:multiLevelType w:val="hybridMultilevel"/>
    <w:tmpl w:val="01349DB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2B028FB"/>
    <w:multiLevelType w:val="hybridMultilevel"/>
    <w:tmpl w:val="0C6288C6"/>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
    <w:nsid w:val="161B4CFD"/>
    <w:multiLevelType w:val="hybridMultilevel"/>
    <w:tmpl w:val="A704AF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7177C1B"/>
    <w:multiLevelType w:val="hybridMultilevel"/>
    <w:tmpl w:val="0BFAF5FA"/>
    <w:lvl w:ilvl="0">
      <w:start w:val="1"/>
      <w:numFmt w:val="bullet"/>
      <w:lvlText w:val=""/>
      <w:lvlJc w:val="left"/>
      <w:pPr>
        <w:ind w:left="720" w:hanging="360"/>
      </w:pPr>
      <w:rPr>
        <w:rFonts w:ascii="Wingdings" w:hAnsi="Wingdings"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7A140CE"/>
    <w:multiLevelType w:val="hybridMultilevel"/>
    <w:tmpl w:val="6F5EEB0A"/>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8733B35"/>
    <w:multiLevelType w:val="hybridMultilevel"/>
    <w:tmpl w:val="01349DB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195F0DC4"/>
    <w:multiLevelType w:val="singleLevel"/>
    <w:tmpl w:val="14265F0C"/>
    <w:lvl w:ilvl="0">
      <w:start w:val="1"/>
      <w:numFmt w:val="decimal"/>
      <w:lvlText w:val="%1."/>
      <w:legacy w:legacy="1" w:legacySpace="0" w:legacyIndent="360"/>
      <w:lvlJc w:val="left"/>
      <w:pPr>
        <w:ind w:left="360" w:hanging="360"/>
      </w:pPr>
      <w:rPr>
        <w:b/>
      </w:rPr>
    </w:lvl>
  </w:abstractNum>
  <w:abstractNum w:abstractNumId="15">
    <w:nsid w:val="1AEE6081"/>
    <w:multiLevelType w:val="hybridMultilevel"/>
    <w:tmpl w:val="01349DB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1D2A04B8"/>
    <w:multiLevelType w:val="hybridMultilevel"/>
    <w:tmpl w:val="32F0745E"/>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E362B60"/>
    <w:multiLevelType w:val="hybridMultilevel"/>
    <w:tmpl w:val="01349DB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13E0FE6"/>
    <w:multiLevelType w:val="hybridMultilevel"/>
    <w:tmpl w:val="A402908E"/>
    <w:lvl w:ilvl="0">
      <w:start w:val="1"/>
      <w:numFmt w:val="bullet"/>
      <w:lvlText w:val=""/>
      <w:lvlJc w:val="left"/>
      <w:pPr>
        <w:ind w:left="720" w:hanging="360"/>
      </w:pPr>
      <w:rPr>
        <w:rFonts w:ascii="Wingdings" w:hAnsi="Wingdings" w:hint="default"/>
        <w:strike w:val="0"/>
      </w:rPr>
    </w:lvl>
    <w:lvl w:ilvl="1">
      <w:start w:val="1"/>
      <w:numFmt w:val="bullet"/>
      <w:lvlText w:val=""/>
      <w:lvlJc w:val="left"/>
      <w:pPr>
        <w:ind w:left="1440" w:hanging="360"/>
      </w:pPr>
      <w:rPr>
        <w:rFonts w:ascii="Wingdings" w:hAnsi="Wingdings" w:hint="default"/>
        <w:strike w:val="0"/>
        <w:color w:val="auto"/>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39300AC"/>
    <w:multiLevelType w:val="hybridMultilevel"/>
    <w:tmpl w:val="77881E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3942985"/>
    <w:multiLevelType w:val="hybridMultilevel"/>
    <w:tmpl w:val="01349DB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23D14DA0"/>
    <w:multiLevelType w:val="hybridMultilevel"/>
    <w:tmpl w:val="01349DB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25F71FD2"/>
    <w:multiLevelType w:val="hybridMultilevel"/>
    <w:tmpl w:val="762C0EEE"/>
    <w:lvl w:ilvl="0">
      <w:start w:val="1"/>
      <w:numFmt w:val="decimal"/>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6524967"/>
    <w:multiLevelType w:val="hybridMultilevel"/>
    <w:tmpl w:val="5CF6A5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2A2E572E"/>
    <w:multiLevelType w:val="hybridMultilevel"/>
    <w:tmpl w:val="2996E8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050244D"/>
    <w:multiLevelType w:val="hybridMultilevel"/>
    <w:tmpl w:val="F51E14E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38CB0A3C"/>
    <w:multiLevelType w:val="hybridMultilevel"/>
    <w:tmpl w:val="9ECCAA82"/>
    <w:lvl w:ilvl="0">
      <w:start w:val="1"/>
      <w:numFmt w:val="bullet"/>
      <w:lvlText w:val=""/>
      <w:lvlJc w:val="left"/>
      <w:pPr>
        <w:ind w:left="720" w:hanging="360"/>
      </w:pPr>
      <w:rPr>
        <w:rFonts w:ascii="Wingdings" w:hAnsi="Wingdings" w:hint="default"/>
        <w:strike w:val="0"/>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58D783C"/>
    <w:multiLevelType w:val="hybridMultilevel"/>
    <w:tmpl w:val="2D685CAC"/>
    <w:lvl w:ilvl="0">
      <w:start w:val="1"/>
      <w:numFmt w:val="bullet"/>
      <w:lvlText w:val=""/>
      <w:lvlJc w:val="left"/>
      <w:pPr>
        <w:ind w:left="1080" w:hanging="360"/>
      </w:pPr>
      <w:rPr>
        <w:rFonts w:ascii="Wingdings" w:hAnsi="Wingdings"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48B63654"/>
    <w:multiLevelType w:val="hybridMultilevel"/>
    <w:tmpl w:val="07BACB7A"/>
    <w:lvl w:ilvl="0">
      <w:start w:val="1"/>
      <w:numFmt w:val="decimal"/>
      <w:lvlText w:val="%1)"/>
      <w:lvlJc w:val="left"/>
      <w:pPr>
        <w:ind w:left="3240" w:hanging="360"/>
      </w:pPr>
      <w:rPr>
        <w:i w:val="0"/>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29">
    <w:nsid w:val="4BBB0A30"/>
    <w:multiLevelType w:val="hybridMultilevel"/>
    <w:tmpl w:val="E99A360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DFC0D29"/>
    <w:multiLevelType w:val="multilevel"/>
    <w:tmpl w:val="9FDC68B2"/>
    <w:lvl w:ilvl="0">
      <w:start w:val="1"/>
      <w:numFmt w:val="bullet"/>
      <w:lvlText w:val=""/>
      <w:lvlJc w:val="left"/>
      <w:pPr>
        <w:ind w:left="-1080" w:hanging="360"/>
      </w:pPr>
      <w:rPr>
        <w:rFonts w:ascii="Symbol" w:hAnsi="Symbol" w:hint="default"/>
        <w:color w:val="auto"/>
        <w:sz w:val="24"/>
        <w:szCs w:val="24"/>
      </w:rPr>
    </w:lvl>
    <w:lvl w:ilvl="1">
      <w:start w:val="1"/>
      <w:numFmt w:val="bullet"/>
      <w:lvlText w:val=""/>
      <w:lvlJc w:val="left"/>
      <w:pPr>
        <w:ind w:left="-720" w:hanging="360"/>
      </w:pPr>
      <w:rPr>
        <w:rFonts w:ascii="Wingdings" w:hAnsi="Wingdings" w:hint="default"/>
        <w:b/>
        <w:i w:val="0"/>
        <w:color w:val="677719"/>
        <w:sz w:val="24"/>
        <w:szCs w:val="24"/>
      </w:rPr>
    </w:lvl>
    <w:lvl w:ilvl="2">
      <w:start w:val="1"/>
      <w:numFmt w:val="bullet"/>
      <w:lvlText w:val="–"/>
      <w:lvlJc w:val="left"/>
      <w:pPr>
        <w:ind w:left="-360" w:hanging="360"/>
      </w:pPr>
      <w:rPr>
        <w:rFonts w:ascii="Arial Bold" w:hAnsi="Arial Bold" w:hint="default"/>
        <w:b/>
        <w:i w:val="0"/>
        <w:color w:val="C0504D" w:themeColor="accent2"/>
        <w:sz w:val="24"/>
      </w:rPr>
    </w:lvl>
    <w:lvl w:ilvl="3">
      <w:start w:val="1"/>
      <w:numFmt w:val="bullet"/>
      <w:lvlText w:val=""/>
      <w:lvlJc w:val="left"/>
      <w:pPr>
        <w:ind w:left="1656" w:hanging="360"/>
      </w:pPr>
      <w:rPr>
        <w:rFonts w:ascii="Symbol" w:hAnsi="Symbol" w:hint="default"/>
      </w:rPr>
    </w:lvl>
    <w:lvl w:ilvl="4">
      <w:start w:val="1"/>
      <w:numFmt w:val="bullet"/>
      <w:lvlText w:val="o"/>
      <w:lvlJc w:val="left"/>
      <w:pPr>
        <w:ind w:left="2376" w:hanging="360"/>
      </w:pPr>
      <w:rPr>
        <w:rFonts w:ascii="Courier New" w:hAnsi="Courier New" w:cs="Courier New" w:hint="default"/>
      </w:rPr>
    </w:lvl>
    <w:lvl w:ilvl="5">
      <w:start w:val="1"/>
      <w:numFmt w:val="bullet"/>
      <w:lvlText w:val=""/>
      <w:lvlJc w:val="left"/>
      <w:pPr>
        <w:ind w:left="3096" w:hanging="360"/>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536" w:hanging="360"/>
      </w:pPr>
      <w:rPr>
        <w:rFonts w:ascii="Courier New" w:hAnsi="Courier New" w:cs="Courier New" w:hint="default"/>
      </w:rPr>
    </w:lvl>
    <w:lvl w:ilvl="8">
      <w:start w:val="1"/>
      <w:numFmt w:val="bullet"/>
      <w:lvlText w:val=""/>
      <w:lvlJc w:val="left"/>
      <w:pPr>
        <w:ind w:left="5256" w:hanging="360"/>
      </w:pPr>
      <w:rPr>
        <w:rFonts w:ascii="Wingdings" w:hAnsi="Wingdings" w:hint="default"/>
      </w:rPr>
    </w:lvl>
  </w:abstractNum>
  <w:abstractNum w:abstractNumId="31">
    <w:nsid w:val="4E392BFE"/>
    <w:multiLevelType w:val="hybridMultilevel"/>
    <w:tmpl w:val="0450E3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0FA3AD3"/>
    <w:multiLevelType w:val="hybridMultilevel"/>
    <w:tmpl w:val="5B24F2E0"/>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52FE2A49"/>
    <w:multiLevelType w:val="hybridMultilevel"/>
    <w:tmpl w:val="BE3A33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36E7AFB"/>
    <w:multiLevelType w:val="hybridMultilevel"/>
    <w:tmpl w:val="319C738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54B61969"/>
    <w:multiLevelType w:val="hybridMultilevel"/>
    <w:tmpl w:val="01349DB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59AE2C81"/>
    <w:multiLevelType w:val="hybridMultilevel"/>
    <w:tmpl w:val="0680C7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B4A6076"/>
    <w:multiLevelType w:val="hybridMultilevel"/>
    <w:tmpl w:val="5484BCB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4153657"/>
    <w:multiLevelType w:val="hybridMultilevel"/>
    <w:tmpl w:val="ACE07DAA"/>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65FA72D8"/>
    <w:multiLevelType w:val="hybridMultilevel"/>
    <w:tmpl w:val="56C6710A"/>
    <w:lvl w:ilvl="0">
      <w:start w:val="1"/>
      <w:numFmt w:val="decimal"/>
      <w:lvlText w:val="%1)"/>
      <w:lvlJc w:val="left"/>
      <w:pPr>
        <w:ind w:left="5760" w:hanging="360"/>
      </w:pPr>
      <w:rPr>
        <w:i w:val="0"/>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40">
    <w:nsid w:val="6EB431B0"/>
    <w:multiLevelType w:val="hybridMultilevel"/>
    <w:tmpl w:val="A56A58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16D45E3"/>
    <w:multiLevelType w:val="hybridMultilevel"/>
    <w:tmpl w:val="9BDE399C"/>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71797920"/>
    <w:multiLevelType w:val="multilevel"/>
    <w:tmpl w:val="50DED618"/>
    <w:lvl w:ilvl="0">
      <w:start w:val="1"/>
      <w:numFmt w:val="bullet"/>
      <w:lvlText w:val=""/>
      <w:lvlJc w:val="left"/>
      <w:pPr>
        <w:ind w:left="360" w:hanging="360"/>
      </w:pPr>
      <w:rPr>
        <w:rFonts w:ascii="Symbol" w:hAnsi="Symbol" w:hint="default"/>
        <w:color w:val="auto"/>
        <w:sz w:val="24"/>
        <w:szCs w:val="24"/>
      </w:rPr>
    </w:lvl>
    <w:lvl w:ilvl="1">
      <w:start w:val="1"/>
      <w:numFmt w:val="bullet"/>
      <w:lvlText w:val=""/>
      <w:lvlJc w:val="left"/>
      <w:pPr>
        <w:ind w:left="720" w:hanging="360"/>
      </w:pPr>
      <w:rPr>
        <w:rFonts w:ascii="Wingdings" w:hAnsi="Wingdings" w:hint="default"/>
        <w:b/>
        <w:i w:val="0"/>
        <w:color w:val="677719"/>
        <w:sz w:val="24"/>
        <w:szCs w:val="24"/>
      </w:rPr>
    </w:lvl>
    <w:lvl w:ilvl="2">
      <w:start w:val="1"/>
      <w:numFmt w:val="bullet"/>
      <w:lvlText w:val="–"/>
      <w:lvlJc w:val="left"/>
      <w:pPr>
        <w:ind w:left="1080" w:hanging="360"/>
      </w:pPr>
      <w:rPr>
        <w:rFonts w:ascii="Arial Bold" w:hAnsi="Arial Bold" w:hint="default"/>
        <w:b/>
        <w:i w:val="0"/>
        <w:color w:val="C0504D" w:themeColor="accent2"/>
        <w:sz w:val="24"/>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3">
    <w:nsid w:val="72D525F4"/>
    <w:multiLevelType w:val="hybridMultilevel"/>
    <w:tmpl w:val="0450E3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561549F"/>
    <w:multiLevelType w:val="hybridMultilevel"/>
    <w:tmpl w:val="F2C4086C"/>
    <w:lvl w:ilvl="0">
      <w:start w:val="1"/>
      <w:numFmt w:val="decimal"/>
      <w:lvlText w:val="%1)"/>
      <w:lvlJc w:val="left"/>
      <w:pPr>
        <w:ind w:left="1080" w:hanging="360"/>
      </w:pPr>
      <w:rPr>
        <w:b w:val="0"/>
        <w:i w:val="0"/>
      </w:rPr>
    </w:lvl>
    <w:lvl w:ilvl="1">
      <w:start w:val="1"/>
      <w:numFmt w:val="decimal"/>
      <w:lvlText w:val="%2)"/>
      <w:lvlJc w:val="left"/>
      <w:pPr>
        <w:ind w:left="-720" w:hanging="360"/>
      </w:pPr>
    </w:lvl>
    <w:lvl w:ilvl="2" w:tentative="1">
      <w:start w:val="1"/>
      <w:numFmt w:val="lowerRoman"/>
      <w:lvlText w:val="%3."/>
      <w:lvlJc w:val="right"/>
      <w:pPr>
        <w:ind w:left="0" w:hanging="180"/>
      </w:pPr>
    </w:lvl>
    <w:lvl w:ilvl="3" w:tentative="1">
      <w:start w:val="1"/>
      <w:numFmt w:val="decimal"/>
      <w:lvlText w:val="%4."/>
      <w:lvlJc w:val="left"/>
      <w:pPr>
        <w:ind w:left="720" w:hanging="360"/>
      </w:pPr>
    </w:lvl>
    <w:lvl w:ilvl="4" w:tentative="1">
      <w:start w:val="1"/>
      <w:numFmt w:val="lowerLetter"/>
      <w:lvlText w:val="%5."/>
      <w:lvlJc w:val="left"/>
      <w:pPr>
        <w:ind w:left="1440" w:hanging="360"/>
      </w:pPr>
    </w:lvl>
    <w:lvl w:ilvl="5" w:tentative="1">
      <w:start w:val="1"/>
      <w:numFmt w:val="lowerRoman"/>
      <w:lvlText w:val="%6."/>
      <w:lvlJc w:val="right"/>
      <w:pPr>
        <w:ind w:left="2160" w:hanging="180"/>
      </w:pPr>
    </w:lvl>
    <w:lvl w:ilvl="6" w:tentative="1">
      <w:start w:val="1"/>
      <w:numFmt w:val="decimal"/>
      <w:lvlText w:val="%7."/>
      <w:lvlJc w:val="left"/>
      <w:pPr>
        <w:ind w:left="2880" w:hanging="360"/>
      </w:pPr>
    </w:lvl>
    <w:lvl w:ilvl="7" w:tentative="1">
      <w:start w:val="1"/>
      <w:numFmt w:val="lowerLetter"/>
      <w:lvlText w:val="%8."/>
      <w:lvlJc w:val="left"/>
      <w:pPr>
        <w:ind w:left="3600" w:hanging="360"/>
      </w:pPr>
    </w:lvl>
    <w:lvl w:ilvl="8" w:tentative="1">
      <w:start w:val="1"/>
      <w:numFmt w:val="lowerRoman"/>
      <w:lvlText w:val="%9."/>
      <w:lvlJc w:val="right"/>
      <w:pPr>
        <w:ind w:left="4320" w:hanging="180"/>
      </w:pPr>
    </w:lvl>
  </w:abstractNum>
  <w:abstractNum w:abstractNumId="45">
    <w:nsid w:val="75911A78"/>
    <w:multiLevelType w:val="hybridMultilevel"/>
    <w:tmpl w:val="4B4271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9FC010D"/>
    <w:multiLevelType w:val="hybridMultilevel"/>
    <w:tmpl w:val="CE96CF2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7B960547"/>
    <w:multiLevelType w:val="hybridMultilevel"/>
    <w:tmpl w:val="256849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7F1A5405"/>
    <w:multiLevelType w:val="hybridMultilevel"/>
    <w:tmpl w:val="867CCF3C"/>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4"/>
  </w:num>
  <w:num w:numId="2">
    <w:abstractNumId w:val="24"/>
  </w:num>
  <w:num w:numId="3">
    <w:abstractNumId w:val="3"/>
  </w:num>
  <w:num w:numId="4">
    <w:abstractNumId w:val="34"/>
  </w:num>
  <w:num w:numId="5">
    <w:abstractNumId w:val="18"/>
  </w:num>
  <w:num w:numId="6">
    <w:abstractNumId w:val="25"/>
  </w:num>
  <w:num w:numId="7">
    <w:abstractNumId w:val="9"/>
  </w:num>
  <w:num w:numId="8">
    <w:abstractNumId w:val="40"/>
  </w:num>
  <w:num w:numId="9">
    <w:abstractNumId w:val="16"/>
  </w:num>
  <w:num w:numId="10">
    <w:abstractNumId w:val="37"/>
  </w:num>
  <w:num w:numId="11">
    <w:abstractNumId w:val="12"/>
  </w:num>
  <w:num w:numId="12">
    <w:abstractNumId w:val="19"/>
  </w:num>
  <w:num w:numId="13">
    <w:abstractNumId w:val="33"/>
  </w:num>
  <w:num w:numId="14">
    <w:abstractNumId w:val="11"/>
  </w:num>
  <w:num w:numId="15">
    <w:abstractNumId w:val="27"/>
  </w:num>
  <w:num w:numId="16">
    <w:abstractNumId w:val="38"/>
  </w:num>
  <w:num w:numId="17">
    <w:abstractNumId w:val="4"/>
  </w:num>
  <w:num w:numId="18">
    <w:abstractNumId w:val="26"/>
  </w:num>
  <w:num w:numId="19">
    <w:abstractNumId w:val="7"/>
  </w:num>
  <w:num w:numId="20">
    <w:abstractNumId w:val="41"/>
  </w:num>
  <w:num w:numId="21">
    <w:abstractNumId w:val="10"/>
  </w:num>
  <w:num w:numId="22">
    <w:abstractNumId w:val="22"/>
  </w:num>
  <w:num w:numId="23">
    <w:abstractNumId w:val="45"/>
  </w:num>
  <w:num w:numId="24">
    <w:abstractNumId w:val="36"/>
  </w:num>
  <w:num w:numId="25">
    <w:abstractNumId w:val="47"/>
  </w:num>
  <w:num w:numId="26">
    <w:abstractNumId w:val="6"/>
  </w:num>
  <w:num w:numId="27">
    <w:abstractNumId w:val="23"/>
  </w:num>
  <w:num w:numId="28">
    <w:abstractNumId w:val="48"/>
  </w:num>
  <w:num w:numId="29">
    <w:abstractNumId w:val="28"/>
  </w:num>
  <w:num w:numId="30">
    <w:abstractNumId w:val="2"/>
  </w:num>
  <w:num w:numId="31">
    <w:abstractNumId w:val="39"/>
  </w:num>
  <w:num w:numId="32">
    <w:abstractNumId w:val="1"/>
  </w:num>
  <w:num w:numId="33">
    <w:abstractNumId w:val="5"/>
  </w:num>
  <w:num w:numId="34">
    <w:abstractNumId w:val="29"/>
  </w:num>
  <w:num w:numId="35">
    <w:abstractNumId w:val="44"/>
  </w:num>
  <w:num w:numId="36">
    <w:abstractNumId w:val="46"/>
  </w:num>
  <w:num w:numId="37">
    <w:abstractNumId w:val="32"/>
  </w:num>
  <w:num w:numId="38">
    <w:abstractNumId w:val="43"/>
  </w:num>
  <w:num w:numId="39">
    <w:abstractNumId w:val="31"/>
  </w:num>
  <w:num w:numId="40">
    <w:abstractNumId w:val="42"/>
  </w:num>
  <w:num w:numId="41">
    <w:abstractNumId w:val="30"/>
  </w:num>
  <w:num w:numId="42">
    <w:abstractNumId w:val="35"/>
  </w:num>
  <w:num w:numId="43">
    <w:abstractNumId w:val="15"/>
  </w:num>
  <w:num w:numId="44">
    <w:abstractNumId w:val="21"/>
  </w:num>
  <w:num w:numId="45">
    <w:abstractNumId w:val="8"/>
  </w:num>
  <w:num w:numId="46">
    <w:abstractNumId w:val="20"/>
  </w:num>
  <w:num w:numId="47">
    <w:abstractNumId w:val="17"/>
  </w:num>
  <w:num w:numId="48">
    <w:abstractNumId w:val="13"/>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val="bestFit" w:percent="147"/>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6"/>
    <w:rsid w:val="00000A01"/>
    <w:rsid w:val="00002C50"/>
    <w:rsid w:val="000038D9"/>
    <w:rsid w:val="0000551F"/>
    <w:rsid w:val="000068D1"/>
    <w:rsid w:val="0000755C"/>
    <w:rsid w:val="00007621"/>
    <w:rsid w:val="00007774"/>
    <w:rsid w:val="00010601"/>
    <w:rsid w:val="00011726"/>
    <w:rsid w:val="000119F2"/>
    <w:rsid w:val="000121F2"/>
    <w:rsid w:val="00015A46"/>
    <w:rsid w:val="000212C9"/>
    <w:rsid w:val="000231EC"/>
    <w:rsid w:val="00023EBD"/>
    <w:rsid w:val="0002789E"/>
    <w:rsid w:val="00030264"/>
    <w:rsid w:val="0003359A"/>
    <w:rsid w:val="00034339"/>
    <w:rsid w:val="0004353E"/>
    <w:rsid w:val="000445B8"/>
    <w:rsid w:val="00045B57"/>
    <w:rsid w:val="00050C5B"/>
    <w:rsid w:val="00052675"/>
    <w:rsid w:val="000528C8"/>
    <w:rsid w:val="00053C58"/>
    <w:rsid w:val="00057C3C"/>
    <w:rsid w:val="00057E8D"/>
    <w:rsid w:val="00063A27"/>
    <w:rsid w:val="0006504D"/>
    <w:rsid w:val="000658FB"/>
    <w:rsid w:val="00067399"/>
    <w:rsid w:val="000725CB"/>
    <w:rsid w:val="00072C43"/>
    <w:rsid w:val="000735A0"/>
    <w:rsid w:val="00074D78"/>
    <w:rsid w:val="000753A0"/>
    <w:rsid w:val="0007581F"/>
    <w:rsid w:val="00075B50"/>
    <w:rsid w:val="00076879"/>
    <w:rsid w:val="0007702D"/>
    <w:rsid w:val="00081556"/>
    <w:rsid w:val="00081FB9"/>
    <w:rsid w:val="0008217D"/>
    <w:rsid w:val="000835F5"/>
    <w:rsid w:val="00084058"/>
    <w:rsid w:val="00085CB3"/>
    <w:rsid w:val="00087F14"/>
    <w:rsid w:val="000928AE"/>
    <w:rsid w:val="00094024"/>
    <w:rsid w:val="00094407"/>
    <w:rsid w:val="0009609B"/>
    <w:rsid w:val="00097DBE"/>
    <w:rsid w:val="000A0B43"/>
    <w:rsid w:val="000A0CFB"/>
    <w:rsid w:val="000A2B4A"/>
    <w:rsid w:val="000A3D16"/>
    <w:rsid w:val="000A4C16"/>
    <w:rsid w:val="000A7641"/>
    <w:rsid w:val="000A7669"/>
    <w:rsid w:val="000B01E6"/>
    <w:rsid w:val="000B1448"/>
    <w:rsid w:val="000B22D3"/>
    <w:rsid w:val="000B4AF4"/>
    <w:rsid w:val="000B5AF6"/>
    <w:rsid w:val="000B6B28"/>
    <w:rsid w:val="000C0E74"/>
    <w:rsid w:val="000C1CCA"/>
    <w:rsid w:val="000C23BE"/>
    <w:rsid w:val="000C2404"/>
    <w:rsid w:val="000C3177"/>
    <w:rsid w:val="000C3AE4"/>
    <w:rsid w:val="000C3FC6"/>
    <w:rsid w:val="000C4410"/>
    <w:rsid w:val="000C65F0"/>
    <w:rsid w:val="000D2831"/>
    <w:rsid w:val="000D35F8"/>
    <w:rsid w:val="000D384C"/>
    <w:rsid w:val="000D4940"/>
    <w:rsid w:val="000D4D57"/>
    <w:rsid w:val="000D7B61"/>
    <w:rsid w:val="000E2731"/>
    <w:rsid w:val="000E3453"/>
    <w:rsid w:val="000E346E"/>
    <w:rsid w:val="000E4426"/>
    <w:rsid w:val="000E541C"/>
    <w:rsid w:val="000E6642"/>
    <w:rsid w:val="000F08E5"/>
    <w:rsid w:val="000F41C7"/>
    <w:rsid w:val="0010044B"/>
    <w:rsid w:val="001045BF"/>
    <w:rsid w:val="00106482"/>
    <w:rsid w:val="0010720E"/>
    <w:rsid w:val="00107D0C"/>
    <w:rsid w:val="00110518"/>
    <w:rsid w:val="00113CBF"/>
    <w:rsid w:val="00117B59"/>
    <w:rsid w:val="00120758"/>
    <w:rsid w:val="00120A21"/>
    <w:rsid w:val="001214A5"/>
    <w:rsid w:val="0012412C"/>
    <w:rsid w:val="00125CB4"/>
    <w:rsid w:val="00127BA8"/>
    <w:rsid w:val="001305C0"/>
    <w:rsid w:val="001321D7"/>
    <w:rsid w:val="00136257"/>
    <w:rsid w:val="00141D89"/>
    <w:rsid w:val="00143125"/>
    <w:rsid w:val="0014376D"/>
    <w:rsid w:val="0014437F"/>
    <w:rsid w:val="00144F77"/>
    <w:rsid w:val="001456CC"/>
    <w:rsid w:val="00151C61"/>
    <w:rsid w:val="00153CFB"/>
    <w:rsid w:val="001556F7"/>
    <w:rsid w:val="0015689D"/>
    <w:rsid w:val="00157149"/>
    <w:rsid w:val="001602AF"/>
    <w:rsid w:val="00164B6B"/>
    <w:rsid w:val="00167671"/>
    <w:rsid w:val="001676FD"/>
    <w:rsid w:val="0017058D"/>
    <w:rsid w:val="00171778"/>
    <w:rsid w:val="001742BF"/>
    <w:rsid w:val="00174C70"/>
    <w:rsid w:val="001764EF"/>
    <w:rsid w:val="001773CB"/>
    <w:rsid w:val="00177499"/>
    <w:rsid w:val="00181742"/>
    <w:rsid w:val="00181957"/>
    <w:rsid w:val="001837D9"/>
    <w:rsid w:val="00185EDF"/>
    <w:rsid w:val="00186755"/>
    <w:rsid w:val="00186C03"/>
    <w:rsid w:val="00191FA2"/>
    <w:rsid w:val="0019213E"/>
    <w:rsid w:val="0019473C"/>
    <w:rsid w:val="00197A5E"/>
    <w:rsid w:val="00197A8B"/>
    <w:rsid w:val="001A178C"/>
    <w:rsid w:val="001A564E"/>
    <w:rsid w:val="001A7F26"/>
    <w:rsid w:val="001B046D"/>
    <w:rsid w:val="001B0CC1"/>
    <w:rsid w:val="001B335D"/>
    <w:rsid w:val="001B37B1"/>
    <w:rsid w:val="001B46B8"/>
    <w:rsid w:val="001B5692"/>
    <w:rsid w:val="001B5DD3"/>
    <w:rsid w:val="001C1664"/>
    <w:rsid w:val="001C2BFC"/>
    <w:rsid w:val="001C4273"/>
    <w:rsid w:val="001C6D2C"/>
    <w:rsid w:val="001D09CE"/>
    <w:rsid w:val="001D0F9A"/>
    <w:rsid w:val="001D553E"/>
    <w:rsid w:val="001D6988"/>
    <w:rsid w:val="001E0AF0"/>
    <w:rsid w:val="001E0C49"/>
    <w:rsid w:val="001E1DA6"/>
    <w:rsid w:val="001E3B0F"/>
    <w:rsid w:val="001E4F86"/>
    <w:rsid w:val="001E6C20"/>
    <w:rsid w:val="001F0731"/>
    <w:rsid w:val="001F2651"/>
    <w:rsid w:val="001F2D74"/>
    <w:rsid w:val="001F35BF"/>
    <w:rsid w:val="001F413B"/>
    <w:rsid w:val="001F4A4D"/>
    <w:rsid w:val="001F6B28"/>
    <w:rsid w:val="001F7118"/>
    <w:rsid w:val="00201A8F"/>
    <w:rsid w:val="002026B9"/>
    <w:rsid w:val="0020284F"/>
    <w:rsid w:val="00203934"/>
    <w:rsid w:val="002041F1"/>
    <w:rsid w:val="00204AB6"/>
    <w:rsid w:val="00205759"/>
    <w:rsid w:val="00206044"/>
    <w:rsid w:val="00206B05"/>
    <w:rsid w:val="002129F7"/>
    <w:rsid w:val="00216136"/>
    <w:rsid w:val="00216E57"/>
    <w:rsid w:val="00217008"/>
    <w:rsid w:val="002173EB"/>
    <w:rsid w:val="002244D8"/>
    <w:rsid w:val="002255B1"/>
    <w:rsid w:val="00230CE5"/>
    <w:rsid w:val="00236FAF"/>
    <w:rsid w:val="002412F4"/>
    <w:rsid w:val="00241F14"/>
    <w:rsid w:val="002431A3"/>
    <w:rsid w:val="0024430D"/>
    <w:rsid w:val="0024480B"/>
    <w:rsid w:val="00245598"/>
    <w:rsid w:val="00246466"/>
    <w:rsid w:val="002470AC"/>
    <w:rsid w:val="002470EE"/>
    <w:rsid w:val="00247F92"/>
    <w:rsid w:val="002507D1"/>
    <w:rsid w:val="0025097F"/>
    <w:rsid w:val="00250E3A"/>
    <w:rsid w:val="00251B37"/>
    <w:rsid w:val="00254DF5"/>
    <w:rsid w:val="00257F0F"/>
    <w:rsid w:val="00260D82"/>
    <w:rsid w:val="002610BC"/>
    <w:rsid w:val="00263523"/>
    <w:rsid w:val="002643DB"/>
    <w:rsid w:val="00264B21"/>
    <w:rsid w:val="00265142"/>
    <w:rsid w:val="0026583F"/>
    <w:rsid w:val="0026700C"/>
    <w:rsid w:val="002715B6"/>
    <w:rsid w:val="002727E0"/>
    <w:rsid w:val="00272CFC"/>
    <w:rsid w:val="002779FE"/>
    <w:rsid w:val="00281238"/>
    <w:rsid w:val="00284789"/>
    <w:rsid w:val="0028528E"/>
    <w:rsid w:val="002852CA"/>
    <w:rsid w:val="00290C39"/>
    <w:rsid w:val="002923D0"/>
    <w:rsid w:val="00293588"/>
    <w:rsid w:val="0029618D"/>
    <w:rsid w:val="002A1342"/>
    <w:rsid w:val="002A4670"/>
    <w:rsid w:val="002A5B9F"/>
    <w:rsid w:val="002A77D8"/>
    <w:rsid w:val="002B0ABF"/>
    <w:rsid w:val="002B0FE2"/>
    <w:rsid w:val="002B13DD"/>
    <w:rsid w:val="002B170F"/>
    <w:rsid w:val="002B7F7E"/>
    <w:rsid w:val="002C01C7"/>
    <w:rsid w:val="002C0240"/>
    <w:rsid w:val="002C0587"/>
    <w:rsid w:val="002C0F38"/>
    <w:rsid w:val="002C2C5C"/>
    <w:rsid w:val="002C2ED0"/>
    <w:rsid w:val="002C320C"/>
    <w:rsid w:val="002C330A"/>
    <w:rsid w:val="002C3A5F"/>
    <w:rsid w:val="002C3D57"/>
    <w:rsid w:val="002C434F"/>
    <w:rsid w:val="002D3709"/>
    <w:rsid w:val="002D45A7"/>
    <w:rsid w:val="002D5352"/>
    <w:rsid w:val="002D57AA"/>
    <w:rsid w:val="002D6B05"/>
    <w:rsid w:val="002E2667"/>
    <w:rsid w:val="002E3DAD"/>
    <w:rsid w:val="002E6635"/>
    <w:rsid w:val="002E6C41"/>
    <w:rsid w:val="002E726B"/>
    <w:rsid w:val="002E7356"/>
    <w:rsid w:val="002F15DE"/>
    <w:rsid w:val="002F1C46"/>
    <w:rsid w:val="002F4CD8"/>
    <w:rsid w:val="002F5230"/>
    <w:rsid w:val="002F5558"/>
    <w:rsid w:val="002F689E"/>
    <w:rsid w:val="002F734B"/>
    <w:rsid w:val="002F7533"/>
    <w:rsid w:val="002F7CD6"/>
    <w:rsid w:val="002F7F0E"/>
    <w:rsid w:val="00303535"/>
    <w:rsid w:val="003035E8"/>
    <w:rsid w:val="00304327"/>
    <w:rsid w:val="00304C8D"/>
    <w:rsid w:val="00305442"/>
    <w:rsid w:val="00305A2A"/>
    <w:rsid w:val="00305D8C"/>
    <w:rsid w:val="0030739C"/>
    <w:rsid w:val="00311DD5"/>
    <w:rsid w:val="003127B6"/>
    <w:rsid w:val="00313464"/>
    <w:rsid w:val="003157ED"/>
    <w:rsid w:val="003158EA"/>
    <w:rsid w:val="00315A14"/>
    <w:rsid w:val="00316A0B"/>
    <w:rsid w:val="00320387"/>
    <w:rsid w:val="00320898"/>
    <w:rsid w:val="00321275"/>
    <w:rsid w:val="00321DDB"/>
    <w:rsid w:val="00323FC4"/>
    <w:rsid w:val="00324220"/>
    <w:rsid w:val="00324500"/>
    <w:rsid w:val="003263AD"/>
    <w:rsid w:val="003306B9"/>
    <w:rsid w:val="00330FEF"/>
    <w:rsid w:val="00331E00"/>
    <w:rsid w:val="0033311A"/>
    <w:rsid w:val="0033337D"/>
    <w:rsid w:val="00335E44"/>
    <w:rsid w:val="003365DD"/>
    <w:rsid w:val="00336C4A"/>
    <w:rsid w:val="003376A3"/>
    <w:rsid w:val="0034076C"/>
    <w:rsid w:val="00340A51"/>
    <w:rsid w:val="00341B62"/>
    <w:rsid w:val="00341FF1"/>
    <w:rsid w:val="00342A70"/>
    <w:rsid w:val="00343582"/>
    <w:rsid w:val="0034507F"/>
    <w:rsid w:val="00347B79"/>
    <w:rsid w:val="00351517"/>
    <w:rsid w:val="00351D68"/>
    <w:rsid w:val="003521BC"/>
    <w:rsid w:val="00353F18"/>
    <w:rsid w:val="003549C4"/>
    <w:rsid w:val="00356D94"/>
    <w:rsid w:val="0035795E"/>
    <w:rsid w:val="00361346"/>
    <w:rsid w:val="00361693"/>
    <w:rsid w:val="00362DAB"/>
    <w:rsid w:val="00363872"/>
    <w:rsid w:val="00364B09"/>
    <w:rsid w:val="00367054"/>
    <w:rsid w:val="00370158"/>
    <w:rsid w:val="00370224"/>
    <w:rsid w:val="00373921"/>
    <w:rsid w:val="00373CAC"/>
    <w:rsid w:val="00374426"/>
    <w:rsid w:val="00377213"/>
    <w:rsid w:val="0038108D"/>
    <w:rsid w:val="003818ED"/>
    <w:rsid w:val="00383D48"/>
    <w:rsid w:val="00383FA7"/>
    <w:rsid w:val="003842F5"/>
    <w:rsid w:val="0038467B"/>
    <w:rsid w:val="003862CD"/>
    <w:rsid w:val="003967C3"/>
    <w:rsid w:val="003A55B7"/>
    <w:rsid w:val="003A5714"/>
    <w:rsid w:val="003A576E"/>
    <w:rsid w:val="003A67B0"/>
    <w:rsid w:val="003A680E"/>
    <w:rsid w:val="003B1778"/>
    <w:rsid w:val="003B3CD4"/>
    <w:rsid w:val="003B5EB5"/>
    <w:rsid w:val="003C0D52"/>
    <w:rsid w:val="003C0F11"/>
    <w:rsid w:val="003C41E7"/>
    <w:rsid w:val="003C4CCD"/>
    <w:rsid w:val="003C5D54"/>
    <w:rsid w:val="003C6E21"/>
    <w:rsid w:val="003D0D59"/>
    <w:rsid w:val="003D47CF"/>
    <w:rsid w:val="003D6125"/>
    <w:rsid w:val="003E083A"/>
    <w:rsid w:val="003E2B98"/>
    <w:rsid w:val="003E364B"/>
    <w:rsid w:val="003E4F70"/>
    <w:rsid w:val="003E764C"/>
    <w:rsid w:val="003E7FB0"/>
    <w:rsid w:val="003F3227"/>
    <w:rsid w:val="003F3A1A"/>
    <w:rsid w:val="003F42FF"/>
    <w:rsid w:val="003F4795"/>
    <w:rsid w:val="003F5A97"/>
    <w:rsid w:val="003F6330"/>
    <w:rsid w:val="003F6CBC"/>
    <w:rsid w:val="00403A8F"/>
    <w:rsid w:val="00404320"/>
    <w:rsid w:val="00404FD0"/>
    <w:rsid w:val="00405EC9"/>
    <w:rsid w:val="004063A4"/>
    <w:rsid w:val="0040730C"/>
    <w:rsid w:val="00407F0D"/>
    <w:rsid w:val="00412DF6"/>
    <w:rsid w:val="00414B22"/>
    <w:rsid w:val="00414C9C"/>
    <w:rsid w:val="00414D08"/>
    <w:rsid w:val="00415C1D"/>
    <w:rsid w:val="00415E78"/>
    <w:rsid w:val="004177A6"/>
    <w:rsid w:val="004243D1"/>
    <w:rsid w:val="004304C5"/>
    <w:rsid w:val="00430677"/>
    <w:rsid w:val="00430897"/>
    <w:rsid w:val="0043188B"/>
    <w:rsid w:val="004320CB"/>
    <w:rsid w:val="004352E9"/>
    <w:rsid w:val="00435564"/>
    <w:rsid w:val="00436E35"/>
    <w:rsid w:val="00442C9D"/>
    <w:rsid w:val="00443154"/>
    <w:rsid w:val="00443DFA"/>
    <w:rsid w:val="00444E9A"/>
    <w:rsid w:val="00445127"/>
    <w:rsid w:val="004451E9"/>
    <w:rsid w:val="00450A43"/>
    <w:rsid w:val="004510F6"/>
    <w:rsid w:val="00452BB0"/>
    <w:rsid w:val="0045317D"/>
    <w:rsid w:val="00457E41"/>
    <w:rsid w:val="00460E61"/>
    <w:rsid w:val="00461D85"/>
    <w:rsid w:val="0046278C"/>
    <w:rsid w:val="00462E3F"/>
    <w:rsid w:val="00464F10"/>
    <w:rsid w:val="0046586A"/>
    <w:rsid w:val="0047150B"/>
    <w:rsid w:val="0047229F"/>
    <w:rsid w:val="00476A88"/>
    <w:rsid w:val="00480546"/>
    <w:rsid w:val="0048070A"/>
    <w:rsid w:val="00481609"/>
    <w:rsid w:val="00482B91"/>
    <w:rsid w:val="00486042"/>
    <w:rsid w:val="004877E8"/>
    <w:rsid w:val="00487B03"/>
    <w:rsid w:val="00487CF5"/>
    <w:rsid w:val="00490451"/>
    <w:rsid w:val="00491BF9"/>
    <w:rsid w:val="00491D2A"/>
    <w:rsid w:val="0049248A"/>
    <w:rsid w:val="00492A2E"/>
    <w:rsid w:val="00493F14"/>
    <w:rsid w:val="00495761"/>
    <w:rsid w:val="00497C31"/>
    <w:rsid w:val="004A0115"/>
    <w:rsid w:val="004A0191"/>
    <w:rsid w:val="004A082D"/>
    <w:rsid w:val="004A2B9F"/>
    <w:rsid w:val="004A5A0C"/>
    <w:rsid w:val="004B2E6C"/>
    <w:rsid w:val="004B3878"/>
    <w:rsid w:val="004B52AC"/>
    <w:rsid w:val="004B5C44"/>
    <w:rsid w:val="004C1A1E"/>
    <w:rsid w:val="004C4606"/>
    <w:rsid w:val="004C4D58"/>
    <w:rsid w:val="004C5616"/>
    <w:rsid w:val="004C6368"/>
    <w:rsid w:val="004C6575"/>
    <w:rsid w:val="004C71B5"/>
    <w:rsid w:val="004C765F"/>
    <w:rsid w:val="004C7C65"/>
    <w:rsid w:val="004D15F5"/>
    <w:rsid w:val="004D193D"/>
    <w:rsid w:val="004D1D1B"/>
    <w:rsid w:val="004D1E7A"/>
    <w:rsid w:val="004D46AB"/>
    <w:rsid w:val="004D5113"/>
    <w:rsid w:val="004D7DEB"/>
    <w:rsid w:val="004E1701"/>
    <w:rsid w:val="004E38DA"/>
    <w:rsid w:val="004E419D"/>
    <w:rsid w:val="004E64DE"/>
    <w:rsid w:val="004F4468"/>
    <w:rsid w:val="004F5F8B"/>
    <w:rsid w:val="005018CA"/>
    <w:rsid w:val="00502106"/>
    <w:rsid w:val="005023B4"/>
    <w:rsid w:val="00503555"/>
    <w:rsid w:val="005058DC"/>
    <w:rsid w:val="00506438"/>
    <w:rsid w:val="00506F68"/>
    <w:rsid w:val="00510684"/>
    <w:rsid w:val="005107C6"/>
    <w:rsid w:val="005138C0"/>
    <w:rsid w:val="005146E7"/>
    <w:rsid w:val="0051571A"/>
    <w:rsid w:val="0052119D"/>
    <w:rsid w:val="00521389"/>
    <w:rsid w:val="0052402B"/>
    <w:rsid w:val="0052445C"/>
    <w:rsid w:val="00525074"/>
    <w:rsid w:val="0052593C"/>
    <w:rsid w:val="00526690"/>
    <w:rsid w:val="00526A61"/>
    <w:rsid w:val="0053032C"/>
    <w:rsid w:val="005304C4"/>
    <w:rsid w:val="00531206"/>
    <w:rsid w:val="00531576"/>
    <w:rsid w:val="00532508"/>
    <w:rsid w:val="00536CB8"/>
    <w:rsid w:val="00537546"/>
    <w:rsid w:val="00540498"/>
    <w:rsid w:val="00541D48"/>
    <w:rsid w:val="00541FC9"/>
    <w:rsid w:val="00542EAA"/>
    <w:rsid w:val="005436F1"/>
    <w:rsid w:val="00543E5A"/>
    <w:rsid w:val="00543FA7"/>
    <w:rsid w:val="005451AA"/>
    <w:rsid w:val="00545E45"/>
    <w:rsid w:val="00547332"/>
    <w:rsid w:val="00552766"/>
    <w:rsid w:val="00553527"/>
    <w:rsid w:val="00554428"/>
    <w:rsid w:val="00554C7A"/>
    <w:rsid w:val="00560271"/>
    <w:rsid w:val="005605BF"/>
    <w:rsid w:val="00561276"/>
    <w:rsid w:val="0056254F"/>
    <w:rsid w:val="00563DB6"/>
    <w:rsid w:val="005654DF"/>
    <w:rsid w:val="005664E5"/>
    <w:rsid w:val="0057046A"/>
    <w:rsid w:val="00571738"/>
    <w:rsid w:val="00571900"/>
    <w:rsid w:val="00571CF3"/>
    <w:rsid w:val="005734B6"/>
    <w:rsid w:val="005739C1"/>
    <w:rsid w:val="00574145"/>
    <w:rsid w:val="00583340"/>
    <w:rsid w:val="005867E5"/>
    <w:rsid w:val="00586AF6"/>
    <w:rsid w:val="00587CA9"/>
    <w:rsid w:val="0059068C"/>
    <w:rsid w:val="00592D52"/>
    <w:rsid w:val="00594AA2"/>
    <w:rsid w:val="00595782"/>
    <w:rsid w:val="0059594F"/>
    <w:rsid w:val="00595E6D"/>
    <w:rsid w:val="005A0F37"/>
    <w:rsid w:val="005A4154"/>
    <w:rsid w:val="005A45A1"/>
    <w:rsid w:val="005B0C52"/>
    <w:rsid w:val="005B0EB6"/>
    <w:rsid w:val="005B1509"/>
    <w:rsid w:val="005B159E"/>
    <w:rsid w:val="005B4EF3"/>
    <w:rsid w:val="005B7388"/>
    <w:rsid w:val="005B7E69"/>
    <w:rsid w:val="005C08DB"/>
    <w:rsid w:val="005C1BA0"/>
    <w:rsid w:val="005C3E9F"/>
    <w:rsid w:val="005C438B"/>
    <w:rsid w:val="005C4DBD"/>
    <w:rsid w:val="005C584F"/>
    <w:rsid w:val="005C5E19"/>
    <w:rsid w:val="005C6BA8"/>
    <w:rsid w:val="005C784D"/>
    <w:rsid w:val="005D1294"/>
    <w:rsid w:val="005D15CE"/>
    <w:rsid w:val="005D229A"/>
    <w:rsid w:val="005D4ED1"/>
    <w:rsid w:val="005D5D65"/>
    <w:rsid w:val="005D61C3"/>
    <w:rsid w:val="005D6E3A"/>
    <w:rsid w:val="005D770C"/>
    <w:rsid w:val="005E0305"/>
    <w:rsid w:val="005E2198"/>
    <w:rsid w:val="005E21AF"/>
    <w:rsid w:val="005E2793"/>
    <w:rsid w:val="005E2C11"/>
    <w:rsid w:val="005E3DC0"/>
    <w:rsid w:val="005E4B87"/>
    <w:rsid w:val="005E6923"/>
    <w:rsid w:val="005F1201"/>
    <w:rsid w:val="005F3C6A"/>
    <w:rsid w:val="005F4745"/>
    <w:rsid w:val="005F4F9B"/>
    <w:rsid w:val="005F6974"/>
    <w:rsid w:val="005F720D"/>
    <w:rsid w:val="005F73D0"/>
    <w:rsid w:val="005F74BA"/>
    <w:rsid w:val="005F7D3A"/>
    <w:rsid w:val="006023F7"/>
    <w:rsid w:val="00604E5D"/>
    <w:rsid w:val="006055C8"/>
    <w:rsid w:val="00611C63"/>
    <w:rsid w:val="006127A6"/>
    <w:rsid w:val="006132F3"/>
    <w:rsid w:val="00614C23"/>
    <w:rsid w:val="006201B4"/>
    <w:rsid w:val="006208B4"/>
    <w:rsid w:val="00621634"/>
    <w:rsid w:val="00623062"/>
    <w:rsid w:val="00623DF0"/>
    <w:rsid w:val="0062409A"/>
    <w:rsid w:val="006271E0"/>
    <w:rsid w:val="00627409"/>
    <w:rsid w:val="00630306"/>
    <w:rsid w:val="00630F83"/>
    <w:rsid w:val="0063399D"/>
    <w:rsid w:val="006356F2"/>
    <w:rsid w:val="006402E5"/>
    <w:rsid w:val="00641A5D"/>
    <w:rsid w:val="00641B62"/>
    <w:rsid w:val="00641F78"/>
    <w:rsid w:val="00642A4F"/>
    <w:rsid w:val="00642AB7"/>
    <w:rsid w:val="00644419"/>
    <w:rsid w:val="00645661"/>
    <w:rsid w:val="00646862"/>
    <w:rsid w:val="00646A7B"/>
    <w:rsid w:val="0064722F"/>
    <w:rsid w:val="00647EAE"/>
    <w:rsid w:val="00651435"/>
    <w:rsid w:val="00652A32"/>
    <w:rsid w:val="006531EB"/>
    <w:rsid w:val="006548E0"/>
    <w:rsid w:val="00656B1F"/>
    <w:rsid w:val="00660973"/>
    <w:rsid w:val="0066124C"/>
    <w:rsid w:val="006630EB"/>
    <w:rsid w:val="006631C6"/>
    <w:rsid w:val="00663CDD"/>
    <w:rsid w:val="00664F5A"/>
    <w:rsid w:val="0066506F"/>
    <w:rsid w:val="00666AA8"/>
    <w:rsid w:val="0066700F"/>
    <w:rsid w:val="006705F5"/>
    <w:rsid w:val="00671C64"/>
    <w:rsid w:val="006731E0"/>
    <w:rsid w:val="00673C54"/>
    <w:rsid w:val="00674D58"/>
    <w:rsid w:val="00675348"/>
    <w:rsid w:val="00675969"/>
    <w:rsid w:val="00675C1E"/>
    <w:rsid w:val="00677B61"/>
    <w:rsid w:val="00677CE6"/>
    <w:rsid w:val="00681195"/>
    <w:rsid w:val="00681935"/>
    <w:rsid w:val="00682A53"/>
    <w:rsid w:val="00682D03"/>
    <w:rsid w:val="00683262"/>
    <w:rsid w:val="00683B4F"/>
    <w:rsid w:val="00684338"/>
    <w:rsid w:val="00685949"/>
    <w:rsid w:val="0068750B"/>
    <w:rsid w:val="00687F07"/>
    <w:rsid w:val="00690509"/>
    <w:rsid w:val="00690819"/>
    <w:rsid w:val="0069285D"/>
    <w:rsid w:val="00693153"/>
    <w:rsid w:val="006932B6"/>
    <w:rsid w:val="006938B7"/>
    <w:rsid w:val="00693C29"/>
    <w:rsid w:val="006A2844"/>
    <w:rsid w:val="006A37C2"/>
    <w:rsid w:val="006A5587"/>
    <w:rsid w:val="006A66B5"/>
    <w:rsid w:val="006A699B"/>
    <w:rsid w:val="006B4EA1"/>
    <w:rsid w:val="006C09D0"/>
    <w:rsid w:val="006C2F3E"/>
    <w:rsid w:val="006C5227"/>
    <w:rsid w:val="006C5676"/>
    <w:rsid w:val="006C5D4A"/>
    <w:rsid w:val="006C6BF2"/>
    <w:rsid w:val="006D0591"/>
    <w:rsid w:val="006D0E3E"/>
    <w:rsid w:val="006D2A09"/>
    <w:rsid w:val="006D3604"/>
    <w:rsid w:val="006D3B28"/>
    <w:rsid w:val="006D5AFD"/>
    <w:rsid w:val="006D6A28"/>
    <w:rsid w:val="006E0433"/>
    <w:rsid w:val="006E0936"/>
    <w:rsid w:val="006E1F2D"/>
    <w:rsid w:val="006E26D6"/>
    <w:rsid w:val="006E51DA"/>
    <w:rsid w:val="006E5733"/>
    <w:rsid w:val="006E5FCF"/>
    <w:rsid w:val="006E72C6"/>
    <w:rsid w:val="006F0A30"/>
    <w:rsid w:val="006F1914"/>
    <w:rsid w:val="006F194A"/>
    <w:rsid w:val="006F2AE5"/>
    <w:rsid w:val="006F3FBD"/>
    <w:rsid w:val="006F696B"/>
    <w:rsid w:val="006F7132"/>
    <w:rsid w:val="007008A5"/>
    <w:rsid w:val="00700C03"/>
    <w:rsid w:val="00701791"/>
    <w:rsid w:val="00702EB9"/>
    <w:rsid w:val="007039D5"/>
    <w:rsid w:val="00705717"/>
    <w:rsid w:val="00705C9D"/>
    <w:rsid w:val="00707423"/>
    <w:rsid w:val="007077D2"/>
    <w:rsid w:val="00707EAB"/>
    <w:rsid w:val="00710972"/>
    <w:rsid w:val="00710CEF"/>
    <w:rsid w:val="00711AAD"/>
    <w:rsid w:val="00711C1C"/>
    <w:rsid w:val="007120CD"/>
    <w:rsid w:val="00712DB6"/>
    <w:rsid w:val="00712EC6"/>
    <w:rsid w:val="007153D7"/>
    <w:rsid w:val="00717D36"/>
    <w:rsid w:val="00720240"/>
    <w:rsid w:val="00724B82"/>
    <w:rsid w:val="00725904"/>
    <w:rsid w:val="007275F7"/>
    <w:rsid w:val="007277C1"/>
    <w:rsid w:val="0073123A"/>
    <w:rsid w:val="007313C9"/>
    <w:rsid w:val="007320B5"/>
    <w:rsid w:val="00733EDF"/>
    <w:rsid w:val="00734757"/>
    <w:rsid w:val="00734FAD"/>
    <w:rsid w:val="007360C0"/>
    <w:rsid w:val="00736DF0"/>
    <w:rsid w:val="0073713E"/>
    <w:rsid w:val="007374F5"/>
    <w:rsid w:val="00741F74"/>
    <w:rsid w:val="0074291D"/>
    <w:rsid w:val="0074338B"/>
    <w:rsid w:val="00744548"/>
    <w:rsid w:val="007452A7"/>
    <w:rsid w:val="00745F57"/>
    <w:rsid w:val="00747BCC"/>
    <w:rsid w:val="00751C72"/>
    <w:rsid w:val="007623B4"/>
    <w:rsid w:val="00763AA8"/>
    <w:rsid w:val="00764A12"/>
    <w:rsid w:val="00767342"/>
    <w:rsid w:val="00767CD9"/>
    <w:rsid w:val="00767D6C"/>
    <w:rsid w:val="00773F85"/>
    <w:rsid w:val="007747C6"/>
    <w:rsid w:val="00774DA5"/>
    <w:rsid w:val="00776B3E"/>
    <w:rsid w:val="007778C4"/>
    <w:rsid w:val="00780943"/>
    <w:rsid w:val="0078240D"/>
    <w:rsid w:val="0078465B"/>
    <w:rsid w:val="00784EAC"/>
    <w:rsid w:val="00787A9F"/>
    <w:rsid w:val="00790C6D"/>
    <w:rsid w:val="007911A0"/>
    <w:rsid w:val="007917D8"/>
    <w:rsid w:val="00793AEA"/>
    <w:rsid w:val="00794D99"/>
    <w:rsid w:val="0079555E"/>
    <w:rsid w:val="00797E3E"/>
    <w:rsid w:val="007A0A54"/>
    <w:rsid w:val="007B1435"/>
    <w:rsid w:val="007B2144"/>
    <w:rsid w:val="007B3408"/>
    <w:rsid w:val="007B395B"/>
    <w:rsid w:val="007B523B"/>
    <w:rsid w:val="007B79C6"/>
    <w:rsid w:val="007C4475"/>
    <w:rsid w:val="007C4C46"/>
    <w:rsid w:val="007C52C0"/>
    <w:rsid w:val="007C560D"/>
    <w:rsid w:val="007C5D4E"/>
    <w:rsid w:val="007C65D9"/>
    <w:rsid w:val="007D1273"/>
    <w:rsid w:val="007D2121"/>
    <w:rsid w:val="007D2577"/>
    <w:rsid w:val="007D2BA9"/>
    <w:rsid w:val="007D4EB5"/>
    <w:rsid w:val="007D4EF7"/>
    <w:rsid w:val="007D5344"/>
    <w:rsid w:val="007D54B3"/>
    <w:rsid w:val="007D55CA"/>
    <w:rsid w:val="007D6217"/>
    <w:rsid w:val="007D640F"/>
    <w:rsid w:val="007D661F"/>
    <w:rsid w:val="007E15F4"/>
    <w:rsid w:val="007E2592"/>
    <w:rsid w:val="007E5942"/>
    <w:rsid w:val="007E6AF5"/>
    <w:rsid w:val="007E6EA3"/>
    <w:rsid w:val="007F27B2"/>
    <w:rsid w:val="007F2C50"/>
    <w:rsid w:val="007F4A2D"/>
    <w:rsid w:val="007F4CB5"/>
    <w:rsid w:val="007F6385"/>
    <w:rsid w:val="007F67C1"/>
    <w:rsid w:val="00801299"/>
    <w:rsid w:val="00805B55"/>
    <w:rsid w:val="00807830"/>
    <w:rsid w:val="00811414"/>
    <w:rsid w:val="00813956"/>
    <w:rsid w:val="008145FD"/>
    <w:rsid w:val="00816365"/>
    <w:rsid w:val="00820100"/>
    <w:rsid w:val="00823209"/>
    <w:rsid w:val="00826036"/>
    <w:rsid w:val="00826128"/>
    <w:rsid w:val="008268F5"/>
    <w:rsid w:val="00826BC4"/>
    <w:rsid w:val="00827818"/>
    <w:rsid w:val="00830823"/>
    <w:rsid w:val="00831091"/>
    <w:rsid w:val="00832433"/>
    <w:rsid w:val="0083255F"/>
    <w:rsid w:val="00832813"/>
    <w:rsid w:val="008333CE"/>
    <w:rsid w:val="00833E7F"/>
    <w:rsid w:val="00837FD5"/>
    <w:rsid w:val="00842B37"/>
    <w:rsid w:val="008506BC"/>
    <w:rsid w:val="00850A2E"/>
    <w:rsid w:val="00850C1E"/>
    <w:rsid w:val="00851323"/>
    <w:rsid w:val="00851ED0"/>
    <w:rsid w:val="00852144"/>
    <w:rsid w:val="008524E9"/>
    <w:rsid w:val="00855B64"/>
    <w:rsid w:val="00855C15"/>
    <w:rsid w:val="00855F37"/>
    <w:rsid w:val="00855FFC"/>
    <w:rsid w:val="0086168B"/>
    <w:rsid w:val="00861B3B"/>
    <w:rsid w:val="00862497"/>
    <w:rsid w:val="00862795"/>
    <w:rsid w:val="00864FCB"/>
    <w:rsid w:val="008651B1"/>
    <w:rsid w:val="0087269F"/>
    <w:rsid w:val="0087284E"/>
    <w:rsid w:val="00873719"/>
    <w:rsid w:val="00881821"/>
    <w:rsid w:val="008829D1"/>
    <w:rsid w:val="00882ECE"/>
    <w:rsid w:val="008838FF"/>
    <w:rsid w:val="00885B1C"/>
    <w:rsid w:val="008874FC"/>
    <w:rsid w:val="00894EC5"/>
    <w:rsid w:val="00896CBF"/>
    <w:rsid w:val="008A0B02"/>
    <w:rsid w:val="008A0D6D"/>
    <w:rsid w:val="008A2EF5"/>
    <w:rsid w:val="008A6758"/>
    <w:rsid w:val="008A7055"/>
    <w:rsid w:val="008A73E5"/>
    <w:rsid w:val="008A76C8"/>
    <w:rsid w:val="008B027D"/>
    <w:rsid w:val="008B192B"/>
    <w:rsid w:val="008B3763"/>
    <w:rsid w:val="008B3BBF"/>
    <w:rsid w:val="008B3E43"/>
    <w:rsid w:val="008B70C3"/>
    <w:rsid w:val="008B7292"/>
    <w:rsid w:val="008B7431"/>
    <w:rsid w:val="008B769C"/>
    <w:rsid w:val="008B7824"/>
    <w:rsid w:val="008C00D6"/>
    <w:rsid w:val="008C0EA4"/>
    <w:rsid w:val="008C181B"/>
    <w:rsid w:val="008C31B4"/>
    <w:rsid w:val="008C38A8"/>
    <w:rsid w:val="008C3DF8"/>
    <w:rsid w:val="008C56D5"/>
    <w:rsid w:val="008C5C70"/>
    <w:rsid w:val="008D0AEE"/>
    <w:rsid w:val="008D2290"/>
    <w:rsid w:val="008D2F62"/>
    <w:rsid w:val="008D376F"/>
    <w:rsid w:val="008D38A2"/>
    <w:rsid w:val="008D5683"/>
    <w:rsid w:val="008D595F"/>
    <w:rsid w:val="008D59E3"/>
    <w:rsid w:val="008D60ED"/>
    <w:rsid w:val="008E1C64"/>
    <w:rsid w:val="008E2883"/>
    <w:rsid w:val="008E5115"/>
    <w:rsid w:val="008F1805"/>
    <w:rsid w:val="008F2C4A"/>
    <w:rsid w:val="008F361B"/>
    <w:rsid w:val="008F44FF"/>
    <w:rsid w:val="008F5789"/>
    <w:rsid w:val="008F5CFB"/>
    <w:rsid w:val="008F5F95"/>
    <w:rsid w:val="008F7604"/>
    <w:rsid w:val="0090221F"/>
    <w:rsid w:val="00902695"/>
    <w:rsid w:val="00902F0B"/>
    <w:rsid w:val="00903CDF"/>
    <w:rsid w:val="009045E7"/>
    <w:rsid w:val="00905573"/>
    <w:rsid w:val="009056DB"/>
    <w:rsid w:val="0091128B"/>
    <w:rsid w:val="00911BE3"/>
    <w:rsid w:val="00912800"/>
    <w:rsid w:val="00913136"/>
    <w:rsid w:val="00914E3F"/>
    <w:rsid w:val="00916754"/>
    <w:rsid w:val="0091687B"/>
    <w:rsid w:val="00917871"/>
    <w:rsid w:val="0092003D"/>
    <w:rsid w:val="00920611"/>
    <w:rsid w:val="00920D55"/>
    <w:rsid w:val="00922A19"/>
    <w:rsid w:val="00923097"/>
    <w:rsid w:val="0092732C"/>
    <w:rsid w:val="0092757E"/>
    <w:rsid w:val="009278C3"/>
    <w:rsid w:val="0093571D"/>
    <w:rsid w:val="00936CDE"/>
    <w:rsid w:val="0094535F"/>
    <w:rsid w:val="0094671C"/>
    <w:rsid w:val="00947FDD"/>
    <w:rsid w:val="00950989"/>
    <w:rsid w:val="00952512"/>
    <w:rsid w:val="00952702"/>
    <w:rsid w:val="0095480E"/>
    <w:rsid w:val="00956384"/>
    <w:rsid w:val="0096017D"/>
    <w:rsid w:val="00960824"/>
    <w:rsid w:val="00964F0F"/>
    <w:rsid w:val="009653F2"/>
    <w:rsid w:val="0097031D"/>
    <w:rsid w:val="00970398"/>
    <w:rsid w:val="0097247C"/>
    <w:rsid w:val="00973795"/>
    <w:rsid w:val="0097429B"/>
    <w:rsid w:val="00974C68"/>
    <w:rsid w:val="0097632B"/>
    <w:rsid w:val="00977DFE"/>
    <w:rsid w:val="009800C5"/>
    <w:rsid w:val="009804F0"/>
    <w:rsid w:val="00980AD4"/>
    <w:rsid w:val="0098139D"/>
    <w:rsid w:val="00981FEF"/>
    <w:rsid w:val="009844AD"/>
    <w:rsid w:val="009848F9"/>
    <w:rsid w:val="009856DA"/>
    <w:rsid w:val="00986ADD"/>
    <w:rsid w:val="00990B4C"/>
    <w:rsid w:val="00993598"/>
    <w:rsid w:val="00994843"/>
    <w:rsid w:val="009949DC"/>
    <w:rsid w:val="00995895"/>
    <w:rsid w:val="009964CB"/>
    <w:rsid w:val="009A14CE"/>
    <w:rsid w:val="009A26BA"/>
    <w:rsid w:val="009A4D70"/>
    <w:rsid w:val="009A4E77"/>
    <w:rsid w:val="009A6CFD"/>
    <w:rsid w:val="009A730B"/>
    <w:rsid w:val="009A7820"/>
    <w:rsid w:val="009B4059"/>
    <w:rsid w:val="009B7646"/>
    <w:rsid w:val="009C130E"/>
    <w:rsid w:val="009C33DF"/>
    <w:rsid w:val="009C5EFE"/>
    <w:rsid w:val="009C6A9E"/>
    <w:rsid w:val="009C791C"/>
    <w:rsid w:val="009D14FD"/>
    <w:rsid w:val="009D20FB"/>
    <w:rsid w:val="009E0510"/>
    <w:rsid w:val="009E0628"/>
    <w:rsid w:val="009E2F8A"/>
    <w:rsid w:val="009E4E7D"/>
    <w:rsid w:val="009E5A93"/>
    <w:rsid w:val="009E5AEF"/>
    <w:rsid w:val="009E6639"/>
    <w:rsid w:val="009F1862"/>
    <w:rsid w:val="009F29C1"/>
    <w:rsid w:val="009F38E5"/>
    <w:rsid w:val="009F4F6F"/>
    <w:rsid w:val="009F6D10"/>
    <w:rsid w:val="009F77A5"/>
    <w:rsid w:val="009F7A59"/>
    <w:rsid w:val="00A004BE"/>
    <w:rsid w:val="00A00701"/>
    <w:rsid w:val="00A024F4"/>
    <w:rsid w:val="00A0469F"/>
    <w:rsid w:val="00A056F8"/>
    <w:rsid w:val="00A07118"/>
    <w:rsid w:val="00A10D49"/>
    <w:rsid w:val="00A10D4A"/>
    <w:rsid w:val="00A113EB"/>
    <w:rsid w:val="00A11C62"/>
    <w:rsid w:val="00A11E60"/>
    <w:rsid w:val="00A12926"/>
    <w:rsid w:val="00A12DE9"/>
    <w:rsid w:val="00A135E3"/>
    <w:rsid w:val="00A17B68"/>
    <w:rsid w:val="00A206AE"/>
    <w:rsid w:val="00A226B3"/>
    <w:rsid w:val="00A2300E"/>
    <w:rsid w:val="00A2489B"/>
    <w:rsid w:val="00A24B61"/>
    <w:rsid w:val="00A2739A"/>
    <w:rsid w:val="00A27BBB"/>
    <w:rsid w:val="00A302CA"/>
    <w:rsid w:val="00A32CB3"/>
    <w:rsid w:val="00A332E6"/>
    <w:rsid w:val="00A3674E"/>
    <w:rsid w:val="00A40233"/>
    <w:rsid w:val="00A40DA6"/>
    <w:rsid w:val="00A4207A"/>
    <w:rsid w:val="00A42B53"/>
    <w:rsid w:val="00A44E8A"/>
    <w:rsid w:val="00A50C50"/>
    <w:rsid w:val="00A5189F"/>
    <w:rsid w:val="00A54BC3"/>
    <w:rsid w:val="00A55BFD"/>
    <w:rsid w:val="00A56ED5"/>
    <w:rsid w:val="00A5797D"/>
    <w:rsid w:val="00A62A95"/>
    <w:rsid w:val="00A653C7"/>
    <w:rsid w:val="00A65BD5"/>
    <w:rsid w:val="00A65CA3"/>
    <w:rsid w:val="00A679A5"/>
    <w:rsid w:val="00A67ED8"/>
    <w:rsid w:val="00A704F0"/>
    <w:rsid w:val="00A741D8"/>
    <w:rsid w:val="00A7665A"/>
    <w:rsid w:val="00A77CA4"/>
    <w:rsid w:val="00A80961"/>
    <w:rsid w:val="00A81903"/>
    <w:rsid w:val="00A81C9C"/>
    <w:rsid w:val="00A81F7D"/>
    <w:rsid w:val="00A82486"/>
    <w:rsid w:val="00A8375C"/>
    <w:rsid w:val="00A84B2F"/>
    <w:rsid w:val="00A85072"/>
    <w:rsid w:val="00A85321"/>
    <w:rsid w:val="00A85804"/>
    <w:rsid w:val="00A87662"/>
    <w:rsid w:val="00A879F5"/>
    <w:rsid w:val="00A902D5"/>
    <w:rsid w:val="00A90F75"/>
    <w:rsid w:val="00A91707"/>
    <w:rsid w:val="00A9336E"/>
    <w:rsid w:val="00A95021"/>
    <w:rsid w:val="00A95BAC"/>
    <w:rsid w:val="00A96C46"/>
    <w:rsid w:val="00AA0A30"/>
    <w:rsid w:val="00AA3608"/>
    <w:rsid w:val="00AA4382"/>
    <w:rsid w:val="00AA6771"/>
    <w:rsid w:val="00AA6ABC"/>
    <w:rsid w:val="00AA6C62"/>
    <w:rsid w:val="00AA7010"/>
    <w:rsid w:val="00AA7CC6"/>
    <w:rsid w:val="00AB0223"/>
    <w:rsid w:val="00AB12D3"/>
    <w:rsid w:val="00AB385D"/>
    <w:rsid w:val="00AB3B17"/>
    <w:rsid w:val="00AB5C3F"/>
    <w:rsid w:val="00AB60B3"/>
    <w:rsid w:val="00AB65E9"/>
    <w:rsid w:val="00AB771D"/>
    <w:rsid w:val="00AB790D"/>
    <w:rsid w:val="00AC1AA4"/>
    <w:rsid w:val="00AC23B4"/>
    <w:rsid w:val="00AC2C5E"/>
    <w:rsid w:val="00AC383E"/>
    <w:rsid w:val="00AC477F"/>
    <w:rsid w:val="00AC6E14"/>
    <w:rsid w:val="00AC7EA7"/>
    <w:rsid w:val="00AD1960"/>
    <w:rsid w:val="00AD1DDE"/>
    <w:rsid w:val="00AD2293"/>
    <w:rsid w:val="00AD3201"/>
    <w:rsid w:val="00AD60E0"/>
    <w:rsid w:val="00AD610D"/>
    <w:rsid w:val="00AD689E"/>
    <w:rsid w:val="00AD7DAE"/>
    <w:rsid w:val="00AE145B"/>
    <w:rsid w:val="00AE2362"/>
    <w:rsid w:val="00AE4510"/>
    <w:rsid w:val="00AE5586"/>
    <w:rsid w:val="00AE75F9"/>
    <w:rsid w:val="00AF07A0"/>
    <w:rsid w:val="00AF188D"/>
    <w:rsid w:val="00AF2B9E"/>
    <w:rsid w:val="00AF415A"/>
    <w:rsid w:val="00AF6875"/>
    <w:rsid w:val="00AF6D8C"/>
    <w:rsid w:val="00B02A06"/>
    <w:rsid w:val="00B0764A"/>
    <w:rsid w:val="00B111FD"/>
    <w:rsid w:val="00B141A9"/>
    <w:rsid w:val="00B15903"/>
    <w:rsid w:val="00B1656D"/>
    <w:rsid w:val="00B20449"/>
    <w:rsid w:val="00B21DF8"/>
    <w:rsid w:val="00B22EA4"/>
    <w:rsid w:val="00B23BB9"/>
    <w:rsid w:val="00B248B2"/>
    <w:rsid w:val="00B25786"/>
    <w:rsid w:val="00B260B3"/>
    <w:rsid w:val="00B26863"/>
    <w:rsid w:val="00B27F07"/>
    <w:rsid w:val="00B30196"/>
    <w:rsid w:val="00B30299"/>
    <w:rsid w:val="00B307FE"/>
    <w:rsid w:val="00B30E43"/>
    <w:rsid w:val="00B3211A"/>
    <w:rsid w:val="00B35DB5"/>
    <w:rsid w:val="00B40C26"/>
    <w:rsid w:val="00B40CD1"/>
    <w:rsid w:val="00B41FD0"/>
    <w:rsid w:val="00B434BE"/>
    <w:rsid w:val="00B44499"/>
    <w:rsid w:val="00B44F52"/>
    <w:rsid w:val="00B50BBB"/>
    <w:rsid w:val="00B519FF"/>
    <w:rsid w:val="00B51E93"/>
    <w:rsid w:val="00B54F7B"/>
    <w:rsid w:val="00B560F3"/>
    <w:rsid w:val="00B57037"/>
    <w:rsid w:val="00B57641"/>
    <w:rsid w:val="00B614F4"/>
    <w:rsid w:val="00B631B5"/>
    <w:rsid w:val="00B67FB7"/>
    <w:rsid w:val="00B72BDC"/>
    <w:rsid w:val="00B7391D"/>
    <w:rsid w:val="00B73BA7"/>
    <w:rsid w:val="00B75B79"/>
    <w:rsid w:val="00B7746E"/>
    <w:rsid w:val="00B81FA1"/>
    <w:rsid w:val="00B82A86"/>
    <w:rsid w:val="00B83EC4"/>
    <w:rsid w:val="00B84A54"/>
    <w:rsid w:val="00B84CBC"/>
    <w:rsid w:val="00B86192"/>
    <w:rsid w:val="00B8638A"/>
    <w:rsid w:val="00B86689"/>
    <w:rsid w:val="00B87DF1"/>
    <w:rsid w:val="00B87E2D"/>
    <w:rsid w:val="00B913CB"/>
    <w:rsid w:val="00B91516"/>
    <w:rsid w:val="00B92882"/>
    <w:rsid w:val="00B93313"/>
    <w:rsid w:val="00B94103"/>
    <w:rsid w:val="00B947A6"/>
    <w:rsid w:val="00B94922"/>
    <w:rsid w:val="00B9706F"/>
    <w:rsid w:val="00B97916"/>
    <w:rsid w:val="00BA0962"/>
    <w:rsid w:val="00BA1466"/>
    <w:rsid w:val="00BA4E08"/>
    <w:rsid w:val="00BA4FDF"/>
    <w:rsid w:val="00BA65A9"/>
    <w:rsid w:val="00BB14A9"/>
    <w:rsid w:val="00BB34DA"/>
    <w:rsid w:val="00BB7276"/>
    <w:rsid w:val="00BB7892"/>
    <w:rsid w:val="00BC12D6"/>
    <w:rsid w:val="00BC17AE"/>
    <w:rsid w:val="00BC2BAB"/>
    <w:rsid w:val="00BC2C1E"/>
    <w:rsid w:val="00BC3559"/>
    <w:rsid w:val="00BC4AC6"/>
    <w:rsid w:val="00BC5FB3"/>
    <w:rsid w:val="00BC6A9C"/>
    <w:rsid w:val="00BC7A8C"/>
    <w:rsid w:val="00BD0663"/>
    <w:rsid w:val="00BD0D2D"/>
    <w:rsid w:val="00BD1B3F"/>
    <w:rsid w:val="00BD3F06"/>
    <w:rsid w:val="00BD45E3"/>
    <w:rsid w:val="00BD626B"/>
    <w:rsid w:val="00BD67A2"/>
    <w:rsid w:val="00BD7DF9"/>
    <w:rsid w:val="00BD7E74"/>
    <w:rsid w:val="00BE1EEF"/>
    <w:rsid w:val="00BE2B09"/>
    <w:rsid w:val="00BE2BF6"/>
    <w:rsid w:val="00BE79B8"/>
    <w:rsid w:val="00BF0FB2"/>
    <w:rsid w:val="00BF166F"/>
    <w:rsid w:val="00BF1F42"/>
    <w:rsid w:val="00BF2104"/>
    <w:rsid w:val="00BF3488"/>
    <w:rsid w:val="00BF46A4"/>
    <w:rsid w:val="00BF472B"/>
    <w:rsid w:val="00BF6071"/>
    <w:rsid w:val="00BF6A94"/>
    <w:rsid w:val="00BF71FA"/>
    <w:rsid w:val="00BF74CE"/>
    <w:rsid w:val="00C0199C"/>
    <w:rsid w:val="00C0201B"/>
    <w:rsid w:val="00C0265C"/>
    <w:rsid w:val="00C03842"/>
    <w:rsid w:val="00C03EA0"/>
    <w:rsid w:val="00C05EC6"/>
    <w:rsid w:val="00C07261"/>
    <w:rsid w:val="00C11152"/>
    <w:rsid w:val="00C1159D"/>
    <w:rsid w:val="00C13C7F"/>
    <w:rsid w:val="00C1734D"/>
    <w:rsid w:val="00C21C28"/>
    <w:rsid w:val="00C27195"/>
    <w:rsid w:val="00C31DF5"/>
    <w:rsid w:val="00C32A94"/>
    <w:rsid w:val="00C34507"/>
    <w:rsid w:val="00C37C45"/>
    <w:rsid w:val="00C37ECC"/>
    <w:rsid w:val="00C40C6F"/>
    <w:rsid w:val="00C42148"/>
    <w:rsid w:val="00C4348E"/>
    <w:rsid w:val="00C44135"/>
    <w:rsid w:val="00C44EA2"/>
    <w:rsid w:val="00C512F3"/>
    <w:rsid w:val="00C51961"/>
    <w:rsid w:val="00C51AED"/>
    <w:rsid w:val="00C52A5B"/>
    <w:rsid w:val="00C5420F"/>
    <w:rsid w:val="00C5505C"/>
    <w:rsid w:val="00C561E1"/>
    <w:rsid w:val="00C57733"/>
    <w:rsid w:val="00C60A0E"/>
    <w:rsid w:val="00C61699"/>
    <w:rsid w:val="00C63026"/>
    <w:rsid w:val="00C630B6"/>
    <w:rsid w:val="00C647C4"/>
    <w:rsid w:val="00C648B9"/>
    <w:rsid w:val="00C65A17"/>
    <w:rsid w:val="00C671DC"/>
    <w:rsid w:val="00C672E7"/>
    <w:rsid w:val="00C7012A"/>
    <w:rsid w:val="00C722DA"/>
    <w:rsid w:val="00C72623"/>
    <w:rsid w:val="00C72797"/>
    <w:rsid w:val="00C734AE"/>
    <w:rsid w:val="00C74324"/>
    <w:rsid w:val="00C77303"/>
    <w:rsid w:val="00C824D2"/>
    <w:rsid w:val="00C852BD"/>
    <w:rsid w:val="00C85B61"/>
    <w:rsid w:val="00C8697C"/>
    <w:rsid w:val="00C87105"/>
    <w:rsid w:val="00C9061D"/>
    <w:rsid w:val="00C906A2"/>
    <w:rsid w:val="00C94EF0"/>
    <w:rsid w:val="00C9661F"/>
    <w:rsid w:val="00CA02F0"/>
    <w:rsid w:val="00CA1959"/>
    <w:rsid w:val="00CA1E08"/>
    <w:rsid w:val="00CA5BA8"/>
    <w:rsid w:val="00CA6CEF"/>
    <w:rsid w:val="00CA7125"/>
    <w:rsid w:val="00CB0160"/>
    <w:rsid w:val="00CB1BC2"/>
    <w:rsid w:val="00CB28AF"/>
    <w:rsid w:val="00CB409A"/>
    <w:rsid w:val="00CB65AE"/>
    <w:rsid w:val="00CC0864"/>
    <w:rsid w:val="00CC250A"/>
    <w:rsid w:val="00CC2BA2"/>
    <w:rsid w:val="00CC4DD3"/>
    <w:rsid w:val="00CC57CA"/>
    <w:rsid w:val="00CC5B66"/>
    <w:rsid w:val="00CC5D31"/>
    <w:rsid w:val="00CD1D31"/>
    <w:rsid w:val="00CD2AF2"/>
    <w:rsid w:val="00CD4C7E"/>
    <w:rsid w:val="00CE31B2"/>
    <w:rsid w:val="00CE3FD9"/>
    <w:rsid w:val="00CE5619"/>
    <w:rsid w:val="00CE7241"/>
    <w:rsid w:val="00CF151D"/>
    <w:rsid w:val="00CF213B"/>
    <w:rsid w:val="00CF2237"/>
    <w:rsid w:val="00CF2557"/>
    <w:rsid w:val="00CF7629"/>
    <w:rsid w:val="00CF7D5F"/>
    <w:rsid w:val="00D00006"/>
    <w:rsid w:val="00D00575"/>
    <w:rsid w:val="00D0366F"/>
    <w:rsid w:val="00D03F49"/>
    <w:rsid w:val="00D06C36"/>
    <w:rsid w:val="00D10EB8"/>
    <w:rsid w:val="00D111E8"/>
    <w:rsid w:val="00D14369"/>
    <w:rsid w:val="00D14673"/>
    <w:rsid w:val="00D16483"/>
    <w:rsid w:val="00D16F59"/>
    <w:rsid w:val="00D2094C"/>
    <w:rsid w:val="00D20DF5"/>
    <w:rsid w:val="00D2190B"/>
    <w:rsid w:val="00D21B93"/>
    <w:rsid w:val="00D22615"/>
    <w:rsid w:val="00D23A7D"/>
    <w:rsid w:val="00D2447E"/>
    <w:rsid w:val="00D26A68"/>
    <w:rsid w:val="00D30854"/>
    <w:rsid w:val="00D3113F"/>
    <w:rsid w:val="00D32902"/>
    <w:rsid w:val="00D3296B"/>
    <w:rsid w:val="00D343EC"/>
    <w:rsid w:val="00D37403"/>
    <w:rsid w:val="00D40047"/>
    <w:rsid w:val="00D465B8"/>
    <w:rsid w:val="00D50776"/>
    <w:rsid w:val="00D52E64"/>
    <w:rsid w:val="00D531ED"/>
    <w:rsid w:val="00D568BA"/>
    <w:rsid w:val="00D56B12"/>
    <w:rsid w:val="00D60193"/>
    <w:rsid w:val="00D60C55"/>
    <w:rsid w:val="00D61E25"/>
    <w:rsid w:val="00D61F18"/>
    <w:rsid w:val="00D6528D"/>
    <w:rsid w:val="00D65559"/>
    <w:rsid w:val="00D707CA"/>
    <w:rsid w:val="00D73375"/>
    <w:rsid w:val="00D742DB"/>
    <w:rsid w:val="00D81234"/>
    <w:rsid w:val="00D81707"/>
    <w:rsid w:val="00D826A5"/>
    <w:rsid w:val="00D83F6B"/>
    <w:rsid w:val="00D84064"/>
    <w:rsid w:val="00D84163"/>
    <w:rsid w:val="00D8446C"/>
    <w:rsid w:val="00D84EA6"/>
    <w:rsid w:val="00D85B56"/>
    <w:rsid w:val="00D8698E"/>
    <w:rsid w:val="00D87515"/>
    <w:rsid w:val="00D87749"/>
    <w:rsid w:val="00D93200"/>
    <w:rsid w:val="00D9457E"/>
    <w:rsid w:val="00D976A6"/>
    <w:rsid w:val="00DA07EE"/>
    <w:rsid w:val="00DA2694"/>
    <w:rsid w:val="00DA420F"/>
    <w:rsid w:val="00DA5A26"/>
    <w:rsid w:val="00DA79EB"/>
    <w:rsid w:val="00DB34D4"/>
    <w:rsid w:val="00DB362C"/>
    <w:rsid w:val="00DB5D10"/>
    <w:rsid w:val="00DB6F01"/>
    <w:rsid w:val="00DC0B8E"/>
    <w:rsid w:val="00DC15FD"/>
    <w:rsid w:val="00DC1D67"/>
    <w:rsid w:val="00DC2704"/>
    <w:rsid w:val="00DC2A21"/>
    <w:rsid w:val="00DC4049"/>
    <w:rsid w:val="00DD0744"/>
    <w:rsid w:val="00DD199C"/>
    <w:rsid w:val="00DD1E9E"/>
    <w:rsid w:val="00DD2DCD"/>
    <w:rsid w:val="00DD40A4"/>
    <w:rsid w:val="00DD414E"/>
    <w:rsid w:val="00DD41FE"/>
    <w:rsid w:val="00DD4C3E"/>
    <w:rsid w:val="00DD6D0A"/>
    <w:rsid w:val="00DD6D7B"/>
    <w:rsid w:val="00DE126C"/>
    <w:rsid w:val="00DE1565"/>
    <w:rsid w:val="00DE27D0"/>
    <w:rsid w:val="00DE2994"/>
    <w:rsid w:val="00DE3A7C"/>
    <w:rsid w:val="00DE3F81"/>
    <w:rsid w:val="00DE4C95"/>
    <w:rsid w:val="00DF1D1E"/>
    <w:rsid w:val="00DF551D"/>
    <w:rsid w:val="00DF73CA"/>
    <w:rsid w:val="00E01B9E"/>
    <w:rsid w:val="00E026CB"/>
    <w:rsid w:val="00E0281B"/>
    <w:rsid w:val="00E04DAA"/>
    <w:rsid w:val="00E058CD"/>
    <w:rsid w:val="00E05D04"/>
    <w:rsid w:val="00E07498"/>
    <w:rsid w:val="00E1427C"/>
    <w:rsid w:val="00E14BCC"/>
    <w:rsid w:val="00E15E84"/>
    <w:rsid w:val="00E17291"/>
    <w:rsid w:val="00E17C82"/>
    <w:rsid w:val="00E228BA"/>
    <w:rsid w:val="00E238BD"/>
    <w:rsid w:val="00E25526"/>
    <w:rsid w:val="00E26623"/>
    <w:rsid w:val="00E267E1"/>
    <w:rsid w:val="00E274E8"/>
    <w:rsid w:val="00E30E5F"/>
    <w:rsid w:val="00E34EFE"/>
    <w:rsid w:val="00E356CF"/>
    <w:rsid w:val="00E359A5"/>
    <w:rsid w:val="00E35C94"/>
    <w:rsid w:val="00E37190"/>
    <w:rsid w:val="00E373B0"/>
    <w:rsid w:val="00E41F03"/>
    <w:rsid w:val="00E428B9"/>
    <w:rsid w:val="00E43523"/>
    <w:rsid w:val="00E45153"/>
    <w:rsid w:val="00E463E4"/>
    <w:rsid w:val="00E47D8A"/>
    <w:rsid w:val="00E50D6A"/>
    <w:rsid w:val="00E53125"/>
    <w:rsid w:val="00E5491F"/>
    <w:rsid w:val="00E54D4E"/>
    <w:rsid w:val="00E562F4"/>
    <w:rsid w:val="00E62843"/>
    <w:rsid w:val="00E6420B"/>
    <w:rsid w:val="00E6448A"/>
    <w:rsid w:val="00E647F2"/>
    <w:rsid w:val="00E64D1F"/>
    <w:rsid w:val="00E64E85"/>
    <w:rsid w:val="00E65BE4"/>
    <w:rsid w:val="00E66551"/>
    <w:rsid w:val="00E725B5"/>
    <w:rsid w:val="00E751D1"/>
    <w:rsid w:val="00E8255A"/>
    <w:rsid w:val="00E83177"/>
    <w:rsid w:val="00E91131"/>
    <w:rsid w:val="00E91275"/>
    <w:rsid w:val="00E91FC0"/>
    <w:rsid w:val="00E95379"/>
    <w:rsid w:val="00EA01BE"/>
    <w:rsid w:val="00EA0D46"/>
    <w:rsid w:val="00EA4989"/>
    <w:rsid w:val="00EA4BF7"/>
    <w:rsid w:val="00EA6106"/>
    <w:rsid w:val="00EA6DAD"/>
    <w:rsid w:val="00EA7190"/>
    <w:rsid w:val="00EB1E6D"/>
    <w:rsid w:val="00EB45F4"/>
    <w:rsid w:val="00EB638B"/>
    <w:rsid w:val="00EB6A8B"/>
    <w:rsid w:val="00EB75D2"/>
    <w:rsid w:val="00EB7797"/>
    <w:rsid w:val="00EB7ADD"/>
    <w:rsid w:val="00EC0839"/>
    <w:rsid w:val="00EC2510"/>
    <w:rsid w:val="00EC3FE4"/>
    <w:rsid w:val="00EC73EE"/>
    <w:rsid w:val="00ED01AB"/>
    <w:rsid w:val="00ED28FB"/>
    <w:rsid w:val="00ED42BC"/>
    <w:rsid w:val="00ED42E0"/>
    <w:rsid w:val="00ED4B00"/>
    <w:rsid w:val="00ED512B"/>
    <w:rsid w:val="00EE2CF5"/>
    <w:rsid w:val="00EE42EC"/>
    <w:rsid w:val="00EE5654"/>
    <w:rsid w:val="00EE7754"/>
    <w:rsid w:val="00EF08F1"/>
    <w:rsid w:val="00EF2106"/>
    <w:rsid w:val="00EF2354"/>
    <w:rsid w:val="00EF46A7"/>
    <w:rsid w:val="00F01E21"/>
    <w:rsid w:val="00F01E44"/>
    <w:rsid w:val="00F03CC7"/>
    <w:rsid w:val="00F03D4E"/>
    <w:rsid w:val="00F06FEC"/>
    <w:rsid w:val="00F070CD"/>
    <w:rsid w:val="00F07638"/>
    <w:rsid w:val="00F1109B"/>
    <w:rsid w:val="00F12A32"/>
    <w:rsid w:val="00F12AED"/>
    <w:rsid w:val="00F133B8"/>
    <w:rsid w:val="00F1385A"/>
    <w:rsid w:val="00F14149"/>
    <w:rsid w:val="00F14EBD"/>
    <w:rsid w:val="00F14F57"/>
    <w:rsid w:val="00F15D1B"/>
    <w:rsid w:val="00F17455"/>
    <w:rsid w:val="00F27722"/>
    <w:rsid w:val="00F27B9D"/>
    <w:rsid w:val="00F34984"/>
    <w:rsid w:val="00F36614"/>
    <w:rsid w:val="00F3760F"/>
    <w:rsid w:val="00F4150D"/>
    <w:rsid w:val="00F425C6"/>
    <w:rsid w:val="00F43BC6"/>
    <w:rsid w:val="00F4531F"/>
    <w:rsid w:val="00F456BE"/>
    <w:rsid w:val="00F45A32"/>
    <w:rsid w:val="00F45EF9"/>
    <w:rsid w:val="00F46D2A"/>
    <w:rsid w:val="00F51F3B"/>
    <w:rsid w:val="00F53B0B"/>
    <w:rsid w:val="00F53CE9"/>
    <w:rsid w:val="00F5621E"/>
    <w:rsid w:val="00F5744E"/>
    <w:rsid w:val="00F6214A"/>
    <w:rsid w:val="00F625AF"/>
    <w:rsid w:val="00F6264A"/>
    <w:rsid w:val="00F633F0"/>
    <w:rsid w:val="00F637A7"/>
    <w:rsid w:val="00F639FE"/>
    <w:rsid w:val="00F6506E"/>
    <w:rsid w:val="00F66C6F"/>
    <w:rsid w:val="00F676A2"/>
    <w:rsid w:val="00F67B8D"/>
    <w:rsid w:val="00F70C4F"/>
    <w:rsid w:val="00F73EA9"/>
    <w:rsid w:val="00F74505"/>
    <w:rsid w:val="00F77425"/>
    <w:rsid w:val="00F82877"/>
    <w:rsid w:val="00F836BC"/>
    <w:rsid w:val="00F84756"/>
    <w:rsid w:val="00F8667D"/>
    <w:rsid w:val="00F91C5C"/>
    <w:rsid w:val="00F948A8"/>
    <w:rsid w:val="00F972DE"/>
    <w:rsid w:val="00FA0B47"/>
    <w:rsid w:val="00FA22AF"/>
    <w:rsid w:val="00FA36D5"/>
    <w:rsid w:val="00FA370D"/>
    <w:rsid w:val="00FA4114"/>
    <w:rsid w:val="00FA6526"/>
    <w:rsid w:val="00FA7478"/>
    <w:rsid w:val="00FB29A3"/>
    <w:rsid w:val="00FB3EE1"/>
    <w:rsid w:val="00FB4711"/>
    <w:rsid w:val="00FB5313"/>
    <w:rsid w:val="00FC0D74"/>
    <w:rsid w:val="00FC10AE"/>
    <w:rsid w:val="00FC130D"/>
    <w:rsid w:val="00FC2DE0"/>
    <w:rsid w:val="00FC551E"/>
    <w:rsid w:val="00FD1F84"/>
    <w:rsid w:val="00FD26C5"/>
    <w:rsid w:val="00FD2CB3"/>
    <w:rsid w:val="00FD5295"/>
    <w:rsid w:val="00FD73B6"/>
    <w:rsid w:val="00FD7B14"/>
    <w:rsid w:val="00FE0C9D"/>
    <w:rsid w:val="00FE1060"/>
    <w:rsid w:val="00FE2168"/>
    <w:rsid w:val="00FE22DA"/>
    <w:rsid w:val="00FE33BD"/>
    <w:rsid w:val="00FE485F"/>
    <w:rsid w:val="00FE5196"/>
    <w:rsid w:val="00FE69A8"/>
    <w:rsid w:val="00FF642F"/>
    <w:rsid w:val="00FF7D96"/>
    <w:rsid w:val="00FF7F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4F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B98"/>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20387"/>
    <w:pPr>
      <w:tabs>
        <w:tab w:val="center" w:pos="4320"/>
        <w:tab w:val="right" w:pos="8640"/>
      </w:tabs>
    </w:pPr>
  </w:style>
  <w:style w:type="paragraph" w:styleId="Title">
    <w:name w:val="Title"/>
    <w:basedOn w:val="Normal"/>
    <w:next w:val="Subtitle"/>
    <w:link w:val="TitleChar"/>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855FFC"/>
    <w:pPr>
      <w:ind w:left="240" w:hanging="240"/>
      <w:jc w:val="center"/>
    </w:pPr>
    <w:rPr>
      <w:color w:val="0070C0"/>
    </w:r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character" w:styleId="CommentReference">
    <w:name w:val="annotation reference"/>
    <w:rsid w:val="002C0587"/>
    <w:rPr>
      <w:sz w:val="16"/>
      <w:szCs w:val="16"/>
    </w:rPr>
  </w:style>
  <w:style w:type="paragraph" w:styleId="CommentText">
    <w:name w:val="annotation text"/>
    <w:basedOn w:val="Normal"/>
    <w:link w:val="CommentTextChar"/>
    <w:rsid w:val="002C0587"/>
    <w:rPr>
      <w:sz w:val="20"/>
    </w:rPr>
  </w:style>
  <w:style w:type="character" w:customStyle="1" w:styleId="CommentTextChar">
    <w:name w:val="Comment Text Char"/>
    <w:link w:val="CommentText"/>
    <w:rsid w:val="002C0587"/>
    <w:rPr>
      <w:rFonts w:cs="Arial"/>
      <w:color w:val="000000"/>
    </w:rPr>
  </w:style>
  <w:style w:type="paragraph" w:styleId="CommentSubject">
    <w:name w:val="annotation subject"/>
    <w:basedOn w:val="CommentText"/>
    <w:next w:val="CommentText"/>
    <w:link w:val="CommentSubjectChar"/>
    <w:rsid w:val="002C0587"/>
    <w:rPr>
      <w:b/>
      <w:bCs/>
    </w:rPr>
  </w:style>
  <w:style w:type="character" w:customStyle="1" w:styleId="CommentSubjectChar">
    <w:name w:val="Comment Subject Char"/>
    <w:link w:val="CommentSubject"/>
    <w:rsid w:val="002C0587"/>
    <w:rPr>
      <w:rFonts w:cs="Arial"/>
      <w:b/>
      <w:bCs/>
      <w:color w:val="000000"/>
    </w:rPr>
  </w:style>
  <w:style w:type="paragraph" w:styleId="BalloonText">
    <w:name w:val="Balloon Text"/>
    <w:basedOn w:val="Normal"/>
    <w:link w:val="BalloonTextChar"/>
    <w:rsid w:val="002C0587"/>
    <w:rPr>
      <w:rFonts w:ascii="Tahoma" w:hAnsi="Tahoma" w:cs="Tahoma"/>
      <w:sz w:val="16"/>
      <w:szCs w:val="16"/>
    </w:rPr>
  </w:style>
  <w:style w:type="character" w:customStyle="1" w:styleId="BalloonTextChar">
    <w:name w:val="Balloon Text Char"/>
    <w:link w:val="BalloonText"/>
    <w:rsid w:val="002C0587"/>
    <w:rPr>
      <w:rFonts w:ascii="Tahoma" w:hAnsi="Tahoma" w:cs="Tahoma"/>
      <w:color w:val="000000"/>
      <w:sz w:val="16"/>
      <w:szCs w:val="16"/>
    </w:rPr>
  </w:style>
  <w:style w:type="paragraph" w:styleId="ListParagraph">
    <w:name w:val="List Paragraph"/>
    <w:basedOn w:val="Normal"/>
    <w:uiPriority w:val="34"/>
    <w:qFormat/>
    <w:rsid w:val="00911BE3"/>
    <w:pPr>
      <w:ind w:left="720"/>
    </w:pPr>
  </w:style>
  <w:style w:type="paragraph" w:customStyle="1" w:styleId="default">
    <w:name w:val="default"/>
    <w:basedOn w:val="Normal"/>
    <w:rsid w:val="00CC5D31"/>
    <w:pPr>
      <w:autoSpaceDE w:val="0"/>
      <w:autoSpaceDN w:val="0"/>
    </w:pPr>
    <w:rPr>
      <w:rFonts w:cs="Times New Roman"/>
      <w:szCs w:val="24"/>
    </w:rPr>
  </w:style>
  <w:style w:type="paragraph" w:styleId="Revision">
    <w:name w:val="Revision"/>
    <w:hidden/>
    <w:uiPriority w:val="99"/>
    <w:semiHidden/>
    <w:rsid w:val="00A91707"/>
    <w:rPr>
      <w:rFonts w:cs="Arial"/>
      <w:color w:val="000000"/>
      <w:sz w:val="24"/>
    </w:rPr>
  </w:style>
  <w:style w:type="paragraph" w:styleId="FootnoteText">
    <w:name w:val="footnote text"/>
    <w:aliases w:val="ft"/>
    <w:basedOn w:val="Normal"/>
    <w:link w:val="FootnoteTextChar"/>
    <w:uiPriority w:val="99"/>
    <w:rsid w:val="0034507F"/>
    <w:rPr>
      <w:sz w:val="20"/>
    </w:rPr>
  </w:style>
  <w:style w:type="character" w:customStyle="1" w:styleId="FootnoteTextChar">
    <w:name w:val="Footnote Text Char"/>
    <w:aliases w:val="ft Char"/>
    <w:link w:val="FootnoteText"/>
    <w:uiPriority w:val="99"/>
    <w:rsid w:val="0034507F"/>
    <w:rPr>
      <w:rFonts w:cs="Arial"/>
      <w:color w:val="000000"/>
    </w:rPr>
  </w:style>
  <w:style w:type="character" w:styleId="FootnoteReference">
    <w:name w:val="footnote reference"/>
    <w:uiPriority w:val="99"/>
    <w:qFormat/>
    <w:rsid w:val="0034507F"/>
    <w:rPr>
      <w:vertAlign w:val="superscript"/>
    </w:rPr>
  </w:style>
  <w:style w:type="character" w:customStyle="1" w:styleId="FooterChar">
    <w:name w:val="Footer Char"/>
    <w:link w:val="Footer"/>
    <w:uiPriority w:val="99"/>
    <w:rsid w:val="00F972DE"/>
    <w:rPr>
      <w:rFonts w:cs="Arial"/>
      <w:color w:val="000000"/>
      <w:sz w:val="24"/>
    </w:rPr>
  </w:style>
  <w:style w:type="character" w:customStyle="1" w:styleId="enumxml1">
    <w:name w:val="enumxml1"/>
    <w:rsid w:val="001E4F86"/>
    <w:rPr>
      <w:b/>
      <w:bCs/>
    </w:rPr>
  </w:style>
  <w:style w:type="character" w:customStyle="1" w:styleId="ptext-31">
    <w:name w:val="ptext-31"/>
    <w:rsid w:val="001E4F86"/>
  </w:style>
  <w:style w:type="character" w:styleId="Hyperlink">
    <w:name w:val="Hyperlink"/>
    <w:uiPriority w:val="99"/>
    <w:rsid w:val="00AA6C62"/>
    <w:rPr>
      <w:color w:val="0000FF"/>
      <w:u w:val="single"/>
    </w:rPr>
  </w:style>
  <w:style w:type="paragraph" w:styleId="Caption">
    <w:name w:val="caption"/>
    <w:basedOn w:val="Normal"/>
    <w:next w:val="Normal"/>
    <w:unhideWhenUsed/>
    <w:qFormat/>
    <w:rsid w:val="002E6C41"/>
    <w:pPr>
      <w:spacing w:after="200"/>
    </w:pPr>
    <w:rPr>
      <w:i/>
      <w:iCs/>
      <w:color w:val="1F497D" w:themeColor="text2"/>
      <w:sz w:val="18"/>
      <w:szCs w:val="18"/>
    </w:rPr>
  </w:style>
  <w:style w:type="paragraph" w:customStyle="1" w:styleId="RegEvalText">
    <w:name w:val="Reg Eval Text"/>
    <w:basedOn w:val="Normal"/>
    <w:next w:val="Normal"/>
    <w:link w:val="RegEvalTextChar"/>
    <w:autoRedefine/>
    <w:qFormat/>
    <w:rsid w:val="00D84163"/>
    <w:pPr>
      <w:widowControl w:val="0"/>
      <w:tabs>
        <w:tab w:val="left" w:pos="180"/>
        <w:tab w:val="left" w:pos="5760"/>
      </w:tabs>
      <w:autoSpaceDE w:val="0"/>
      <w:autoSpaceDN w:val="0"/>
      <w:adjustRightInd w:val="0"/>
      <w:spacing w:line="480" w:lineRule="auto"/>
      <w:textAlignment w:val="baseline"/>
    </w:pPr>
    <w:rPr>
      <w:rFonts w:eastAsia="MS Mincho" w:cs="Times New Roman"/>
      <w:iCs/>
      <w:sz w:val="22"/>
      <w:szCs w:val="24"/>
    </w:rPr>
  </w:style>
  <w:style w:type="character" w:customStyle="1" w:styleId="RegEvalTextChar">
    <w:name w:val="Reg Eval Text Char"/>
    <w:link w:val="RegEvalText"/>
    <w:rsid w:val="00D84163"/>
    <w:rPr>
      <w:rFonts w:eastAsia="MS Mincho"/>
      <w:iCs/>
      <w:color w:val="000000"/>
      <w:sz w:val="22"/>
      <w:szCs w:val="24"/>
    </w:rPr>
  </w:style>
  <w:style w:type="character" w:customStyle="1" w:styleId="TitleChar">
    <w:name w:val="Title Char"/>
    <w:basedOn w:val="DefaultParagraphFont"/>
    <w:link w:val="Title"/>
    <w:rsid w:val="00D60C55"/>
    <w:rPr>
      <w:rFonts w:ascii="Arial Black" w:hAnsi="Arial Black"/>
      <w:spacing w:val="-30"/>
      <w:kern w:val="28"/>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header" Target="head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
        <AccountId>226</AccountId>
        <AccountType/>
      </UserInfo>
    </Originator>
    <WorkFolder_x0020_Type xmlns="dfa24db8-b43c-4576-b9f3-d527095e9577">19 -  PRA</WorkFolder_x0020_Type>
    <_dlc_DocId xmlns="dfa24db8-b43c-4576-b9f3-d527095e9577">TSADT-783092807-71352</_dlc_DocId>
    <_dlc_DocIdUrl xmlns="dfa24db8-b43c-4576-b9f3-d527095e9577">
      <Url>https://apps2013.ishare.tsa.dhs.gov/sites/gel/OIT/_layouts/15/DocIdRedir.aspx?ID=TSADT-783092807-71352</Url>
      <Description>TSADT-783092807-71352</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9" ma:contentTypeDescription="Create a new document." ma:contentTypeScope="" ma:versionID="d89abcb635be7e11c0287194a026f589">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e9563f844bfdcad225ae4f6e43882e82"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xsd:element ref="ns2:WorkFolder_x0020_Type"/>
                <xsd:element ref="ns2:Folder_x0020_Title" minOccurs="0"/>
                <xsd:element ref="ns2:Originator"/>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ma:displayName="Originator Division" ma:format="Dropdown" ma:indexed="true" ma:internalName="Originator_x0020_Division" ma:readOnly="false">
      <xsd:simpleType>
        <xsd:restriction base="dms:Choice">
          <xsd:enumeration value="IT Government and Industry Liaison"/>
          <xsd:enumeration value="Information Assurance Division"/>
          <xsd:enumeration value="Application Development Division"/>
          <xsd:enumeration value="Operations &amp; Engineering"/>
          <xsd:enumeration value="End User Services Division"/>
          <xsd:enumeration value="Enterprise Architecture Division"/>
          <xsd:enumeration value="Mission Support Division"/>
          <xsd:enumeration value="IT Operations"/>
          <xsd:enumeration value="Mission Operations"/>
          <xsd:enumeration value="Classified Technology Division"/>
          <xsd:enumeration value="Technology Solutions Division"/>
        </xsd:restriction>
      </xsd:simpleType>
    </xsd:element>
    <xsd:element name="WorkFolder_x0020_Type" ma:index="12" ma:displayName="WorkFolder Type" ma:format="Dropdown" ma:indexed="true" ma:internalName="WorkFolder_x0020_Type" ma:readOnly="fals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PRA"/>
          <xsd:enumeration value="20 - Standard Operating Procedure (SOP)"/>
          <xsd:enumeration value="21 - Information Memo"/>
          <xsd:enumeration value="22 - HR Action"/>
          <xsd:enumeration value="23 - Finance Action"/>
          <xsd:enumeration value="24 - Read Ahead"/>
          <xsd:enumeration value="25 - Stakeholder Letter"/>
          <xsd:enumeration value="26 - Other"/>
        </xsd:restriction>
      </xsd:simpleType>
    </xsd:element>
    <xsd:element name="Folder_x0020_Title" ma:index="13" nillable="true" ma:displayName="Folder Title" ma:indexed="true" ma:internalName="Folder_x0020_Title" ma:readOnly="false">
      <xsd:simpleType>
        <xsd:restriction base="dms:Text">
          <xsd:maxLength value="255"/>
        </xsd:restriction>
      </xsd:simpleType>
    </xsd:element>
    <xsd:element name="Originator" ma:index="14" ma:displayName="Originator" ma:indexed="true"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5DC45-5D8F-4AD8-928A-D7CCA2C0E5EF}">
  <ds:schemaRefs>
    <ds:schemaRef ds:uri="http://schemas.microsoft.com/office/2006/metadata/properties"/>
    <ds:schemaRef ds:uri="http://schemas.microsoft.com/office/infopath/2007/PartnerControls"/>
    <ds:schemaRef ds:uri="http://schemas.microsoft.com/sharepoint/v4"/>
    <ds:schemaRef ds:uri="dfa24db8-b43c-4576-b9f3-d527095e9577"/>
  </ds:schemaRefs>
</ds:datastoreItem>
</file>

<file path=customXml/itemProps2.xml><?xml version="1.0" encoding="utf-8"?>
<ds:datastoreItem xmlns:ds="http://schemas.openxmlformats.org/officeDocument/2006/customXml" ds:itemID="{53621761-F627-4305-AC0B-8C51A129EE81}">
  <ds:schemaRefs>
    <ds:schemaRef ds:uri="http://schemas.microsoft.com/office/2006/metadata/longProperties"/>
  </ds:schemaRefs>
</ds:datastoreItem>
</file>

<file path=customXml/itemProps3.xml><?xml version="1.0" encoding="utf-8"?>
<ds:datastoreItem xmlns:ds="http://schemas.openxmlformats.org/officeDocument/2006/customXml" ds:itemID="{7B423E63-0F58-448D-BAC5-006B9ABDE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B651BC-FD40-4525-9F10-7C559608C4F5}">
  <ds:schemaRefs>
    <ds:schemaRef ds:uri="http://schemas.microsoft.com/sharepoint/v3/contenttype/forms"/>
  </ds:schemaRefs>
</ds:datastoreItem>
</file>

<file path=customXml/itemProps5.xml><?xml version="1.0" encoding="utf-8"?>
<ds:datastoreItem xmlns:ds="http://schemas.openxmlformats.org/officeDocument/2006/customXml" ds:itemID="{9DE6E21B-7DD9-48AF-A56A-E48A51C72293}">
  <ds:schemaRefs>
    <ds:schemaRef ds:uri="http://schemas.microsoft.com/sharepoint/events"/>
  </ds:schemaRefs>
</ds:datastoreItem>
</file>

<file path=customXml/itemProps6.xml><?xml version="1.0" encoding="utf-8"?>
<ds:datastoreItem xmlns:ds="http://schemas.openxmlformats.org/officeDocument/2006/customXml" ds:itemID="{003376B0-553F-4C7C-9C56-4EDCED5FE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6995</Words>
  <Characters>39877</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5000.22</cp:keywords>
  <cp:revision>1</cp:revision>
  <dcterms:created xsi:type="dcterms:W3CDTF">2023-06-09T13:01:00Z</dcterms:created>
  <dcterms:modified xsi:type="dcterms:W3CDTF">2023-06-09T13:01:00Z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0x01010056F361A932546F4590D5DC141682ABDA</vt:lpwstr>
  </property>
  <property fmtid="{D5CDD505-2E9C-101B-9397-08002B2CF9AE}" pid="3" name="_dlc_DocIdItemGuid">
    <vt:lpwstr>ae181ddb-3949-401b-8868-482553a4eeb2</vt:lpwstr>
  </property>
</Properties>
</file>