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noProof/>
        </w:rPr>
        <w:id w:val="37707067"/>
        <w:docPartObj>
          <w:docPartGallery w:val="Cover Pages"/>
        </w:docPartObj>
      </w:sdtPr>
      <w:sdtEndPr>
        <w:rPr>
          <w:noProof w:val="0"/>
        </w:rPr>
      </w:sdtEndPr>
      <w:sdtContent>
        <w:p w:rsidR="00041909" w:rsidRPr="00B73BE3" w:rsidP="00FE2197" w14:paraId="54BDC6FD" w14:textId="4C227D13">
          <w:pPr>
            <w:rPr>
              <w:rFonts w:cstheme="minorHAnsi"/>
            </w:rPr>
          </w:pPr>
          <w:r w:rsidRPr="00B73BE3">
            <w:rPr>
              <w:rFonts w:cstheme="min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0" b="0"/>
                    <wp:wrapThrough wrapText="bothSides">
                      <wp:wrapPolygon>
                        <wp:start x="0" y="0"/>
                        <wp:lineTo x="0" y="9000"/>
                        <wp:lineTo x="21540" y="9000"/>
                        <wp:lineTo x="21540" y="0"/>
                        <wp:lineTo x="0" y="0"/>
                      </wp:wrapPolygon>
                    </wp:wrapThrough>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w10:wrap type="through"/>
                  </v:rect>
                </w:pict>
              </mc:Fallback>
            </mc:AlternateContent>
          </w:r>
          <w:r w:rsidRPr="00B73BE3" w:rsidR="001F3A8F">
            <w:rPr>
              <w:rFonts w:cstheme="minorHAnsi"/>
              <w:noProof/>
            </w:rPr>
            <w:softHyphen/>
          </w:r>
          <w:r w:rsidRPr="00B73BE3" w:rsidR="001F3A8F">
            <w:rPr>
              <w:rFonts w:cstheme="minorHAnsi"/>
              <w:noProof/>
            </w:rPr>
            <w:softHyphen/>
          </w:r>
        </w:p>
      </w:sdtContent>
    </w:sdt>
    <w:p w:rsidR="00D928FD" w:rsidRPr="00B73BE3" w:rsidP="00D928FD" w14:paraId="0F87B6C6" w14:textId="003B1ECD">
      <w:pPr>
        <w:rPr>
          <w:rFonts w:cstheme="minorHAnsi"/>
        </w:rPr>
      </w:pPr>
    </w:p>
    <w:sdt>
      <w:sdtPr>
        <w:rPr>
          <w:rFonts w:cs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B73BE3" w:rsidP="00711414" w14:paraId="647B7BC1" w14:textId="77777777">
          <w:pPr>
            <w:spacing w:line="240" w:lineRule="auto"/>
            <w:ind w:left="90"/>
            <w:rPr>
              <w:rFonts w:cstheme="minorHAnsi"/>
              <w:color w:val="139CD8"/>
              <w:sz w:val="56"/>
              <w:szCs w:val="52"/>
            </w:rPr>
          </w:pPr>
          <w:r w:rsidRPr="00B73BE3">
            <w:rPr>
              <w:rFonts w:cstheme="minorHAnsi"/>
              <w:color w:val="139CD8"/>
              <w:sz w:val="56"/>
              <w:szCs w:val="52"/>
            </w:rPr>
            <w:t>Supporting Statement for Historic Preservation for Energy Efficiency Programs</w:t>
          </w:r>
        </w:p>
      </w:sdtContent>
    </w:sdt>
    <w:p w:rsidR="0059212D" w:rsidRPr="00B73BE3" w:rsidP="00EE2CAF" w14:paraId="7047934C" w14:textId="77777777">
      <w:pPr>
        <w:pStyle w:val="Heading1"/>
        <w:rPr>
          <w:rFonts w:asciiTheme="minorHAnsi" w:hAnsiTheme="minorHAnsi" w:cstheme="minorHAnsi"/>
        </w:rPr>
      </w:pPr>
      <w:bookmarkStart w:id="0" w:name="_Toc128483696"/>
      <w:r w:rsidRPr="00B73BE3">
        <w:rPr>
          <w:rFonts w:asciiTheme="minorHAnsi" w:hAnsiTheme="minorHAnsi" w:cstheme="minorHAnsi"/>
        </w:rPr>
        <w:t>Part A: Justification</w:t>
      </w:r>
      <w:bookmarkEnd w:id="0"/>
    </w:p>
    <w:p w:rsidR="001F3A8F" w:rsidRPr="00B73BE3" w:rsidP="00C91033" w14:paraId="67CAE65B" w14:textId="56C1A2C2">
      <w:pPr>
        <w:pStyle w:val="Left05Indent"/>
        <w:rPr>
          <w:rFonts w:cstheme="minorHAnsi"/>
          <w:sz w:val="44"/>
          <w:szCs w:val="44"/>
        </w:rPr>
      </w:pPr>
      <w:r w:rsidRPr="00B73BE3">
        <w:rPr>
          <w:rFonts w:cstheme="minorHAnsi"/>
          <w:noProof/>
        </w:rPr>
        <mc:AlternateContent>
          <mc:Choice Requires="wps">
            <w:drawing>
              <wp:anchor distT="0" distB="0" distL="114300" distR="114300" simplePos="0" relativeHeight="251662336" behindDoc="0" locked="0" layoutInCell="1" allowOverlap="1">
                <wp:simplePos x="0" y="0"/>
                <wp:positionH relativeFrom="margin">
                  <wp:posOffset>-153035</wp:posOffset>
                </wp:positionH>
                <wp:positionV relativeFrom="margin">
                  <wp:posOffset>7258050</wp:posOffset>
                </wp:positionV>
                <wp:extent cx="2348865" cy="497205"/>
                <wp:effectExtent l="0" t="0" r="0" b="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8865" cy="497205"/>
                        </a:xfrm>
                        <a:prstGeom prst="rect">
                          <a:avLst/>
                        </a:prstGeom>
                        <a:noFill/>
                        <a:ln>
                          <a:noFill/>
                        </a:ln>
                      </wps:spPr>
                      <wps:txbx>
                        <w:txbxContent>
                          <w:p w:rsidR="00132F4A" w:rsidRPr="009818F9" w14:textId="52F6EA8A">
                            <w:pPr>
                              <w:rPr>
                                <w:color w:val="A6A6A6" w:themeColor="background1" w:themeShade="A6"/>
                                <w:sz w:val="36"/>
                              </w:rPr>
                            </w:pPr>
                            <w:r>
                              <w:rPr>
                                <w:color w:val="A6A6A6" w:themeColor="background1" w:themeShade="A6"/>
                                <w:sz w:val="36"/>
                              </w:rPr>
                              <w:t>February</w:t>
                            </w:r>
                            <w:r w:rsidR="00364F0A">
                              <w:rPr>
                                <w:color w:val="A6A6A6" w:themeColor="background1" w:themeShade="A6"/>
                                <w:sz w:val="36"/>
                              </w:rPr>
                              <w:t xml:space="preserve"> 20</w:t>
                            </w:r>
                            <w:r w:rsidR="00C50653">
                              <w:rPr>
                                <w:color w:val="A6A6A6" w:themeColor="background1" w:themeShade="A6"/>
                                <w:sz w:val="36"/>
                              </w:rPr>
                              <w:t>2</w:t>
                            </w:r>
                            <w:r w:rsidR="00DE6E55">
                              <w:rPr>
                                <w:color w:val="A6A6A6" w:themeColor="background1" w:themeShade="A6"/>
                                <w:sz w:val="36"/>
                              </w:rPr>
                              <w:t>3</w:t>
                            </w:r>
                            <w:r w:rsidR="00364F0A">
                              <w:rPr>
                                <w:color w:val="A6A6A6" w:themeColor="background1" w:themeShade="A6"/>
                                <w:sz w:val="36"/>
                              </w:rPr>
                              <w:t xml:space="preserve"> </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width:184.95pt;height:39.15pt;margin-top:571.5pt;margin-left:-12.0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132F4A" w:rsidRPr="009818F9" w14:paraId="006B1C8F" w14:textId="52F6EA8A">
                      <w:pPr>
                        <w:rPr>
                          <w:color w:val="A6A6A6" w:themeColor="background1" w:themeShade="A6"/>
                          <w:sz w:val="36"/>
                        </w:rPr>
                      </w:pPr>
                      <w:r>
                        <w:rPr>
                          <w:color w:val="A6A6A6" w:themeColor="background1" w:themeShade="A6"/>
                          <w:sz w:val="36"/>
                        </w:rPr>
                        <w:t>February</w:t>
                      </w:r>
                      <w:r w:rsidR="00364F0A">
                        <w:rPr>
                          <w:color w:val="A6A6A6" w:themeColor="background1" w:themeShade="A6"/>
                          <w:sz w:val="36"/>
                        </w:rPr>
                        <w:t xml:space="preserve"> 20</w:t>
                      </w:r>
                      <w:r w:rsidR="00C50653">
                        <w:rPr>
                          <w:color w:val="A6A6A6" w:themeColor="background1" w:themeShade="A6"/>
                          <w:sz w:val="36"/>
                        </w:rPr>
                        <w:t>2</w:t>
                      </w:r>
                      <w:r w:rsidR="00DE6E55">
                        <w:rPr>
                          <w:color w:val="A6A6A6" w:themeColor="background1" w:themeShade="A6"/>
                          <w:sz w:val="36"/>
                        </w:rPr>
                        <w:t>3</w:t>
                      </w:r>
                      <w:r w:rsidR="00364F0A">
                        <w:rPr>
                          <w:color w:val="A6A6A6" w:themeColor="background1" w:themeShade="A6"/>
                          <w:sz w:val="36"/>
                        </w:rPr>
                        <w:t xml:space="preserve"> </w:t>
                      </w:r>
                    </w:p>
                  </w:txbxContent>
                </v:textbox>
                <w10:wrap type="square"/>
              </v:shape>
            </w:pict>
          </mc:Fallback>
        </mc:AlternateContent>
      </w:r>
      <w:r w:rsidRPr="00B73BE3" w:rsidR="001355C8">
        <w:rPr>
          <w:rFonts w:cstheme="minorHAnsi"/>
          <w:noProof/>
        </w:rPr>
        <mc:AlternateContent>
          <mc:Choice Requires="wps">
            <w:drawing>
              <wp:anchor distT="0" distB="0" distL="114300" distR="114300" simplePos="0" relativeHeight="251670528" behindDoc="0" locked="0" layoutInCell="1" allowOverlap="1">
                <wp:simplePos x="0" y="0"/>
                <wp:positionH relativeFrom="margin">
                  <wp:posOffset>-38100</wp:posOffset>
                </wp:positionH>
                <wp:positionV relativeFrom="margin">
                  <wp:posOffset>3000375</wp:posOffset>
                </wp:positionV>
                <wp:extent cx="6019800" cy="9601200"/>
                <wp:effectExtent l="0" t="0" r="0" b="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9601200"/>
                        </a:xfrm>
                        <a:prstGeom prst="rect">
                          <a:avLst/>
                        </a:prstGeom>
                        <a:noFill/>
                        <a:ln>
                          <a:noFill/>
                        </a:ln>
                      </wps:spPr>
                      <wps:txbx>
                        <w:txbxContent>
                          <w:p w:rsidR="00FB6BF3" w:rsidRPr="00034D66" w:rsidP="00FB6BF3" w14:textId="182549F9">
                            <w:pPr>
                              <w:rPr>
                                <w:rFonts w:cs="Times New Roman"/>
                                <w:bCs/>
                              </w:rPr>
                            </w:pPr>
                            <w:r w:rsidRPr="00034D66">
                              <w:rPr>
                                <w:rFonts w:cs="Times New Roman"/>
                                <w:b/>
                                <w:bCs/>
                              </w:rPr>
                              <w:t>Collection Instrument(s):</w:t>
                            </w:r>
                            <w:r w:rsidRPr="00034D66">
                              <w:rPr>
                                <w:rFonts w:cs="Times New Roman"/>
                                <w:b/>
                                <w:bCs/>
                              </w:rPr>
                              <w:br/>
                            </w:r>
                            <w:r w:rsidRPr="00034D66">
                              <w:rPr>
                                <w:rFonts w:cs="Times New Roman"/>
                                <w:bCs/>
                              </w:rPr>
                              <w:t>Historic Preservation Report</w:t>
                            </w:r>
                            <w:r w:rsidR="00872B3F">
                              <w:rPr>
                                <w:rFonts w:cs="Times New Roman"/>
                                <w:bCs/>
                              </w:rPr>
                              <w:t xml:space="preserve"> - Form 540.6 </w:t>
                            </w:r>
                          </w:p>
                          <w:p w:rsidR="002151B5" w:rsidRPr="00034D66" w:rsidP="00FB6BF3" w14:textId="77777777">
                            <w:pPr>
                              <w:rPr>
                                <w:rFonts w:cs="Times New Roman"/>
                                <w:bCs/>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6" o:spid="_x0000_s1027" type="#_x0000_t202" style="width:474pt;height:756pt;margin-top:236.25pt;margin-left:-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FB6BF3" w:rsidRPr="00034D66" w:rsidP="00FB6BF3" w14:paraId="7935DCC5" w14:textId="182549F9">
                      <w:pPr>
                        <w:rPr>
                          <w:rFonts w:cs="Times New Roman"/>
                          <w:bCs/>
                        </w:rPr>
                      </w:pPr>
                      <w:r w:rsidRPr="00034D66">
                        <w:rPr>
                          <w:rFonts w:cs="Times New Roman"/>
                          <w:b/>
                          <w:bCs/>
                        </w:rPr>
                        <w:t>Collection Instrument(s):</w:t>
                      </w:r>
                      <w:r w:rsidRPr="00034D66">
                        <w:rPr>
                          <w:rFonts w:cs="Times New Roman"/>
                          <w:b/>
                          <w:bCs/>
                        </w:rPr>
                        <w:br/>
                      </w:r>
                      <w:r w:rsidRPr="00034D66">
                        <w:rPr>
                          <w:rFonts w:cs="Times New Roman"/>
                          <w:bCs/>
                        </w:rPr>
                        <w:t>Historic Preservation Report</w:t>
                      </w:r>
                      <w:r w:rsidR="00872B3F">
                        <w:rPr>
                          <w:rFonts w:cs="Times New Roman"/>
                          <w:bCs/>
                        </w:rPr>
                        <w:t xml:space="preserve"> - Form 540.6 </w:t>
                      </w:r>
                    </w:p>
                    <w:p w:rsidR="002151B5" w:rsidRPr="00034D66" w:rsidP="00FB6BF3" w14:paraId="7A3C8791" w14:textId="77777777">
                      <w:pPr>
                        <w:rPr>
                          <w:rFonts w:cs="Times New Roman"/>
                          <w:bCs/>
                        </w:rPr>
                      </w:pPr>
                    </w:p>
                  </w:txbxContent>
                </v:textbox>
                <w10:wrap type="square"/>
              </v:shape>
            </w:pict>
          </mc:Fallback>
        </mc:AlternateContent>
      </w:r>
      <w:r w:rsidRPr="00B73BE3" w:rsidR="00353D63">
        <w:rPr>
          <w:rFonts w:cstheme="minorHAnsi"/>
        </w:rPr>
        <w:t>OMB No. 1910-5155</w:t>
      </w:r>
      <w:r w:rsidRPr="00B73BE3" w:rsidR="0058753D">
        <w:rPr>
          <w:rFonts w:cstheme="minorHAnsi"/>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0" b="0"/>
                <wp:wrapThrough wrapText="bothSides">
                  <wp:wrapPolygon>
                    <wp:start x="0" y="0"/>
                    <wp:lineTo x="0" y="13091"/>
                    <wp:lineTo x="21540" y="13091"/>
                    <wp:lineTo x="21540" y="0"/>
                    <wp:lineTo x="0" y="0"/>
                  </wp:wrapPolygon>
                </wp:wrapThrough>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w10:wrap type="through"/>
              </v:rect>
            </w:pict>
          </mc:Fallback>
        </mc:AlternateContent>
      </w:r>
      <w:r w:rsidRPr="00B73BE3" w:rsidR="0058753D">
        <w:rPr>
          <w:rFonts w:cstheme="minorHAns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wps:spPr>
                      <wps:txbx>
                        <w:txbxContent>
                          <w:p w:rsidR="00132F4A"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3"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132F4A" w:rsidRPr="00AA3D91" w:rsidP="00D001E4" w14:paraId="528D2783" w14:textId="77777777">
                      <w:pPr>
                        <w:spacing w:line="240" w:lineRule="auto"/>
                        <w:ind w:left="90"/>
                        <w:rPr>
                          <w:sz w:val="52"/>
                          <w:szCs w:val="52"/>
                        </w:rPr>
                      </w:pPr>
                    </w:p>
                  </w:txbxContent>
                </v:textbox>
                <w10:wrap anchorx="margin"/>
              </v:shape>
            </w:pict>
          </mc:Fallback>
        </mc:AlternateContent>
      </w:r>
      <w:r w:rsidRPr="00B73BE3" w:rsidR="0058753D">
        <w:rPr>
          <w:rFonts w:cstheme="minorHAnsi"/>
          <w:noProof/>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wps:spPr>
                      <wps:txbx>
                        <w:txbxContent>
                          <w:p w:rsidR="00FE2197"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FE2197" w:rsidP="00FE2197" w14:paraId="6989978F" w14:textId="77777777">
                      <w:pPr>
                        <w:spacing w:before="40" w:after="0"/>
                      </w:pPr>
                    </w:p>
                  </w:txbxContent>
                </v:textbox>
                <w10:wrap type="square"/>
              </v:shape>
            </w:pict>
          </mc:Fallback>
        </mc:AlternateContent>
      </w:r>
      <w:r w:rsidRPr="00B73BE3" w:rsidR="0058753D">
        <w:rPr>
          <w:rFonts w:cstheme="minorHAnsi"/>
          <w:noProof/>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wps:spPr>
                      <wps:txbx>
                        <w:txbxContent>
                          <w:p w:rsidR="00132F4A" w:rsidRPr="008F4CBD" w:rsidP="00EF25DC" w14:textId="77777777">
                            <w:pPr>
                              <w:spacing w:after="0"/>
                              <w:ind w:firstLine="72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132F4A" w:rsidRPr="008F4CBD" w:rsidP="00EF25DC" w14:paraId="29D3583A" w14:textId="77777777">
                      <w:pPr>
                        <w:spacing w:after="0"/>
                        <w:ind w:firstLine="72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P="002556F3" w14:paraId="2BEC6A7C"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p>
    <w:p w:rsidR="00755C3D" w:rsidRPr="00B73BE3" w:rsidP="00D928FD" w14:paraId="6DF4183B" w14:textId="77777777">
      <w:pPr>
        <w:rPr>
          <w:rFonts w:cstheme="minorHAnsi"/>
        </w:rPr>
        <w:sectPr w:rsidSect="001F3A8F">
          <w:headerReference w:type="default" r:id="rId7"/>
          <w:footerReference w:type="default" r:id="rId8"/>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HAnsi"/>
          <w:b w:val="0"/>
          <w:bCs w:val="0"/>
          <w:color w:val="auto"/>
          <w:sz w:val="22"/>
          <w:szCs w:val="22"/>
        </w:rPr>
        <w:id w:val="819469860"/>
        <w:docPartObj>
          <w:docPartGallery w:val="Table of Contents"/>
          <w:docPartUnique/>
        </w:docPartObj>
      </w:sdtPr>
      <w:sdtEndPr>
        <w:rPr>
          <w:noProof/>
        </w:rPr>
      </w:sdtEndPr>
      <w:sdtContent>
        <w:p w:rsidR="0059212D" w:rsidRPr="00B73BE3" w:rsidP="00EE2CAF" w14:paraId="48529435" w14:textId="77777777">
          <w:pPr>
            <w:pStyle w:val="TOCHeading"/>
            <w:rPr>
              <w:rFonts w:asciiTheme="minorHAnsi" w:hAnsiTheme="minorHAnsi" w:cstheme="minorHAnsi"/>
            </w:rPr>
          </w:pPr>
          <w:r w:rsidRPr="00B73BE3">
            <w:rPr>
              <w:rFonts w:asciiTheme="minorHAnsi" w:hAnsiTheme="minorHAnsi" w:cstheme="minorHAnsi"/>
            </w:rPr>
            <w:t>Table of Contents</w:t>
          </w:r>
        </w:p>
        <w:p w:rsidR="00B73BE3" w:rsidRPr="00B73BE3" w14:paraId="23B07723" w14:textId="7E930454">
          <w:pPr>
            <w:pStyle w:val="TOC1"/>
            <w:rPr>
              <w:rFonts w:eastAsiaTheme="minorEastAsia" w:cstheme="minorHAnsi"/>
              <w:noProof/>
              <w:color w:val="auto"/>
            </w:rPr>
          </w:pPr>
          <w:r w:rsidRPr="00B73BE3">
            <w:rPr>
              <w:rFonts w:cstheme="minorHAnsi"/>
            </w:rPr>
            <w:fldChar w:fldCharType="begin"/>
          </w:r>
          <w:r w:rsidRPr="00B73BE3">
            <w:rPr>
              <w:rFonts w:cstheme="minorHAnsi"/>
            </w:rPr>
            <w:instrText xml:space="preserve"> TOC \o "1-3" \h \z \u </w:instrText>
          </w:r>
          <w:r w:rsidRPr="00B73BE3">
            <w:rPr>
              <w:rFonts w:cstheme="minorHAnsi"/>
            </w:rPr>
            <w:fldChar w:fldCharType="separate"/>
          </w:r>
          <w:hyperlink w:anchor="_Toc128483696" w:history="1">
            <w:r w:rsidRPr="00B73BE3">
              <w:rPr>
                <w:rStyle w:val="Hyperlink"/>
                <w:rFonts w:cstheme="minorHAnsi"/>
                <w:noProof/>
              </w:rPr>
              <w:t>Part A: Justification</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_Toc128483696 \h </w:instrText>
            </w:r>
            <w:r w:rsidRPr="00B73BE3">
              <w:rPr>
                <w:rFonts w:cstheme="minorHAnsi"/>
                <w:noProof/>
                <w:webHidden/>
              </w:rPr>
              <w:fldChar w:fldCharType="separate"/>
            </w:r>
            <w:r w:rsidRPr="00B73BE3">
              <w:rPr>
                <w:rFonts w:cstheme="minorHAnsi"/>
                <w:noProof/>
                <w:webHidden/>
              </w:rPr>
              <w:t>i</w:t>
            </w:r>
            <w:r w:rsidRPr="00B73BE3">
              <w:rPr>
                <w:rFonts w:cstheme="minorHAnsi"/>
                <w:noProof/>
                <w:webHidden/>
              </w:rPr>
              <w:fldChar w:fldCharType="end"/>
            </w:r>
          </w:hyperlink>
        </w:p>
        <w:p w:rsidR="00B73BE3" w:rsidRPr="00B73BE3" w14:paraId="43D73655" w14:textId="1C6DA2D4">
          <w:pPr>
            <w:pStyle w:val="TOC2"/>
            <w:rPr>
              <w:rFonts w:eastAsiaTheme="minorEastAsia" w:cstheme="minorHAnsi"/>
              <w:noProof/>
              <w:color w:val="auto"/>
            </w:rPr>
          </w:pPr>
          <w:hyperlink w:anchor="_Toc128483697" w:history="1">
            <w:r w:rsidRPr="00B73BE3">
              <w:rPr>
                <w:rStyle w:val="Hyperlink"/>
                <w:rFonts w:cstheme="minorHAnsi"/>
                <w:noProof/>
              </w:rPr>
              <w:t>Introduction</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_Toc128483697 \h </w:instrText>
            </w:r>
            <w:r w:rsidRPr="00B73BE3">
              <w:rPr>
                <w:rFonts w:cstheme="minorHAnsi"/>
                <w:noProof/>
                <w:webHidden/>
              </w:rPr>
              <w:fldChar w:fldCharType="separate"/>
            </w:r>
            <w:r w:rsidRPr="00B73BE3">
              <w:rPr>
                <w:rFonts w:cstheme="minorHAnsi"/>
                <w:noProof/>
                <w:webHidden/>
              </w:rPr>
              <w:t>2</w:t>
            </w:r>
            <w:r w:rsidRPr="00B73BE3">
              <w:rPr>
                <w:rFonts w:cstheme="minorHAnsi"/>
                <w:noProof/>
                <w:webHidden/>
              </w:rPr>
              <w:fldChar w:fldCharType="end"/>
            </w:r>
          </w:hyperlink>
        </w:p>
        <w:p w:rsidR="00B73BE3" w:rsidRPr="00B73BE3" w14:paraId="324C32B2" w14:textId="135E5577">
          <w:pPr>
            <w:pStyle w:val="TOC2"/>
            <w:rPr>
              <w:rFonts w:eastAsiaTheme="minorEastAsia" w:cstheme="minorHAnsi"/>
              <w:noProof/>
              <w:color w:val="auto"/>
            </w:rPr>
          </w:pPr>
          <w:hyperlink w:anchor="_Toc128483698" w:history="1">
            <w:r w:rsidRPr="00B73BE3">
              <w:rPr>
                <w:rStyle w:val="Hyperlink"/>
                <w:rFonts w:cstheme="minorHAnsi"/>
                <w:noProof/>
              </w:rPr>
              <w:t>A.1. Legal Justification</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_Toc128483698 \h </w:instrText>
            </w:r>
            <w:r w:rsidRPr="00B73BE3">
              <w:rPr>
                <w:rFonts w:cstheme="minorHAnsi"/>
                <w:noProof/>
                <w:webHidden/>
              </w:rPr>
              <w:fldChar w:fldCharType="separate"/>
            </w:r>
            <w:r w:rsidRPr="00B73BE3">
              <w:rPr>
                <w:rFonts w:cstheme="minorHAnsi"/>
                <w:noProof/>
                <w:webHidden/>
              </w:rPr>
              <w:t>2</w:t>
            </w:r>
            <w:r w:rsidRPr="00B73BE3">
              <w:rPr>
                <w:rFonts w:cstheme="minorHAnsi"/>
                <w:noProof/>
                <w:webHidden/>
              </w:rPr>
              <w:fldChar w:fldCharType="end"/>
            </w:r>
          </w:hyperlink>
        </w:p>
        <w:p w:rsidR="00B73BE3" w:rsidRPr="00B73BE3" w14:paraId="3041AC02" w14:textId="7D280439">
          <w:pPr>
            <w:pStyle w:val="TOC2"/>
            <w:rPr>
              <w:rFonts w:eastAsiaTheme="minorEastAsia" w:cstheme="minorHAnsi"/>
              <w:noProof/>
              <w:color w:val="auto"/>
            </w:rPr>
          </w:pPr>
          <w:hyperlink w:anchor="_Toc128483699" w:history="1">
            <w:r w:rsidRPr="00B73BE3">
              <w:rPr>
                <w:rStyle w:val="Hyperlink"/>
                <w:rFonts w:cstheme="minorHAnsi"/>
                <w:noProof/>
              </w:rPr>
              <w:t>A.2. Needs and Uses of Data</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_Toc128483699 \h </w:instrText>
            </w:r>
            <w:r w:rsidRPr="00B73BE3">
              <w:rPr>
                <w:rFonts w:cstheme="minorHAnsi"/>
                <w:noProof/>
                <w:webHidden/>
              </w:rPr>
              <w:fldChar w:fldCharType="separate"/>
            </w:r>
            <w:r w:rsidRPr="00B73BE3">
              <w:rPr>
                <w:rFonts w:cstheme="minorHAnsi"/>
                <w:noProof/>
                <w:webHidden/>
              </w:rPr>
              <w:t>5</w:t>
            </w:r>
            <w:r w:rsidRPr="00B73BE3">
              <w:rPr>
                <w:rFonts w:cstheme="minorHAnsi"/>
                <w:noProof/>
                <w:webHidden/>
              </w:rPr>
              <w:fldChar w:fldCharType="end"/>
            </w:r>
          </w:hyperlink>
        </w:p>
        <w:p w:rsidR="00B73BE3" w:rsidRPr="00B73BE3" w14:paraId="62709E4B" w14:textId="2541E5D1">
          <w:pPr>
            <w:pStyle w:val="TOC2"/>
            <w:rPr>
              <w:rFonts w:eastAsiaTheme="minorEastAsia" w:cstheme="minorHAnsi"/>
              <w:noProof/>
              <w:color w:val="auto"/>
            </w:rPr>
          </w:pPr>
          <w:hyperlink w:anchor="_Toc128483700" w:history="1">
            <w:r w:rsidRPr="00B73BE3">
              <w:rPr>
                <w:rStyle w:val="Hyperlink"/>
                <w:rFonts w:cstheme="minorHAnsi"/>
                <w:noProof/>
              </w:rPr>
              <w:t>A.3. Use of Technology</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_Toc128483700 \h </w:instrText>
            </w:r>
            <w:r w:rsidRPr="00B73BE3">
              <w:rPr>
                <w:rFonts w:cstheme="minorHAnsi"/>
                <w:noProof/>
                <w:webHidden/>
              </w:rPr>
              <w:fldChar w:fldCharType="separate"/>
            </w:r>
            <w:r w:rsidRPr="00B73BE3">
              <w:rPr>
                <w:rFonts w:cstheme="minorHAnsi"/>
                <w:noProof/>
                <w:webHidden/>
              </w:rPr>
              <w:t>6</w:t>
            </w:r>
            <w:r w:rsidRPr="00B73BE3">
              <w:rPr>
                <w:rFonts w:cstheme="minorHAnsi"/>
                <w:noProof/>
                <w:webHidden/>
              </w:rPr>
              <w:fldChar w:fldCharType="end"/>
            </w:r>
          </w:hyperlink>
        </w:p>
        <w:p w:rsidR="00B73BE3" w:rsidRPr="00B73BE3" w14:paraId="15758DB9" w14:textId="1C6163A9">
          <w:pPr>
            <w:pStyle w:val="TOC2"/>
            <w:rPr>
              <w:rFonts w:eastAsiaTheme="minorEastAsia" w:cstheme="minorHAnsi"/>
              <w:noProof/>
              <w:color w:val="auto"/>
            </w:rPr>
          </w:pPr>
          <w:hyperlink w:anchor="_Toc128483701" w:history="1">
            <w:r w:rsidRPr="00B73BE3">
              <w:rPr>
                <w:rStyle w:val="Hyperlink"/>
                <w:rFonts w:cstheme="minorHAnsi"/>
                <w:noProof/>
              </w:rPr>
              <w:t>A.4. Efforts to Identify Duplication</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_Toc128483701 \h </w:instrText>
            </w:r>
            <w:r w:rsidRPr="00B73BE3">
              <w:rPr>
                <w:rFonts w:cstheme="minorHAnsi"/>
                <w:noProof/>
                <w:webHidden/>
              </w:rPr>
              <w:fldChar w:fldCharType="separate"/>
            </w:r>
            <w:r w:rsidRPr="00B73BE3">
              <w:rPr>
                <w:rFonts w:cstheme="minorHAnsi"/>
                <w:noProof/>
                <w:webHidden/>
              </w:rPr>
              <w:t>6</w:t>
            </w:r>
            <w:r w:rsidRPr="00B73BE3">
              <w:rPr>
                <w:rFonts w:cstheme="minorHAnsi"/>
                <w:noProof/>
                <w:webHidden/>
              </w:rPr>
              <w:fldChar w:fldCharType="end"/>
            </w:r>
          </w:hyperlink>
        </w:p>
        <w:p w:rsidR="00B73BE3" w:rsidRPr="00B73BE3" w14:paraId="59CAA9F4" w14:textId="59B60773">
          <w:pPr>
            <w:pStyle w:val="TOC2"/>
            <w:rPr>
              <w:rFonts w:eastAsiaTheme="minorEastAsia" w:cstheme="minorHAnsi"/>
              <w:noProof/>
              <w:color w:val="auto"/>
            </w:rPr>
          </w:pPr>
          <w:hyperlink w:anchor="_Toc128483702" w:history="1">
            <w:r w:rsidRPr="00B73BE3">
              <w:rPr>
                <w:rStyle w:val="Hyperlink"/>
                <w:rFonts w:cstheme="minorHAnsi"/>
                <w:noProof/>
              </w:rPr>
              <w:t>A.5. Provisions for Reducing Burden on Small Businesses</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_Toc128483702 \h </w:instrText>
            </w:r>
            <w:r w:rsidRPr="00B73BE3">
              <w:rPr>
                <w:rFonts w:cstheme="minorHAnsi"/>
                <w:noProof/>
                <w:webHidden/>
              </w:rPr>
              <w:fldChar w:fldCharType="separate"/>
            </w:r>
            <w:r w:rsidRPr="00B73BE3">
              <w:rPr>
                <w:rFonts w:cstheme="minorHAnsi"/>
                <w:noProof/>
                <w:webHidden/>
              </w:rPr>
              <w:t>6</w:t>
            </w:r>
            <w:r w:rsidRPr="00B73BE3">
              <w:rPr>
                <w:rFonts w:cstheme="minorHAnsi"/>
                <w:noProof/>
                <w:webHidden/>
              </w:rPr>
              <w:fldChar w:fldCharType="end"/>
            </w:r>
          </w:hyperlink>
        </w:p>
        <w:p w:rsidR="00B73BE3" w:rsidRPr="00B73BE3" w14:paraId="4EE6D4E0" w14:textId="0D50C34E">
          <w:pPr>
            <w:pStyle w:val="TOC2"/>
            <w:rPr>
              <w:rFonts w:eastAsiaTheme="minorEastAsia" w:cstheme="minorHAnsi"/>
              <w:noProof/>
              <w:color w:val="auto"/>
            </w:rPr>
          </w:pPr>
          <w:hyperlink w:anchor="_Toc128483703" w:history="1">
            <w:r w:rsidRPr="00B73BE3">
              <w:rPr>
                <w:rStyle w:val="Hyperlink"/>
                <w:rFonts w:cstheme="minorHAnsi"/>
                <w:noProof/>
              </w:rPr>
              <w:t>A.6. Consequences of Less-Frequent Reporting</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_Toc128483703 \h </w:instrText>
            </w:r>
            <w:r w:rsidRPr="00B73BE3">
              <w:rPr>
                <w:rFonts w:cstheme="minorHAnsi"/>
                <w:noProof/>
                <w:webHidden/>
              </w:rPr>
              <w:fldChar w:fldCharType="separate"/>
            </w:r>
            <w:r w:rsidRPr="00B73BE3">
              <w:rPr>
                <w:rFonts w:cstheme="minorHAnsi"/>
                <w:noProof/>
                <w:webHidden/>
              </w:rPr>
              <w:t>7</w:t>
            </w:r>
            <w:r w:rsidRPr="00B73BE3">
              <w:rPr>
                <w:rFonts w:cstheme="minorHAnsi"/>
                <w:noProof/>
                <w:webHidden/>
              </w:rPr>
              <w:fldChar w:fldCharType="end"/>
            </w:r>
          </w:hyperlink>
        </w:p>
        <w:p w:rsidR="00B73BE3" w:rsidRPr="00B73BE3" w14:paraId="08816A0C" w14:textId="493CA4E9">
          <w:pPr>
            <w:pStyle w:val="TOC2"/>
            <w:rPr>
              <w:rFonts w:eastAsiaTheme="minorEastAsia" w:cstheme="minorHAnsi"/>
              <w:noProof/>
              <w:color w:val="auto"/>
            </w:rPr>
          </w:pPr>
          <w:hyperlink w:anchor="_Toc128483704" w:history="1">
            <w:r w:rsidRPr="00B73BE3">
              <w:rPr>
                <w:rStyle w:val="Hyperlink"/>
                <w:rFonts w:cstheme="minorHAnsi"/>
                <w:noProof/>
              </w:rPr>
              <w:t>A.7. Compliance with 5 CFR 1320.5</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_Toc128483704 \h </w:instrText>
            </w:r>
            <w:r w:rsidRPr="00B73BE3">
              <w:rPr>
                <w:rFonts w:cstheme="minorHAnsi"/>
                <w:noProof/>
                <w:webHidden/>
              </w:rPr>
              <w:fldChar w:fldCharType="separate"/>
            </w:r>
            <w:r w:rsidRPr="00B73BE3">
              <w:rPr>
                <w:rFonts w:cstheme="minorHAnsi"/>
                <w:noProof/>
                <w:webHidden/>
              </w:rPr>
              <w:t>7</w:t>
            </w:r>
            <w:r w:rsidRPr="00B73BE3">
              <w:rPr>
                <w:rFonts w:cstheme="minorHAnsi"/>
                <w:noProof/>
                <w:webHidden/>
              </w:rPr>
              <w:fldChar w:fldCharType="end"/>
            </w:r>
          </w:hyperlink>
        </w:p>
        <w:p w:rsidR="00B73BE3" w:rsidRPr="00B73BE3" w14:paraId="67CE0B93" w14:textId="6D0D72C8">
          <w:pPr>
            <w:pStyle w:val="TOC2"/>
            <w:rPr>
              <w:rFonts w:eastAsiaTheme="minorEastAsia" w:cstheme="minorHAnsi"/>
              <w:noProof/>
              <w:color w:val="auto"/>
            </w:rPr>
          </w:pPr>
          <w:hyperlink w:anchor="_Toc128483705" w:history="1">
            <w:r w:rsidRPr="00B73BE3">
              <w:rPr>
                <w:rStyle w:val="Hyperlink"/>
                <w:rFonts w:cstheme="minorHAnsi"/>
                <w:noProof/>
              </w:rPr>
              <w:t>A.8. Summary of Consultations Outside of the Agency</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_Toc128483705 \h </w:instrText>
            </w:r>
            <w:r w:rsidRPr="00B73BE3">
              <w:rPr>
                <w:rFonts w:cstheme="minorHAnsi"/>
                <w:noProof/>
                <w:webHidden/>
              </w:rPr>
              <w:fldChar w:fldCharType="separate"/>
            </w:r>
            <w:r w:rsidRPr="00B73BE3">
              <w:rPr>
                <w:rFonts w:cstheme="minorHAnsi"/>
                <w:noProof/>
                <w:webHidden/>
              </w:rPr>
              <w:t>7</w:t>
            </w:r>
            <w:r w:rsidRPr="00B73BE3">
              <w:rPr>
                <w:rFonts w:cstheme="minorHAnsi"/>
                <w:noProof/>
                <w:webHidden/>
              </w:rPr>
              <w:fldChar w:fldCharType="end"/>
            </w:r>
          </w:hyperlink>
        </w:p>
        <w:p w:rsidR="00B73BE3" w:rsidRPr="00B73BE3" w14:paraId="669EEF9A" w14:textId="0E78F52B">
          <w:pPr>
            <w:pStyle w:val="TOC2"/>
            <w:rPr>
              <w:rFonts w:eastAsiaTheme="minorEastAsia" w:cstheme="minorHAnsi"/>
              <w:noProof/>
              <w:color w:val="auto"/>
            </w:rPr>
          </w:pPr>
          <w:hyperlink w:anchor="_Toc128483706" w:history="1">
            <w:r w:rsidRPr="00B73BE3">
              <w:rPr>
                <w:rStyle w:val="Hyperlink"/>
                <w:rFonts w:cstheme="minorHAnsi"/>
                <w:noProof/>
              </w:rPr>
              <w:t>A.9. Payments or Gifts to Respondents</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_Toc128483706 \h </w:instrText>
            </w:r>
            <w:r w:rsidRPr="00B73BE3">
              <w:rPr>
                <w:rFonts w:cstheme="minorHAnsi"/>
                <w:noProof/>
                <w:webHidden/>
              </w:rPr>
              <w:fldChar w:fldCharType="separate"/>
            </w:r>
            <w:r w:rsidRPr="00B73BE3">
              <w:rPr>
                <w:rFonts w:cstheme="minorHAnsi"/>
                <w:noProof/>
                <w:webHidden/>
              </w:rPr>
              <w:t>8</w:t>
            </w:r>
            <w:r w:rsidRPr="00B73BE3">
              <w:rPr>
                <w:rFonts w:cstheme="minorHAnsi"/>
                <w:noProof/>
                <w:webHidden/>
              </w:rPr>
              <w:fldChar w:fldCharType="end"/>
            </w:r>
          </w:hyperlink>
        </w:p>
        <w:p w:rsidR="00B73BE3" w:rsidRPr="00B73BE3" w14:paraId="7A5AC1AE" w14:textId="0FC61EB2">
          <w:pPr>
            <w:pStyle w:val="TOC2"/>
            <w:rPr>
              <w:rFonts w:eastAsiaTheme="minorEastAsia" w:cstheme="minorHAnsi"/>
              <w:noProof/>
              <w:color w:val="auto"/>
            </w:rPr>
          </w:pPr>
          <w:hyperlink w:anchor="_Toc128483707" w:history="1">
            <w:r w:rsidRPr="00B73BE3">
              <w:rPr>
                <w:rStyle w:val="Hyperlink"/>
                <w:rFonts w:cstheme="minorHAnsi"/>
                <w:noProof/>
              </w:rPr>
              <w:t>A.10. Provisions for Protection of Information</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_Toc128483707 \h </w:instrText>
            </w:r>
            <w:r w:rsidRPr="00B73BE3">
              <w:rPr>
                <w:rFonts w:cstheme="minorHAnsi"/>
                <w:noProof/>
                <w:webHidden/>
              </w:rPr>
              <w:fldChar w:fldCharType="separate"/>
            </w:r>
            <w:r w:rsidRPr="00B73BE3">
              <w:rPr>
                <w:rFonts w:cstheme="minorHAnsi"/>
                <w:noProof/>
                <w:webHidden/>
              </w:rPr>
              <w:t>8</w:t>
            </w:r>
            <w:r w:rsidRPr="00B73BE3">
              <w:rPr>
                <w:rFonts w:cstheme="minorHAnsi"/>
                <w:noProof/>
                <w:webHidden/>
              </w:rPr>
              <w:fldChar w:fldCharType="end"/>
            </w:r>
          </w:hyperlink>
        </w:p>
        <w:p w:rsidR="00B73BE3" w:rsidRPr="00B73BE3" w14:paraId="06C52F25" w14:textId="78C51608">
          <w:pPr>
            <w:pStyle w:val="TOC2"/>
            <w:rPr>
              <w:rFonts w:eastAsiaTheme="minorEastAsia" w:cstheme="minorHAnsi"/>
              <w:noProof/>
              <w:color w:val="auto"/>
            </w:rPr>
          </w:pPr>
          <w:hyperlink w:anchor="_Toc128483708" w:history="1">
            <w:r w:rsidRPr="00B73BE3">
              <w:rPr>
                <w:rStyle w:val="Hyperlink"/>
                <w:rFonts w:cstheme="minorHAnsi"/>
                <w:noProof/>
              </w:rPr>
              <w:t>A.11. Justification for Sensitive Questions</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_Toc128483708 \h </w:instrText>
            </w:r>
            <w:r w:rsidRPr="00B73BE3">
              <w:rPr>
                <w:rFonts w:cstheme="minorHAnsi"/>
                <w:noProof/>
                <w:webHidden/>
              </w:rPr>
              <w:fldChar w:fldCharType="separate"/>
            </w:r>
            <w:r w:rsidRPr="00B73BE3">
              <w:rPr>
                <w:rFonts w:cstheme="minorHAnsi"/>
                <w:noProof/>
                <w:webHidden/>
              </w:rPr>
              <w:t>8</w:t>
            </w:r>
            <w:r w:rsidRPr="00B73BE3">
              <w:rPr>
                <w:rFonts w:cstheme="minorHAnsi"/>
                <w:noProof/>
                <w:webHidden/>
              </w:rPr>
              <w:fldChar w:fldCharType="end"/>
            </w:r>
          </w:hyperlink>
        </w:p>
        <w:p w:rsidR="00B73BE3" w:rsidRPr="00B73BE3" w14:paraId="55AE4687" w14:textId="6295311F">
          <w:pPr>
            <w:pStyle w:val="TOC2"/>
            <w:rPr>
              <w:rFonts w:eastAsiaTheme="minorEastAsia" w:cstheme="minorHAnsi"/>
              <w:noProof/>
              <w:color w:val="auto"/>
            </w:rPr>
          </w:pPr>
          <w:hyperlink w:anchor="_Toc128483709" w:history="1">
            <w:r w:rsidRPr="00B73BE3">
              <w:rPr>
                <w:rStyle w:val="Hyperlink"/>
                <w:rFonts w:cstheme="minorHAnsi"/>
                <w:noProof/>
              </w:rPr>
              <w:t>A.12. Estimate of Respondent Burden Hours</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_Toc128483709 \h </w:instrText>
            </w:r>
            <w:r w:rsidRPr="00B73BE3">
              <w:rPr>
                <w:rFonts w:cstheme="minorHAnsi"/>
                <w:noProof/>
                <w:webHidden/>
              </w:rPr>
              <w:fldChar w:fldCharType="separate"/>
            </w:r>
            <w:r w:rsidRPr="00B73BE3">
              <w:rPr>
                <w:rFonts w:cstheme="minorHAnsi"/>
                <w:noProof/>
                <w:webHidden/>
              </w:rPr>
              <w:t>8</w:t>
            </w:r>
            <w:r w:rsidRPr="00B73BE3">
              <w:rPr>
                <w:rFonts w:cstheme="minorHAnsi"/>
                <w:noProof/>
                <w:webHidden/>
              </w:rPr>
              <w:fldChar w:fldCharType="end"/>
            </w:r>
          </w:hyperlink>
        </w:p>
        <w:p w:rsidR="00B73BE3" w:rsidRPr="00B73BE3" w14:paraId="19D489B4" w14:textId="5934714B">
          <w:pPr>
            <w:pStyle w:val="TOC2"/>
            <w:rPr>
              <w:rFonts w:eastAsiaTheme="minorEastAsia" w:cstheme="minorHAnsi"/>
              <w:noProof/>
              <w:color w:val="auto"/>
            </w:rPr>
          </w:pPr>
          <w:hyperlink w:anchor="_Toc128483710" w:history="1">
            <w:r w:rsidRPr="00B73BE3">
              <w:rPr>
                <w:rStyle w:val="Hyperlink"/>
                <w:rFonts w:cstheme="minorHAnsi"/>
                <w:noProof/>
              </w:rPr>
              <w:t>A.13. Annual Cost to Respondents</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_Toc128483710 \h </w:instrText>
            </w:r>
            <w:r w:rsidRPr="00B73BE3">
              <w:rPr>
                <w:rFonts w:cstheme="minorHAnsi"/>
                <w:noProof/>
                <w:webHidden/>
              </w:rPr>
              <w:fldChar w:fldCharType="separate"/>
            </w:r>
            <w:r w:rsidRPr="00B73BE3">
              <w:rPr>
                <w:rFonts w:cstheme="minorHAnsi"/>
                <w:noProof/>
                <w:webHidden/>
              </w:rPr>
              <w:t>9</w:t>
            </w:r>
            <w:r w:rsidRPr="00B73BE3">
              <w:rPr>
                <w:rFonts w:cstheme="minorHAnsi"/>
                <w:noProof/>
                <w:webHidden/>
              </w:rPr>
              <w:fldChar w:fldCharType="end"/>
            </w:r>
          </w:hyperlink>
        </w:p>
        <w:p w:rsidR="00B73BE3" w:rsidRPr="00B73BE3" w14:paraId="09B37E02" w14:textId="4414F519">
          <w:pPr>
            <w:pStyle w:val="TOC2"/>
            <w:rPr>
              <w:rFonts w:eastAsiaTheme="minorEastAsia" w:cstheme="minorHAnsi"/>
              <w:noProof/>
              <w:color w:val="auto"/>
            </w:rPr>
          </w:pPr>
          <w:hyperlink w:anchor="_Toc128483711" w:history="1">
            <w:r w:rsidRPr="00B73BE3">
              <w:rPr>
                <w:rStyle w:val="Hyperlink"/>
                <w:rFonts w:cstheme="minorHAnsi"/>
                <w:noProof/>
              </w:rPr>
              <w:t>A.14. Annual Cost to the Federal Government</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_Toc128483711 \h </w:instrText>
            </w:r>
            <w:r w:rsidRPr="00B73BE3">
              <w:rPr>
                <w:rFonts w:cstheme="minorHAnsi"/>
                <w:noProof/>
                <w:webHidden/>
              </w:rPr>
              <w:fldChar w:fldCharType="separate"/>
            </w:r>
            <w:r w:rsidRPr="00B73BE3">
              <w:rPr>
                <w:rFonts w:cstheme="minorHAnsi"/>
                <w:noProof/>
                <w:webHidden/>
              </w:rPr>
              <w:t>9</w:t>
            </w:r>
            <w:r w:rsidRPr="00B73BE3">
              <w:rPr>
                <w:rFonts w:cstheme="minorHAnsi"/>
                <w:noProof/>
                <w:webHidden/>
              </w:rPr>
              <w:fldChar w:fldCharType="end"/>
            </w:r>
          </w:hyperlink>
        </w:p>
        <w:p w:rsidR="00B73BE3" w:rsidRPr="00B73BE3" w14:paraId="45F5CE5F" w14:textId="4EB776E6">
          <w:pPr>
            <w:pStyle w:val="TOC2"/>
            <w:rPr>
              <w:rFonts w:eastAsiaTheme="minorEastAsia" w:cstheme="minorHAnsi"/>
              <w:noProof/>
              <w:color w:val="auto"/>
            </w:rPr>
          </w:pPr>
          <w:hyperlink w:anchor="_Toc128483712" w:history="1">
            <w:r w:rsidRPr="00B73BE3">
              <w:rPr>
                <w:rStyle w:val="Hyperlink"/>
                <w:rFonts w:cstheme="minorHAnsi"/>
                <w:noProof/>
              </w:rPr>
              <w:t>A.15. Reasons for Changes in Burden</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_Toc128483712 \h </w:instrText>
            </w:r>
            <w:r w:rsidRPr="00B73BE3">
              <w:rPr>
                <w:rFonts w:cstheme="minorHAnsi"/>
                <w:noProof/>
                <w:webHidden/>
              </w:rPr>
              <w:fldChar w:fldCharType="separate"/>
            </w:r>
            <w:r w:rsidRPr="00B73BE3">
              <w:rPr>
                <w:rFonts w:cstheme="minorHAnsi"/>
                <w:noProof/>
                <w:webHidden/>
              </w:rPr>
              <w:t>10</w:t>
            </w:r>
            <w:r w:rsidRPr="00B73BE3">
              <w:rPr>
                <w:rFonts w:cstheme="minorHAnsi"/>
                <w:noProof/>
                <w:webHidden/>
              </w:rPr>
              <w:fldChar w:fldCharType="end"/>
            </w:r>
          </w:hyperlink>
        </w:p>
        <w:p w:rsidR="00B73BE3" w:rsidRPr="00B73BE3" w14:paraId="01FADC78" w14:textId="3738C9CB">
          <w:pPr>
            <w:pStyle w:val="TOC2"/>
            <w:rPr>
              <w:rFonts w:eastAsiaTheme="minorEastAsia" w:cstheme="minorHAnsi"/>
              <w:noProof/>
              <w:color w:val="auto"/>
            </w:rPr>
          </w:pPr>
          <w:hyperlink w:anchor="_Toc128483713" w:history="1">
            <w:r w:rsidRPr="00B73BE3">
              <w:rPr>
                <w:rStyle w:val="Hyperlink"/>
                <w:rFonts w:cstheme="minorHAnsi"/>
                <w:noProof/>
              </w:rPr>
              <w:t>A.16. Collection, Tabulation, and Publication Plans</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_Toc128483713 \h </w:instrText>
            </w:r>
            <w:r w:rsidRPr="00B73BE3">
              <w:rPr>
                <w:rFonts w:cstheme="minorHAnsi"/>
                <w:noProof/>
                <w:webHidden/>
              </w:rPr>
              <w:fldChar w:fldCharType="separate"/>
            </w:r>
            <w:r w:rsidRPr="00B73BE3">
              <w:rPr>
                <w:rFonts w:cstheme="minorHAnsi"/>
                <w:noProof/>
                <w:webHidden/>
              </w:rPr>
              <w:t>10</w:t>
            </w:r>
            <w:r w:rsidRPr="00B73BE3">
              <w:rPr>
                <w:rFonts w:cstheme="minorHAnsi"/>
                <w:noProof/>
                <w:webHidden/>
              </w:rPr>
              <w:fldChar w:fldCharType="end"/>
            </w:r>
          </w:hyperlink>
        </w:p>
        <w:p w:rsidR="00B73BE3" w:rsidRPr="00B73BE3" w14:paraId="0FE8A5CA" w14:textId="4D1D492B">
          <w:pPr>
            <w:pStyle w:val="TOC2"/>
            <w:rPr>
              <w:rFonts w:eastAsiaTheme="minorEastAsia" w:cstheme="minorHAnsi"/>
              <w:noProof/>
              <w:color w:val="auto"/>
            </w:rPr>
          </w:pPr>
          <w:hyperlink w:anchor="_Toc128483714" w:history="1">
            <w:r w:rsidRPr="00B73BE3">
              <w:rPr>
                <w:rStyle w:val="Hyperlink"/>
                <w:rFonts w:cstheme="minorHAnsi"/>
                <w:noProof/>
              </w:rPr>
              <w:t>A.17. OMB Number and Expiration Date</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_Toc128483714 \h </w:instrText>
            </w:r>
            <w:r w:rsidRPr="00B73BE3">
              <w:rPr>
                <w:rFonts w:cstheme="minorHAnsi"/>
                <w:noProof/>
                <w:webHidden/>
              </w:rPr>
              <w:fldChar w:fldCharType="separate"/>
            </w:r>
            <w:r w:rsidRPr="00B73BE3">
              <w:rPr>
                <w:rFonts w:cstheme="minorHAnsi"/>
                <w:noProof/>
                <w:webHidden/>
              </w:rPr>
              <w:t>10</w:t>
            </w:r>
            <w:r w:rsidRPr="00B73BE3">
              <w:rPr>
                <w:rFonts w:cstheme="minorHAnsi"/>
                <w:noProof/>
                <w:webHidden/>
              </w:rPr>
              <w:fldChar w:fldCharType="end"/>
            </w:r>
          </w:hyperlink>
        </w:p>
        <w:p w:rsidR="00B73BE3" w:rsidRPr="00B73BE3" w14:paraId="6B2CE0B8" w14:textId="54469B0C">
          <w:pPr>
            <w:pStyle w:val="TOC2"/>
            <w:rPr>
              <w:rFonts w:eastAsiaTheme="minorEastAsia" w:cstheme="minorHAnsi"/>
              <w:noProof/>
              <w:color w:val="auto"/>
            </w:rPr>
          </w:pPr>
          <w:hyperlink w:anchor="_Toc128483715" w:history="1">
            <w:r w:rsidRPr="00B73BE3">
              <w:rPr>
                <w:rStyle w:val="Hyperlink"/>
                <w:rFonts w:cstheme="minorHAnsi"/>
                <w:noProof/>
              </w:rPr>
              <w:t>A.18. Certification Statement</w:t>
            </w:r>
            <w:r w:rsidRPr="00B73BE3">
              <w:rPr>
                <w:rFonts w:cstheme="minorHAnsi"/>
                <w:noProof/>
                <w:webHidden/>
              </w:rPr>
              <w:tab/>
            </w:r>
            <w:r w:rsidRPr="00B73BE3">
              <w:rPr>
                <w:rFonts w:cstheme="minorHAnsi"/>
                <w:noProof/>
                <w:webHidden/>
              </w:rPr>
              <w:fldChar w:fldCharType="begin"/>
            </w:r>
            <w:r w:rsidRPr="00B73BE3">
              <w:rPr>
                <w:rFonts w:cstheme="minorHAnsi"/>
                <w:noProof/>
                <w:webHidden/>
              </w:rPr>
              <w:instrText xml:space="preserve"> PAGEREF _Toc128483715 \h </w:instrText>
            </w:r>
            <w:r w:rsidRPr="00B73BE3">
              <w:rPr>
                <w:rFonts w:cstheme="minorHAnsi"/>
                <w:noProof/>
                <w:webHidden/>
              </w:rPr>
              <w:fldChar w:fldCharType="separate"/>
            </w:r>
            <w:r w:rsidRPr="00B73BE3">
              <w:rPr>
                <w:rFonts w:cstheme="minorHAnsi"/>
                <w:noProof/>
                <w:webHidden/>
              </w:rPr>
              <w:t>10</w:t>
            </w:r>
            <w:r w:rsidRPr="00B73BE3">
              <w:rPr>
                <w:rFonts w:cstheme="minorHAnsi"/>
                <w:noProof/>
                <w:webHidden/>
              </w:rPr>
              <w:fldChar w:fldCharType="end"/>
            </w:r>
          </w:hyperlink>
        </w:p>
        <w:p w:rsidR="0059212D" w:rsidRPr="00B73BE3" w14:paraId="71686BA9" w14:textId="33B5D560">
          <w:pPr>
            <w:rPr>
              <w:rFonts w:cstheme="minorHAnsi"/>
            </w:rPr>
          </w:pPr>
          <w:r w:rsidRPr="00B73BE3">
            <w:rPr>
              <w:rFonts w:cstheme="minorHAnsi"/>
              <w:b/>
              <w:bCs/>
              <w:noProof/>
            </w:rPr>
            <w:fldChar w:fldCharType="end"/>
          </w:r>
        </w:p>
      </w:sdtContent>
    </w:sdt>
    <w:p w:rsidR="001F3A8F" w:rsidRPr="00B73BE3" w:rsidP="00D928FD" w14:paraId="4DF71872" w14:textId="77777777">
      <w:pPr>
        <w:rPr>
          <w:rFonts w:cstheme="minorHAnsi"/>
        </w:rPr>
      </w:pPr>
    </w:p>
    <w:p w:rsidR="00D928FD" w:rsidRPr="00B73BE3" w:rsidP="00D928FD" w14:paraId="1B71B68A" w14:textId="77777777">
      <w:pPr>
        <w:rPr>
          <w:rFonts w:cstheme="minorHAnsi"/>
        </w:rPr>
        <w:sectPr w:rsidSect="00725453">
          <w:footerReference w:type="first" r:id="rId9"/>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B73BE3" w:rsidP="00836D62" w14:paraId="74749FE6" w14:textId="77777777">
      <w:pPr>
        <w:spacing w:line="240" w:lineRule="auto"/>
        <w:rPr>
          <w:rFonts w:cstheme="minorHAnsi"/>
        </w:rPr>
      </w:pPr>
    </w:p>
    <w:p w:rsidR="00933D5D" w:rsidRPr="00B73BE3" w:rsidP="00933D5D" w14:paraId="39273D9B" w14:textId="77777777">
      <w:pPr>
        <w:tabs>
          <w:tab w:val="left" w:pos="7365"/>
        </w:tabs>
        <w:rPr>
          <w:rFonts w:cstheme="minorHAnsi"/>
        </w:rPr>
      </w:pPr>
      <w:r w:rsidRPr="00B73BE3">
        <w:rPr>
          <w:rFonts w:cstheme="minorHAnsi"/>
        </w:rPr>
        <w:tab/>
      </w:r>
    </w:p>
    <w:p w:rsidR="00041909" w:rsidRPr="00B73BE3" w:rsidP="00933D5D" w14:paraId="3173314F" w14:textId="77777777">
      <w:pPr>
        <w:tabs>
          <w:tab w:val="left" w:pos="7365"/>
        </w:tabs>
        <w:rPr>
          <w:rFonts w:cstheme="minorHAnsi"/>
        </w:rPr>
        <w:sectPr w:rsidSect="00725453">
          <w:footerReference w:type="first" r:id="rId10"/>
          <w:footnotePr>
            <w:pos w:val="beneathText"/>
          </w:footnotePr>
          <w:type w:val="continuous"/>
          <w:pgSz w:w="12240" w:h="15840"/>
          <w:pgMar w:top="1440" w:right="1440" w:bottom="1440" w:left="1440" w:header="720" w:footer="720" w:gutter="0"/>
          <w:pgNumType w:fmt="lowerRoman"/>
          <w:cols w:space="720"/>
          <w:docGrid w:linePitch="360"/>
        </w:sectPr>
      </w:pPr>
      <w:r w:rsidRPr="00B73BE3">
        <w:rPr>
          <w:rFonts w:cstheme="minorHAnsi"/>
        </w:rPr>
        <w:tab/>
      </w:r>
    </w:p>
    <w:p w:rsidR="008C734C" w:rsidRPr="00B73BE3" w:rsidP="00EA5684" w14:paraId="2B3780E9" w14:textId="77777777">
      <w:pPr>
        <w:pStyle w:val="Heading2"/>
        <w:rPr>
          <w:rFonts w:cstheme="minorHAnsi"/>
        </w:rPr>
      </w:pPr>
      <w:bookmarkStart w:id="1" w:name="_Toc128483697"/>
      <w:r w:rsidRPr="00B73BE3">
        <w:rPr>
          <w:rFonts w:cstheme="minorHAnsi"/>
        </w:rPr>
        <w:t>Introdu</w:t>
      </w:r>
      <w:r w:rsidRPr="00B73BE3" w:rsidR="00844524">
        <w:rPr>
          <w:rFonts w:cstheme="minorHAnsi"/>
        </w:rPr>
        <w:t>ction</w:t>
      </w:r>
      <w:bookmarkEnd w:id="1"/>
    </w:p>
    <w:p w:rsidR="006D42EC" w:rsidRPr="00B73BE3" w:rsidP="00844524" w14:paraId="0B5942FD" w14:textId="77777777">
      <w:pPr>
        <w:rPr>
          <w:rFonts w:cstheme="minorHAnsi"/>
          <w:b/>
        </w:rPr>
      </w:pPr>
      <w:r w:rsidRPr="00B73BE3">
        <w:rPr>
          <w:rFonts w:cstheme="minorHAnsi"/>
          <w:b/>
        </w:rPr>
        <w:t>Provide a brief introduction of the Information Collection Request.  Include the purpose of this collection, note the publication of the 60-Day Federal Register Notice, and provide the list of forms within this collection.</w:t>
      </w:r>
    </w:p>
    <w:p w:rsidR="00273E96" w:rsidRPr="00B73BE3" w:rsidP="00E23CC7" w14:paraId="7A6B9D4D" w14:textId="2D2FEEDA">
      <w:pPr>
        <w:rPr>
          <w:rFonts w:cstheme="minorHAnsi"/>
        </w:rPr>
      </w:pPr>
      <w:r w:rsidRPr="00B73BE3">
        <w:rPr>
          <w:rFonts w:cstheme="minorHAnsi"/>
        </w:rPr>
        <w:t xml:space="preserve">The Department of Energy (DOE), pursuant to the Paperwork </w:t>
      </w:r>
      <w:r w:rsidRPr="00B73BE3">
        <w:rPr>
          <w:rFonts w:cstheme="minorHAnsi"/>
        </w:rPr>
        <w:t>Reduction Act of 1995</w:t>
      </w:r>
      <w:r w:rsidRPr="00B73BE3">
        <w:rPr>
          <w:rFonts w:cstheme="minorHAnsi"/>
        </w:rPr>
        <w:t>, intends to extend for three years an information collection request with the Office of</w:t>
      </w:r>
      <w:r w:rsidRPr="00B73BE3">
        <w:rPr>
          <w:rFonts w:cstheme="minorHAnsi"/>
        </w:rPr>
        <w:t xml:space="preserve"> </w:t>
      </w:r>
      <w:r w:rsidRPr="00B73BE3">
        <w:rPr>
          <w:rFonts w:cstheme="minorHAnsi"/>
        </w:rPr>
        <w:t xml:space="preserve">Management and Budget (OMB). </w:t>
      </w:r>
      <w:r w:rsidRPr="00B73BE3" w:rsidR="00B01AFB">
        <w:rPr>
          <w:rFonts w:cstheme="minorHAnsi"/>
        </w:rPr>
        <w:t>The information collection request was previously approved on February 24, 2020</w:t>
      </w:r>
      <w:r w:rsidRPr="00B73BE3" w:rsidR="00E162BC">
        <w:rPr>
          <w:rFonts w:cstheme="minorHAnsi"/>
        </w:rPr>
        <w:t>,</w:t>
      </w:r>
      <w:r w:rsidRPr="00B73BE3" w:rsidR="00B01AFB">
        <w:rPr>
          <w:rFonts w:cstheme="minorHAnsi"/>
        </w:rPr>
        <w:t xml:space="preserve"> under OMB Control No. 1910-5155 and its current expiration date is February 28, 2023.</w:t>
      </w:r>
    </w:p>
    <w:p w:rsidR="00E23CC7" w:rsidRPr="00B73BE3" w:rsidP="00E23CC7" w14:paraId="0D7E986C" w14:textId="7FD1473E">
      <w:pPr>
        <w:rPr>
          <w:rFonts w:cstheme="minorHAnsi"/>
        </w:rPr>
      </w:pPr>
      <w:r w:rsidRPr="00B73BE3">
        <w:rPr>
          <w:rFonts w:cstheme="minorHAnsi"/>
        </w:rPr>
        <w:t xml:space="preserve">The extension of this currently </w:t>
      </w:r>
      <w:r w:rsidRPr="00B73BE3" w:rsidR="005F2CDF">
        <w:rPr>
          <w:rFonts w:cstheme="minorHAnsi"/>
        </w:rPr>
        <w:t>approved information collection</w:t>
      </w:r>
      <w:r w:rsidRPr="00B73BE3">
        <w:rPr>
          <w:rFonts w:cstheme="minorHAnsi"/>
        </w:rPr>
        <w:t xml:space="preserve"> will allow DOE to continue data collection on the </w:t>
      </w:r>
      <w:r w:rsidRPr="00B73BE3" w:rsidR="00375C94">
        <w:rPr>
          <w:rFonts w:cstheme="minorHAnsi"/>
        </w:rPr>
        <w:t xml:space="preserve">Historic Preservation </w:t>
      </w:r>
      <w:r w:rsidRPr="00B73BE3">
        <w:rPr>
          <w:rFonts w:cstheme="minorHAnsi"/>
        </w:rPr>
        <w:t xml:space="preserve">status of the Weatherization Assistance Program (WAP), the State Energy Program (SEP), and the Energy Efficiency and Conservation Block Grant (EECBG) </w:t>
      </w:r>
      <w:r w:rsidRPr="00B73BE3" w:rsidR="00F92003">
        <w:rPr>
          <w:rFonts w:cstheme="minorHAnsi"/>
        </w:rPr>
        <w:t>P</w:t>
      </w:r>
      <w:r w:rsidRPr="00B73BE3">
        <w:rPr>
          <w:rFonts w:cstheme="minorHAnsi"/>
        </w:rPr>
        <w:t>rogram.</w:t>
      </w:r>
    </w:p>
    <w:p w:rsidR="001140B1" w:rsidRPr="00B73BE3" w:rsidP="00E23CC7" w14:paraId="4BB5E038" w14:textId="4C029C80">
      <w:pPr>
        <w:rPr>
          <w:rFonts w:cstheme="minorHAnsi"/>
        </w:rPr>
      </w:pPr>
      <w:r w:rsidRPr="00B73BE3">
        <w:rPr>
          <w:rFonts w:cstheme="minorHAnsi"/>
        </w:rPr>
        <w:t xml:space="preserve">The 60-day Notice was published on August 30, 2022 and completed on October 31, 2022: </w:t>
      </w:r>
      <w:hyperlink r:id="rId11" w:history="1">
        <w:r w:rsidRPr="00B73BE3">
          <w:rPr>
            <w:rStyle w:val="Hyperlink"/>
            <w:rFonts w:cstheme="minorHAnsi"/>
          </w:rPr>
          <w:t>Federal Register :: Extension of a Currently Approved Information Collection for the Weatherization Assistance Program</w:t>
        </w:r>
      </w:hyperlink>
    </w:p>
    <w:p w:rsidR="008C734C" w:rsidRPr="00B73BE3" w:rsidP="00EA5684" w14:paraId="3BDC9B90" w14:textId="77777777">
      <w:pPr>
        <w:pStyle w:val="Heading2"/>
        <w:rPr>
          <w:rFonts w:cstheme="minorHAnsi"/>
        </w:rPr>
      </w:pPr>
      <w:bookmarkStart w:id="2" w:name="_Toc128483698"/>
      <w:r w:rsidRPr="00B73BE3">
        <w:rPr>
          <w:rFonts w:cstheme="minorHAnsi"/>
        </w:rPr>
        <w:t>A.1. Legal Justification</w:t>
      </w:r>
      <w:bookmarkEnd w:id="2"/>
    </w:p>
    <w:p w:rsidR="00A41763" w:rsidRPr="00B73BE3" w:rsidP="00A41763" w14:paraId="1948C579" w14:textId="7EAA6F8E">
      <w:pPr>
        <w:rPr>
          <w:rFonts w:cstheme="minorHAnsi"/>
          <w:b/>
          <w:bCs/>
        </w:rPr>
      </w:pPr>
      <w:r w:rsidRPr="00B73BE3">
        <w:rPr>
          <w:rFonts w:cstheme="min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1140B1" w:rsidRPr="00B73BE3" w:rsidP="001140B1" w14:paraId="02D5534A" w14:textId="77777777">
      <w:pPr>
        <w:rPr>
          <w:rFonts w:cstheme="minorHAnsi"/>
          <w:bCs/>
          <w:sz w:val="23"/>
          <w:szCs w:val="23"/>
        </w:rPr>
      </w:pPr>
      <w:r w:rsidRPr="00B73BE3">
        <w:rPr>
          <w:rFonts w:cstheme="minorHAnsi"/>
          <w:bCs/>
          <w:sz w:val="23"/>
          <w:szCs w:val="23"/>
        </w:rPr>
        <w:t xml:space="preserve">The U.S. Department of Energy’s (DOE) Weatherization Assistance Program (WAP), State Energy Program (SEP), and Energy Efficiency and Conservation Block Grant (EECBG) Program recipients are required to submit </w:t>
      </w:r>
      <w:r w:rsidRPr="00B73BE3">
        <w:rPr>
          <w:rFonts w:eastAsia="Times New Roman" w:cstheme="minorHAnsi"/>
          <w:sz w:val="23"/>
          <w:szCs w:val="23"/>
        </w:rPr>
        <w:t>through the Performance and Accountability for Grants in Energy (PAGE) an annual report of their historic preservation activities, in compliance</w:t>
      </w:r>
      <w:r w:rsidRPr="00B73BE3">
        <w:rPr>
          <w:rFonts w:cstheme="minorHAnsi"/>
          <w:bCs/>
          <w:sz w:val="23"/>
          <w:szCs w:val="23"/>
        </w:rPr>
        <w:t xml:space="preserve"> with Section 106 of the National Historic Preservation Act. </w:t>
      </w:r>
    </w:p>
    <w:p w:rsidR="001140B1" w:rsidRPr="00B73BE3" w:rsidP="001140B1" w14:paraId="4CE8FBB3" w14:textId="77777777">
      <w:pPr>
        <w:pStyle w:val="NormalWeb"/>
        <w:shd w:val="clear" w:color="auto" w:fill="FFFFFF"/>
        <w:rPr>
          <w:rFonts w:asciiTheme="minorHAnsi" w:hAnsiTheme="minorHAnsi" w:cstheme="minorHAnsi"/>
        </w:rPr>
      </w:pPr>
      <w:r w:rsidRPr="00B73BE3">
        <w:rPr>
          <w:rFonts w:asciiTheme="minorHAnsi" w:hAnsiTheme="minorHAnsi" w:cstheme="minorHAnsi"/>
          <w:bCs/>
        </w:rPr>
        <w:t xml:space="preserve">In 2010, as the result of unprecedented funding and projects instituted under the American Recovery and Reinvestment Act, the DOE, Advisory Council on Historic Preservation, and National Conference of State Historic Preservation Officers, developed a first-of-its-kind Prototype Programmatic Agreement (Prototype PA).  </w:t>
      </w:r>
      <w:r w:rsidRPr="00B73BE3">
        <w:rPr>
          <w:rFonts w:asciiTheme="minorHAnsi" w:hAnsiTheme="minorHAnsi" w:cstheme="minorHAnsi"/>
        </w:rPr>
        <w:t xml:space="preserve">A Program Comment was issued by the Advisory Council on Historic Preservation (ACHP) on March 11, 2013, pursuant to 36 CFR 800.14(e), published in the Federal Register on March 14, 2013, and extends the duration of the existing Programmatic Agreements—and any future agreements that may be executed under the prototype PA—until Dec. 31, 2020. </w:t>
      </w:r>
    </w:p>
    <w:p w:rsidR="001140B1" w:rsidRPr="00B73BE3" w:rsidP="001140B1" w14:paraId="6B86A5E0" w14:textId="244847D7">
      <w:pPr>
        <w:pStyle w:val="NormalWeb"/>
        <w:shd w:val="clear" w:color="auto" w:fill="FFFFFF"/>
        <w:rPr>
          <w:rFonts w:asciiTheme="minorHAnsi" w:hAnsiTheme="minorHAnsi" w:cstheme="minorHAnsi"/>
        </w:rPr>
      </w:pPr>
      <w:r w:rsidRPr="00B73BE3">
        <w:rPr>
          <w:rFonts w:asciiTheme="minorHAnsi" w:hAnsiTheme="minorHAnsi" w:cstheme="minorHAnsi"/>
        </w:rPr>
        <w:t>In 2020, DOE in cooperation with the ACHP and the National Conference of State Historic Preservation Officers (NCSHPO), developed an amendment to extend the expiration date of the executed subsequent PAs. All grantees elected to extend their agreement with DOE.  Most amendments extend the agreements until Dec. 31, 2030, while some states opted to extend their agreements until Dec. 31, 2025.</w:t>
      </w:r>
    </w:p>
    <w:p w:rsidR="00E57072" w:rsidRPr="00B73BE3" w:rsidP="001871EA" w14:paraId="17CC647D" w14:textId="199A4F57">
      <w:pPr>
        <w:spacing w:after="0" w:line="240" w:lineRule="auto"/>
        <w:rPr>
          <w:rFonts w:eastAsia="Times New Roman" w:cstheme="minorHAnsi"/>
        </w:rPr>
      </w:pPr>
      <w:r w:rsidRPr="00B73BE3">
        <w:rPr>
          <w:rFonts w:eastAsia="Times New Roman" w:cstheme="minorHAnsi"/>
        </w:rPr>
        <w:t xml:space="preserve">The Weatherization and Intergovernmental Programs Office (WIP) is part of the DOE Office of Energy Efficiency and Renewable Energy (EERE) and supports DOE's mission to create greater energy affordability, security, and resiliency. WIP’s mission is to enable strategic investments in energy efficiency and renewable energy technologies </w:t>
      </w:r>
      <w:r w:rsidRPr="00B73BE3" w:rsidR="00B01332">
        <w:rPr>
          <w:rFonts w:eastAsia="Times New Roman" w:cstheme="minorHAnsi"/>
        </w:rPr>
        <w:t>using</w:t>
      </w:r>
      <w:r w:rsidRPr="00B73BE3">
        <w:rPr>
          <w:rFonts w:eastAsia="Times New Roman" w:cstheme="minorHAnsi"/>
        </w:rPr>
        <w:t xml:space="preserve"> innovative practices across the United States in partnership with a wide range of stakeholders, including state and local organizations and community-based non-profits. </w:t>
      </w:r>
      <w:r w:rsidRPr="00B73BE3">
        <w:rPr>
          <w:rFonts w:eastAsia="Times New Roman" w:cstheme="minorHAnsi"/>
        </w:rPr>
        <w:t xml:space="preserve"> </w:t>
      </w:r>
    </w:p>
    <w:p w:rsidR="00E57072" w:rsidRPr="00B73BE3" w:rsidP="001871EA" w14:paraId="1737C55D" w14:textId="77777777">
      <w:pPr>
        <w:spacing w:after="0" w:line="240" w:lineRule="auto"/>
        <w:rPr>
          <w:rFonts w:eastAsia="Times New Roman" w:cstheme="minorHAnsi"/>
        </w:rPr>
      </w:pPr>
    </w:p>
    <w:p w:rsidR="00E57072" w:rsidRPr="00B73BE3" w:rsidP="001871EA" w14:paraId="519B2BDE" w14:textId="26EE9509">
      <w:pPr>
        <w:spacing w:after="0" w:line="240" w:lineRule="auto"/>
        <w:rPr>
          <w:rFonts w:eastAsia="Times New Roman" w:cstheme="minorHAnsi"/>
        </w:rPr>
      </w:pPr>
      <w:r w:rsidRPr="00B73BE3">
        <w:rPr>
          <w:rFonts w:eastAsia="Times New Roman" w:cstheme="minorHAnsi"/>
        </w:rPr>
        <w:t xml:space="preserve">WIP supports DOE’s strategic objective to lower energy costs while expanding energy choices for all American communities. WIP’s near-term activities produce almost immediate results, saving taxpayer dollars, making full use of domestic energy resources, boosting local economic development and job creation, cutting energy waste, improving energy independence and security, and furthering the development of energy infrastructure. </w:t>
      </w:r>
      <w:r w:rsidRPr="00B73BE3">
        <w:rPr>
          <w:rFonts w:eastAsia="Times New Roman" w:cstheme="minorHAnsi"/>
        </w:rPr>
        <w:t xml:space="preserve"> </w:t>
      </w:r>
    </w:p>
    <w:p w:rsidR="00E57072" w:rsidRPr="00B73BE3" w:rsidP="001871EA" w14:paraId="48EECE7F" w14:textId="77777777">
      <w:pPr>
        <w:spacing w:after="0" w:line="240" w:lineRule="auto"/>
        <w:rPr>
          <w:rFonts w:eastAsia="Times New Roman" w:cstheme="minorHAnsi"/>
        </w:rPr>
      </w:pPr>
    </w:p>
    <w:p w:rsidR="001871EA" w:rsidRPr="00B73BE3" w:rsidP="001871EA" w14:paraId="0C74B8BA" w14:textId="2AC04554">
      <w:pPr>
        <w:spacing w:after="0" w:line="240" w:lineRule="auto"/>
        <w:rPr>
          <w:rFonts w:eastAsia="Times New Roman" w:cstheme="minorHAnsi"/>
        </w:rPr>
      </w:pPr>
      <w:r w:rsidRPr="00B73BE3">
        <w:rPr>
          <w:rFonts w:eastAsia="Times New Roman" w:cstheme="minorHAnsi"/>
        </w:rPr>
        <w:t>WIP comprises t</w:t>
      </w:r>
      <w:r w:rsidRPr="00B73BE3" w:rsidR="00B01AFB">
        <w:rPr>
          <w:rFonts w:eastAsia="Times New Roman" w:cstheme="minorHAnsi"/>
        </w:rPr>
        <w:t>hree</w:t>
      </w:r>
      <w:r w:rsidRPr="00B73BE3">
        <w:rPr>
          <w:rFonts w:eastAsia="Times New Roman" w:cstheme="minorHAnsi"/>
        </w:rPr>
        <w:t xml:space="preserve"> programs focused on state and local governments</w:t>
      </w:r>
      <w:r w:rsidRPr="00B73BE3" w:rsidR="00B01AFB">
        <w:rPr>
          <w:rFonts w:eastAsia="Times New Roman" w:cstheme="minorHAnsi"/>
        </w:rPr>
        <w:t>:</w:t>
      </w:r>
      <w:r w:rsidRPr="00B73BE3">
        <w:rPr>
          <w:rFonts w:eastAsia="Times New Roman" w:cstheme="minorHAnsi"/>
        </w:rPr>
        <w:t xml:space="preserve"> the Weatherization Assistance Program (WAP)</w:t>
      </w:r>
      <w:r w:rsidRPr="00B73BE3" w:rsidR="00B01AFB">
        <w:rPr>
          <w:rFonts w:eastAsia="Times New Roman" w:cstheme="minorHAnsi"/>
        </w:rPr>
        <w:t xml:space="preserve">, </w:t>
      </w:r>
      <w:r w:rsidRPr="00B73BE3">
        <w:rPr>
          <w:rFonts w:eastAsia="Times New Roman" w:cstheme="minorHAnsi"/>
        </w:rPr>
        <w:t>the State Energy Program (SEP)</w:t>
      </w:r>
      <w:r w:rsidRPr="00B73BE3" w:rsidR="00B01AFB">
        <w:rPr>
          <w:rFonts w:eastAsia="Times New Roman" w:cstheme="minorHAnsi"/>
        </w:rPr>
        <w:t xml:space="preserve">, and the Energy Efficiency and Conservation Block Grant Program (EECBG). </w:t>
      </w:r>
    </w:p>
    <w:p w:rsidR="000E07D0" w:rsidRPr="00B73BE3" w:rsidP="001871EA" w14:paraId="74DF8232" w14:textId="77777777">
      <w:pPr>
        <w:spacing w:after="0" w:line="240" w:lineRule="auto"/>
        <w:rPr>
          <w:rFonts w:eastAsia="Times New Roman" w:cstheme="minorHAnsi"/>
        </w:rPr>
      </w:pPr>
    </w:p>
    <w:p w:rsidR="001871EA" w:rsidRPr="00B73BE3" w:rsidP="001871EA" w14:paraId="3D92B512" w14:textId="4D7152BB">
      <w:pPr>
        <w:autoSpaceDE w:val="0"/>
        <w:autoSpaceDN w:val="0"/>
        <w:adjustRightInd w:val="0"/>
        <w:spacing w:after="0" w:line="240" w:lineRule="auto"/>
        <w:rPr>
          <w:rFonts w:eastAsia="Times New Roman" w:cstheme="minorHAnsi"/>
        </w:rPr>
      </w:pPr>
      <w:r w:rsidRPr="00B73BE3">
        <w:rPr>
          <w:rFonts w:eastAsia="Times New Roman" w:cstheme="minorHAnsi"/>
        </w:rPr>
        <w:t xml:space="preserve">Prior to the expenditure of project funds to alter any historic structure or site, the Weatherization Assistance Program, State Energy Program, and Energy Efficiency and Conservation Block Grant </w:t>
      </w:r>
      <w:r w:rsidRPr="00B73BE3" w:rsidR="00F92003">
        <w:rPr>
          <w:rFonts w:eastAsia="Times New Roman" w:cstheme="minorHAnsi"/>
        </w:rPr>
        <w:t xml:space="preserve">Program </w:t>
      </w:r>
      <w:r w:rsidRPr="00B73BE3">
        <w:rPr>
          <w:rFonts w:eastAsia="Times New Roman" w:cstheme="minorHAnsi"/>
        </w:rPr>
        <w:t xml:space="preserve">recipients are required to ensure that it is compliant with Section 106 of the National Historic Preservation Act (NHPA), consistent with DOE's 2009 letter of delegation of authority regarding the NHPA. Section 106 applies to historic properties that are listed in or eligible for listing in the National Register of Historic Places. </w:t>
      </w:r>
    </w:p>
    <w:p w:rsidR="001871EA" w:rsidRPr="00B73BE3" w:rsidP="001871EA" w14:paraId="40394596" w14:textId="77777777">
      <w:pPr>
        <w:autoSpaceDE w:val="0"/>
        <w:autoSpaceDN w:val="0"/>
        <w:adjustRightInd w:val="0"/>
        <w:spacing w:after="0" w:line="240" w:lineRule="auto"/>
        <w:rPr>
          <w:rFonts w:eastAsia="Times New Roman" w:cstheme="minorHAnsi"/>
        </w:rPr>
      </w:pPr>
    </w:p>
    <w:p w:rsidR="001871EA" w:rsidRPr="00B73BE3" w:rsidP="001871EA" w14:paraId="702F615B" w14:textId="77777777">
      <w:pPr>
        <w:autoSpaceDE w:val="0"/>
        <w:autoSpaceDN w:val="0"/>
        <w:adjustRightInd w:val="0"/>
        <w:spacing w:after="0" w:line="240" w:lineRule="auto"/>
        <w:rPr>
          <w:rFonts w:eastAsia="Times New Roman" w:cstheme="minorHAnsi"/>
        </w:rPr>
      </w:pPr>
      <w:r w:rsidRPr="00B73BE3">
        <w:rPr>
          <w:rFonts w:eastAsia="Times New Roman" w:cstheme="minorHAnsi"/>
        </w:rPr>
        <w:t>The recipient (or subrecipient) is required to retain sufficient documentation to demonstrate that the recipient (or subrecipient) has received required reviews and/or approval(s) from the State Historic Preservation Officer (SHPO) or Tribal Historic Preservation Officer for the Project. Recipients or subrecipients shall avoid taking any action that results in an adverse effect to historic properties pending compliance with Section 106. The recipient or subrecipient shall deem compliance with Section 106 of the NHPA only after it has received this documentation. The recipient or subrecipient shall make this documentation available to DOE at DOE's request (for example, during a post-award audit). Recipients will be required to report annually on September 1 the disposition of all historic preservation consultations by category. This reporting requirement on NHPA compliance is the basis for this information collection request.</w:t>
      </w:r>
    </w:p>
    <w:p w:rsidR="001871EA" w:rsidRPr="00B73BE3" w:rsidP="001871EA" w14:paraId="64B6E667" w14:textId="77777777">
      <w:pPr>
        <w:autoSpaceDE w:val="0"/>
        <w:autoSpaceDN w:val="0"/>
        <w:adjustRightInd w:val="0"/>
        <w:spacing w:after="0" w:line="240" w:lineRule="auto"/>
        <w:rPr>
          <w:rFonts w:eastAsia="Times New Roman" w:cstheme="minorHAnsi"/>
        </w:rPr>
      </w:pPr>
    </w:p>
    <w:p w:rsidR="001871EA" w:rsidRPr="00B73BE3" w:rsidP="00A05BFB" w14:paraId="57B1F17B" w14:textId="0FAD064B">
      <w:pPr>
        <w:autoSpaceDE w:val="0"/>
        <w:autoSpaceDN w:val="0"/>
        <w:adjustRightInd w:val="0"/>
        <w:spacing w:after="0" w:line="276" w:lineRule="atLeast"/>
        <w:rPr>
          <w:rFonts w:cstheme="minorHAnsi"/>
        </w:rPr>
      </w:pPr>
      <w:r w:rsidRPr="00B73BE3">
        <w:rPr>
          <w:rFonts w:cstheme="minorHAnsi"/>
        </w:rPr>
        <w:t>DOE is seeking to</w:t>
      </w:r>
      <w:r w:rsidRPr="00B73BE3" w:rsidR="00672F50">
        <w:rPr>
          <w:rFonts w:cstheme="minorHAnsi"/>
        </w:rPr>
        <w:t xml:space="preserve"> extend</w:t>
      </w:r>
      <w:r w:rsidRPr="00B73BE3">
        <w:rPr>
          <w:rFonts w:cstheme="minorHAnsi"/>
        </w:rPr>
        <w:t xml:space="preserve"> their Historic Preservation for Energy Efficiency Programs collection because the Department requires historic preservation data reporting as part of the </w:t>
      </w:r>
      <w:r w:rsidRPr="00B73BE3" w:rsidR="009C1126">
        <w:rPr>
          <w:rFonts w:cstheme="minorHAnsi"/>
        </w:rPr>
        <w:t xml:space="preserve">grant closeout process for all </w:t>
      </w:r>
      <w:r w:rsidRPr="00B73BE3">
        <w:rPr>
          <w:rFonts w:cstheme="minorHAnsi"/>
        </w:rPr>
        <w:t xml:space="preserve">WIP grantees that received funding as formula awards or have the possibility of affecting historic properties. </w:t>
      </w:r>
      <w:r w:rsidRPr="00B73BE3" w:rsidR="009C1126">
        <w:rPr>
          <w:rFonts w:cstheme="minorHAnsi"/>
        </w:rPr>
        <w:t xml:space="preserve">All </w:t>
      </w:r>
      <w:r w:rsidRPr="00B73BE3">
        <w:rPr>
          <w:rFonts w:cstheme="minorHAnsi"/>
        </w:rPr>
        <w:t>WIP grantees with such grants must report annually on their historic preservation activities as part of the Terms and Conditions of their awards. Additionally, the collection will remain for</w:t>
      </w:r>
      <w:r w:rsidRPr="00B73BE3" w:rsidR="009C1126">
        <w:rPr>
          <w:rFonts w:cstheme="minorHAnsi"/>
        </w:rPr>
        <w:t xml:space="preserve"> Recovery Act </w:t>
      </w:r>
      <w:r w:rsidRPr="00B73BE3">
        <w:rPr>
          <w:rFonts w:cstheme="minorHAnsi"/>
        </w:rPr>
        <w:t xml:space="preserve">WIP grants which continue with Revolving Loan Funds (ROLs) and other funding mechanism streams using Recovery Act funds. Pursuant to Federal law, any future awards made through these ROLs and/or funding mechanisms will be subject to Historic Preservation reporting requirements because they are tied to Recovery Act </w:t>
      </w:r>
      <w:r w:rsidRPr="00B73BE3">
        <w:rPr>
          <w:rFonts w:eastAsia="Times New Roman" w:cstheme="minorHAnsi"/>
          <w:color w:val="000000"/>
        </w:rPr>
        <w:t>funding</w:t>
      </w:r>
      <w:r w:rsidRPr="00B73BE3">
        <w:rPr>
          <w:rFonts w:cstheme="minorHAnsi"/>
        </w:rPr>
        <w:t>, and thus, Recovery Act requirements.</w:t>
      </w:r>
    </w:p>
    <w:p w:rsidR="001871EA" w:rsidRPr="00B73BE3" w:rsidP="001871EA" w14:paraId="6089E362" w14:textId="77777777">
      <w:pPr>
        <w:spacing w:after="0" w:line="240" w:lineRule="auto"/>
        <w:rPr>
          <w:rFonts w:eastAsia="Times New Roman" w:cstheme="minorHAnsi"/>
        </w:rPr>
      </w:pPr>
    </w:p>
    <w:p w:rsidR="001871EA" w:rsidRPr="00B73BE3" w:rsidP="001871EA" w14:paraId="24E50F6E" w14:textId="30EFAD34">
      <w:pPr>
        <w:spacing w:after="0" w:line="240" w:lineRule="auto"/>
        <w:rPr>
          <w:rFonts w:eastAsia="Times New Roman" w:cstheme="minorHAnsi"/>
          <w:b/>
          <w:bCs/>
        </w:rPr>
      </w:pPr>
      <w:r w:rsidRPr="00B73BE3">
        <w:rPr>
          <w:rFonts w:eastAsia="Times New Roman" w:cstheme="minorHAnsi"/>
          <w:b/>
          <w:bCs/>
        </w:rPr>
        <w:t xml:space="preserve">The authority for the data collections </w:t>
      </w:r>
      <w:r w:rsidRPr="00B73BE3" w:rsidR="00BD0F04">
        <w:rPr>
          <w:rFonts w:eastAsia="Times New Roman" w:cstheme="minorHAnsi"/>
          <w:b/>
          <w:bCs/>
        </w:rPr>
        <w:t>is</w:t>
      </w:r>
      <w:r w:rsidRPr="00B73BE3">
        <w:rPr>
          <w:rFonts w:eastAsia="Times New Roman" w:cstheme="minorHAnsi"/>
          <w:b/>
          <w:bCs/>
        </w:rPr>
        <w:t xml:space="preserve"> provided by the following provisions: </w:t>
      </w:r>
    </w:p>
    <w:p w:rsidR="0020701B" w:rsidRPr="00B73BE3" w:rsidP="001871EA" w14:paraId="0642FCAC" w14:textId="77777777">
      <w:pPr>
        <w:spacing w:after="0" w:line="240" w:lineRule="auto"/>
        <w:rPr>
          <w:rFonts w:eastAsia="Times New Roman" w:cstheme="minorHAnsi"/>
          <w:b/>
          <w:bCs/>
        </w:rPr>
      </w:pPr>
    </w:p>
    <w:p w:rsidR="00E50040" w:rsidRPr="00B73BE3" w:rsidP="001871EA" w14:paraId="71B86665" w14:textId="75ABF491">
      <w:pPr>
        <w:spacing w:after="0" w:line="240" w:lineRule="auto"/>
        <w:rPr>
          <w:rFonts w:eastAsia="Times New Roman" w:cstheme="minorHAnsi"/>
          <w:i/>
          <w:iCs/>
        </w:rPr>
      </w:pPr>
      <w:r w:rsidRPr="00B73BE3">
        <w:rPr>
          <w:rFonts w:eastAsia="Times New Roman" w:cstheme="minorHAnsi"/>
          <w:i/>
          <w:iCs/>
        </w:rPr>
        <w:t>Weatherization Assistance Program (WAP)</w:t>
      </w:r>
    </w:p>
    <w:p w:rsidR="000E16CA" w:rsidRPr="00B73BE3" w:rsidP="001871EA" w14:paraId="71B18764" w14:textId="21883763">
      <w:pPr>
        <w:autoSpaceDE w:val="0"/>
        <w:autoSpaceDN w:val="0"/>
        <w:adjustRightInd w:val="0"/>
        <w:spacing w:after="0" w:line="276" w:lineRule="atLeast"/>
        <w:rPr>
          <w:rFonts w:eastAsia="Times New Roman" w:cstheme="minorHAnsi"/>
          <w:color w:val="000000"/>
        </w:rPr>
      </w:pPr>
      <w:r w:rsidRPr="00B73BE3">
        <w:rPr>
          <w:rFonts w:eastAsia="Times New Roman" w:cstheme="minorHAnsi"/>
          <w:color w:val="000000"/>
        </w:rPr>
        <w:t xml:space="preserve">Title IV, Energy Conservation and Production Act, as amended, authorizes the DOE to administer the WAP. </w:t>
      </w:r>
      <w:r w:rsidRPr="00B73BE3" w:rsidR="00353D63">
        <w:rPr>
          <w:rFonts w:eastAsia="Times New Roman" w:cstheme="minorHAnsi"/>
          <w:color w:val="000000"/>
        </w:rPr>
        <w:t xml:space="preserve"> </w:t>
      </w:r>
      <w:r w:rsidRPr="00B73BE3">
        <w:rPr>
          <w:rFonts w:eastAsia="Times New Roman" w:cstheme="minorHAnsi"/>
          <w:color w:val="000000"/>
        </w:rPr>
        <w:t xml:space="preserve">All grant awards made under this Program shall comply with applicable law including regulations contained in 10 C.F.R. Part 440 (issued February 1, 2002), the Energy Policy Act of 2005, the Energy Independence and Security Act of 2007, the American Recovery and Reinvestment Act of 2009, </w:t>
      </w:r>
      <w:r w:rsidRPr="00B73BE3">
        <w:rPr>
          <w:rFonts w:eastAsia="Times New Roman" w:cstheme="minorHAnsi"/>
          <w:color w:val="000000"/>
        </w:rPr>
        <w:t xml:space="preserve">The Infrastructure Investment and Jobs Act (IIJA), </w:t>
      </w:r>
      <w:r w:rsidRPr="00B73BE3">
        <w:rPr>
          <w:rFonts w:eastAsia="Times New Roman" w:cstheme="minorHAnsi"/>
          <w:color w:val="000000"/>
        </w:rPr>
        <w:t xml:space="preserve">and other procedures as DOE may, from time-to-time, prescribe for the administration of financial assistance. </w:t>
      </w:r>
      <w:r w:rsidRPr="00B73BE3" w:rsidR="0020701B">
        <w:rPr>
          <w:rFonts w:cstheme="minorHAnsi"/>
        </w:rPr>
        <w:t xml:space="preserve">On March 15, 2022, the President signed the Consolidated Appropriations Act of 2021, which appropriated $334,000,000 to the WAP. These funds are available for WAP formula activities along with WAP competitive grant recipients, all of which will be required to complete annual Historic Preservation Reports. </w:t>
      </w:r>
      <w:r w:rsidRPr="00B73BE3" w:rsidR="0020701B">
        <w:rPr>
          <w:rFonts w:cstheme="minorHAnsi"/>
          <w:color w:val="000000" w:themeColor="text1"/>
        </w:rPr>
        <w:t>In addition to the reporting documents for the WAP’s annual appropriations, this collection will be used for Historic Preservation Reporting on the $3.5 billion appropriated to WAP by the IIJA, of which $3.168 billion was allocated to the Grantees. IIJA was passed by Congress on November 6, 2021 “</w:t>
      </w:r>
      <w:r w:rsidRPr="00B73BE3" w:rsidR="0020701B">
        <w:rPr>
          <w:rFonts w:eastAsia="Times New Roman" w:cstheme="minorHAnsi"/>
          <w:color w:val="000000" w:themeColor="text1"/>
        </w:rPr>
        <w:t>to authorize funds for Federal-aid highways, highway safety programs, and transit programs, and for other purposes.” The Weatherization Assistance Program is listed as an IIJA recipient under the Subtitle E - Miscellaneous section within Title V: Energy Efficiency and Building Infrastructure.</w:t>
      </w:r>
    </w:p>
    <w:p w:rsidR="001871EA" w:rsidRPr="00B73BE3" w:rsidP="001871EA" w14:paraId="0F470CBB" w14:textId="00FE73A8">
      <w:pPr>
        <w:autoSpaceDE w:val="0"/>
        <w:autoSpaceDN w:val="0"/>
        <w:adjustRightInd w:val="0"/>
        <w:spacing w:after="0" w:line="276" w:lineRule="atLeast"/>
        <w:rPr>
          <w:rFonts w:eastAsia="Times New Roman" w:cstheme="minorHAnsi"/>
          <w:i/>
          <w:iCs/>
          <w:color w:val="000000"/>
        </w:rPr>
      </w:pPr>
    </w:p>
    <w:p w:rsidR="00E50040" w:rsidRPr="00B73BE3" w:rsidP="001871EA" w14:paraId="3CA7B452" w14:textId="2C4BAD23">
      <w:pPr>
        <w:autoSpaceDE w:val="0"/>
        <w:autoSpaceDN w:val="0"/>
        <w:adjustRightInd w:val="0"/>
        <w:spacing w:after="0" w:line="276" w:lineRule="atLeast"/>
        <w:rPr>
          <w:rFonts w:eastAsia="Times New Roman" w:cstheme="minorHAnsi"/>
          <w:i/>
          <w:iCs/>
          <w:color w:val="000000"/>
        </w:rPr>
      </w:pPr>
      <w:r w:rsidRPr="00B73BE3">
        <w:rPr>
          <w:rFonts w:eastAsia="Times New Roman" w:cstheme="minorHAnsi"/>
          <w:i/>
          <w:iCs/>
          <w:color w:val="000000"/>
        </w:rPr>
        <w:t>State Energy Program (SEP)</w:t>
      </w:r>
    </w:p>
    <w:p w:rsidR="001871EA" w:rsidRPr="00B73BE3" w:rsidP="001871EA" w14:paraId="33C02E5D" w14:textId="2C0E135A">
      <w:pPr>
        <w:autoSpaceDE w:val="0"/>
        <w:autoSpaceDN w:val="0"/>
        <w:adjustRightInd w:val="0"/>
        <w:spacing w:after="0" w:line="276" w:lineRule="atLeast"/>
        <w:rPr>
          <w:rFonts w:eastAsia="Times New Roman" w:cstheme="minorHAnsi"/>
          <w:color w:val="000000"/>
        </w:rPr>
      </w:pPr>
      <w:r w:rsidRPr="00B73BE3">
        <w:rPr>
          <w:rFonts w:eastAsia="Times New Roman" w:cstheme="minorHAnsi"/>
          <w:color w:val="000000"/>
        </w:rPr>
        <w:t xml:space="preserve">DOE is authorized to administer the SEP under the Energy Policy and Conservation Act of 1975, the State Energy Efficiency Programs Improvement Act of 1990, and American Recovery and Reinvestment Act of 2009 and other procedures as DOE may, from time-to-time, prescribe for the administration of financial assistance. </w:t>
      </w:r>
      <w:r w:rsidRPr="00B73BE3" w:rsidR="000E16CA">
        <w:rPr>
          <w:rFonts w:cstheme="minorHAnsi"/>
        </w:rPr>
        <w:t xml:space="preserve">This ICR will include Historic Preservation reporting for SEP Annual Appropriations, Infrastructure Investment and Jobs Act (IIJA) appropriations for SEP, and two new sub-programs of SEP established by IIJA—the Energy Efficiency Revolving Loan Program and the Energy Auditor Training Grant Program. </w:t>
      </w:r>
      <w:r w:rsidRPr="00B73BE3" w:rsidR="000E16CA">
        <w:rPr>
          <w:rFonts w:cstheme="minorHAnsi"/>
          <w:i/>
          <w:iCs/>
        </w:rPr>
        <w:t xml:space="preserve">SEP Annual Appropriations: </w:t>
      </w:r>
      <w:r w:rsidRPr="00B73BE3" w:rsidR="000E16CA">
        <w:rPr>
          <w:rFonts w:cstheme="minorHAnsi"/>
        </w:rPr>
        <w:t xml:space="preserve">On March 15, 2022, the President signed the Consolidated Appropriations Act of 2021, which appropriated $63,000,000 to SEP. As noted in SEP Program Notice 10-008E and 10-008F, SEP Grantees are required to complete Annual Historic Preservation Reports. </w:t>
      </w:r>
      <w:r w:rsidRPr="00B73BE3" w:rsidR="000E16CA">
        <w:rPr>
          <w:rFonts w:cstheme="minorHAnsi"/>
          <w:i/>
          <w:iCs/>
        </w:rPr>
        <w:t xml:space="preserve">SEP IIJA Appropriations: </w:t>
      </w:r>
      <w:r w:rsidRPr="00B73BE3" w:rsidR="000E16CA">
        <w:rPr>
          <w:rFonts w:cstheme="minorHAnsi"/>
        </w:rPr>
        <w:t xml:space="preserve">On November 15, 2021, the President signed the Infrastructure Investment and Jobs Act (IIJA), which appropriated $500,000,000 for SEP to provide Formula Grants to its Grantees (State Energy Offices). Grantees will use Formula Grants for similar activities as their Annual Appropriations grants, and Grantees will similarly be required to submit Annual Historic Preservation Reports for these IIJA grants. </w:t>
      </w:r>
      <w:r w:rsidRPr="00B73BE3" w:rsidR="000E16CA">
        <w:rPr>
          <w:rFonts w:cstheme="minorHAnsi"/>
          <w:i/>
          <w:iCs/>
        </w:rPr>
        <w:t xml:space="preserve">Energy Efficiency Revolving Loan Fund Capitalization Grant Program: </w:t>
      </w:r>
      <w:r w:rsidRPr="00B73BE3" w:rsidR="000E16CA">
        <w:rPr>
          <w:rFonts w:cstheme="minorHAnsi"/>
        </w:rPr>
        <w:t xml:space="preserve">The IIJA appropriated $250,000,000 to SEP to establish the Energy Efficiency Revolving Loan Fund Capitalization Grant Program, through which SEP will provide Capitalization Grants to SEP Grantees to establish revolving loan fund financing programs for energy efficiency projects in residential and commercial buildings. The grants will be allocated in part according to SEP’s existing allocation formula, and development and implementation of financing programs are already a subset of activities for which Grantees can and have used Annual Appropriations grants. </w:t>
      </w:r>
      <w:r w:rsidRPr="00B73BE3" w:rsidR="000E16CA">
        <w:rPr>
          <w:rFonts w:cstheme="minorHAnsi"/>
          <w:i/>
          <w:iCs/>
        </w:rPr>
        <w:t xml:space="preserve">Energy Auditor Training Grant Program: </w:t>
      </w:r>
      <w:r w:rsidRPr="00B73BE3" w:rsidR="000E16CA">
        <w:rPr>
          <w:rFonts w:cstheme="minorHAnsi"/>
        </w:rPr>
        <w:t>The IIJA appropriated $40,000,000 to SEP to establish the Energy Auditor Training Grant Program, through which SEP will provide grants to certain SEP Grantees to train individuals to conduct energy audits or surveys of commercial and residential buildings.</w:t>
      </w:r>
    </w:p>
    <w:p w:rsidR="001871EA" w:rsidRPr="00B73BE3" w:rsidP="001871EA" w14:paraId="6EBF7AC0" w14:textId="6E75F604">
      <w:pPr>
        <w:autoSpaceDE w:val="0"/>
        <w:autoSpaceDN w:val="0"/>
        <w:adjustRightInd w:val="0"/>
        <w:spacing w:after="0" w:line="276" w:lineRule="atLeast"/>
        <w:rPr>
          <w:rFonts w:eastAsia="Times New Roman" w:cstheme="minorHAnsi"/>
          <w:color w:val="000000"/>
        </w:rPr>
      </w:pPr>
    </w:p>
    <w:p w:rsidR="00E50040" w:rsidRPr="00B73BE3" w:rsidP="001871EA" w14:paraId="3E6BDCD5" w14:textId="0867DDD0">
      <w:pPr>
        <w:autoSpaceDE w:val="0"/>
        <w:autoSpaceDN w:val="0"/>
        <w:adjustRightInd w:val="0"/>
        <w:spacing w:after="0" w:line="276" w:lineRule="atLeast"/>
        <w:rPr>
          <w:rFonts w:eastAsia="Times New Roman" w:cstheme="minorHAnsi"/>
          <w:i/>
          <w:iCs/>
          <w:color w:val="000000"/>
        </w:rPr>
      </w:pPr>
      <w:r w:rsidRPr="00B73BE3">
        <w:rPr>
          <w:rFonts w:eastAsia="Times New Roman" w:cstheme="minorHAnsi"/>
          <w:i/>
          <w:iCs/>
          <w:color w:val="000000"/>
        </w:rPr>
        <w:t xml:space="preserve">Energy Efficiency Conservation Block Grant (EECBG) </w:t>
      </w:r>
    </w:p>
    <w:p w:rsidR="006D0BFC" w:rsidRPr="00B73BE3" w:rsidP="006D0BFC" w14:paraId="49E450E6" w14:textId="28BAF509">
      <w:pPr>
        <w:pStyle w:val="HTMLPreformatted"/>
        <w:shd w:val="clear" w:color="auto" w:fill="FFFFFF"/>
        <w:rPr>
          <w:rFonts w:eastAsia="Times New Roman" w:asciiTheme="minorHAnsi" w:hAnsiTheme="minorHAnsi" w:cstheme="minorHAnsi"/>
          <w:color w:val="333333"/>
          <w:sz w:val="22"/>
          <w:szCs w:val="22"/>
        </w:rPr>
      </w:pPr>
      <w:r w:rsidRPr="00B73BE3">
        <w:rPr>
          <w:rFonts w:asciiTheme="minorHAnsi" w:hAnsiTheme="minorHAnsi" w:cstheme="minorHAnsi"/>
          <w:sz w:val="22"/>
          <w:szCs w:val="22"/>
        </w:rPr>
        <w:t xml:space="preserve">This ICR will also include Historic Preservation reporting for the financing programs funded by the EECBG Program under the American Recovery and Reinvestment Act (ARRA) that grantees are required to report on into perpetuity. Through section 40552(b) of IIJA, Congress appropriated </w:t>
      </w:r>
      <w:r w:rsidRPr="00B73BE3">
        <w:rPr>
          <w:rFonts w:asciiTheme="minorHAnsi" w:hAnsiTheme="minorHAnsi" w:cstheme="minorHAnsi"/>
          <w:sz w:val="22"/>
          <w:szCs w:val="22"/>
        </w:rPr>
        <w:t>“</w:t>
      </w:r>
      <w:r w:rsidRPr="00B73BE3">
        <w:rPr>
          <w:rFonts w:eastAsia="Times New Roman" w:asciiTheme="minorHAnsi" w:hAnsiTheme="minorHAnsi" w:cstheme="minorHAnsi"/>
          <w:color w:val="333333"/>
          <w:sz w:val="22"/>
          <w:szCs w:val="22"/>
        </w:rPr>
        <w:t xml:space="preserve">$550,000,000 </w:t>
      </w:r>
    </w:p>
    <w:p w:rsidR="00726F12" w:rsidRPr="00B73BE3" w:rsidP="00726F12" w14:paraId="5307A86D" w14:textId="1FDBDF5B">
      <w:pPr>
        <w:pStyle w:val="HTMLPreformatted"/>
        <w:shd w:val="clear" w:color="auto" w:fill="FFFFFF"/>
        <w:rPr>
          <w:rFonts w:eastAsia="Times New Roman" w:asciiTheme="minorHAnsi" w:hAnsiTheme="minorHAnsi" w:cstheme="minorHAnsi"/>
          <w:sz w:val="22"/>
          <w:szCs w:val="22"/>
        </w:rPr>
      </w:pPr>
      <w:r w:rsidRPr="00B73BE3">
        <w:rPr>
          <w:rFonts w:eastAsia="Times New Roman" w:asciiTheme="minorHAnsi" w:hAnsiTheme="minorHAnsi" w:cstheme="minorHAnsi"/>
          <w:color w:val="333333"/>
          <w:sz w:val="22"/>
          <w:szCs w:val="22"/>
        </w:rPr>
        <w:t xml:space="preserve">for fiscal year 2022, to remain available until expended.” </w:t>
      </w:r>
      <w:r w:rsidRPr="00B73BE3" w:rsidR="000E16CA">
        <w:rPr>
          <w:rFonts w:asciiTheme="minorHAnsi" w:hAnsiTheme="minorHAnsi" w:cstheme="minorHAnsi"/>
          <w:sz w:val="22"/>
          <w:szCs w:val="22"/>
        </w:rPr>
        <w:t xml:space="preserve">EECBG provides Federal grants to states, units of local government, and Indian tribes to assist eligible entities in implementing strategies to reduce </w:t>
      </w:r>
      <w:r w:rsidRPr="00B73BE3" w:rsidR="000E16CA">
        <w:rPr>
          <w:rFonts w:asciiTheme="minorHAnsi" w:hAnsiTheme="minorHAnsi" w:cstheme="minorHAnsi"/>
          <w:sz w:val="22"/>
          <w:szCs w:val="22"/>
        </w:rPr>
        <w:t xml:space="preserve">fossil fuel emissions, to reduce total energy use, and to improve energy efficiency as outlined by the Program’s authorizing legislation, Title V, Subtitle E of the Energy Independence, and Security Act of 2007 (EISA). </w:t>
      </w:r>
      <w:r w:rsidRPr="00B73BE3" w:rsidR="0020701B">
        <w:rPr>
          <w:rFonts w:eastAsia="Times New Roman" w:asciiTheme="minorHAnsi" w:hAnsiTheme="minorHAnsi" w:cstheme="minorHAnsi"/>
          <w:sz w:val="22"/>
          <w:szCs w:val="22"/>
        </w:rPr>
        <w:t xml:space="preserve">From 2009 to 2015, the EECBG Program provided grants and technical assistance to local governments, states, tribes and territories to support a wide variety of energy efficiency and renewable energy activities. In 2016, EECBG recipients were allowed to establish Financing Programs revolving loan fund, loan loss reserve, interest-rate buy down and third-party loan insurance, using Recovery Act funds. Currently there are 108 Financing Programs that are self- administered by EECBG recipients. </w:t>
      </w:r>
      <w:r w:rsidRPr="00B73BE3" w:rsidR="000E16CA">
        <w:rPr>
          <w:rFonts w:asciiTheme="minorHAnsi" w:hAnsiTheme="minorHAnsi" w:cstheme="minorHAnsi"/>
          <w:sz w:val="22"/>
          <w:szCs w:val="22"/>
        </w:rPr>
        <w:t>EECBG Program grantees will be required to submit Annual Historic Preservation Reports. EECBG does not receive annual appropriations but was previously funded by ARRA in 2009. A portion of ARRA EECBG Program grantees that chose to fund and administer financing programs continue to report annually on Historic Preservation and are included in this ICR.</w:t>
      </w:r>
      <w:r w:rsidRPr="00B73BE3">
        <w:rPr>
          <w:rFonts w:asciiTheme="minorHAnsi" w:hAnsiTheme="minorHAnsi" w:cstheme="minorHAnsi"/>
          <w:sz w:val="22"/>
          <w:szCs w:val="22"/>
        </w:rPr>
        <w:t xml:space="preserve"> Under the IIJA legal statute framework, the language states, “</w:t>
      </w:r>
      <w:r w:rsidRPr="00B73BE3">
        <w:rPr>
          <w:rFonts w:eastAsia="Times New Roman" w:asciiTheme="minorHAnsi" w:hAnsiTheme="minorHAnsi" w:cstheme="minorHAnsi"/>
          <w:sz w:val="22"/>
          <w:szCs w:val="22"/>
        </w:rPr>
        <w:t xml:space="preserve">There is authorized to be appropriated to the Secretary for the Energy Efficiency and Conservation Block Grant Program established under section 542(a) of the Energy Independence and Security Act of 2007 (42 U.S.C. 17152(a)) $550,000,000 for fiscal year 2022, to remain available until expended.” Separate from the latest funds to revive EECBG through IIJA, there will also continue to be the 108 EECBG AARA recipients </w:t>
      </w:r>
      <w:r w:rsidRPr="00B73BE3" w:rsidR="000A43E2">
        <w:rPr>
          <w:rFonts w:eastAsia="Times New Roman" w:asciiTheme="minorHAnsi" w:hAnsiTheme="minorHAnsi" w:cstheme="minorHAnsi"/>
          <w:sz w:val="22"/>
          <w:szCs w:val="22"/>
        </w:rPr>
        <w:t>authorized under the Energy Independence and Security Act of 2007.</w:t>
      </w:r>
    </w:p>
    <w:p w:rsidR="008C734C" w:rsidRPr="00B73BE3" w:rsidP="00EA5684" w14:paraId="03E7FEAF" w14:textId="77777777">
      <w:pPr>
        <w:pStyle w:val="Heading2"/>
        <w:rPr>
          <w:rFonts w:cstheme="minorHAnsi"/>
        </w:rPr>
      </w:pPr>
      <w:bookmarkStart w:id="3" w:name="_Toc128483699"/>
      <w:r w:rsidRPr="00B73BE3">
        <w:rPr>
          <w:rFonts w:cstheme="minorHAnsi"/>
        </w:rPr>
        <w:t>A.2. Needs and Uses of Data</w:t>
      </w:r>
      <w:bookmarkEnd w:id="3"/>
    </w:p>
    <w:p w:rsidR="00A41763" w:rsidRPr="00B73BE3" w:rsidP="00A41763" w14:paraId="76223C6A" w14:textId="77777777">
      <w:pPr>
        <w:rPr>
          <w:rFonts w:cstheme="minorHAnsi"/>
        </w:rPr>
      </w:pPr>
      <w:r w:rsidRPr="00B73BE3">
        <w:rPr>
          <w:rFonts w:cstheme="minorHAnsi"/>
          <w:b/>
          <w:bCs/>
        </w:rPr>
        <w:t xml:space="preserve">Indicate how, by whom, and for what purpose the information is to be used. Except for a new collection, indicate the actual use the agency has made of the information received from the current collection </w:t>
      </w:r>
    </w:p>
    <w:p w:rsidR="001871EA" w:rsidRPr="00B73BE3" w:rsidP="001871EA" w14:paraId="1A749B3B" w14:textId="521872BD">
      <w:pPr>
        <w:spacing w:after="0" w:line="240" w:lineRule="auto"/>
        <w:rPr>
          <w:rFonts w:eastAsia="Times New Roman" w:cstheme="minorHAnsi"/>
        </w:rPr>
      </w:pPr>
      <w:r w:rsidRPr="00B73BE3">
        <w:rPr>
          <w:rFonts w:eastAsia="Times New Roman" w:cstheme="minorHAnsi"/>
        </w:rPr>
        <w:t xml:space="preserve">This information will be used by DOE to verify that WAP, SEP, and </w:t>
      </w:r>
      <w:r w:rsidRPr="00B73BE3" w:rsidR="00F92003">
        <w:rPr>
          <w:rFonts w:eastAsia="Times New Roman" w:cstheme="minorHAnsi"/>
        </w:rPr>
        <w:t xml:space="preserve">EECBG Program </w:t>
      </w:r>
      <w:r w:rsidRPr="00B73BE3">
        <w:rPr>
          <w:rFonts w:eastAsia="Times New Roman" w:cstheme="minorHAnsi"/>
        </w:rPr>
        <w:t>ARRA-grant recipients with on-going financial programs are compliant with Section 106 of the National Historic Preservation Act. DOE is also required</w:t>
      </w:r>
      <w:r w:rsidRPr="00B73BE3" w:rsidR="00A43329">
        <w:rPr>
          <w:rFonts w:eastAsia="Times New Roman" w:cstheme="minorHAnsi"/>
        </w:rPr>
        <w:t>,</w:t>
      </w:r>
      <w:r w:rsidRPr="00B73BE3">
        <w:rPr>
          <w:rFonts w:eastAsia="Times New Roman" w:cstheme="minorHAnsi"/>
        </w:rPr>
        <w:t xml:space="preserve"> pursuant to the terms of a Prototype Programmatic Agreement on Historic Preservation under the processes of 36 C.F.R. Part 800</w:t>
      </w:r>
      <w:r w:rsidRPr="00B73BE3" w:rsidR="00A43329">
        <w:rPr>
          <w:rFonts w:eastAsia="Times New Roman" w:cstheme="minorHAnsi"/>
        </w:rPr>
        <w:t>,</w:t>
      </w:r>
      <w:r w:rsidRPr="00B73BE3">
        <w:rPr>
          <w:rFonts w:eastAsia="Times New Roman" w:cstheme="minorHAnsi"/>
        </w:rPr>
        <w:t xml:space="preserve"> to submit summaries of the information collected from its recipients to the Advisory Council on Historic Preservation and the National Conference of State Historic Preservation Officers</w:t>
      </w:r>
      <w:r w:rsidRPr="00B73BE3" w:rsidR="008B6C78">
        <w:rPr>
          <w:rFonts w:eastAsia="Times New Roman" w:cstheme="minorHAnsi"/>
        </w:rPr>
        <w:t xml:space="preserve"> annually</w:t>
      </w:r>
      <w:r w:rsidRPr="00B73BE3">
        <w:rPr>
          <w:rFonts w:eastAsia="Times New Roman" w:cstheme="minorHAnsi"/>
        </w:rPr>
        <w:t xml:space="preserve">. </w:t>
      </w:r>
    </w:p>
    <w:p w:rsidR="00D20533" w:rsidRPr="00B73BE3" w:rsidP="00D20533" w14:paraId="0FE9B2E1" w14:textId="77777777">
      <w:pPr>
        <w:spacing w:after="0" w:line="240" w:lineRule="auto"/>
        <w:rPr>
          <w:rFonts w:cstheme="minorHAnsi"/>
          <w:bCs/>
        </w:rPr>
      </w:pPr>
    </w:p>
    <w:p w:rsidR="00B01332" w:rsidRPr="00B73BE3" w:rsidP="00D20533" w14:paraId="2152FC6D" w14:textId="15343BE0">
      <w:pPr>
        <w:spacing w:after="0" w:line="240" w:lineRule="auto"/>
        <w:rPr>
          <w:rFonts w:cstheme="minorHAnsi"/>
          <w:bCs/>
        </w:rPr>
      </w:pPr>
      <w:r w:rsidRPr="00B73BE3">
        <w:rPr>
          <w:rFonts w:cstheme="minorHAnsi"/>
          <w:bCs/>
        </w:rPr>
        <w:t>Historic Preservation Report</w:t>
      </w:r>
      <w:r w:rsidRPr="00B73BE3" w:rsidR="00D20533">
        <w:rPr>
          <w:rFonts w:cstheme="minorHAnsi"/>
          <w:bCs/>
        </w:rPr>
        <w:t xml:space="preserve"> Form Specifics -- </w:t>
      </w:r>
    </w:p>
    <w:p w:rsidR="00DA602A" w:rsidRPr="00B73BE3" w:rsidP="00B01332" w14:paraId="326D215B" w14:textId="23971082">
      <w:pPr>
        <w:rPr>
          <w:rFonts w:cstheme="minorHAnsi"/>
        </w:rPr>
      </w:pPr>
      <w:r w:rsidRPr="00B73BE3">
        <w:rPr>
          <w:rFonts w:cstheme="minorHAnsi"/>
          <w:i/>
          <w:iCs/>
        </w:rPr>
        <w:t>Historic Preservation Reporting Period and Grant Number</w:t>
      </w:r>
      <w:r w:rsidRPr="00B73BE3">
        <w:rPr>
          <w:rFonts w:cstheme="minorHAnsi"/>
        </w:rPr>
        <w:t>: Assists DOE in ensuring that the Grantee is submitting this report for the correct Grant</w:t>
      </w:r>
      <w:r w:rsidR="003E5D90">
        <w:rPr>
          <w:rFonts w:cstheme="minorHAnsi"/>
        </w:rPr>
        <w:t>.</w:t>
      </w:r>
      <w:r w:rsidRPr="00B73BE3">
        <w:rPr>
          <w:rFonts w:cstheme="minorHAnsi"/>
        </w:rPr>
        <w:t xml:space="preserve"> </w:t>
      </w:r>
    </w:p>
    <w:p w:rsidR="00DA602A" w:rsidRPr="00B73BE3" w:rsidP="00B01332" w14:paraId="4E395A96" w14:textId="085D2955">
      <w:pPr>
        <w:rPr>
          <w:rFonts w:cstheme="minorHAnsi"/>
        </w:rPr>
      </w:pPr>
      <w:r w:rsidRPr="00B73BE3">
        <w:rPr>
          <w:rFonts w:cstheme="minorHAnsi"/>
          <w:i/>
          <w:iCs/>
        </w:rPr>
        <w:t>1a and 1b</w:t>
      </w:r>
      <w:r w:rsidRPr="00B73BE3">
        <w:rPr>
          <w:rFonts w:cstheme="minorHAnsi"/>
        </w:rPr>
        <w:t>: Assists DOE in confirming that all information is up to date and correlated with the information in the correlating Grant period.</w:t>
      </w:r>
    </w:p>
    <w:p w:rsidR="00DA602A" w:rsidRPr="00B73BE3" w:rsidP="00B01332" w14:paraId="4271EEE8" w14:textId="193BA897">
      <w:pPr>
        <w:rPr>
          <w:rFonts w:cstheme="minorHAnsi"/>
        </w:rPr>
      </w:pPr>
      <w:r w:rsidRPr="00B73BE3">
        <w:rPr>
          <w:rFonts w:cstheme="minorHAnsi"/>
          <w:i/>
          <w:iCs/>
        </w:rPr>
        <w:t>1c and 1d</w:t>
      </w:r>
      <w:r w:rsidRPr="00B73BE3">
        <w:rPr>
          <w:rFonts w:cstheme="minorHAnsi"/>
        </w:rPr>
        <w:t>: Assists DOE in confirming whether or not the Grantee has a Programmatic Agreement in place and allows the Grantee to remind themselves if they have one or not. And for non-PA Grantees, 1d allows them to confirm with DOE that they have followed the requirements for non-PA Grantees.</w:t>
      </w:r>
    </w:p>
    <w:p w:rsidR="00D20533" w:rsidRPr="00B73BE3" w:rsidP="00B01332" w14:paraId="1CB49909" w14:textId="70E57016">
      <w:pPr>
        <w:rPr>
          <w:rFonts w:cstheme="minorHAnsi"/>
        </w:rPr>
      </w:pPr>
      <w:r w:rsidRPr="00B73BE3">
        <w:rPr>
          <w:rFonts w:cstheme="minorHAnsi"/>
          <w:i/>
          <w:iCs/>
        </w:rPr>
        <w:t>1e – 3a.</w:t>
      </w:r>
      <w:r w:rsidRPr="00B73BE3">
        <w:rPr>
          <w:rFonts w:cstheme="minorHAnsi"/>
        </w:rPr>
        <w:t xml:space="preserve"> Allows DOE to monitor how effective and efficient the Historic Preservation process is in each Grantee, and how each Grantee is utilizing it</w:t>
      </w:r>
      <w:r w:rsidR="00FA0592">
        <w:rPr>
          <w:rFonts w:cstheme="minorHAnsi"/>
        </w:rPr>
        <w:t>.</w:t>
      </w:r>
      <w:r w:rsidRPr="00B73BE3">
        <w:rPr>
          <w:rFonts w:cstheme="minorHAnsi"/>
        </w:rPr>
        <w:t xml:space="preserve"> </w:t>
      </w:r>
    </w:p>
    <w:p w:rsidR="008C734C" w:rsidRPr="00B73BE3" w:rsidP="00EA5684" w14:paraId="0673EF7E" w14:textId="77777777">
      <w:pPr>
        <w:pStyle w:val="Heading2"/>
        <w:rPr>
          <w:rFonts w:cstheme="minorHAnsi"/>
        </w:rPr>
      </w:pPr>
      <w:bookmarkStart w:id="4" w:name="_Toc128483700"/>
      <w:r w:rsidRPr="00B73BE3">
        <w:rPr>
          <w:rFonts w:cstheme="minorHAnsi"/>
        </w:rPr>
        <w:t>A.</w:t>
      </w:r>
      <w:r w:rsidRPr="00B73BE3" w:rsidR="00A41763">
        <w:rPr>
          <w:rFonts w:cstheme="minorHAnsi"/>
        </w:rPr>
        <w:t xml:space="preserve">3. </w:t>
      </w:r>
      <w:r w:rsidRPr="00B73BE3">
        <w:rPr>
          <w:rFonts w:cstheme="minorHAnsi"/>
        </w:rPr>
        <w:t>Use of Technology</w:t>
      </w:r>
      <w:bookmarkEnd w:id="4"/>
    </w:p>
    <w:p w:rsidR="00A41763" w:rsidRPr="00B73BE3" w:rsidP="00A41763" w14:paraId="28B76C13" w14:textId="77777777">
      <w:pPr>
        <w:rPr>
          <w:rFonts w:cstheme="minorHAnsi"/>
        </w:rPr>
      </w:pPr>
      <w:r w:rsidRPr="00B73BE3">
        <w:rPr>
          <w:rFonts w:cstheme="min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1871EA" w:rsidRPr="00B73BE3" w:rsidP="001871EA" w14:paraId="1FB9CA54" w14:textId="38184887">
      <w:pPr>
        <w:autoSpaceDE w:val="0"/>
        <w:autoSpaceDN w:val="0"/>
        <w:adjustRightInd w:val="0"/>
        <w:spacing w:after="0" w:line="240" w:lineRule="auto"/>
        <w:ind w:right="720"/>
        <w:rPr>
          <w:rFonts w:eastAsia="Times New Roman" w:cstheme="minorHAnsi"/>
        </w:rPr>
      </w:pPr>
      <w:r w:rsidRPr="00B73BE3">
        <w:rPr>
          <w:rFonts w:eastAsia="Times New Roman" w:cstheme="minorHAnsi"/>
        </w:rPr>
        <w:t xml:space="preserve">The collection of the information has been standardized to provide database collection and retrieval of program information through Performance and Accountability for Grants in Energy (PAGE). PAGE is a system that interfaces with DOE financial systems, the EERE Project Management Center, DOE Headquarters and state and local grantees. </w:t>
      </w:r>
      <w:r w:rsidRPr="00B73BE3">
        <w:rPr>
          <w:rFonts w:cstheme="minorHAnsi"/>
        </w:rPr>
        <w:t>It is cost effective for our Program to collect and capture the grantee information in PAGE through a combined collection effort as PAGE is the same database collection program that WAP</w:t>
      </w:r>
      <w:r w:rsidRPr="00B73BE3" w:rsidR="00F92003">
        <w:rPr>
          <w:rFonts w:cstheme="minorHAnsi"/>
        </w:rPr>
        <w:t>,</w:t>
      </w:r>
      <w:r w:rsidRPr="00B73BE3">
        <w:rPr>
          <w:rFonts w:cstheme="minorHAnsi"/>
        </w:rPr>
        <w:t xml:space="preserve"> SEP</w:t>
      </w:r>
      <w:r w:rsidRPr="00B73BE3" w:rsidR="00F92003">
        <w:rPr>
          <w:rFonts w:cstheme="minorHAnsi"/>
        </w:rPr>
        <w:t>, and EECBG Program</w:t>
      </w:r>
      <w:r w:rsidRPr="00B73BE3">
        <w:rPr>
          <w:rFonts w:cstheme="minorHAnsi"/>
        </w:rPr>
        <w:t xml:space="preserve"> use to capture their other reporting data and requirements.</w:t>
      </w:r>
      <w:r w:rsidRPr="00B73BE3">
        <w:rPr>
          <w:rFonts w:cstheme="minorHAnsi"/>
          <w:color w:val="1F497D"/>
        </w:rPr>
        <w:t> </w:t>
      </w:r>
      <w:r w:rsidRPr="00B73BE3">
        <w:rPr>
          <w:rFonts w:cstheme="minorHAnsi"/>
        </w:rPr>
        <w:t xml:space="preserve">Grantees and DOE Project Officers are familiar with utilizing the system to submit required information and review reporting requirements, respectively. </w:t>
      </w:r>
      <w:r w:rsidRPr="00B73BE3">
        <w:rPr>
          <w:rFonts w:eastAsia="Times New Roman" w:cstheme="minorHAnsi"/>
        </w:rPr>
        <w:t>Electronic submission of reports will result in greater efficiency, timely reporting, and a reduced paperwork burden for grantees and DOE program staff.</w:t>
      </w:r>
    </w:p>
    <w:p w:rsidR="008054F7" w:rsidRPr="00B73BE3" w:rsidP="001871EA" w14:paraId="16A32E93" w14:textId="1F44254A">
      <w:pPr>
        <w:autoSpaceDE w:val="0"/>
        <w:autoSpaceDN w:val="0"/>
        <w:adjustRightInd w:val="0"/>
        <w:spacing w:after="0" w:line="240" w:lineRule="auto"/>
        <w:ind w:right="720"/>
        <w:rPr>
          <w:rFonts w:eastAsia="Times New Roman" w:cstheme="minorHAnsi"/>
        </w:rPr>
      </w:pPr>
    </w:p>
    <w:p w:rsidR="008054F7" w:rsidRPr="00B73BE3" w:rsidP="001871EA" w14:paraId="145741BB" w14:textId="2D09E259">
      <w:pPr>
        <w:autoSpaceDE w:val="0"/>
        <w:autoSpaceDN w:val="0"/>
        <w:adjustRightInd w:val="0"/>
        <w:spacing w:after="0" w:line="240" w:lineRule="auto"/>
        <w:ind w:right="720"/>
        <w:rPr>
          <w:rFonts w:eastAsia="Times New Roman" w:cstheme="minorHAnsi"/>
        </w:rPr>
      </w:pPr>
      <w:r w:rsidRPr="00B73BE3">
        <w:rPr>
          <w:rFonts w:cstheme="minorHAnsi"/>
          <w:shd w:val="clear" w:color="auto" w:fill="FFFFFF"/>
        </w:rPr>
        <w:t>All reporting from the Grantee to DOE is recorded 100% electronically through PAGE, and most information collection at the local level is done electronically as well, but exact numbers are unavailable</w:t>
      </w:r>
      <w:r w:rsidR="00FA0592">
        <w:rPr>
          <w:rFonts w:cstheme="minorHAnsi"/>
          <w:shd w:val="clear" w:color="auto" w:fill="FFFFFF"/>
        </w:rPr>
        <w:t>.</w:t>
      </w:r>
    </w:p>
    <w:p w:rsidR="001871EA" w:rsidRPr="00B73BE3" w:rsidP="001871EA" w14:paraId="3593BF8C" w14:textId="77777777">
      <w:pPr>
        <w:autoSpaceDE w:val="0"/>
        <w:autoSpaceDN w:val="0"/>
        <w:adjustRightInd w:val="0"/>
        <w:spacing w:after="0" w:line="240" w:lineRule="auto"/>
        <w:ind w:right="720"/>
        <w:rPr>
          <w:rFonts w:eastAsia="Times New Roman" w:cstheme="minorHAnsi"/>
        </w:rPr>
      </w:pPr>
    </w:p>
    <w:p w:rsidR="001871EA" w:rsidRPr="00B73BE3" w:rsidP="001871EA" w14:paraId="00283F32" w14:textId="63579C71">
      <w:pPr>
        <w:autoSpaceDE w:val="0"/>
        <w:autoSpaceDN w:val="0"/>
        <w:adjustRightInd w:val="0"/>
        <w:spacing w:after="0" w:line="240" w:lineRule="auto"/>
        <w:ind w:right="720"/>
        <w:rPr>
          <w:rFonts w:eastAsia="Times New Roman" w:cstheme="minorHAnsi"/>
        </w:rPr>
      </w:pPr>
      <w:r w:rsidRPr="00B73BE3">
        <w:rPr>
          <w:rFonts w:eastAsia="Times New Roman" w:cstheme="minorHAnsi"/>
        </w:rPr>
        <w:t>Recovery Act grants with continuing financial programs will use the same Historic Preservation report format</w:t>
      </w:r>
      <w:r w:rsidRPr="00B73BE3" w:rsidR="003C10A5">
        <w:rPr>
          <w:rFonts w:eastAsia="Times New Roman" w:cstheme="minorHAnsi"/>
        </w:rPr>
        <w:t xml:space="preserve"> and will submit through PAGE.</w:t>
      </w:r>
      <w:r w:rsidRPr="00B73BE3">
        <w:rPr>
          <w:rFonts w:eastAsia="Times New Roman" w:cstheme="minorHAnsi"/>
        </w:rPr>
        <w:t xml:space="preserve"> </w:t>
      </w:r>
    </w:p>
    <w:p w:rsidR="008C734C" w:rsidRPr="00B73BE3" w:rsidP="00EA5684" w14:paraId="230D12C5" w14:textId="77777777">
      <w:pPr>
        <w:pStyle w:val="Heading2"/>
        <w:rPr>
          <w:rFonts w:cstheme="minorHAnsi"/>
        </w:rPr>
      </w:pPr>
      <w:bookmarkStart w:id="5" w:name="_Toc128483701"/>
      <w:r w:rsidRPr="00B73BE3">
        <w:rPr>
          <w:rFonts w:cstheme="minorHAnsi"/>
        </w:rPr>
        <w:t>A.</w:t>
      </w:r>
      <w:r w:rsidRPr="00B73BE3" w:rsidR="00A41763">
        <w:rPr>
          <w:rFonts w:cstheme="minorHAnsi"/>
        </w:rPr>
        <w:t xml:space="preserve">4. </w:t>
      </w:r>
      <w:r w:rsidRPr="00B73BE3">
        <w:rPr>
          <w:rFonts w:cstheme="minorHAnsi"/>
        </w:rPr>
        <w:t>Efforts to Identify Duplication</w:t>
      </w:r>
      <w:bookmarkEnd w:id="5"/>
    </w:p>
    <w:p w:rsidR="00A41763" w:rsidRPr="00B73BE3" w:rsidP="00A41763" w14:paraId="4795CC7C" w14:textId="77777777">
      <w:pPr>
        <w:rPr>
          <w:rFonts w:cstheme="minorHAnsi"/>
          <w:b/>
          <w:bCs/>
        </w:rPr>
      </w:pPr>
      <w:r w:rsidRPr="00B73BE3">
        <w:rPr>
          <w:rFonts w:cstheme="minorHAnsi"/>
          <w:b/>
          <w:bCs/>
        </w:rPr>
        <w:t xml:space="preserve">Describe efforts to identify duplication. </w:t>
      </w:r>
    </w:p>
    <w:p w:rsidR="001871EA" w:rsidRPr="00B73BE3" w:rsidP="001871EA" w14:paraId="58D28CC2" w14:textId="77777777">
      <w:pPr>
        <w:spacing w:after="0" w:line="240" w:lineRule="auto"/>
        <w:rPr>
          <w:rFonts w:eastAsia="Times New Roman" w:cstheme="minorHAnsi"/>
        </w:rPr>
      </w:pPr>
      <w:r w:rsidRPr="00B73BE3">
        <w:rPr>
          <w:rFonts w:eastAsia="Times New Roman" w:cstheme="minorHAnsi"/>
        </w:rPr>
        <w:t>The required information described above is unique to DOE, and similar information is not available to meet the need</w:t>
      </w:r>
      <w:r w:rsidRPr="00B73BE3" w:rsidR="000501A4">
        <w:rPr>
          <w:rFonts w:eastAsia="Times New Roman" w:cstheme="minorHAnsi"/>
        </w:rPr>
        <w:t xml:space="preserve">s of this proposed collection. </w:t>
      </w:r>
      <w:r w:rsidRPr="00B73BE3">
        <w:rPr>
          <w:rFonts w:eastAsia="Times New Roman" w:cstheme="minorHAnsi"/>
        </w:rPr>
        <w:t xml:space="preserve">Therefore, efforts to collect this information are not duplicative.  </w:t>
      </w:r>
    </w:p>
    <w:p w:rsidR="008C734C" w:rsidRPr="00B73BE3" w:rsidP="00EA5684" w14:paraId="206ED4E8" w14:textId="77777777">
      <w:pPr>
        <w:pStyle w:val="Heading2"/>
        <w:rPr>
          <w:rFonts w:cstheme="minorHAnsi"/>
        </w:rPr>
      </w:pPr>
      <w:bookmarkStart w:id="6" w:name="_Toc128483702"/>
      <w:r w:rsidRPr="00B73BE3">
        <w:rPr>
          <w:rFonts w:cstheme="minorHAnsi"/>
        </w:rPr>
        <w:t>A.</w:t>
      </w:r>
      <w:r w:rsidRPr="00B73BE3" w:rsidR="00A41763">
        <w:rPr>
          <w:rFonts w:cstheme="minorHAnsi"/>
        </w:rPr>
        <w:t xml:space="preserve">5. </w:t>
      </w:r>
      <w:r w:rsidRPr="00B73BE3">
        <w:rPr>
          <w:rFonts w:cstheme="minorHAnsi"/>
        </w:rPr>
        <w:t>Provisions for Reducing Burden on Small Businesses</w:t>
      </w:r>
      <w:bookmarkEnd w:id="6"/>
      <w:r w:rsidRPr="00B73BE3">
        <w:rPr>
          <w:rFonts w:cstheme="minorHAnsi"/>
        </w:rPr>
        <w:t xml:space="preserve"> </w:t>
      </w:r>
    </w:p>
    <w:p w:rsidR="00A41763" w:rsidRPr="00B73BE3" w:rsidP="00A41763" w14:paraId="56EA875F" w14:textId="77777777">
      <w:pPr>
        <w:rPr>
          <w:rFonts w:cstheme="minorHAnsi"/>
        </w:rPr>
      </w:pPr>
      <w:r w:rsidRPr="00B73BE3">
        <w:rPr>
          <w:rFonts w:cstheme="minorHAnsi"/>
          <w:b/>
          <w:bCs/>
        </w:rPr>
        <w:t xml:space="preserve">If the collection of information impacts small businesses or other small entities, describe any methods used to minimize burden. </w:t>
      </w:r>
    </w:p>
    <w:p w:rsidR="001871EA" w:rsidRPr="00B73BE3" w:rsidP="001871EA" w14:paraId="7E581F19" w14:textId="77777777">
      <w:pPr>
        <w:autoSpaceDE w:val="0"/>
        <w:autoSpaceDN w:val="0"/>
        <w:adjustRightInd w:val="0"/>
        <w:spacing w:after="0" w:line="240" w:lineRule="auto"/>
        <w:ind w:right="720"/>
        <w:rPr>
          <w:rFonts w:eastAsia="Times New Roman" w:cstheme="minorHAnsi"/>
        </w:rPr>
      </w:pPr>
      <w:r w:rsidRPr="00B73BE3">
        <w:rPr>
          <w:rFonts w:eastAsia="Times New Roman" w:cstheme="minorHAnsi"/>
        </w:rPr>
        <w:t>Small businesses are not impacted by these requirements. Small local governments and tribal entities are subject to the reporting requirements. While the web-based system should not pose a problem for the local governments, certain tribal entities may have technical difficulties. DOE will provide technical assistance to these tribal entities and work closely with their tribal councils and the Bureau of Indian Affairs to ensure that they can comply and will not be penalized for delays due to any technical difficulties they experience.</w:t>
      </w:r>
    </w:p>
    <w:p w:rsidR="008C734C" w:rsidRPr="00B73BE3" w:rsidP="00EA5684" w14:paraId="15AE0F40" w14:textId="77777777">
      <w:pPr>
        <w:pStyle w:val="Heading2"/>
        <w:rPr>
          <w:rFonts w:cstheme="minorHAnsi"/>
        </w:rPr>
      </w:pPr>
      <w:bookmarkStart w:id="7" w:name="_Toc128483703"/>
      <w:r w:rsidRPr="00B73BE3">
        <w:rPr>
          <w:rFonts w:cstheme="minorHAnsi"/>
        </w:rPr>
        <w:t>A.</w:t>
      </w:r>
      <w:r w:rsidRPr="00B73BE3" w:rsidR="00A41763">
        <w:rPr>
          <w:rFonts w:cstheme="minorHAnsi"/>
        </w:rPr>
        <w:t xml:space="preserve">6. </w:t>
      </w:r>
      <w:r w:rsidRPr="00B73BE3">
        <w:rPr>
          <w:rFonts w:cstheme="minorHAnsi"/>
        </w:rPr>
        <w:t>Consequences of Less-Frequent Reporting</w:t>
      </w:r>
      <w:bookmarkEnd w:id="7"/>
    </w:p>
    <w:p w:rsidR="00A41763" w:rsidRPr="00B73BE3" w:rsidP="00A41763" w14:paraId="518BC5D1" w14:textId="77777777">
      <w:pPr>
        <w:rPr>
          <w:rFonts w:cstheme="minorHAnsi"/>
        </w:rPr>
      </w:pPr>
      <w:r w:rsidRPr="00B73BE3">
        <w:rPr>
          <w:rFonts w:cstheme="minorHAnsi"/>
          <w:b/>
          <w:bCs/>
        </w:rPr>
        <w:t xml:space="preserve">Describe the consequence to Federal program or policy activities if the collection is not conducted or is conducted less frequently, as well as any technical or legal obstacles to reducing burden. </w:t>
      </w:r>
    </w:p>
    <w:p w:rsidR="001871EA" w:rsidRPr="00B73BE3" w:rsidP="001871EA" w14:paraId="7A30CC46" w14:textId="180AE25C">
      <w:pPr>
        <w:spacing w:after="0" w:line="240" w:lineRule="auto"/>
        <w:rPr>
          <w:rFonts w:eastAsia="Times New Roman" w:cstheme="minorHAnsi"/>
        </w:rPr>
      </w:pPr>
      <w:r w:rsidRPr="00B73BE3">
        <w:rPr>
          <w:rFonts w:eastAsia="Times New Roman" w:cstheme="minorHAnsi"/>
        </w:rPr>
        <w:t>Compliance with Section 106 of the NHPA is a requisite of the retrofit of historic</w:t>
      </w:r>
      <w:r w:rsidRPr="00B73BE3" w:rsidR="003C10A5">
        <w:rPr>
          <w:rFonts w:eastAsia="Times New Roman" w:cstheme="minorHAnsi"/>
        </w:rPr>
        <w:t xml:space="preserve"> units,</w:t>
      </w:r>
      <w:r w:rsidRPr="00B73BE3">
        <w:rPr>
          <w:rFonts w:eastAsia="Times New Roman" w:cstheme="minorHAnsi"/>
        </w:rPr>
        <w:t xml:space="preserve"> structures or sites. Inability to collect information verifying this compliance on at least an annual basis will slow and likely stop retrofit of relevant structures and potentially all structures retrofit under WAP, SEP, and EECBG </w:t>
      </w:r>
      <w:r w:rsidRPr="00B73BE3" w:rsidR="00F92003">
        <w:rPr>
          <w:rFonts w:eastAsia="Times New Roman" w:cstheme="minorHAnsi"/>
        </w:rPr>
        <w:t xml:space="preserve">Program </w:t>
      </w:r>
      <w:r w:rsidRPr="00B73BE3">
        <w:rPr>
          <w:rFonts w:eastAsia="Times New Roman" w:cstheme="minorHAnsi"/>
        </w:rPr>
        <w:t xml:space="preserve">financial programs. </w:t>
      </w:r>
    </w:p>
    <w:p w:rsidR="008C734C" w:rsidRPr="00B73BE3" w:rsidP="00EA5684" w14:paraId="3D19821B" w14:textId="77777777">
      <w:pPr>
        <w:pStyle w:val="Heading2"/>
        <w:rPr>
          <w:rFonts w:cstheme="minorHAnsi"/>
        </w:rPr>
      </w:pPr>
      <w:bookmarkStart w:id="8" w:name="_Toc128483704"/>
      <w:r w:rsidRPr="00B73BE3">
        <w:rPr>
          <w:rFonts w:cstheme="minorHAnsi"/>
        </w:rPr>
        <w:t>A.</w:t>
      </w:r>
      <w:r w:rsidRPr="00B73BE3" w:rsidR="00A41763">
        <w:rPr>
          <w:rFonts w:cstheme="minorHAnsi"/>
        </w:rPr>
        <w:t xml:space="preserve">7. </w:t>
      </w:r>
      <w:r w:rsidRPr="00B73BE3">
        <w:rPr>
          <w:rFonts w:cstheme="minorHAnsi"/>
        </w:rPr>
        <w:t>Compliance with 5 CFR 1320.5</w:t>
      </w:r>
      <w:bookmarkEnd w:id="8"/>
    </w:p>
    <w:p w:rsidR="00A41763" w:rsidRPr="00B73BE3" w:rsidP="00A41763" w14:paraId="16A11636" w14:textId="77777777">
      <w:pPr>
        <w:rPr>
          <w:rFonts w:cstheme="minorHAnsi"/>
        </w:rPr>
      </w:pPr>
      <w:r w:rsidRPr="00B73BE3">
        <w:rPr>
          <w:rFonts w:cstheme="minorHAnsi"/>
          <w:b/>
          <w:bCs/>
        </w:rPr>
        <w:t xml:space="preserve">Explain any special circumstances that require the collection to be conducted in a manner inconsistent with OMB guidelines. (a) requiring respondents to report information to the agency more often than </w:t>
      </w:r>
      <w:r w:rsidRPr="00B73BE3">
        <w:rPr>
          <w:rFonts w:cstheme="minorHAnsi"/>
          <w:b/>
          <w:bCs/>
        </w:rPr>
        <w:t xml:space="preserve">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1871EA" w:rsidRPr="00B73BE3" w:rsidP="001871EA" w14:paraId="3CDDC546" w14:textId="77777777">
      <w:pPr>
        <w:spacing w:after="0" w:line="240" w:lineRule="auto"/>
        <w:rPr>
          <w:rFonts w:eastAsia="Times New Roman" w:cstheme="minorHAnsi"/>
        </w:rPr>
      </w:pPr>
      <w:r w:rsidRPr="00B73BE3">
        <w:rPr>
          <w:rFonts w:eastAsia="Times New Roman" w:cstheme="minorHAnsi"/>
        </w:rPr>
        <w:t xml:space="preserve">There are none. </w:t>
      </w:r>
      <w:r w:rsidRPr="00B73BE3">
        <w:rPr>
          <w:rFonts w:eastAsia="Times New Roman" w:cstheme="minorHAnsi"/>
        </w:rPr>
        <w:t>The package is consistent with OMB guidelines.</w:t>
      </w:r>
    </w:p>
    <w:p w:rsidR="008C734C" w:rsidRPr="00B73BE3" w:rsidP="00EA5684" w14:paraId="22E5D5FD" w14:textId="77777777">
      <w:pPr>
        <w:pStyle w:val="Heading2"/>
        <w:rPr>
          <w:rFonts w:cstheme="minorHAnsi"/>
        </w:rPr>
      </w:pPr>
      <w:bookmarkStart w:id="9" w:name="_Toc128483705"/>
      <w:r w:rsidRPr="00B73BE3">
        <w:rPr>
          <w:rFonts w:cstheme="minorHAnsi"/>
        </w:rPr>
        <w:t>A.</w:t>
      </w:r>
      <w:r w:rsidRPr="00B73BE3" w:rsidR="00A41763">
        <w:rPr>
          <w:rFonts w:cstheme="minorHAnsi"/>
        </w:rPr>
        <w:t xml:space="preserve">8. </w:t>
      </w:r>
      <w:r w:rsidRPr="00B73BE3">
        <w:rPr>
          <w:rFonts w:cstheme="minorHAnsi"/>
        </w:rPr>
        <w:t>Summary of Consultations Outside of the Agency</w:t>
      </w:r>
      <w:bookmarkEnd w:id="9"/>
    </w:p>
    <w:p w:rsidR="006D3364" w:rsidRPr="00B73BE3" w:rsidP="00DA5469" w14:paraId="25835EF2" w14:textId="301CBAAE">
      <w:pPr>
        <w:rPr>
          <w:rFonts w:cstheme="minorHAnsi"/>
        </w:rPr>
      </w:pPr>
      <w:r w:rsidRPr="00B73BE3">
        <w:rPr>
          <w:rFonts w:cstheme="minorHAnsi"/>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6D3364" w:rsidRPr="00B73BE3" w:rsidP="001871EA" w14:paraId="58A6571D" w14:textId="3A034B7E">
      <w:pPr>
        <w:spacing w:after="0" w:line="240" w:lineRule="auto"/>
        <w:rPr>
          <w:rStyle w:val="Hyperlink"/>
          <w:rFonts w:cstheme="minorHAnsi"/>
        </w:rPr>
      </w:pPr>
      <w:r w:rsidRPr="00B73BE3">
        <w:rPr>
          <w:rFonts w:eastAsia="Times New Roman" w:cstheme="minorHAnsi"/>
          <w:color w:val="000000"/>
        </w:rPr>
        <w:t xml:space="preserve">The </w:t>
      </w:r>
      <w:r w:rsidRPr="00B73BE3">
        <w:rPr>
          <w:rFonts w:eastAsia="Times New Roman" w:cstheme="minorHAnsi"/>
          <w:color w:val="000000"/>
        </w:rPr>
        <w:t xml:space="preserve">60-day FRN </w:t>
      </w:r>
      <w:r w:rsidRPr="00B73BE3">
        <w:rPr>
          <w:rFonts w:eastAsia="Times New Roman" w:cstheme="minorHAnsi"/>
          <w:color w:val="000000"/>
        </w:rPr>
        <w:t xml:space="preserve">was </w:t>
      </w:r>
      <w:r w:rsidRPr="00B73BE3">
        <w:rPr>
          <w:rFonts w:eastAsia="Times New Roman" w:cstheme="minorHAnsi"/>
          <w:color w:val="000000"/>
        </w:rPr>
        <w:t>published on 08/30/2022 on page 52946-52947</w:t>
      </w:r>
      <w:r w:rsidRPr="00B73BE3" w:rsidR="00AE0388">
        <w:rPr>
          <w:rFonts w:eastAsia="Times New Roman" w:cstheme="minorHAnsi"/>
          <w:color w:val="000000"/>
        </w:rPr>
        <w:t>, Vol. 87</w:t>
      </w:r>
      <w:r w:rsidRPr="00B73BE3" w:rsidR="00DA5469">
        <w:rPr>
          <w:rFonts w:eastAsia="Times New Roman" w:cstheme="minorHAnsi"/>
          <w:color w:val="000000"/>
        </w:rPr>
        <w:t xml:space="preserve"> and concluded on 10/31/2022</w:t>
      </w:r>
      <w:r w:rsidRPr="00B73BE3" w:rsidR="00AE0388">
        <w:rPr>
          <w:rFonts w:eastAsia="Times New Roman" w:cstheme="minorHAnsi"/>
          <w:color w:val="000000"/>
        </w:rPr>
        <w:t>. No comments were received</w:t>
      </w:r>
      <w:r w:rsidRPr="00B73BE3">
        <w:rPr>
          <w:rFonts w:eastAsia="Times New Roman" w:cstheme="minorHAnsi"/>
          <w:color w:val="000000"/>
        </w:rPr>
        <w:t xml:space="preserve">: </w:t>
      </w:r>
      <w:hyperlink r:id="rId11" w:history="1">
        <w:r w:rsidRPr="00B73BE3">
          <w:rPr>
            <w:rStyle w:val="Hyperlink"/>
            <w:rFonts w:cstheme="minorHAnsi"/>
          </w:rPr>
          <w:t>Federal Register :: Extension of a Currently Approved Information Collection for the Weatherization Assistance Program</w:t>
        </w:r>
      </w:hyperlink>
    </w:p>
    <w:p w:rsidR="00DA5469" w:rsidRPr="00B73BE3" w:rsidP="001871EA" w14:paraId="00C82CD5" w14:textId="1A6C87AD">
      <w:pPr>
        <w:spacing w:after="0" w:line="240" w:lineRule="auto"/>
        <w:rPr>
          <w:rStyle w:val="Hyperlink"/>
          <w:rFonts w:cstheme="minorHAnsi"/>
        </w:rPr>
      </w:pPr>
    </w:p>
    <w:p w:rsidR="000750DF" w:rsidRPr="00B73BE3" w:rsidP="00DA5469" w14:paraId="2B39C44B" w14:textId="4B1E30D6">
      <w:pPr>
        <w:spacing w:after="0" w:line="240" w:lineRule="auto"/>
        <w:rPr>
          <w:rFonts w:cstheme="minorHAnsi"/>
          <w:color w:val="242424"/>
          <w:shd w:val="clear" w:color="auto" w:fill="FFFFFF"/>
        </w:rPr>
      </w:pPr>
      <w:r w:rsidRPr="00B73BE3">
        <w:rPr>
          <w:rFonts w:cstheme="minorHAnsi"/>
          <w:color w:val="242424"/>
          <w:shd w:val="clear" w:color="auto" w:fill="FFFFFF"/>
        </w:rPr>
        <w:t>Informal consultation: We are always gathering informal feedback from Grantees and Subgrantees at conferences and trainings, and Historic Preservation has been discussed. Technical Assistance is also provided to grantees through monitoring which is another avenue in which we are engaging in conversation.</w:t>
      </w:r>
    </w:p>
    <w:p w:rsidR="000750DF" w:rsidRPr="00B73BE3" w:rsidP="00DA5469" w14:paraId="3B21861D" w14:textId="77777777">
      <w:pPr>
        <w:spacing w:after="0" w:line="240" w:lineRule="auto"/>
        <w:rPr>
          <w:rFonts w:cstheme="minorHAnsi"/>
          <w:color w:val="242424"/>
          <w:shd w:val="clear" w:color="auto" w:fill="FFFFFF"/>
        </w:rPr>
      </w:pPr>
    </w:p>
    <w:p w:rsidR="00DA5469" w:rsidRPr="00B73BE3" w:rsidP="00DA5469" w14:paraId="348F682E" w14:textId="73AA0A8C">
      <w:pPr>
        <w:spacing w:after="0" w:line="240" w:lineRule="auto"/>
        <w:rPr>
          <w:rFonts w:eastAsia="Times New Roman" w:cstheme="minorHAnsi"/>
          <w:color w:val="000000"/>
        </w:rPr>
      </w:pPr>
      <w:r w:rsidRPr="00B73BE3">
        <w:rPr>
          <w:rFonts w:eastAsia="Times New Roman" w:cstheme="minorHAnsi"/>
          <w:color w:val="000000"/>
        </w:rPr>
        <w:t xml:space="preserve">DOE did not undertake efforts to otherwise consult with members of the public regarding this information collection pursuant to 5 CFR 1320.8(d)(1). </w:t>
      </w:r>
    </w:p>
    <w:p w:rsidR="008C734C" w:rsidRPr="00B73BE3" w:rsidP="00EA5684" w14:paraId="704D6BFF" w14:textId="77777777">
      <w:pPr>
        <w:pStyle w:val="Heading2"/>
        <w:rPr>
          <w:rFonts w:cstheme="minorHAnsi"/>
        </w:rPr>
      </w:pPr>
      <w:bookmarkStart w:id="10" w:name="_Toc128483706"/>
      <w:r w:rsidRPr="00B73BE3">
        <w:rPr>
          <w:rFonts w:cstheme="minorHAnsi"/>
        </w:rPr>
        <w:t>A.</w:t>
      </w:r>
      <w:r w:rsidRPr="00B73BE3" w:rsidR="00A41763">
        <w:rPr>
          <w:rFonts w:cstheme="minorHAnsi"/>
        </w:rPr>
        <w:t xml:space="preserve">9. </w:t>
      </w:r>
      <w:r w:rsidRPr="00B73BE3">
        <w:rPr>
          <w:rFonts w:cstheme="minorHAnsi"/>
        </w:rPr>
        <w:t>Payments or Gifts to Respondents</w:t>
      </w:r>
      <w:bookmarkEnd w:id="10"/>
      <w:r w:rsidRPr="00B73BE3">
        <w:rPr>
          <w:rFonts w:cstheme="minorHAnsi"/>
        </w:rPr>
        <w:t xml:space="preserve"> </w:t>
      </w:r>
    </w:p>
    <w:p w:rsidR="00A41763" w:rsidRPr="00B73BE3" w:rsidP="00A41763" w14:paraId="6534FAB7" w14:textId="77777777">
      <w:pPr>
        <w:rPr>
          <w:rFonts w:cstheme="minorHAnsi"/>
        </w:rPr>
      </w:pPr>
      <w:r w:rsidRPr="00B73BE3">
        <w:rPr>
          <w:rFonts w:cstheme="minorHAnsi"/>
          <w:b/>
          <w:bCs/>
        </w:rPr>
        <w:t xml:space="preserve">Explain any decision to provide any payment or gift to respondents, other than </w:t>
      </w:r>
      <w:r w:rsidRPr="00B73BE3" w:rsidR="001A6E9A">
        <w:rPr>
          <w:rFonts w:cstheme="minorHAnsi"/>
          <w:b/>
          <w:bCs/>
        </w:rPr>
        <w:t>remuneration</w:t>
      </w:r>
      <w:r w:rsidRPr="00B73BE3">
        <w:rPr>
          <w:rFonts w:cstheme="minorHAnsi"/>
          <w:b/>
          <w:bCs/>
        </w:rPr>
        <w:t xml:space="preserve"> of contractors or grantees. </w:t>
      </w:r>
    </w:p>
    <w:p w:rsidR="001871EA" w:rsidRPr="00B73BE3" w:rsidP="001871EA" w14:paraId="3C8319AB" w14:textId="77777777">
      <w:pPr>
        <w:spacing w:after="0" w:line="240" w:lineRule="auto"/>
        <w:rPr>
          <w:rFonts w:eastAsia="Times New Roman" w:cstheme="minorHAnsi"/>
        </w:rPr>
      </w:pPr>
      <w:r w:rsidRPr="00B73BE3">
        <w:rPr>
          <w:rFonts w:eastAsia="Times New Roman" w:cstheme="minorHAnsi"/>
        </w:rPr>
        <w:t>There is no remuneration given for submission of any of the information other than the fact that the expense of responding is treated as an allowable cost.</w:t>
      </w:r>
    </w:p>
    <w:p w:rsidR="008C734C" w:rsidRPr="00B73BE3" w:rsidP="00EA5684" w14:paraId="0C7C9123" w14:textId="77777777">
      <w:pPr>
        <w:pStyle w:val="Heading2"/>
        <w:rPr>
          <w:rFonts w:cstheme="minorHAnsi"/>
        </w:rPr>
      </w:pPr>
      <w:bookmarkStart w:id="11" w:name="_Toc128483707"/>
      <w:r w:rsidRPr="00B73BE3">
        <w:rPr>
          <w:rFonts w:cstheme="minorHAnsi"/>
        </w:rPr>
        <w:t>A.</w:t>
      </w:r>
      <w:r w:rsidRPr="00B73BE3" w:rsidR="00A41763">
        <w:rPr>
          <w:rFonts w:cstheme="minorHAnsi"/>
        </w:rPr>
        <w:t xml:space="preserve">10. </w:t>
      </w:r>
      <w:r w:rsidRPr="00B73BE3">
        <w:rPr>
          <w:rFonts w:cstheme="minorHAnsi"/>
        </w:rPr>
        <w:t>Provisions for Protection of Information</w:t>
      </w:r>
      <w:bookmarkEnd w:id="11"/>
      <w:r w:rsidRPr="00B73BE3">
        <w:rPr>
          <w:rFonts w:cstheme="minorHAnsi"/>
        </w:rPr>
        <w:t xml:space="preserve"> </w:t>
      </w:r>
    </w:p>
    <w:p w:rsidR="00A41763" w:rsidRPr="00B73BE3" w:rsidP="00A41763" w14:paraId="21D8A14A" w14:textId="77777777">
      <w:pPr>
        <w:rPr>
          <w:rFonts w:cstheme="minorHAnsi"/>
        </w:rPr>
      </w:pPr>
      <w:r w:rsidRPr="00B73BE3">
        <w:rPr>
          <w:rFonts w:cstheme="minorHAnsi"/>
          <w:b/>
          <w:bCs/>
        </w:rPr>
        <w:t xml:space="preserve">Describe any assurance of confidentiality provided to respondents and the basis for the assurance in statute, regulation, or agency policy. </w:t>
      </w:r>
    </w:p>
    <w:p w:rsidR="001871EA" w:rsidRPr="00B73BE3" w:rsidP="001871EA" w14:paraId="0EB068DB" w14:textId="77777777">
      <w:pPr>
        <w:spacing w:after="0" w:line="240" w:lineRule="auto"/>
        <w:rPr>
          <w:rFonts w:eastAsia="Times New Roman" w:cstheme="minorHAnsi"/>
        </w:rPr>
      </w:pPr>
      <w:r w:rsidRPr="00B73BE3">
        <w:rPr>
          <w:rFonts w:eastAsia="Times New Roman" w:cstheme="minorHAnsi"/>
        </w:rPr>
        <w:t>No identifiable confidential information is being requested.</w:t>
      </w:r>
    </w:p>
    <w:p w:rsidR="00F056C3" w:rsidRPr="00B73BE3" w:rsidP="00EA5684" w14:paraId="20B34C4A" w14:textId="77777777">
      <w:pPr>
        <w:pStyle w:val="Heading2"/>
        <w:rPr>
          <w:rFonts w:cstheme="minorHAnsi"/>
        </w:rPr>
      </w:pPr>
      <w:bookmarkStart w:id="12" w:name="_Toc128483708"/>
      <w:r w:rsidRPr="00B73BE3">
        <w:rPr>
          <w:rFonts w:cstheme="minorHAnsi"/>
        </w:rPr>
        <w:t>A.</w:t>
      </w:r>
      <w:r w:rsidRPr="00B73BE3" w:rsidR="00A41763">
        <w:rPr>
          <w:rFonts w:cstheme="minorHAnsi"/>
        </w:rPr>
        <w:t xml:space="preserve">11. </w:t>
      </w:r>
      <w:r w:rsidRPr="00B73BE3">
        <w:rPr>
          <w:rFonts w:cstheme="minorHAnsi"/>
        </w:rPr>
        <w:t>Justification for Sensitive Questions</w:t>
      </w:r>
      <w:bookmarkEnd w:id="12"/>
      <w:r w:rsidRPr="00B73BE3">
        <w:rPr>
          <w:rFonts w:cstheme="minorHAnsi"/>
        </w:rPr>
        <w:t xml:space="preserve"> </w:t>
      </w:r>
    </w:p>
    <w:p w:rsidR="00A41763" w:rsidRPr="00B73BE3" w:rsidP="00A41763" w14:paraId="1982653D" w14:textId="77777777">
      <w:pPr>
        <w:rPr>
          <w:rFonts w:cstheme="minorHAnsi"/>
        </w:rPr>
      </w:pPr>
      <w:r w:rsidRPr="00B73BE3">
        <w:rPr>
          <w:rFonts w:cstheme="minorHAns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B73BE3" w:rsidR="00F056C3">
        <w:rPr>
          <w:rFonts w:cstheme="minorHAnsi"/>
          <w:b/>
          <w:bCs/>
        </w:rPr>
        <w:t>s to be made of the information</w:t>
      </w:r>
      <w:r w:rsidRPr="00B73BE3">
        <w:rPr>
          <w:rFonts w:cstheme="minorHAnsi"/>
          <w:b/>
          <w:bCs/>
        </w:rPr>
        <w:t xml:space="preserve">, the explanation to be given to persons from whom the information is requested, and any steps to be taken to obtain their consent. </w:t>
      </w:r>
    </w:p>
    <w:p w:rsidR="001871EA" w:rsidRPr="00B73BE3" w:rsidP="001871EA" w14:paraId="3A728B09" w14:textId="77777777">
      <w:pPr>
        <w:spacing w:after="0" w:line="240" w:lineRule="auto"/>
        <w:rPr>
          <w:rFonts w:eastAsia="Times New Roman" w:cstheme="minorHAnsi"/>
        </w:rPr>
      </w:pPr>
      <w:r w:rsidRPr="00B73BE3">
        <w:rPr>
          <w:rFonts w:eastAsia="Times New Roman" w:cstheme="minorHAnsi"/>
        </w:rPr>
        <w:t>No questions of a sensitive, personal or private nature are being asked.</w:t>
      </w:r>
    </w:p>
    <w:p w:rsidR="00F056C3" w:rsidRPr="00B73BE3" w:rsidP="00EA5684" w14:paraId="574CA2BF" w14:textId="77777777">
      <w:pPr>
        <w:pStyle w:val="Heading2"/>
        <w:rPr>
          <w:rFonts w:cstheme="minorHAnsi"/>
        </w:rPr>
      </w:pPr>
      <w:bookmarkStart w:id="13" w:name="_Toc128483709"/>
      <w:r w:rsidRPr="00B73BE3">
        <w:rPr>
          <w:rFonts w:cstheme="minorHAnsi"/>
        </w:rPr>
        <w:t>A.</w:t>
      </w:r>
      <w:r w:rsidRPr="00B73BE3" w:rsidR="00A41763">
        <w:rPr>
          <w:rFonts w:cstheme="minorHAnsi"/>
        </w:rPr>
        <w:t xml:space="preserve">12. </w:t>
      </w:r>
      <w:r w:rsidRPr="00B73BE3">
        <w:rPr>
          <w:rFonts w:cstheme="minorHAnsi"/>
        </w:rPr>
        <w:t>Estimate of Respondent Burden Hours</w:t>
      </w:r>
      <w:bookmarkEnd w:id="13"/>
      <w:r w:rsidRPr="00B73BE3">
        <w:rPr>
          <w:rFonts w:cstheme="minorHAnsi"/>
        </w:rPr>
        <w:t xml:space="preserve"> </w:t>
      </w:r>
    </w:p>
    <w:p w:rsidR="00A41763" w:rsidRPr="00B73BE3" w:rsidP="00A41763" w14:paraId="320C685B" w14:textId="77777777">
      <w:pPr>
        <w:rPr>
          <w:rFonts w:cstheme="minorHAnsi"/>
          <w:b/>
          <w:bCs/>
        </w:rPr>
      </w:pPr>
      <w:r w:rsidRPr="00B73BE3">
        <w:rPr>
          <w:rFonts w:cstheme="minorHAnsi"/>
          <w:b/>
          <w:bCs/>
        </w:rPr>
        <w:t xml:space="preserve">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rsidR="001871EA" w:rsidRPr="00B73BE3" w:rsidP="001871EA" w14:paraId="210C4546" w14:textId="77777777">
      <w:pPr>
        <w:spacing w:after="0" w:line="240" w:lineRule="auto"/>
        <w:rPr>
          <w:rFonts w:eastAsia="Times New Roman" w:cstheme="minorHAnsi"/>
          <w:u w:val="single"/>
        </w:rPr>
      </w:pPr>
      <w:r w:rsidRPr="00B73BE3">
        <w:rPr>
          <w:rFonts w:eastAsia="Times New Roman" w:cstheme="minorHAnsi"/>
          <w:u w:val="single"/>
        </w:rPr>
        <w:t xml:space="preserve">Recipient burden </w:t>
      </w:r>
    </w:p>
    <w:p w:rsidR="001871EA" w:rsidRPr="00B73BE3" w:rsidP="001871EA" w14:paraId="6ECA5C94" w14:textId="16E5559E">
      <w:pPr>
        <w:autoSpaceDE w:val="0"/>
        <w:autoSpaceDN w:val="0"/>
        <w:adjustRightInd w:val="0"/>
        <w:spacing w:after="0" w:line="240" w:lineRule="auto"/>
        <w:ind w:right="720"/>
        <w:rPr>
          <w:rFonts w:eastAsia="Times New Roman" w:cstheme="minorHAnsi"/>
          <w:b/>
          <w:color w:val="00B0F0"/>
          <w:u w:val="single"/>
        </w:rPr>
      </w:pPr>
      <w:r w:rsidRPr="00B73BE3">
        <w:rPr>
          <w:rFonts w:eastAsia="Times New Roman" w:cstheme="minorHAnsi"/>
        </w:rPr>
        <w:t xml:space="preserve">Recipients will be required to report annually on </w:t>
      </w:r>
      <w:r w:rsidRPr="00B73BE3" w:rsidR="008B6C78">
        <w:rPr>
          <w:rFonts w:eastAsia="Times New Roman" w:cstheme="minorHAnsi"/>
        </w:rPr>
        <w:t xml:space="preserve">historic preservation </w:t>
      </w:r>
      <w:r w:rsidRPr="00B73BE3">
        <w:rPr>
          <w:rFonts w:eastAsia="Times New Roman" w:cstheme="minorHAnsi"/>
        </w:rPr>
        <w:t xml:space="preserve">compliance. The report will consist of a one-page </w:t>
      </w:r>
      <w:r w:rsidRPr="00B73BE3" w:rsidR="008B6C78">
        <w:rPr>
          <w:rFonts w:eastAsia="Times New Roman" w:cstheme="minorHAnsi"/>
        </w:rPr>
        <w:t xml:space="preserve">report to be </w:t>
      </w:r>
      <w:r w:rsidRPr="00B73BE3">
        <w:rPr>
          <w:rFonts w:eastAsia="Times New Roman" w:cstheme="minorHAnsi"/>
        </w:rPr>
        <w:t xml:space="preserve">completed in PAGE. It is estimated that WAP </w:t>
      </w:r>
      <w:r w:rsidRPr="00B73BE3" w:rsidR="00BB57ED">
        <w:rPr>
          <w:rFonts w:eastAsia="Times New Roman" w:cstheme="minorHAnsi"/>
        </w:rPr>
        <w:t xml:space="preserve">Formula, WAP Competitive, SEP Annual, SEP EATR, </w:t>
      </w:r>
      <w:r w:rsidRPr="00B73BE3">
        <w:rPr>
          <w:rFonts w:eastAsia="Times New Roman" w:cstheme="minorHAnsi"/>
        </w:rPr>
        <w:t>and EECBG</w:t>
      </w:r>
      <w:r w:rsidRPr="00B73BE3" w:rsidR="00F92003">
        <w:rPr>
          <w:rFonts w:eastAsia="Times New Roman" w:cstheme="minorHAnsi"/>
        </w:rPr>
        <w:t xml:space="preserve"> Program</w:t>
      </w:r>
      <w:r w:rsidRPr="00B73BE3">
        <w:rPr>
          <w:rFonts w:eastAsia="Times New Roman" w:cstheme="minorHAnsi"/>
        </w:rPr>
        <w:t xml:space="preserve"> recipients will spend </w:t>
      </w:r>
      <w:r w:rsidRPr="00B73BE3" w:rsidR="00BB57ED">
        <w:rPr>
          <w:rFonts w:eastAsia="Times New Roman" w:cstheme="minorHAnsi"/>
        </w:rPr>
        <w:t>two</w:t>
      </w:r>
      <w:r w:rsidRPr="00B73BE3">
        <w:rPr>
          <w:rFonts w:eastAsia="Times New Roman" w:cstheme="minorHAnsi"/>
        </w:rPr>
        <w:t xml:space="preserve"> hour</w:t>
      </w:r>
      <w:r w:rsidRPr="00B73BE3" w:rsidR="00BB57ED">
        <w:rPr>
          <w:rFonts w:eastAsia="Times New Roman" w:cstheme="minorHAnsi"/>
        </w:rPr>
        <w:t>s</w:t>
      </w:r>
      <w:r w:rsidRPr="00B73BE3">
        <w:rPr>
          <w:rFonts w:eastAsia="Times New Roman" w:cstheme="minorHAnsi"/>
        </w:rPr>
        <w:t xml:space="preserve"> preparing and completing each report. </w:t>
      </w:r>
      <w:r w:rsidRPr="00B73BE3" w:rsidR="00BB57ED">
        <w:rPr>
          <w:rFonts w:eastAsia="Times New Roman" w:cstheme="minorHAnsi"/>
        </w:rPr>
        <w:t>WAP IIJA, SEP IIJA, and SEP EERL</w:t>
      </w:r>
      <w:r w:rsidRPr="00B73BE3">
        <w:rPr>
          <w:rFonts w:eastAsia="Times New Roman" w:cstheme="minorHAnsi"/>
        </w:rPr>
        <w:t xml:space="preserve"> recipients anticipate spending </w:t>
      </w:r>
      <w:r w:rsidRPr="00B73BE3" w:rsidR="00BB57ED">
        <w:rPr>
          <w:rFonts w:eastAsia="Times New Roman" w:cstheme="minorHAnsi"/>
        </w:rPr>
        <w:t>four</w:t>
      </w:r>
      <w:r w:rsidRPr="00B73BE3">
        <w:rPr>
          <w:rFonts w:eastAsia="Times New Roman" w:cstheme="minorHAnsi"/>
        </w:rPr>
        <w:t xml:space="preserve"> hours to prepare and complete their reports given the</w:t>
      </w:r>
      <w:r w:rsidRPr="00B73BE3" w:rsidR="00BB57ED">
        <w:rPr>
          <w:rFonts w:eastAsia="Times New Roman" w:cstheme="minorHAnsi"/>
        </w:rPr>
        <w:t xml:space="preserve"> additional funding and activity load associated</w:t>
      </w:r>
      <w:r w:rsidRPr="00B73BE3">
        <w:rPr>
          <w:rFonts w:eastAsia="Times New Roman" w:cstheme="minorHAnsi"/>
        </w:rPr>
        <w:t xml:space="preserve"> of some of their historic preservation-related activities. </w:t>
      </w:r>
      <w:r w:rsidRPr="00B73BE3">
        <w:rPr>
          <w:rFonts w:eastAsia="Times New Roman" w:cstheme="minorHAnsi"/>
          <w:color w:val="00B0F0"/>
        </w:rPr>
        <w:t xml:space="preserve"> </w:t>
      </w:r>
    </w:p>
    <w:p w:rsidR="001871EA" w:rsidRPr="00B73BE3" w:rsidP="001871EA" w14:paraId="644E84E9" w14:textId="77777777">
      <w:pPr>
        <w:spacing w:after="0" w:line="240" w:lineRule="auto"/>
        <w:rPr>
          <w:rFonts w:eastAsia="Times New Roman" w:cstheme="minorHAnsi"/>
          <w:b/>
          <w:u w:val="single"/>
        </w:rPr>
      </w:pPr>
    </w:p>
    <w:p w:rsidR="001300DC" w:rsidRPr="00B73BE3" w:rsidP="00C8494B" w14:paraId="6C3796BC" w14:textId="04C695C4">
      <w:pPr>
        <w:spacing w:after="0" w:line="240" w:lineRule="auto"/>
        <w:rPr>
          <w:rFonts w:eastAsia="Times New Roman" w:cstheme="minorHAnsi"/>
        </w:rPr>
      </w:pPr>
      <w:r w:rsidRPr="00B73BE3">
        <w:rPr>
          <w:rFonts w:eastAsia="Times New Roman" w:cstheme="minorHAnsi"/>
          <w:b/>
        </w:rPr>
        <w:t xml:space="preserve">WAP IIJA recipients:                                       </w:t>
      </w:r>
      <w:r w:rsidRPr="00B73BE3">
        <w:rPr>
          <w:rFonts w:eastAsia="Times New Roman" w:cstheme="minorHAnsi"/>
        </w:rPr>
        <w:t>57 respondents x 4 hrs/report x 1 report/year = 228 hrs</w:t>
      </w:r>
    </w:p>
    <w:p w:rsidR="001300DC" w:rsidRPr="00B73BE3" w:rsidP="00C8494B" w14:paraId="516C24FE" w14:textId="2C109D6E">
      <w:pPr>
        <w:spacing w:after="0" w:line="240" w:lineRule="auto"/>
        <w:rPr>
          <w:rFonts w:eastAsia="Times New Roman" w:cstheme="minorHAnsi"/>
        </w:rPr>
      </w:pPr>
      <w:r w:rsidRPr="00B73BE3">
        <w:rPr>
          <w:rFonts w:eastAsia="Times New Roman" w:cstheme="minorHAnsi"/>
          <w:b/>
        </w:rPr>
        <w:t>SEP IIJA recipients:</w:t>
      </w:r>
      <w:r w:rsidRPr="00B73BE3">
        <w:rPr>
          <w:rFonts w:eastAsia="Times New Roman" w:cstheme="minorHAnsi"/>
        </w:rPr>
        <w:t xml:space="preserve">                                          56 respondents x 4 hrs/report x 1 report/year = 224 hrs</w:t>
      </w:r>
    </w:p>
    <w:p w:rsidR="001300DC" w:rsidRPr="00B73BE3" w:rsidP="00C8494B" w14:paraId="14745B6E" w14:textId="28C2B7C1">
      <w:pPr>
        <w:spacing w:after="0" w:line="240" w:lineRule="auto"/>
        <w:rPr>
          <w:rFonts w:eastAsia="Times New Roman" w:cstheme="minorHAnsi"/>
          <w:b/>
        </w:rPr>
      </w:pPr>
      <w:r w:rsidRPr="00B73BE3">
        <w:rPr>
          <w:rFonts w:eastAsia="Times New Roman" w:cstheme="minorHAnsi"/>
          <w:b/>
        </w:rPr>
        <w:t>SEP Energy Efficiency Revolving Loan:</w:t>
      </w:r>
      <w:r w:rsidRPr="00B73BE3">
        <w:rPr>
          <w:rFonts w:eastAsia="Times New Roman" w:cstheme="minorHAnsi"/>
        </w:rPr>
        <w:t xml:space="preserve">       56 respondents x 4 hrs/report x 1 report/year = 224 hrs</w:t>
      </w:r>
    </w:p>
    <w:p w:rsidR="006B7CD8" w:rsidRPr="00B73BE3" w:rsidP="00C8494B" w14:paraId="5372D0B6" w14:textId="229FEC43">
      <w:pPr>
        <w:spacing w:after="0" w:line="240" w:lineRule="auto"/>
        <w:rPr>
          <w:rFonts w:eastAsia="Times New Roman" w:cstheme="minorHAnsi"/>
        </w:rPr>
      </w:pPr>
      <w:r w:rsidRPr="00B73BE3">
        <w:rPr>
          <w:rFonts w:eastAsia="Times New Roman" w:cstheme="minorHAnsi"/>
          <w:b/>
        </w:rPr>
        <w:t xml:space="preserve">WAP </w:t>
      </w:r>
      <w:r w:rsidRPr="00B73BE3">
        <w:rPr>
          <w:rFonts w:eastAsia="Times New Roman" w:cstheme="minorHAnsi"/>
          <w:b/>
        </w:rPr>
        <w:t xml:space="preserve">Formula </w:t>
      </w:r>
      <w:r w:rsidRPr="00B73BE3">
        <w:rPr>
          <w:rFonts w:eastAsia="Times New Roman" w:cstheme="minorHAnsi"/>
          <w:b/>
        </w:rPr>
        <w:t>recipients:</w:t>
      </w:r>
      <w:r w:rsidRPr="00B73BE3">
        <w:rPr>
          <w:rFonts w:eastAsia="Times New Roman" w:cstheme="minorHAnsi"/>
          <w:b/>
        </w:rPr>
        <w:tab/>
      </w:r>
      <w:r w:rsidRPr="00B73BE3">
        <w:rPr>
          <w:rFonts w:eastAsia="Times New Roman" w:cstheme="minorHAnsi"/>
          <w:b/>
        </w:rPr>
        <w:t xml:space="preserve">                 </w:t>
      </w:r>
      <w:r w:rsidRPr="00B73BE3">
        <w:rPr>
          <w:rFonts w:eastAsia="Times New Roman" w:cstheme="minorHAnsi"/>
        </w:rPr>
        <w:t>5</w:t>
      </w:r>
      <w:r w:rsidRPr="00B73BE3" w:rsidR="008C00AB">
        <w:rPr>
          <w:rFonts w:eastAsia="Times New Roman" w:cstheme="minorHAnsi"/>
        </w:rPr>
        <w:t>7</w:t>
      </w:r>
      <w:r w:rsidRPr="00B73BE3">
        <w:rPr>
          <w:rFonts w:eastAsia="Times New Roman" w:cstheme="minorHAnsi"/>
        </w:rPr>
        <w:t xml:space="preserve"> </w:t>
      </w:r>
      <w:r w:rsidRPr="00B73BE3" w:rsidR="00BB57ED">
        <w:rPr>
          <w:rFonts w:eastAsia="Times New Roman" w:cstheme="minorHAnsi"/>
        </w:rPr>
        <w:t xml:space="preserve">respondents </w:t>
      </w:r>
      <w:r w:rsidRPr="00B73BE3">
        <w:rPr>
          <w:rFonts w:eastAsia="Times New Roman" w:cstheme="minorHAnsi"/>
        </w:rPr>
        <w:t>x 2 h</w:t>
      </w:r>
      <w:r w:rsidRPr="00B73BE3" w:rsidR="007832D3">
        <w:rPr>
          <w:rFonts w:eastAsia="Times New Roman" w:cstheme="minorHAnsi"/>
        </w:rPr>
        <w:t>rs</w:t>
      </w:r>
      <w:r w:rsidRPr="00B73BE3">
        <w:rPr>
          <w:rFonts w:eastAsia="Times New Roman" w:cstheme="minorHAnsi"/>
        </w:rPr>
        <w:t>/report x 1 report/year = 11</w:t>
      </w:r>
      <w:r w:rsidRPr="00B73BE3" w:rsidR="008C00AB">
        <w:rPr>
          <w:rFonts w:eastAsia="Times New Roman" w:cstheme="minorHAnsi"/>
        </w:rPr>
        <w:t>4</w:t>
      </w:r>
      <w:r w:rsidRPr="00B73BE3">
        <w:rPr>
          <w:rFonts w:eastAsia="Times New Roman" w:cstheme="minorHAnsi"/>
        </w:rPr>
        <w:t xml:space="preserve"> h</w:t>
      </w:r>
      <w:r w:rsidRPr="00B73BE3" w:rsidR="007832D3">
        <w:rPr>
          <w:rFonts w:eastAsia="Times New Roman" w:cstheme="minorHAnsi"/>
        </w:rPr>
        <w:t>rs</w:t>
      </w:r>
    </w:p>
    <w:p w:rsidR="006B7CD8" w:rsidRPr="00B73BE3" w:rsidP="00C8494B" w14:paraId="261203AF" w14:textId="00EEA819">
      <w:pPr>
        <w:spacing w:after="0" w:line="240" w:lineRule="auto"/>
        <w:rPr>
          <w:rFonts w:eastAsia="Times New Roman" w:cstheme="minorHAnsi"/>
          <w:bCs/>
        </w:rPr>
      </w:pPr>
      <w:r w:rsidRPr="00B73BE3">
        <w:rPr>
          <w:rFonts w:eastAsia="Times New Roman" w:cstheme="minorHAnsi"/>
          <w:b/>
        </w:rPr>
        <w:t xml:space="preserve">WAP Competitive Awards recipients:       </w:t>
      </w:r>
      <w:r w:rsidRPr="00B73BE3" w:rsidR="00553C77">
        <w:rPr>
          <w:rFonts w:eastAsia="Times New Roman" w:cstheme="minorHAnsi"/>
          <w:bCs/>
        </w:rPr>
        <w:t xml:space="preserve">33 </w:t>
      </w:r>
      <w:r w:rsidRPr="00B73BE3" w:rsidR="00BB57ED">
        <w:rPr>
          <w:rFonts w:eastAsia="Times New Roman" w:cstheme="minorHAnsi"/>
          <w:bCs/>
        </w:rPr>
        <w:t xml:space="preserve">respondents </w:t>
      </w:r>
      <w:r w:rsidRPr="00B73BE3" w:rsidR="00553C77">
        <w:rPr>
          <w:rFonts w:eastAsia="Times New Roman" w:cstheme="minorHAnsi"/>
          <w:bCs/>
        </w:rPr>
        <w:t>x 2 h</w:t>
      </w:r>
      <w:r w:rsidRPr="00B73BE3" w:rsidR="007832D3">
        <w:rPr>
          <w:rFonts w:eastAsia="Times New Roman" w:cstheme="minorHAnsi"/>
          <w:bCs/>
        </w:rPr>
        <w:t>rs</w:t>
      </w:r>
      <w:r w:rsidRPr="00B73BE3" w:rsidR="00553C77">
        <w:rPr>
          <w:rFonts w:eastAsia="Times New Roman" w:cstheme="minorHAnsi"/>
          <w:bCs/>
        </w:rPr>
        <w:t>/report x 1 report/year = 66 h</w:t>
      </w:r>
      <w:r w:rsidRPr="00B73BE3" w:rsidR="007832D3">
        <w:rPr>
          <w:rFonts w:eastAsia="Times New Roman" w:cstheme="minorHAnsi"/>
          <w:bCs/>
        </w:rPr>
        <w:t>rs</w:t>
      </w:r>
    </w:p>
    <w:p w:rsidR="00C8494B" w:rsidRPr="00B73BE3" w:rsidP="00C8494B" w14:paraId="78091CC6" w14:textId="18124176">
      <w:pPr>
        <w:spacing w:after="0" w:line="240" w:lineRule="auto"/>
        <w:rPr>
          <w:rFonts w:eastAsia="Times New Roman" w:cstheme="minorHAnsi"/>
        </w:rPr>
      </w:pPr>
      <w:r w:rsidRPr="00B73BE3">
        <w:rPr>
          <w:rFonts w:eastAsia="Times New Roman" w:cstheme="minorHAnsi"/>
          <w:b/>
        </w:rPr>
        <w:t xml:space="preserve">SEP </w:t>
      </w:r>
      <w:r w:rsidRPr="00B73BE3" w:rsidR="00553C77">
        <w:rPr>
          <w:rFonts w:eastAsia="Times New Roman" w:cstheme="minorHAnsi"/>
          <w:b/>
        </w:rPr>
        <w:t xml:space="preserve">Annual </w:t>
      </w:r>
      <w:r w:rsidRPr="00B73BE3">
        <w:rPr>
          <w:rFonts w:eastAsia="Times New Roman" w:cstheme="minorHAnsi"/>
          <w:b/>
        </w:rPr>
        <w:t>recipients:</w:t>
      </w:r>
      <w:r w:rsidRPr="00B73BE3">
        <w:rPr>
          <w:rFonts w:eastAsia="Times New Roman" w:cstheme="minorHAnsi"/>
        </w:rPr>
        <w:t xml:space="preserve"> </w:t>
      </w:r>
      <w:r w:rsidRPr="00B73BE3">
        <w:rPr>
          <w:rFonts w:eastAsia="Times New Roman" w:cstheme="minorHAnsi"/>
        </w:rPr>
        <w:tab/>
      </w:r>
      <w:r w:rsidRPr="00B73BE3">
        <w:rPr>
          <w:rFonts w:eastAsia="Times New Roman" w:cstheme="minorHAnsi"/>
        </w:rPr>
        <w:tab/>
      </w:r>
      <w:r w:rsidRPr="00B73BE3" w:rsidR="00431ED1">
        <w:rPr>
          <w:rFonts w:eastAsia="Times New Roman" w:cstheme="minorHAnsi"/>
        </w:rPr>
        <w:tab/>
      </w:r>
      <w:r w:rsidRPr="00B73BE3" w:rsidR="00866CE0">
        <w:rPr>
          <w:rFonts w:eastAsia="Times New Roman" w:cstheme="minorHAnsi"/>
        </w:rPr>
        <w:t xml:space="preserve">  </w:t>
      </w:r>
      <w:r w:rsidRPr="00B73BE3" w:rsidR="00553C77">
        <w:rPr>
          <w:rFonts w:eastAsia="Times New Roman" w:cstheme="minorHAnsi"/>
        </w:rPr>
        <w:t xml:space="preserve"> </w:t>
      </w:r>
      <w:r w:rsidRPr="00B73BE3">
        <w:rPr>
          <w:rFonts w:eastAsia="Times New Roman" w:cstheme="minorHAnsi"/>
        </w:rPr>
        <w:t xml:space="preserve">56 </w:t>
      </w:r>
      <w:r w:rsidRPr="00B73BE3" w:rsidR="00BB57ED">
        <w:rPr>
          <w:rFonts w:eastAsia="Times New Roman" w:cstheme="minorHAnsi"/>
        </w:rPr>
        <w:t xml:space="preserve">respondents </w:t>
      </w:r>
      <w:r w:rsidRPr="00B73BE3">
        <w:rPr>
          <w:rFonts w:eastAsia="Times New Roman" w:cstheme="minorHAnsi"/>
        </w:rPr>
        <w:t>x 2 h</w:t>
      </w:r>
      <w:r w:rsidRPr="00B73BE3" w:rsidR="007832D3">
        <w:rPr>
          <w:rFonts w:eastAsia="Times New Roman" w:cstheme="minorHAnsi"/>
        </w:rPr>
        <w:t>rs</w:t>
      </w:r>
      <w:r w:rsidRPr="00B73BE3">
        <w:rPr>
          <w:rFonts w:eastAsia="Times New Roman" w:cstheme="minorHAnsi"/>
        </w:rPr>
        <w:t>/report x 1 report/year = 112 h</w:t>
      </w:r>
      <w:r w:rsidRPr="00B73BE3" w:rsidR="007832D3">
        <w:rPr>
          <w:rFonts w:eastAsia="Times New Roman" w:cstheme="minorHAnsi"/>
        </w:rPr>
        <w:t>rs</w:t>
      </w:r>
    </w:p>
    <w:p w:rsidR="00553C77" w:rsidRPr="00B73BE3" w:rsidP="00C8494B" w14:paraId="410CEA8A" w14:textId="02869889">
      <w:pPr>
        <w:spacing w:after="0" w:line="240" w:lineRule="auto"/>
        <w:rPr>
          <w:rFonts w:eastAsia="Times New Roman" w:cstheme="minorHAnsi"/>
          <w:bCs/>
        </w:rPr>
      </w:pPr>
      <w:r w:rsidRPr="00B73BE3">
        <w:rPr>
          <w:rFonts w:eastAsia="Times New Roman" w:cstheme="minorHAnsi"/>
          <w:b/>
        </w:rPr>
        <w:t xml:space="preserve">SEP Energy Audit Training Program:           </w:t>
      </w:r>
      <w:r w:rsidRPr="00B73BE3">
        <w:rPr>
          <w:rFonts w:eastAsia="Times New Roman" w:cstheme="minorHAnsi"/>
          <w:bCs/>
        </w:rPr>
        <w:t xml:space="preserve">40 </w:t>
      </w:r>
      <w:r w:rsidRPr="00B73BE3" w:rsidR="00BB57ED">
        <w:rPr>
          <w:rFonts w:eastAsia="Times New Roman" w:cstheme="minorHAnsi"/>
          <w:bCs/>
        </w:rPr>
        <w:t xml:space="preserve">respondents </w:t>
      </w:r>
      <w:r w:rsidRPr="00B73BE3">
        <w:rPr>
          <w:rFonts w:eastAsia="Times New Roman" w:cstheme="minorHAnsi"/>
          <w:bCs/>
        </w:rPr>
        <w:t>x 2 h</w:t>
      </w:r>
      <w:r w:rsidRPr="00B73BE3" w:rsidR="007832D3">
        <w:rPr>
          <w:rFonts w:eastAsia="Times New Roman" w:cstheme="minorHAnsi"/>
          <w:bCs/>
        </w:rPr>
        <w:t>rs</w:t>
      </w:r>
      <w:r w:rsidRPr="00B73BE3">
        <w:rPr>
          <w:rFonts w:eastAsia="Times New Roman" w:cstheme="minorHAnsi"/>
          <w:bCs/>
        </w:rPr>
        <w:t>/report x 1 report/year = 80 h</w:t>
      </w:r>
      <w:r w:rsidRPr="00B73BE3" w:rsidR="007832D3">
        <w:rPr>
          <w:rFonts w:eastAsia="Times New Roman" w:cstheme="minorHAnsi"/>
          <w:bCs/>
        </w:rPr>
        <w:t>rs</w:t>
      </w:r>
    </w:p>
    <w:p w:rsidR="0053143B" w:rsidRPr="00B73BE3" w:rsidP="00C8494B" w14:paraId="009669A9" w14:textId="1F8625B5">
      <w:pPr>
        <w:spacing w:after="0" w:line="240" w:lineRule="auto"/>
        <w:rPr>
          <w:rFonts w:eastAsia="Times New Roman" w:cstheme="minorHAnsi"/>
          <w:b/>
        </w:rPr>
      </w:pPr>
      <w:r w:rsidRPr="00B73BE3">
        <w:rPr>
          <w:rFonts w:eastAsia="Times New Roman" w:cstheme="minorHAnsi"/>
          <w:b/>
        </w:rPr>
        <w:t xml:space="preserve">EECBG ARRA recipients:                                 </w:t>
      </w:r>
      <w:r w:rsidRPr="00B73BE3">
        <w:rPr>
          <w:rFonts w:eastAsia="Times New Roman" w:cstheme="minorHAnsi"/>
          <w:bCs/>
        </w:rPr>
        <w:t>108 respondents x 2 hrs/report x 1 report/year =</w:t>
      </w:r>
      <w:r w:rsidRPr="00B73BE3" w:rsidR="008026DE">
        <w:rPr>
          <w:rFonts w:eastAsia="Times New Roman" w:cstheme="minorHAnsi"/>
          <w:bCs/>
        </w:rPr>
        <w:t xml:space="preserve"> 216 hrs</w:t>
      </w:r>
    </w:p>
    <w:p w:rsidR="00C8494B" w:rsidRPr="00B73BE3" w:rsidP="00C8494B" w14:paraId="10A1BFC9" w14:textId="6B38CE2F">
      <w:pPr>
        <w:spacing w:after="0" w:line="240" w:lineRule="auto"/>
        <w:rPr>
          <w:rFonts w:eastAsia="Times New Roman" w:cstheme="minorHAnsi"/>
        </w:rPr>
      </w:pPr>
      <w:r w:rsidRPr="00B73BE3">
        <w:rPr>
          <w:rFonts w:eastAsia="Times New Roman" w:cstheme="minorHAnsi"/>
          <w:b/>
        </w:rPr>
        <w:t>EECBG</w:t>
      </w:r>
      <w:r w:rsidRPr="00B73BE3" w:rsidR="00F92003">
        <w:rPr>
          <w:rFonts w:eastAsia="Times New Roman" w:cstheme="minorHAnsi"/>
          <w:b/>
        </w:rPr>
        <w:t xml:space="preserve"> Program</w:t>
      </w:r>
      <w:r w:rsidRPr="00B73BE3">
        <w:rPr>
          <w:rFonts w:eastAsia="Times New Roman" w:cstheme="minorHAnsi"/>
          <w:b/>
        </w:rPr>
        <w:t xml:space="preserve"> recipients</w:t>
      </w:r>
      <w:r w:rsidRPr="00B73BE3" w:rsidR="00431ED1">
        <w:rPr>
          <w:rFonts w:eastAsia="Times New Roman" w:cstheme="minorHAnsi"/>
          <w:b/>
        </w:rPr>
        <w:t>:</w:t>
      </w:r>
      <w:r w:rsidRPr="00B73BE3">
        <w:rPr>
          <w:rFonts w:eastAsia="Times New Roman" w:cstheme="minorHAnsi"/>
        </w:rPr>
        <w:tab/>
      </w:r>
      <w:r w:rsidRPr="00B73BE3">
        <w:rPr>
          <w:rFonts w:eastAsia="Times New Roman" w:cstheme="minorHAnsi"/>
        </w:rPr>
        <w:t xml:space="preserve">                  2</w:t>
      </w:r>
      <w:r w:rsidRPr="00B73BE3" w:rsidR="00F92003">
        <w:rPr>
          <w:rFonts w:eastAsia="Times New Roman" w:cstheme="minorHAnsi"/>
        </w:rPr>
        <w:t>,</w:t>
      </w:r>
      <w:r w:rsidRPr="00B73BE3" w:rsidR="008026DE">
        <w:rPr>
          <w:rFonts w:eastAsia="Times New Roman" w:cstheme="minorHAnsi"/>
        </w:rPr>
        <w:t>642</w:t>
      </w:r>
      <w:r w:rsidRPr="00B73BE3" w:rsidR="00BB57ED">
        <w:rPr>
          <w:rFonts w:eastAsia="Times New Roman" w:cstheme="minorHAnsi"/>
        </w:rPr>
        <w:t xml:space="preserve"> respondents</w:t>
      </w:r>
      <w:r w:rsidRPr="00B73BE3">
        <w:rPr>
          <w:rFonts w:eastAsia="Times New Roman" w:cstheme="minorHAnsi"/>
        </w:rPr>
        <w:t xml:space="preserve"> x 2 h</w:t>
      </w:r>
      <w:r w:rsidRPr="00B73BE3" w:rsidR="007832D3">
        <w:rPr>
          <w:rFonts w:eastAsia="Times New Roman" w:cstheme="minorHAnsi"/>
        </w:rPr>
        <w:t>rs</w:t>
      </w:r>
      <w:r w:rsidRPr="00B73BE3">
        <w:rPr>
          <w:rFonts w:eastAsia="Times New Roman" w:cstheme="minorHAnsi"/>
        </w:rPr>
        <w:t>/report</w:t>
      </w:r>
      <w:r w:rsidRPr="00B73BE3" w:rsidR="00431ED1">
        <w:rPr>
          <w:rFonts w:eastAsia="Times New Roman" w:cstheme="minorHAnsi"/>
        </w:rPr>
        <w:t xml:space="preserve"> </w:t>
      </w:r>
      <w:r w:rsidRPr="00B73BE3">
        <w:rPr>
          <w:rFonts w:eastAsia="Times New Roman" w:cstheme="minorHAnsi"/>
        </w:rPr>
        <w:t xml:space="preserve">x 1 report/year = </w:t>
      </w:r>
      <w:r w:rsidRPr="00B73BE3" w:rsidR="00553C77">
        <w:rPr>
          <w:rFonts w:eastAsia="Times New Roman" w:cstheme="minorHAnsi"/>
        </w:rPr>
        <w:t>5,</w:t>
      </w:r>
      <w:r w:rsidRPr="00B73BE3" w:rsidR="008026DE">
        <w:rPr>
          <w:rFonts w:eastAsia="Times New Roman" w:cstheme="minorHAnsi"/>
        </w:rPr>
        <w:t>284</w:t>
      </w:r>
      <w:r w:rsidRPr="00B73BE3" w:rsidR="00BB57ED">
        <w:rPr>
          <w:rFonts w:eastAsia="Times New Roman" w:cstheme="minorHAnsi"/>
        </w:rPr>
        <w:t xml:space="preserve"> </w:t>
      </w:r>
      <w:r w:rsidRPr="00B73BE3">
        <w:rPr>
          <w:rFonts w:eastAsia="Times New Roman" w:cstheme="minorHAnsi"/>
        </w:rPr>
        <w:t>h</w:t>
      </w:r>
      <w:r w:rsidRPr="00B73BE3" w:rsidR="00BB57ED">
        <w:rPr>
          <w:rFonts w:eastAsia="Times New Roman" w:cstheme="minorHAnsi"/>
        </w:rPr>
        <w:t>rs</w:t>
      </w:r>
    </w:p>
    <w:p w:rsidR="002D29B9" w:rsidRPr="00B73BE3" w:rsidP="002D29B9" w14:paraId="085F58AE" w14:textId="77777777">
      <w:pPr>
        <w:spacing w:after="0" w:line="240" w:lineRule="auto"/>
        <w:rPr>
          <w:rFonts w:eastAsia="Times New Roman" w:cstheme="minorHAnsi"/>
          <w:b/>
        </w:rPr>
      </w:pPr>
    </w:p>
    <w:p w:rsidR="002D29B9" w:rsidRPr="00B73BE3" w:rsidP="002D29B9" w14:paraId="4CD9D2FE" w14:textId="3E2D1DDF">
      <w:pPr>
        <w:spacing w:after="0" w:line="240" w:lineRule="auto"/>
        <w:rPr>
          <w:rFonts w:eastAsia="Times New Roman" w:cstheme="minorHAnsi"/>
        </w:rPr>
      </w:pPr>
      <w:r w:rsidRPr="00B73BE3">
        <w:rPr>
          <w:rFonts w:eastAsia="Times New Roman" w:cstheme="minorHAnsi"/>
          <w:b/>
        </w:rPr>
        <w:t>Total Respondent Burden:</w:t>
      </w:r>
      <w:r w:rsidR="00272CEF">
        <w:rPr>
          <w:rFonts w:eastAsia="Times New Roman" w:cstheme="minorHAnsi"/>
          <w:b/>
        </w:rPr>
        <w:t xml:space="preserve"> </w:t>
      </w:r>
      <w:r w:rsidRPr="00B73BE3">
        <w:rPr>
          <w:rFonts w:eastAsia="Times New Roman" w:cstheme="minorHAnsi"/>
          <w:b/>
        </w:rPr>
        <w:t>2,863 recipients (unduplicated)</w:t>
      </w:r>
      <w:r w:rsidR="00272CEF">
        <w:rPr>
          <w:rFonts w:eastAsia="Times New Roman" w:cstheme="minorHAnsi"/>
          <w:b/>
        </w:rPr>
        <w:t>; 3</w:t>
      </w:r>
      <w:r w:rsidRPr="00B73BE3">
        <w:rPr>
          <w:rFonts w:eastAsia="Times New Roman" w:cstheme="minorHAnsi"/>
          <w:b/>
        </w:rPr>
        <w:t>,105 responses</w:t>
      </w:r>
      <w:r w:rsidR="00272CEF">
        <w:rPr>
          <w:rFonts w:eastAsia="Times New Roman" w:cstheme="minorHAnsi"/>
          <w:b/>
        </w:rPr>
        <w:t xml:space="preserve">; </w:t>
      </w:r>
      <w:r w:rsidRPr="00B73BE3">
        <w:rPr>
          <w:rFonts w:eastAsia="Times New Roman" w:cstheme="minorHAnsi"/>
          <w:b/>
        </w:rPr>
        <w:t>1 report/year</w:t>
      </w:r>
      <w:r w:rsidR="00272CEF">
        <w:rPr>
          <w:rFonts w:eastAsia="Times New Roman" w:cstheme="minorHAnsi"/>
          <w:b/>
        </w:rPr>
        <w:t>;</w:t>
      </w:r>
      <w:r w:rsidRPr="00B73BE3">
        <w:rPr>
          <w:rFonts w:eastAsia="Times New Roman" w:cstheme="minorHAnsi"/>
          <w:b/>
        </w:rPr>
        <w:t xml:space="preserve"> 2 to 4 hours/report</w:t>
      </w:r>
      <w:r w:rsidR="00272CEF">
        <w:rPr>
          <w:rFonts w:eastAsia="Times New Roman" w:cstheme="minorHAnsi"/>
          <w:b/>
        </w:rPr>
        <w:t>;</w:t>
      </w:r>
      <w:r w:rsidRPr="00B73BE3">
        <w:rPr>
          <w:rFonts w:eastAsia="Times New Roman" w:cstheme="minorHAnsi"/>
          <w:b/>
        </w:rPr>
        <w:t xml:space="preserve"> 6,548 hours annually</w:t>
      </w:r>
      <w:r w:rsidRPr="00B73BE3">
        <w:rPr>
          <w:rFonts w:eastAsia="Times New Roman" w:cstheme="minorHAnsi"/>
        </w:rPr>
        <w:t xml:space="preserve"> </w:t>
      </w:r>
    </w:p>
    <w:p w:rsidR="00EA5684" w:rsidRPr="00B73BE3" w:rsidP="009F2C6B" w14:paraId="2485DE16" w14:textId="14450D59">
      <w:pPr>
        <w:spacing w:after="0" w:line="240" w:lineRule="auto"/>
        <w:rPr>
          <w:rFonts w:eastAsia="Times New Roman" w:cstheme="minorHAnsi"/>
        </w:rPr>
      </w:pPr>
      <w:r w:rsidRPr="00B73BE3">
        <w:rPr>
          <w:rFonts w:eastAsia="Times New Roman" w:cstheme="minorHAnsi"/>
          <w:b/>
          <w:bCs/>
          <w:color w:val="0070C0"/>
          <w:sz w:val="28"/>
          <w:szCs w:val="28"/>
        </w:rPr>
        <w:br/>
      </w:r>
      <w:r w:rsidRPr="00B73BE3" w:rsidR="000D70A6">
        <w:rPr>
          <w:rFonts w:eastAsia="Times New Roman" w:cstheme="minorHAnsi"/>
          <w:b/>
          <w:bCs/>
          <w:color w:val="0070C0"/>
          <w:sz w:val="28"/>
          <w:szCs w:val="28"/>
        </w:rPr>
        <w:t>Table A1. Estimated Respondent Hour Burden</w:t>
      </w:r>
    </w:p>
    <w:tbl>
      <w:tblPr>
        <w:tblW w:w="10020" w:type="dxa"/>
        <w:tblLook w:val="04A0"/>
      </w:tblPr>
      <w:tblGrid>
        <w:gridCol w:w="3204"/>
        <w:gridCol w:w="1457"/>
        <w:gridCol w:w="1457"/>
        <w:gridCol w:w="1302"/>
        <w:gridCol w:w="1301"/>
        <w:gridCol w:w="1299"/>
      </w:tblGrid>
      <w:tr w14:paraId="493928AD" w14:textId="77777777" w:rsidTr="0008649C">
        <w:tblPrEx>
          <w:tblW w:w="10020" w:type="dxa"/>
          <w:tblLook w:val="04A0"/>
        </w:tblPrEx>
        <w:trPr>
          <w:trHeight w:val="765"/>
        </w:trPr>
        <w:tc>
          <w:tcPr>
            <w:tcW w:w="3204" w:type="dxa"/>
            <w:tcBorders>
              <w:top w:val="nil"/>
              <w:left w:val="single" w:sz="4" w:space="0" w:color="auto"/>
              <w:bottom w:val="single" w:sz="4" w:space="0" w:color="auto"/>
              <w:right w:val="single" w:sz="4" w:space="0" w:color="auto"/>
            </w:tcBorders>
            <w:shd w:val="clear" w:color="000000" w:fill="00B0F0"/>
            <w:vAlign w:val="center"/>
            <w:hideMark/>
          </w:tcPr>
          <w:p w:rsidR="0008649C" w:rsidRPr="00B73BE3" w:rsidP="00CC64B9" w14:paraId="3D0B39B0"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Form Number/Title (and/or other Collection Instrument name)</w:t>
            </w:r>
          </w:p>
        </w:tc>
        <w:tc>
          <w:tcPr>
            <w:tcW w:w="1457" w:type="dxa"/>
            <w:tcBorders>
              <w:top w:val="nil"/>
              <w:left w:val="nil"/>
              <w:bottom w:val="single" w:sz="4" w:space="0" w:color="auto"/>
              <w:right w:val="single" w:sz="4" w:space="0" w:color="auto"/>
            </w:tcBorders>
            <w:shd w:val="clear" w:color="000000" w:fill="00B0F0"/>
            <w:vAlign w:val="center"/>
            <w:hideMark/>
          </w:tcPr>
          <w:p w:rsidR="0008649C" w:rsidRPr="00B73BE3" w:rsidP="00CC64B9" w14:paraId="72B0F4FE"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Type of Respondents</w:t>
            </w:r>
          </w:p>
        </w:tc>
        <w:tc>
          <w:tcPr>
            <w:tcW w:w="1457" w:type="dxa"/>
            <w:tcBorders>
              <w:top w:val="nil"/>
              <w:left w:val="nil"/>
              <w:bottom w:val="single" w:sz="4" w:space="0" w:color="auto"/>
              <w:right w:val="single" w:sz="4" w:space="0" w:color="auto"/>
            </w:tcBorders>
            <w:shd w:val="clear" w:color="000000" w:fill="00B0F0"/>
            <w:vAlign w:val="center"/>
            <w:hideMark/>
          </w:tcPr>
          <w:p w:rsidR="0008649C" w:rsidRPr="00B73BE3" w:rsidP="00CC64B9" w14:paraId="09B3AF3C"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Number of Respondents</w:t>
            </w:r>
          </w:p>
        </w:tc>
        <w:tc>
          <w:tcPr>
            <w:tcW w:w="1302" w:type="dxa"/>
            <w:tcBorders>
              <w:top w:val="nil"/>
              <w:left w:val="nil"/>
              <w:bottom w:val="single" w:sz="4" w:space="0" w:color="auto"/>
              <w:right w:val="single" w:sz="4" w:space="0" w:color="auto"/>
            </w:tcBorders>
            <w:shd w:val="clear" w:color="000000" w:fill="00B0F0"/>
            <w:vAlign w:val="center"/>
            <w:hideMark/>
          </w:tcPr>
          <w:p w:rsidR="0008649C" w:rsidRPr="00B73BE3" w:rsidP="00CC64B9" w14:paraId="4D56471F"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Annual Number of Responses</w:t>
            </w:r>
          </w:p>
        </w:tc>
        <w:tc>
          <w:tcPr>
            <w:tcW w:w="1301" w:type="dxa"/>
            <w:tcBorders>
              <w:top w:val="nil"/>
              <w:left w:val="nil"/>
              <w:bottom w:val="single" w:sz="4" w:space="0" w:color="auto"/>
              <w:right w:val="single" w:sz="4" w:space="0" w:color="auto"/>
            </w:tcBorders>
            <w:shd w:val="clear" w:color="000000" w:fill="00B0F0"/>
            <w:vAlign w:val="center"/>
            <w:hideMark/>
          </w:tcPr>
          <w:p w:rsidR="0008649C" w:rsidRPr="00B73BE3" w:rsidP="00CC64B9" w14:paraId="01F33E31"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Burden Hours Per Response</w:t>
            </w:r>
          </w:p>
        </w:tc>
        <w:tc>
          <w:tcPr>
            <w:tcW w:w="1299" w:type="dxa"/>
            <w:tcBorders>
              <w:top w:val="nil"/>
              <w:left w:val="nil"/>
              <w:bottom w:val="single" w:sz="4" w:space="0" w:color="auto"/>
              <w:right w:val="single" w:sz="4" w:space="0" w:color="auto"/>
            </w:tcBorders>
            <w:shd w:val="clear" w:color="000000" w:fill="00B0F0"/>
            <w:vAlign w:val="center"/>
            <w:hideMark/>
          </w:tcPr>
          <w:p w:rsidR="0008649C" w:rsidRPr="00B73BE3" w:rsidP="00CC64B9" w14:paraId="6BA58DAD"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Annual Burden Hours</w:t>
            </w:r>
          </w:p>
        </w:tc>
      </w:tr>
      <w:tr w14:paraId="629C1E46" w14:textId="77777777" w:rsidTr="0008649C">
        <w:tblPrEx>
          <w:tblW w:w="10020" w:type="dxa"/>
          <w:tblLook w:val="04A0"/>
        </w:tblPrEx>
        <w:trPr>
          <w:trHeight w:val="255"/>
        </w:trPr>
        <w:tc>
          <w:tcPr>
            <w:tcW w:w="3204" w:type="dxa"/>
            <w:tcBorders>
              <w:top w:val="nil"/>
              <w:left w:val="single" w:sz="4" w:space="0" w:color="auto"/>
              <w:bottom w:val="single" w:sz="4" w:space="0" w:color="auto"/>
              <w:right w:val="single" w:sz="4" w:space="0" w:color="auto"/>
            </w:tcBorders>
            <w:shd w:val="clear" w:color="auto" w:fill="auto"/>
            <w:vAlign w:val="bottom"/>
            <w:hideMark/>
          </w:tcPr>
          <w:p w:rsidR="0008649C" w:rsidRPr="00B73BE3" w:rsidP="00CC64B9" w14:paraId="30DA44F2" w14:textId="3DB8C011">
            <w:pPr>
              <w:spacing w:after="0" w:line="240" w:lineRule="auto"/>
              <w:rPr>
                <w:rFonts w:eastAsia="Times New Roman" w:cstheme="minorHAnsi"/>
                <w:color w:val="000000"/>
                <w:sz w:val="20"/>
                <w:szCs w:val="20"/>
                <w:lang w:val="es-PR"/>
              </w:rPr>
            </w:pPr>
            <w:r w:rsidRPr="00B73BE3">
              <w:rPr>
                <w:rFonts w:eastAsia="Times New Roman" w:cstheme="minorHAnsi"/>
                <w:color w:val="000000"/>
                <w:sz w:val="20"/>
                <w:szCs w:val="20"/>
                <w:lang w:val="es-PR"/>
              </w:rPr>
              <w:t xml:space="preserve">WAP </w:t>
            </w:r>
            <w:r w:rsidRPr="00B73BE3" w:rsidR="00BB57ED">
              <w:rPr>
                <w:rFonts w:eastAsia="Times New Roman" w:cstheme="minorHAnsi"/>
                <w:color w:val="000000"/>
                <w:sz w:val="20"/>
                <w:szCs w:val="20"/>
                <w:lang w:val="es-PR"/>
              </w:rPr>
              <w:t>IIJA</w:t>
            </w:r>
            <w:r w:rsidRPr="00B73BE3">
              <w:rPr>
                <w:rFonts w:eastAsia="Times New Roman" w:cstheme="minorHAnsi"/>
                <w:color w:val="000000"/>
                <w:sz w:val="20"/>
                <w:szCs w:val="20"/>
                <w:lang w:val="es-PR"/>
              </w:rPr>
              <w:t xml:space="preserve">, SEP </w:t>
            </w:r>
            <w:r w:rsidRPr="00B73BE3" w:rsidR="00BB57ED">
              <w:rPr>
                <w:rFonts w:eastAsia="Times New Roman" w:cstheme="minorHAnsi"/>
                <w:color w:val="000000"/>
                <w:sz w:val="20"/>
                <w:szCs w:val="20"/>
                <w:lang w:val="es-PR"/>
              </w:rPr>
              <w:t>IIJA</w:t>
            </w:r>
            <w:r w:rsidRPr="00B73BE3">
              <w:rPr>
                <w:rFonts w:eastAsia="Times New Roman" w:cstheme="minorHAnsi"/>
                <w:color w:val="000000"/>
                <w:sz w:val="20"/>
                <w:szCs w:val="20"/>
                <w:lang w:val="es-PR"/>
              </w:rPr>
              <w:t>, SEP EERL</w:t>
            </w:r>
          </w:p>
        </w:tc>
        <w:tc>
          <w:tcPr>
            <w:tcW w:w="1457" w:type="dxa"/>
            <w:tcBorders>
              <w:top w:val="nil"/>
              <w:left w:val="nil"/>
              <w:bottom w:val="single" w:sz="4" w:space="0" w:color="auto"/>
              <w:right w:val="single" w:sz="4" w:space="0" w:color="auto"/>
            </w:tcBorders>
            <w:shd w:val="clear" w:color="auto" w:fill="auto"/>
            <w:noWrap/>
            <w:vAlign w:val="bottom"/>
            <w:hideMark/>
          </w:tcPr>
          <w:p w:rsidR="0008649C" w:rsidRPr="00B73BE3" w:rsidP="00CC64B9" w14:paraId="4093D86C" w14:textId="77777777">
            <w:pPr>
              <w:spacing w:after="0" w:line="240" w:lineRule="auto"/>
              <w:rPr>
                <w:rFonts w:eastAsia="Times New Roman" w:cstheme="minorHAnsi"/>
                <w:color w:val="000000"/>
                <w:sz w:val="20"/>
                <w:szCs w:val="20"/>
              </w:rPr>
            </w:pPr>
            <w:r w:rsidRPr="00B73BE3">
              <w:rPr>
                <w:rFonts w:eastAsia="Times New Roman" w:cstheme="minorHAnsi"/>
                <w:color w:val="000000"/>
                <w:sz w:val="20"/>
                <w:szCs w:val="20"/>
                <w:lang w:val="es-PR"/>
              </w:rPr>
              <w:t> </w:t>
            </w:r>
            <w:r w:rsidRPr="00B73BE3">
              <w:rPr>
                <w:rFonts w:eastAsia="Times New Roman" w:cstheme="minorHAnsi"/>
                <w:color w:val="000000"/>
                <w:sz w:val="20"/>
                <w:szCs w:val="20"/>
              </w:rPr>
              <w:t>Financial Personnel</w:t>
            </w:r>
          </w:p>
        </w:tc>
        <w:tc>
          <w:tcPr>
            <w:tcW w:w="1457" w:type="dxa"/>
            <w:tcBorders>
              <w:top w:val="nil"/>
              <w:left w:val="nil"/>
              <w:bottom w:val="single" w:sz="4" w:space="0" w:color="auto"/>
              <w:right w:val="single" w:sz="4" w:space="0" w:color="auto"/>
            </w:tcBorders>
            <w:shd w:val="clear" w:color="auto" w:fill="auto"/>
            <w:noWrap/>
            <w:vAlign w:val="bottom"/>
            <w:hideMark/>
          </w:tcPr>
          <w:p w:rsidR="0008649C" w:rsidRPr="00B73BE3" w:rsidP="002D29B9" w14:paraId="02E27F47" w14:textId="58C3FA14">
            <w:pPr>
              <w:spacing w:after="0" w:line="240" w:lineRule="auto"/>
              <w:jc w:val="right"/>
              <w:rPr>
                <w:rFonts w:eastAsia="Times New Roman" w:cstheme="minorHAnsi"/>
                <w:color w:val="000000"/>
                <w:sz w:val="20"/>
                <w:szCs w:val="20"/>
              </w:rPr>
            </w:pPr>
            <w:r w:rsidRPr="00B73BE3">
              <w:rPr>
                <w:rFonts w:eastAsia="Times New Roman" w:cstheme="minorHAnsi"/>
                <w:color w:val="000000"/>
                <w:sz w:val="20"/>
                <w:szCs w:val="20"/>
              </w:rPr>
              <w:t> 113</w:t>
            </w:r>
          </w:p>
        </w:tc>
        <w:tc>
          <w:tcPr>
            <w:tcW w:w="1302" w:type="dxa"/>
            <w:tcBorders>
              <w:top w:val="nil"/>
              <w:left w:val="nil"/>
              <w:bottom w:val="single" w:sz="4" w:space="0" w:color="auto"/>
              <w:right w:val="single" w:sz="4" w:space="0" w:color="auto"/>
            </w:tcBorders>
            <w:shd w:val="clear" w:color="000000" w:fill="E2A5AC"/>
            <w:noWrap/>
            <w:vAlign w:val="bottom"/>
            <w:hideMark/>
          </w:tcPr>
          <w:p w:rsidR="0008649C" w:rsidRPr="00B73BE3" w:rsidP="000D70A6" w14:paraId="46398AAE" w14:textId="77777777">
            <w:pPr>
              <w:spacing w:after="0" w:line="240" w:lineRule="auto"/>
              <w:jc w:val="right"/>
              <w:rPr>
                <w:rFonts w:eastAsia="Times New Roman" w:cstheme="minorHAnsi"/>
                <w:color w:val="000000"/>
                <w:sz w:val="20"/>
                <w:szCs w:val="20"/>
              </w:rPr>
            </w:pPr>
          </w:p>
          <w:p w:rsidR="0008649C" w:rsidRPr="00B73BE3" w:rsidP="000D70A6" w14:paraId="2889FE6C" w14:textId="3513D184">
            <w:pPr>
              <w:spacing w:after="0" w:line="240" w:lineRule="auto"/>
              <w:jc w:val="right"/>
              <w:rPr>
                <w:rFonts w:eastAsia="Times New Roman" w:cstheme="minorHAnsi"/>
                <w:color w:val="000000"/>
                <w:sz w:val="20"/>
                <w:szCs w:val="20"/>
              </w:rPr>
            </w:pPr>
            <w:r w:rsidRPr="00B73BE3">
              <w:rPr>
                <w:rFonts w:eastAsia="Times New Roman" w:cstheme="minorHAnsi"/>
                <w:color w:val="000000"/>
                <w:sz w:val="20"/>
                <w:szCs w:val="20"/>
              </w:rPr>
              <w:t>169</w:t>
            </w:r>
          </w:p>
        </w:tc>
        <w:tc>
          <w:tcPr>
            <w:tcW w:w="1301" w:type="dxa"/>
            <w:tcBorders>
              <w:top w:val="nil"/>
              <w:left w:val="nil"/>
              <w:bottom w:val="single" w:sz="4" w:space="0" w:color="auto"/>
              <w:right w:val="single" w:sz="4" w:space="0" w:color="auto"/>
            </w:tcBorders>
            <w:shd w:val="clear" w:color="auto" w:fill="auto"/>
            <w:noWrap/>
            <w:vAlign w:val="bottom"/>
            <w:hideMark/>
          </w:tcPr>
          <w:p w:rsidR="0008649C" w:rsidRPr="00B73BE3" w:rsidP="002D29B9" w14:paraId="50F22B1B" w14:textId="07F653E2">
            <w:pPr>
              <w:spacing w:after="0" w:line="240" w:lineRule="auto"/>
              <w:jc w:val="right"/>
              <w:rPr>
                <w:rFonts w:eastAsia="Times New Roman" w:cstheme="minorHAnsi"/>
                <w:color w:val="000000"/>
                <w:sz w:val="20"/>
                <w:szCs w:val="20"/>
              </w:rPr>
            </w:pPr>
            <w:r w:rsidRPr="00B73BE3">
              <w:rPr>
                <w:rFonts w:eastAsia="Times New Roman" w:cstheme="minorHAnsi"/>
                <w:color w:val="000000"/>
                <w:sz w:val="20"/>
                <w:szCs w:val="20"/>
              </w:rPr>
              <w:t> 4</w:t>
            </w:r>
          </w:p>
        </w:tc>
        <w:tc>
          <w:tcPr>
            <w:tcW w:w="1299" w:type="dxa"/>
            <w:tcBorders>
              <w:top w:val="nil"/>
              <w:left w:val="nil"/>
              <w:bottom w:val="single" w:sz="4" w:space="0" w:color="auto"/>
              <w:right w:val="single" w:sz="4" w:space="0" w:color="auto"/>
            </w:tcBorders>
            <w:shd w:val="clear" w:color="000000" w:fill="E2A5AC"/>
            <w:noWrap/>
            <w:vAlign w:val="bottom"/>
            <w:hideMark/>
          </w:tcPr>
          <w:p w:rsidR="0008649C" w:rsidRPr="00B73BE3" w:rsidP="000D70A6" w14:paraId="756C9BA6" w14:textId="72B5834C">
            <w:pPr>
              <w:spacing w:after="0" w:line="240" w:lineRule="auto"/>
              <w:jc w:val="right"/>
              <w:rPr>
                <w:rFonts w:eastAsia="Times New Roman" w:cstheme="minorHAnsi"/>
                <w:color w:val="000000"/>
                <w:sz w:val="20"/>
                <w:szCs w:val="20"/>
              </w:rPr>
            </w:pPr>
            <w:r w:rsidRPr="00B73BE3">
              <w:rPr>
                <w:rFonts w:eastAsia="Times New Roman" w:cstheme="minorHAnsi"/>
                <w:color w:val="000000"/>
                <w:sz w:val="20"/>
                <w:szCs w:val="20"/>
              </w:rPr>
              <w:t>676</w:t>
            </w:r>
          </w:p>
        </w:tc>
      </w:tr>
      <w:tr w14:paraId="46DCCC48" w14:textId="77777777" w:rsidTr="0008649C">
        <w:tblPrEx>
          <w:tblW w:w="10020" w:type="dxa"/>
          <w:tblLook w:val="04A0"/>
        </w:tblPrEx>
        <w:trPr>
          <w:trHeight w:val="255"/>
        </w:trPr>
        <w:tc>
          <w:tcPr>
            <w:tcW w:w="3204" w:type="dxa"/>
            <w:tcBorders>
              <w:top w:val="nil"/>
              <w:left w:val="single" w:sz="4" w:space="0" w:color="auto"/>
              <w:bottom w:val="single" w:sz="4" w:space="0" w:color="auto"/>
              <w:right w:val="single" w:sz="4" w:space="0" w:color="auto"/>
            </w:tcBorders>
            <w:shd w:val="clear" w:color="auto" w:fill="auto"/>
            <w:vAlign w:val="bottom"/>
          </w:tcPr>
          <w:p w:rsidR="0008649C" w:rsidRPr="00B73BE3" w:rsidP="00CC64B9" w14:paraId="1A423DB9" w14:textId="6B9D4B4B">
            <w:pPr>
              <w:spacing w:after="0" w:line="240" w:lineRule="auto"/>
              <w:rPr>
                <w:rFonts w:eastAsia="Times New Roman" w:cstheme="minorHAnsi"/>
                <w:color w:val="000000"/>
                <w:sz w:val="20"/>
                <w:szCs w:val="20"/>
              </w:rPr>
            </w:pPr>
            <w:r w:rsidRPr="00B73BE3">
              <w:rPr>
                <w:rFonts w:eastAsia="Times New Roman" w:cstheme="minorHAnsi"/>
                <w:color w:val="000000"/>
                <w:sz w:val="20"/>
                <w:szCs w:val="20"/>
              </w:rPr>
              <w:t>WAP Annual, WAP Competitive, SEP Annual</w:t>
            </w:r>
            <w:r w:rsidRPr="00B73BE3" w:rsidR="00E46391">
              <w:rPr>
                <w:rFonts w:eastAsia="Times New Roman" w:cstheme="minorHAnsi"/>
                <w:color w:val="000000"/>
                <w:sz w:val="20"/>
                <w:szCs w:val="20"/>
              </w:rPr>
              <w:t>,</w:t>
            </w:r>
            <w:r w:rsidRPr="00B73BE3">
              <w:rPr>
                <w:rFonts w:eastAsia="Times New Roman" w:cstheme="minorHAnsi"/>
                <w:color w:val="000000"/>
                <w:sz w:val="20"/>
                <w:szCs w:val="20"/>
              </w:rPr>
              <w:t xml:space="preserve"> SEP EATP, EECBG</w:t>
            </w:r>
            <w:r w:rsidRPr="00B73BE3" w:rsidR="004425F5">
              <w:rPr>
                <w:rFonts w:eastAsia="Times New Roman" w:cstheme="minorHAnsi"/>
                <w:color w:val="000000"/>
                <w:sz w:val="20"/>
                <w:szCs w:val="20"/>
              </w:rPr>
              <w:t xml:space="preserve"> </w:t>
            </w:r>
            <w:r w:rsidRPr="00B73BE3" w:rsidR="008026DE">
              <w:rPr>
                <w:rFonts w:eastAsia="Times New Roman" w:cstheme="minorHAnsi"/>
                <w:color w:val="000000"/>
                <w:sz w:val="20"/>
                <w:szCs w:val="20"/>
              </w:rPr>
              <w:t xml:space="preserve">AARA, EECBG </w:t>
            </w:r>
            <w:r w:rsidRPr="00B73BE3" w:rsidR="004425F5">
              <w:rPr>
                <w:rFonts w:eastAsia="Times New Roman" w:cstheme="minorHAnsi"/>
                <w:color w:val="000000"/>
                <w:sz w:val="20"/>
                <w:szCs w:val="20"/>
              </w:rPr>
              <w:t>Program</w:t>
            </w:r>
          </w:p>
        </w:tc>
        <w:tc>
          <w:tcPr>
            <w:tcW w:w="1457" w:type="dxa"/>
            <w:tcBorders>
              <w:top w:val="nil"/>
              <w:left w:val="nil"/>
              <w:bottom w:val="single" w:sz="4" w:space="0" w:color="auto"/>
              <w:right w:val="single" w:sz="4" w:space="0" w:color="auto"/>
            </w:tcBorders>
            <w:shd w:val="clear" w:color="auto" w:fill="auto"/>
            <w:noWrap/>
            <w:vAlign w:val="bottom"/>
          </w:tcPr>
          <w:p w:rsidR="0008649C" w:rsidRPr="00B73BE3" w:rsidP="00CC64B9" w14:paraId="7A4690F6" w14:textId="77777777">
            <w:pPr>
              <w:spacing w:after="0" w:line="240" w:lineRule="auto"/>
              <w:rPr>
                <w:rFonts w:eastAsia="Times New Roman" w:cstheme="minorHAnsi"/>
                <w:color w:val="000000"/>
                <w:sz w:val="20"/>
                <w:szCs w:val="20"/>
              </w:rPr>
            </w:pPr>
            <w:r w:rsidRPr="00B73BE3">
              <w:rPr>
                <w:rFonts w:eastAsia="Times New Roman" w:cstheme="minorHAnsi"/>
                <w:color w:val="000000"/>
                <w:sz w:val="20"/>
                <w:szCs w:val="20"/>
              </w:rPr>
              <w:t>Financial Personnel</w:t>
            </w:r>
          </w:p>
        </w:tc>
        <w:tc>
          <w:tcPr>
            <w:tcW w:w="1457" w:type="dxa"/>
            <w:tcBorders>
              <w:top w:val="nil"/>
              <w:left w:val="nil"/>
              <w:bottom w:val="single" w:sz="4" w:space="0" w:color="auto"/>
              <w:right w:val="single" w:sz="4" w:space="0" w:color="auto"/>
            </w:tcBorders>
            <w:shd w:val="clear" w:color="auto" w:fill="auto"/>
            <w:noWrap/>
            <w:vAlign w:val="bottom"/>
          </w:tcPr>
          <w:p w:rsidR="0008649C" w:rsidRPr="00B73BE3" w:rsidP="002D29B9" w14:paraId="00341466" w14:textId="5A73C1BC">
            <w:pPr>
              <w:spacing w:after="0" w:line="240" w:lineRule="auto"/>
              <w:jc w:val="right"/>
              <w:rPr>
                <w:rFonts w:eastAsia="Times New Roman" w:cstheme="minorHAnsi"/>
                <w:color w:val="000000"/>
                <w:sz w:val="20"/>
                <w:szCs w:val="20"/>
              </w:rPr>
            </w:pPr>
            <w:r w:rsidRPr="00B73BE3">
              <w:rPr>
                <w:rFonts w:eastAsia="Times New Roman" w:cstheme="minorHAnsi"/>
                <w:color w:val="000000"/>
                <w:sz w:val="20"/>
                <w:szCs w:val="20"/>
              </w:rPr>
              <w:t>2863</w:t>
            </w:r>
          </w:p>
        </w:tc>
        <w:tc>
          <w:tcPr>
            <w:tcW w:w="1302" w:type="dxa"/>
            <w:tcBorders>
              <w:top w:val="nil"/>
              <w:left w:val="nil"/>
              <w:bottom w:val="single" w:sz="4" w:space="0" w:color="auto"/>
              <w:right w:val="single" w:sz="4" w:space="0" w:color="auto"/>
            </w:tcBorders>
            <w:shd w:val="clear" w:color="000000" w:fill="E2A5AC"/>
            <w:noWrap/>
            <w:vAlign w:val="bottom"/>
          </w:tcPr>
          <w:p w:rsidR="0008649C" w:rsidRPr="00B73BE3" w:rsidP="000D70A6" w14:paraId="68FF373D" w14:textId="5F198B7D">
            <w:pPr>
              <w:spacing w:after="0" w:line="240" w:lineRule="auto"/>
              <w:jc w:val="right"/>
              <w:rPr>
                <w:rFonts w:eastAsia="Times New Roman" w:cstheme="minorHAnsi"/>
                <w:color w:val="000000"/>
                <w:sz w:val="20"/>
                <w:szCs w:val="20"/>
              </w:rPr>
            </w:pPr>
            <w:r w:rsidRPr="00B73BE3">
              <w:rPr>
                <w:rFonts w:eastAsia="Times New Roman" w:cstheme="minorHAnsi"/>
                <w:color w:val="000000"/>
                <w:sz w:val="20"/>
                <w:szCs w:val="20"/>
              </w:rPr>
              <w:t>2936</w:t>
            </w:r>
          </w:p>
        </w:tc>
        <w:tc>
          <w:tcPr>
            <w:tcW w:w="1301" w:type="dxa"/>
            <w:tcBorders>
              <w:top w:val="nil"/>
              <w:left w:val="nil"/>
              <w:bottom w:val="single" w:sz="4" w:space="0" w:color="auto"/>
              <w:right w:val="single" w:sz="4" w:space="0" w:color="auto"/>
            </w:tcBorders>
            <w:shd w:val="clear" w:color="auto" w:fill="auto"/>
            <w:noWrap/>
            <w:vAlign w:val="bottom"/>
          </w:tcPr>
          <w:p w:rsidR="0008649C" w:rsidRPr="00B73BE3" w:rsidP="002D29B9" w14:paraId="21F7031E" w14:textId="77777777">
            <w:pPr>
              <w:spacing w:after="0" w:line="240" w:lineRule="auto"/>
              <w:jc w:val="right"/>
              <w:rPr>
                <w:rFonts w:eastAsia="Times New Roman" w:cstheme="minorHAnsi"/>
                <w:color w:val="000000"/>
                <w:sz w:val="20"/>
                <w:szCs w:val="20"/>
              </w:rPr>
            </w:pPr>
            <w:r w:rsidRPr="00B73BE3">
              <w:rPr>
                <w:rFonts w:eastAsia="Times New Roman" w:cstheme="minorHAnsi"/>
                <w:color w:val="000000"/>
                <w:sz w:val="20"/>
                <w:szCs w:val="20"/>
              </w:rPr>
              <w:t>2</w:t>
            </w:r>
          </w:p>
        </w:tc>
        <w:tc>
          <w:tcPr>
            <w:tcW w:w="1299" w:type="dxa"/>
            <w:tcBorders>
              <w:top w:val="nil"/>
              <w:left w:val="nil"/>
              <w:bottom w:val="single" w:sz="4" w:space="0" w:color="auto"/>
              <w:right w:val="single" w:sz="4" w:space="0" w:color="auto"/>
            </w:tcBorders>
            <w:shd w:val="clear" w:color="000000" w:fill="E2A5AC"/>
            <w:noWrap/>
            <w:vAlign w:val="bottom"/>
          </w:tcPr>
          <w:p w:rsidR="0008649C" w:rsidRPr="00B73BE3" w:rsidP="000D70A6" w14:paraId="1C3F639A" w14:textId="63ADE99B">
            <w:pPr>
              <w:spacing w:after="0" w:line="240" w:lineRule="auto"/>
              <w:jc w:val="right"/>
              <w:rPr>
                <w:rFonts w:eastAsia="Times New Roman" w:cstheme="minorHAnsi"/>
                <w:color w:val="000000"/>
                <w:sz w:val="20"/>
                <w:szCs w:val="20"/>
              </w:rPr>
            </w:pPr>
            <w:r w:rsidRPr="00B73BE3">
              <w:rPr>
                <w:rFonts w:eastAsia="Times New Roman" w:cstheme="minorHAnsi"/>
                <w:color w:val="000000"/>
                <w:sz w:val="20"/>
                <w:szCs w:val="20"/>
              </w:rPr>
              <w:t>5</w:t>
            </w:r>
            <w:r w:rsidRPr="00B73BE3" w:rsidR="00110B62">
              <w:rPr>
                <w:rFonts w:eastAsia="Times New Roman" w:cstheme="minorHAnsi"/>
                <w:color w:val="000000"/>
                <w:sz w:val="20"/>
                <w:szCs w:val="20"/>
              </w:rPr>
              <w:t>8</w:t>
            </w:r>
            <w:r w:rsidRPr="00B73BE3">
              <w:rPr>
                <w:rFonts w:eastAsia="Times New Roman" w:cstheme="minorHAnsi"/>
                <w:color w:val="000000"/>
                <w:sz w:val="20"/>
                <w:szCs w:val="20"/>
              </w:rPr>
              <w:t>72</w:t>
            </w:r>
          </w:p>
        </w:tc>
      </w:tr>
      <w:tr w14:paraId="08A27FB0" w14:textId="77777777" w:rsidTr="00272CEF">
        <w:tblPrEx>
          <w:tblW w:w="10020" w:type="dxa"/>
          <w:tblLook w:val="04A0"/>
        </w:tblPrEx>
        <w:trPr>
          <w:trHeight w:val="255"/>
        </w:trPr>
        <w:tc>
          <w:tcPr>
            <w:tcW w:w="3204" w:type="dxa"/>
            <w:tcBorders>
              <w:top w:val="nil"/>
              <w:left w:val="single" w:sz="4" w:space="0" w:color="auto"/>
              <w:bottom w:val="single" w:sz="4" w:space="0" w:color="auto"/>
              <w:right w:val="single" w:sz="4" w:space="0" w:color="auto"/>
            </w:tcBorders>
            <w:shd w:val="clear" w:color="auto" w:fill="auto"/>
            <w:vAlign w:val="bottom"/>
            <w:hideMark/>
          </w:tcPr>
          <w:p w:rsidR="0008649C" w:rsidRPr="00B73BE3" w:rsidP="00CC64B9" w14:paraId="456F48A5" w14:textId="77777777">
            <w:pPr>
              <w:spacing w:after="0" w:line="240" w:lineRule="auto"/>
              <w:rPr>
                <w:rFonts w:eastAsia="Times New Roman" w:cstheme="minorHAnsi"/>
                <w:b/>
                <w:bCs/>
                <w:color w:val="000000"/>
                <w:sz w:val="20"/>
                <w:szCs w:val="20"/>
              </w:rPr>
            </w:pPr>
            <w:r w:rsidRPr="00B73BE3">
              <w:rPr>
                <w:rFonts w:eastAsia="Times New Roman" w:cstheme="minorHAnsi"/>
                <w:b/>
                <w:bCs/>
                <w:color w:val="000000"/>
                <w:sz w:val="20"/>
                <w:szCs w:val="20"/>
              </w:rPr>
              <w:t>TOTAL</w:t>
            </w:r>
          </w:p>
        </w:tc>
        <w:tc>
          <w:tcPr>
            <w:tcW w:w="1457" w:type="dxa"/>
            <w:tcBorders>
              <w:top w:val="nil"/>
              <w:left w:val="nil"/>
              <w:bottom w:val="single" w:sz="4" w:space="0" w:color="auto"/>
              <w:right w:val="single" w:sz="4" w:space="0" w:color="auto"/>
            </w:tcBorders>
            <w:shd w:val="clear" w:color="000000" w:fill="333333"/>
            <w:noWrap/>
            <w:vAlign w:val="bottom"/>
            <w:hideMark/>
          </w:tcPr>
          <w:p w:rsidR="0008649C" w:rsidRPr="00B73BE3" w:rsidP="00CC64B9" w14:paraId="5942BE7A" w14:textId="77777777">
            <w:pPr>
              <w:spacing w:after="0" w:line="240" w:lineRule="auto"/>
              <w:rPr>
                <w:rFonts w:eastAsia="Times New Roman" w:cstheme="minorHAnsi"/>
                <w:b/>
                <w:bCs/>
                <w:color w:val="000000"/>
                <w:sz w:val="20"/>
                <w:szCs w:val="20"/>
              </w:rPr>
            </w:pPr>
            <w:r w:rsidRPr="00B73BE3">
              <w:rPr>
                <w:rFonts w:eastAsia="Times New Roman" w:cstheme="minorHAnsi"/>
                <w:b/>
                <w:bCs/>
                <w:color w:val="000000"/>
                <w:sz w:val="20"/>
                <w:szCs w:val="20"/>
              </w:rPr>
              <w:t> </w:t>
            </w:r>
          </w:p>
        </w:tc>
        <w:tc>
          <w:tcPr>
            <w:tcW w:w="1457" w:type="dxa"/>
            <w:tcBorders>
              <w:top w:val="nil"/>
              <w:left w:val="nil"/>
              <w:bottom w:val="single" w:sz="4" w:space="0" w:color="auto"/>
              <w:right w:val="single" w:sz="4" w:space="0" w:color="auto"/>
            </w:tcBorders>
            <w:shd w:val="clear" w:color="auto" w:fill="333333" w:themeFill="background2"/>
            <w:noWrap/>
            <w:vAlign w:val="bottom"/>
            <w:hideMark/>
          </w:tcPr>
          <w:p w:rsidR="0008649C" w:rsidRPr="00B73BE3" w:rsidP="00272CEF" w14:paraId="709234AB" w14:textId="0A863279">
            <w:pPr>
              <w:spacing w:after="0" w:line="240" w:lineRule="auto"/>
              <w:rPr>
                <w:rFonts w:eastAsia="Times New Roman" w:cstheme="minorHAnsi"/>
                <w:b/>
                <w:bCs/>
                <w:color w:val="000000"/>
                <w:sz w:val="20"/>
                <w:szCs w:val="20"/>
              </w:rPr>
            </w:pPr>
          </w:p>
        </w:tc>
        <w:tc>
          <w:tcPr>
            <w:tcW w:w="1302" w:type="dxa"/>
            <w:tcBorders>
              <w:top w:val="nil"/>
              <w:left w:val="nil"/>
              <w:bottom w:val="single" w:sz="4" w:space="0" w:color="auto"/>
              <w:right w:val="single" w:sz="4" w:space="0" w:color="auto"/>
            </w:tcBorders>
            <w:shd w:val="clear" w:color="000000" w:fill="E2A5AC"/>
            <w:noWrap/>
            <w:vAlign w:val="bottom"/>
            <w:hideMark/>
          </w:tcPr>
          <w:p w:rsidR="0008649C" w:rsidRPr="00B73BE3" w:rsidP="00CC64B9" w14:paraId="33FB88F8" w14:textId="5A8A7AF0">
            <w:pPr>
              <w:spacing w:after="0" w:line="240" w:lineRule="auto"/>
              <w:jc w:val="right"/>
              <w:rPr>
                <w:rFonts w:eastAsia="Times New Roman" w:cstheme="minorHAnsi"/>
                <w:b/>
                <w:bCs/>
                <w:color w:val="000000"/>
                <w:sz w:val="20"/>
                <w:szCs w:val="20"/>
              </w:rPr>
            </w:pPr>
            <w:r w:rsidRPr="00B73BE3">
              <w:rPr>
                <w:rFonts w:eastAsia="Times New Roman" w:cstheme="minorHAnsi"/>
                <w:b/>
                <w:bCs/>
                <w:color w:val="000000"/>
                <w:sz w:val="20"/>
                <w:szCs w:val="20"/>
              </w:rPr>
              <w:t>3105</w:t>
            </w:r>
          </w:p>
        </w:tc>
        <w:tc>
          <w:tcPr>
            <w:tcW w:w="1301" w:type="dxa"/>
            <w:tcBorders>
              <w:top w:val="nil"/>
              <w:left w:val="nil"/>
              <w:bottom w:val="single" w:sz="4" w:space="0" w:color="auto"/>
              <w:right w:val="single" w:sz="4" w:space="0" w:color="auto"/>
            </w:tcBorders>
            <w:shd w:val="clear" w:color="000000" w:fill="333333"/>
            <w:noWrap/>
            <w:vAlign w:val="bottom"/>
            <w:hideMark/>
          </w:tcPr>
          <w:p w:rsidR="0008649C" w:rsidRPr="00B73BE3" w:rsidP="00CC64B9" w14:paraId="53C26DE1" w14:textId="77777777">
            <w:pPr>
              <w:spacing w:after="0" w:line="240" w:lineRule="auto"/>
              <w:rPr>
                <w:rFonts w:eastAsia="Times New Roman" w:cstheme="minorHAnsi"/>
                <w:b/>
                <w:bCs/>
                <w:color w:val="000000"/>
                <w:sz w:val="20"/>
                <w:szCs w:val="20"/>
              </w:rPr>
            </w:pPr>
            <w:r w:rsidRPr="00B73BE3">
              <w:rPr>
                <w:rFonts w:eastAsia="Times New Roman" w:cstheme="minorHAnsi"/>
                <w:b/>
                <w:bCs/>
                <w:color w:val="000000"/>
                <w:sz w:val="20"/>
                <w:szCs w:val="20"/>
              </w:rPr>
              <w:t> </w:t>
            </w:r>
          </w:p>
        </w:tc>
        <w:tc>
          <w:tcPr>
            <w:tcW w:w="1299" w:type="dxa"/>
            <w:tcBorders>
              <w:top w:val="nil"/>
              <w:left w:val="nil"/>
              <w:bottom w:val="single" w:sz="4" w:space="0" w:color="auto"/>
              <w:right w:val="single" w:sz="4" w:space="0" w:color="auto"/>
            </w:tcBorders>
            <w:shd w:val="clear" w:color="000000" w:fill="E2A5AC"/>
            <w:noWrap/>
            <w:vAlign w:val="bottom"/>
            <w:hideMark/>
          </w:tcPr>
          <w:p w:rsidR="0008649C" w:rsidRPr="00B73BE3" w:rsidP="00CC64B9" w14:paraId="64FE3E22" w14:textId="7EEA69CD">
            <w:pPr>
              <w:spacing w:after="0" w:line="240" w:lineRule="auto"/>
              <w:jc w:val="right"/>
              <w:rPr>
                <w:rFonts w:eastAsia="Times New Roman" w:cstheme="minorHAnsi"/>
                <w:b/>
                <w:bCs/>
                <w:color w:val="000000"/>
                <w:sz w:val="20"/>
                <w:szCs w:val="20"/>
              </w:rPr>
            </w:pPr>
            <w:r w:rsidRPr="00B73BE3">
              <w:rPr>
                <w:rFonts w:eastAsia="Times New Roman" w:cstheme="minorHAnsi"/>
                <w:b/>
                <w:bCs/>
                <w:color w:val="000000"/>
                <w:sz w:val="20"/>
                <w:szCs w:val="20"/>
              </w:rPr>
              <w:t>6</w:t>
            </w:r>
            <w:r w:rsidRPr="00B73BE3" w:rsidR="00110B62">
              <w:rPr>
                <w:rFonts w:eastAsia="Times New Roman" w:cstheme="minorHAnsi"/>
                <w:b/>
                <w:bCs/>
                <w:color w:val="000000"/>
                <w:sz w:val="20"/>
                <w:szCs w:val="20"/>
              </w:rPr>
              <w:t>5</w:t>
            </w:r>
            <w:r w:rsidRPr="00B73BE3">
              <w:rPr>
                <w:rFonts w:eastAsia="Times New Roman" w:cstheme="minorHAnsi"/>
                <w:b/>
                <w:bCs/>
                <w:color w:val="000000"/>
                <w:sz w:val="20"/>
                <w:szCs w:val="20"/>
              </w:rPr>
              <w:t>48</w:t>
            </w:r>
          </w:p>
        </w:tc>
      </w:tr>
    </w:tbl>
    <w:p w:rsidR="00F056C3" w:rsidRPr="00B73BE3" w:rsidP="00EA5684" w14:paraId="4A74C2A1" w14:textId="1641A3B0">
      <w:pPr>
        <w:pStyle w:val="Heading2"/>
        <w:rPr>
          <w:rFonts w:cstheme="minorHAnsi"/>
        </w:rPr>
      </w:pPr>
      <w:bookmarkStart w:id="14" w:name="_Toc128483710"/>
      <w:r w:rsidRPr="00B73BE3">
        <w:rPr>
          <w:rFonts w:cstheme="minorHAnsi"/>
        </w:rPr>
        <w:t>A.</w:t>
      </w:r>
      <w:r w:rsidRPr="00B73BE3" w:rsidR="00A41763">
        <w:rPr>
          <w:rFonts w:cstheme="minorHAnsi"/>
        </w:rPr>
        <w:t xml:space="preserve">13. </w:t>
      </w:r>
      <w:r w:rsidRPr="00B73BE3">
        <w:rPr>
          <w:rFonts w:cstheme="minorHAnsi"/>
        </w:rPr>
        <w:t xml:space="preserve">Annual Cost to </w:t>
      </w:r>
      <w:r w:rsidRPr="00B73BE3" w:rsidR="00FE2197">
        <w:rPr>
          <w:rFonts w:cstheme="minorHAnsi"/>
        </w:rPr>
        <w:t>Respondents</w:t>
      </w:r>
      <w:bookmarkEnd w:id="14"/>
    </w:p>
    <w:p w:rsidR="00A41763" w:rsidRPr="00B73BE3" w:rsidP="00A41763" w14:paraId="7C5B6E2E" w14:textId="77777777">
      <w:pPr>
        <w:rPr>
          <w:rFonts w:cstheme="minorHAnsi"/>
        </w:rPr>
      </w:pPr>
      <w:r w:rsidRPr="00B73BE3">
        <w:rPr>
          <w:rFonts w:cstheme="minorHAnsi"/>
          <w:b/>
          <w:bCs/>
        </w:rPr>
        <w:t xml:space="preserve">Provide an estimate for the total annual cost burden to respondents or recordkeepers resulting from the collection of information. </w:t>
      </w:r>
    </w:p>
    <w:p w:rsidR="003C10A5" w:rsidRPr="00B73BE3" w:rsidP="001871EA" w14:paraId="5A9ED6CA" w14:textId="7549FF60">
      <w:pPr>
        <w:spacing w:after="0" w:line="240" w:lineRule="auto"/>
        <w:rPr>
          <w:rFonts w:eastAsia="Times New Roman" w:cstheme="minorHAnsi"/>
        </w:rPr>
      </w:pPr>
      <w:r w:rsidRPr="00B73BE3">
        <w:rPr>
          <w:rFonts w:eastAsia="Times New Roman" w:cstheme="minorHAnsi"/>
        </w:rPr>
        <w:t xml:space="preserve">Financial personnel at the State level will fill out and submit the report. The </w:t>
      </w:r>
      <w:r w:rsidRPr="00B73BE3" w:rsidR="00B72687">
        <w:rPr>
          <w:rFonts w:eastAsia="Times New Roman" w:cstheme="minorHAnsi"/>
        </w:rPr>
        <w:t xml:space="preserve">fully loaded </w:t>
      </w:r>
      <w:r w:rsidRPr="00B73BE3">
        <w:rPr>
          <w:rFonts w:eastAsia="Times New Roman" w:cstheme="minorHAnsi"/>
        </w:rPr>
        <w:t>average hourly wage rate found for this type of person is $</w:t>
      </w:r>
      <w:r w:rsidRPr="00B73BE3" w:rsidR="00B72687">
        <w:rPr>
          <w:rFonts w:eastAsia="Times New Roman" w:cstheme="minorHAnsi"/>
        </w:rPr>
        <w:t>55.47.</w:t>
      </w:r>
      <w:r>
        <w:rPr>
          <w:rStyle w:val="FootnoteReference"/>
          <w:rFonts w:eastAsia="Times New Roman" w:cstheme="minorHAnsi"/>
        </w:rPr>
        <w:footnoteReference w:id="2"/>
      </w:r>
      <w:r w:rsidRPr="00B73BE3">
        <w:rPr>
          <w:rFonts w:eastAsia="Times New Roman" w:cstheme="minorHAnsi"/>
        </w:rPr>
        <w:t xml:space="preserve"> </w:t>
      </w:r>
    </w:p>
    <w:p w:rsidR="00680BE7" w:rsidRPr="00B73BE3" w:rsidP="001871EA" w14:paraId="1AA2FBCC" w14:textId="77777777">
      <w:pPr>
        <w:spacing w:after="0" w:line="240" w:lineRule="auto"/>
        <w:rPr>
          <w:rFonts w:eastAsia="Times New Roman" w:cstheme="minorHAnsi"/>
          <w:sz w:val="24"/>
          <w:szCs w:val="24"/>
        </w:rPr>
      </w:pPr>
    </w:p>
    <w:tbl>
      <w:tblPr>
        <w:tblW w:w="10020" w:type="dxa"/>
        <w:tblLook w:val="04A0"/>
      </w:tblPr>
      <w:tblGrid>
        <w:gridCol w:w="2226"/>
        <w:gridCol w:w="2184"/>
        <w:gridCol w:w="1890"/>
        <w:gridCol w:w="2424"/>
        <w:gridCol w:w="1296"/>
      </w:tblGrid>
      <w:tr w14:paraId="5BCAE884" w14:textId="77777777" w:rsidTr="00CC64B9">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80BE7" w:rsidRPr="00B73BE3" w:rsidP="006E1EBE" w14:paraId="79A2709C" w14:textId="77777777">
            <w:pPr>
              <w:spacing w:after="0" w:line="240" w:lineRule="auto"/>
              <w:rPr>
                <w:rFonts w:eastAsia="Times New Roman" w:cstheme="minorHAnsi"/>
                <w:b/>
                <w:bCs/>
                <w:color w:val="0070C0"/>
                <w:sz w:val="28"/>
                <w:szCs w:val="28"/>
              </w:rPr>
            </w:pPr>
            <w:r w:rsidRPr="00B73BE3">
              <w:rPr>
                <w:rFonts w:eastAsia="Times New Roman" w:cstheme="minorHAnsi"/>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680BE7" w:rsidRPr="00B73BE3" w:rsidP="00CC64B9" w14:paraId="67C71704" w14:textId="77777777">
            <w:pPr>
              <w:spacing w:after="0" w:line="240" w:lineRule="auto"/>
              <w:jc w:val="center"/>
              <w:rPr>
                <w:rFonts w:eastAsia="Times New Roman" w:cstheme="minorHAnsi"/>
                <w:b/>
                <w:bCs/>
                <w:color w:val="0070C0"/>
                <w:sz w:val="28"/>
                <w:szCs w:val="28"/>
              </w:rPr>
            </w:pPr>
          </w:p>
        </w:tc>
      </w:tr>
      <w:tr w14:paraId="05657DB2" w14:textId="77777777" w:rsidTr="00CC64B9">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680BE7" w:rsidRPr="00B73BE3" w:rsidP="00CC64B9" w14:paraId="1246F7A8"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680BE7" w:rsidRPr="00B73BE3" w:rsidP="00CC64B9" w14:paraId="4797AA7E"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680BE7" w:rsidRPr="00B73BE3" w:rsidP="00CC64B9" w14:paraId="20748209"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680BE7" w:rsidRPr="00B73BE3" w:rsidP="00CC64B9" w14:paraId="30AD5A14"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Total Respondent Costs</w:t>
            </w:r>
          </w:p>
        </w:tc>
      </w:tr>
      <w:tr w14:paraId="365EC8C0" w14:textId="77777777" w:rsidTr="00CC64B9">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680BE7" w:rsidRPr="00B73BE3" w:rsidP="00CC64B9" w14:paraId="2193D3A2" w14:textId="77777777">
            <w:pPr>
              <w:spacing w:after="0" w:line="240" w:lineRule="auto"/>
              <w:rPr>
                <w:rFonts w:eastAsia="Times New Roman" w:cstheme="minorHAnsi"/>
                <w:color w:val="000000"/>
                <w:sz w:val="20"/>
                <w:szCs w:val="20"/>
              </w:rPr>
            </w:pPr>
            <w:r w:rsidRPr="00B73BE3">
              <w:rPr>
                <w:rFonts w:eastAsia="Times New Roman" w:cstheme="minorHAnsi"/>
                <w:color w:val="000000"/>
                <w:sz w:val="20"/>
                <w:szCs w:val="20"/>
              </w:rPr>
              <w:t> </w:t>
            </w:r>
            <w:r w:rsidRPr="00B73BE3" w:rsidR="00326972">
              <w:rPr>
                <w:rFonts w:eastAsia="Times New Roman" w:cstheme="minorHAnsi"/>
                <w:color w:val="000000"/>
                <w:sz w:val="20"/>
                <w:szCs w:val="20"/>
              </w:rPr>
              <w:t xml:space="preserve">Financial </w:t>
            </w:r>
            <w:r w:rsidRPr="00B73BE3" w:rsidR="004D7E34">
              <w:rPr>
                <w:rFonts w:eastAsia="Times New Roman" w:cstheme="minorHAnsi"/>
                <w:color w:val="000000"/>
                <w:sz w:val="20"/>
                <w:szCs w:val="20"/>
              </w:rPr>
              <w:t>Personnel</w:t>
            </w:r>
          </w:p>
        </w:tc>
        <w:tc>
          <w:tcPr>
            <w:tcW w:w="2184" w:type="dxa"/>
            <w:tcBorders>
              <w:top w:val="nil"/>
              <w:left w:val="nil"/>
              <w:bottom w:val="single" w:sz="4" w:space="0" w:color="auto"/>
              <w:right w:val="single" w:sz="4" w:space="0" w:color="auto"/>
            </w:tcBorders>
            <w:shd w:val="clear" w:color="auto" w:fill="auto"/>
            <w:noWrap/>
            <w:vAlign w:val="bottom"/>
            <w:hideMark/>
          </w:tcPr>
          <w:p w:rsidR="00680BE7" w:rsidRPr="00B73BE3" w:rsidP="006E1EBE" w14:paraId="3F2AA9A5" w14:textId="044AB3D0">
            <w:pPr>
              <w:spacing w:after="0" w:line="240" w:lineRule="auto"/>
              <w:jc w:val="right"/>
              <w:rPr>
                <w:rFonts w:eastAsia="Times New Roman" w:cstheme="minorHAnsi"/>
                <w:color w:val="000000"/>
                <w:sz w:val="20"/>
                <w:szCs w:val="20"/>
              </w:rPr>
            </w:pPr>
            <w:r w:rsidRPr="00B73BE3">
              <w:rPr>
                <w:rFonts w:eastAsia="Times New Roman" w:cstheme="minorHAnsi"/>
                <w:color w:val="000000"/>
                <w:sz w:val="20"/>
                <w:szCs w:val="20"/>
              </w:rPr>
              <w:t>6,</w:t>
            </w:r>
            <w:r w:rsidRPr="00B73BE3" w:rsidR="006E1EBE">
              <w:rPr>
                <w:rFonts w:eastAsia="Times New Roman" w:cstheme="minorHAnsi"/>
                <w:color w:val="000000"/>
                <w:sz w:val="20"/>
                <w:szCs w:val="20"/>
              </w:rPr>
              <w:t>548</w:t>
            </w:r>
          </w:p>
        </w:tc>
        <w:tc>
          <w:tcPr>
            <w:tcW w:w="1890" w:type="dxa"/>
            <w:tcBorders>
              <w:top w:val="nil"/>
              <w:left w:val="nil"/>
              <w:bottom w:val="single" w:sz="4" w:space="0" w:color="auto"/>
              <w:right w:val="single" w:sz="4" w:space="0" w:color="auto"/>
            </w:tcBorders>
            <w:shd w:val="clear" w:color="auto" w:fill="auto"/>
            <w:noWrap/>
            <w:vAlign w:val="bottom"/>
            <w:hideMark/>
          </w:tcPr>
          <w:p w:rsidR="00680BE7" w:rsidRPr="00B73BE3" w:rsidP="006E1EBE" w14:paraId="62BAF6D5" w14:textId="018FFC8A">
            <w:pPr>
              <w:spacing w:after="0" w:line="240" w:lineRule="auto"/>
              <w:jc w:val="right"/>
              <w:rPr>
                <w:rFonts w:eastAsia="Times New Roman" w:cstheme="minorHAnsi"/>
                <w:color w:val="000000"/>
                <w:sz w:val="20"/>
                <w:szCs w:val="20"/>
              </w:rPr>
            </w:pPr>
            <w:r w:rsidRPr="00B73BE3">
              <w:rPr>
                <w:rFonts w:eastAsia="Times New Roman" w:cstheme="minorHAnsi"/>
                <w:color w:val="000000"/>
                <w:sz w:val="20"/>
                <w:szCs w:val="20"/>
              </w:rPr>
              <w:t>$</w:t>
            </w:r>
            <w:r w:rsidRPr="00B73BE3" w:rsidR="00B72687">
              <w:rPr>
                <w:rFonts w:eastAsia="Times New Roman" w:cstheme="minorHAnsi"/>
                <w:color w:val="000000"/>
                <w:sz w:val="20"/>
                <w:szCs w:val="20"/>
              </w:rPr>
              <w:t>55</w:t>
            </w:r>
            <w:r w:rsidRPr="00B73BE3">
              <w:rPr>
                <w:rFonts w:eastAsia="Times New Roman" w:cstheme="minorHAnsi"/>
                <w:color w:val="000000"/>
                <w:sz w:val="20"/>
                <w:szCs w:val="20"/>
              </w:rPr>
              <w:t>.</w:t>
            </w:r>
            <w:r w:rsidRPr="00B73BE3" w:rsidR="00B72687">
              <w:rPr>
                <w:rFonts w:eastAsia="Times New Roman" w:cstheme="minorHAnsi"/>
                <w:color w:val="000000"/>
                <w:sz w:val="20"/>
                <w:szCs w:val="20"/>
              </w:rPr>
              <w:t>4</w:t>
            </w:r>
            <w:r w:rsidRPr="00B73BE3">
              <w:rPr>
                <w:rFonts w:eastAsia="Times New Roman" w:cstheme="minorHAnsi"/>
                <w:color w:val="000000"/>
                <w:sz w:val="20"/>
                <w:szCs w:val="20"/>
              </w:rPr>
              <w:t>7</w:t>
            </w:r>
          </w:p>
        </w:tc>
        <w:tc>
          <w:tcPr>
            <w:tcW w:w="2424" w:type="dxa"/>
            <w:tcBorders>
              <w:top w:val="nil"/>
              <w:left w:val="nil"/>
              <w:bottom w:val="single" w:sz="4" w:space="0" w:color="auto"/>
              <w:right w:val="single" w:sz="4" w:space="0" w:color="auto"/>
            </w:tcBorders>
            <w:shd w:val="clear" w:color="000000" w:fill="E2A5AC"/>
            <w:noWrap/>
            <w:vAlign w:val="bottom"/>
            <w:hideMark/>
          </w:tcPr>
          <w:p w:rsidR="00680BE7" w:rsidRPr="00B73BE3" w:rsidP="00CC64B9" w14:paraId="399C25B1" w14:textId="37D65136">
            <w:pPr>
              <w:spacing w:after="0" w:line="240" w:lineRule="auto"/>
              <w:jc w:val="right"/>
              <w:rPr>
                <w:rFonts w:eastAsia="Times New Roman" w:cstheme="minorHAnsi"/>
                <w:color w:val="000000"/>
                <w:sz w:val="20"/>
                <w:szCs w:val="20"/>
              </w:rPr>
            </w:pPr>
            <w:r w:rsidRPr="00B73BE3">
              <w:rPr>
                <w:rFonts w:eastAsia="Times New Roman" w:cstheme="minorHAnsi"/>
                <w:color w:val="000000"/>
                <w:sz w:val="20"/>
                <w:szCs w:val="20"/>
              </w:rPr>
              <w:t>$</w:t>
            </w:r>
            <w:r w:rsidRPr="00B73BE3" w:rsidR="00B72687">
              <w:rPr>
                <w:rFonts w:eastAsia="Times New Roman" w:cstheme="minorHAnsi"/>
                <w:color w:val="000000"/>
                <w:sz w:val="20"/>
                <w:szCs w:val="20"/>
              </w:rPr>
              <w:t>363,21</w:t>
            </w:r>
            <w:r w:rsidR="00302763">
              <w:rPr>
                <w:rFonts w:eastAsia="Times New Roman" w:cstheme="minorHAnsi"/>
                <w:color w:val="000000"/>
                <w:sz w:val="20"/>
                <w:szCs w:val="20"/>
              </w:rPr>
              <w:t>8</w:t>
            </w:r>
          </w:p>
        </w:tc>
      </w:tr>
      <w:tr w14:paraId="71423AAD" w14:textId="77777777" w:rsidTr="00CC64B9">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C771C6" w:rsidRPr="00B73BE3" w:rsidP="00C771C6" w14:paraId="6E7ADB11" w14:textId="77777777">
            <w:pPr>
              <w:spacing w:after="0" w:line="240" w:lineRule="auto"/>
              <w:rPr>
                <w:rFonts w:eastAsia="Times New Roman" w:cstheme="minorHAnsi"/>
                <w:b/>
                <w:bCs/>
                <w:color w:val="000000"/>
                <w:sz w:val="20"/>
                <w:szCs w:val="20"/>
              </w:rPr>
            </w:pPr>
            <w:r w:rsidRPr="00B73BE3">
              <w:rPr>
                <w:rFonts w:eastAsia="Times New Roman" w:cstheme="minorHAnsi"/>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C771C6" w:rsidRPr="00B73BE3" w:rsidP="00C771C6" w14:paraId="7A33112F" w14:textId="2B58D446">
            <w:pPr>
              <w:spacing w:after="0" w:line="240" w:lineRule="auto"/>
              <w:jc w:val="right"/>
              <w:rPr>
                <w:rFonts w:eastAsia="Times New Roman" w:cstheme="minorHAnsi"/>
                <w:b/>
                <w:bCs/>
                <w:color w:val="000000"/>
                <w:sz w:val="20"/>
                <w:szCs w:val="20"/>
              </w:rPr>
            </w:pPr>
            <w:r w:rsidRPr="00B73BE3">
              <w:rPr>
                <w:rFonts w:eastAsia="Times New Roman" w:cstheme="minorHAnsi"/>
                <w:b/>
                <w:bCs/>
                <w:color w:val="000000"/>
                <w:sz w:val="20"/>
                <w:szCs w:val="20"/>
              </w:rPr>
              <w:t>6,548</w:t>
            </w:r>
          </w:p>
        </w:tc>
        <w:tc>
          <w:tcPr>
            <w:tcW w:w="1890" w:type="dxa"/>
            <w:tcBorders>
              <w:top w:val="nil"/>
              <w:left w:val="nil"/>
              <w:bottom w:val="single" w:sz="4" w:space="0" w:color="auto"/>
              <w:right w:val="single" w:sz="4" w:space="0" w:color="auto"/>
            </w:tcBorders>
            <w:shd w:val="clear" w:color="000000" w:fill="333333"/>
            <w:noWrap/>
            <w:vAlign w:val="bottom"/>
            <w:hideMark/>
          </w:tcPr>
          <w:p w:rsidR="00C771C6" w:rsidRPr="00B73BE3" w:rsidP="00C771C6" w14:paraId="14273B94" w14:textId="77777777">
            <w:pPr>
              <w:spacing w:after="0" w:line="240" w:lineRule="auto"/>
              <w:rPr>
                <w:rFonts w:eastAsia="Times New Roman" w:cstheme="minorHAnsi"/>
                <w:b/>
                <w:bCs/>
                <w:color w:val="000000"/>
                <w:sz w:val="20"/>
                <w:szCs w:val="20"/>
              </w:rPr>
            </w:pPr>
            <w:r w:rsidRPr="00B73BE3">
              <w:rPr>
                <w:rFonts w:eastAsia="Times New Roman" w:cstheme="minorHAnsi"/>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C771C6" w:rsidRPr="00B73BE3" w:rsidP="00C771C6" w14:paraId="402547DA" w14:textId="21853DAB">
            <w:pPr>
              <w:spacing w:after="0" w:line="240" w:lineRule="auto"/>
              <w:jc w:val="right"/>
              <w:rPr>
                <w:rFonts w:eastAsia="Times New Roman" w:cstheme="minorHAnsi"/>
                <w:b/>
                <w:bCs/>
                <w:color w:val="000000"/>
                <w:sz w:val="20"/>
                <w:szCs w:val="20"/>
              </w:rPr>
            </w:pPr>
            <w:r w:rsidRPr="00B73BE3">
              <w:rPr>
                <w:rFonts w:eastAsia="Times New Roman" w:cstheme="minorHAnsi"/>
                <w:color w:val="000000"/>
                <w:sz w:val="20"/>
                <w:szCs w:val="20"/>
              </w:rPr>
              <w:t>$</w:t>
            </w:r>
            <w:r w:rsidRPr="00B73BE3" w:rsidR="00B72687">
              <w:rPr>
                <w:rFonts w:eastAsia="Times New Roman" w:cstheme="minorHAnsi"/>
                <w:color w:val="000000"/>
                <w:sz w:val="20"/>
                <w:szCs w:val="20"/>
              </w:rPr>
              <w:t>363,21</w:t>
            </w:r>
            <w:r w:rsidR="00302763">
              <w:rPr>
                <w:rFonts w:eastAsia="Times New Roman" w:cstheme="minorHAnsi"/>
                <w:color w:val="000000"/>
                <w:sz w:val="20"/>
                <w:szCs w:val="20"/>
              </w:rPr>
              <w:t>8</w:t>
            </w:r>
          </w:p>
        </w:tc>
      </w:tr>
    </w:tbl>
    <w:p w:rsidR="00680BE7" w:rsidRPr="00B73BE3" w:rsidP="001871EA" w14:paraId="4CF0D886" w14:textId="77777777">
      <w:pPr>
        <w:spacing w:after="0" w:line="240" w:lineRule="auto"/>
        <w:rPr>
          <w:rFonts w:cstheme="minorHAnsi"/>
        </w:rPr>
      </w:pPr>
    </w:p>
    <w:p w:rsidR="00F056C3" w:rsidRPr="00B73BE3" w:rsidP="00EA5684" w14:paraId="574F262D" w14:textId="77777777">
      <w:pPr>
        <w:pStyle w:val="Heading2"/>
        <w:rPr>
          <w:rFonts w:cstheme="minorHAnsi"/>
        </w:rPr>
      </w:pPr>
      <w:bookmarkStart w:id="15" w:name="_Toc128483711"/>
      <w:r w:rsidRPr="00B73BE3">
        <w:rPr>
          <w:rFonts w:cstheme="minorHAnsi"/>
        </w:rPr>
        <w:t>A.</w:t>
      </w:r>
      <w:r w:rsidRPr="00B73BE3" w:rsidR="00A41763">
        <w:rPr>
          <w:rFonts w:cstheme="minorHAnsi"/>
        </w:rPr>
        <w:t xml:space="preserve">14. </w:t>
      </w:r>
      <w:r w:rsidRPr="00B73BE3" w:rsidR="00FE2197">
        <w:rPr>
          <w:rFonts w:cstheme="minorHAnsi"/>
        </w:rPr>
        <w:t>Annual Cost to the Federal Government</w:t>
      </w:r>
      <w:bookmarkEnd w:id="15"/>
      <w:r w:rsidRPr="00B73BE3">
        <w:rPr>
          <w:rFonts w:cstheme="minorHAnsi"/>
        </w:rPr>
        <w:t xml:space="preserve"> </w:t>
      </w:r>
    </w:p>
    <w:p w:rsidR="00A41763" w:rsidRPr="00B73BE3" w:rsidP="00A41763" w14:paraId="127869DC" w14:textId="77777777">
      <w:pPr>
        <w:rPr>
          <w:rFonts w:cstheme="minorHAnsi"/>
        </w:rPr>
      </w:pPr>
      <w:r w:rsidRPr="00B73BE3">
        <w:rPr>
          <w:rFonts w:cstheme="minorHAnsi"/>
          <w:b/>
          <w:bCs/>
        </w:rPr>
        <w:t xml:space="preserve">Provide estimates of annualized cost to the Federal government. </w:t>
      </w:r>
    </w:p>
    <w:p w:rsidR="001871EA" w:rsidRPr="00B73BE3" w:rsidP="001871EA" w14:paraId="3081EAC6" w14:textId="4F30A3FC">
      <w:pPr>
        <w:spacing w:after="0" w:line="240" w:lineRule="auto"/>
        <w:rPr>
          <w:rFonts w:eastAsia="Times New Roman" w:cstheme="minorHAnsi"/>
        </w:rPr>
      </w:pPr>
      <w:r w:rsidRPr="00B73BE3">
        <w:rPr>
          <w:rFonts w:eastAsia="Times New Roman" w:cstheme="minorHAnsi"/>
        </w:rPr>
        <w:t xml:space="preserve">The estimated time required for DOE staff to review each annual report is </w:t>
      </w:r>
      <w:r w:rsidRPr="00B73BE3" w:rsidR="005D6982">
        <w:rPr>
          <w:rFonts w:eastAsia="Times New Roman" w:cstheme="minorHAnsi"/>
        </w:rPr>
        <w:t>1 hour</w:t>
      </w:r>
      <w:r w:rsidRPr="00B73BE3">
        <w:rPr>
          <w:rFonts w:eastAsia="Times New Roman" w:cstheme="minorHAnsi"/>
        </w:rPr>
        <w:t>.</w:t>
      </w:r>
    </w:p>
    <w:p w:rsidR="00397856" w:rsidRPr="00B73BE3" w:rsidP="000F3B44" w14:paraId="7BAA8C0B" w14:textId="77777777">
      <w:pPr>
        <w:spacing w:after="0" w:line="240" w:lineRule="auto"/>
        <w:rPr>
          <w:rFonts w:cstheme="minorHAnsi"/>
          <w:color w:val="242424"/>
          <w:shd w:val="clear" w:color="auto" w:fill="FFFFFF"/>
        </w:rPr>
      </w:pPr>
      <w:r w:rsidRPr="00B73BE3">
        <w:rPr>
          <w:rFonts w:cstheme="minorHAnsi"/>
        </w:rPr>
        <w:t>Burden hours: 3,105 </w:t>
      </w:r>
      <w:r w:rsidRPr="00B73BE3">
        <w:rPr>
          <w:rFonts w:cstheme="minorHAnsi"/>
          <w:color w:val="242424"/>
          <w:shd w:val="clear" w:color="auto" w:fill="FFFFFF"/>
        </w:rPr>
        <w:t>[FY1] reports (responses) per year x 1 hour = 3,105 burden hours</w:t>
      </w:r>
    </w:p>
    <w:p w:rsidR="000F3B44" w:rsidRPr="00B73BE3" w:rsidP="000F3B44" w14:paraId="03187D35" w14:textId="1069CD83">
      <w:pPr>
        <w:spacing w:after="0" w:line="240" w:lineRule="auto"/>
        <w:rPr>
          <w:rFonts w:eastAsia="Times New Roman" w:cstheme="minorHAnsi"/>
        </w:rPr>
      </w:pPr>
      <w:r w:rsidRPr="00B73BE3">
        <w:rPr>
          <w:rFonts w:eastAsia="Times New Roman" w:cstheme="minorHAnsi"/>
        </w:rPr>
        <w:t xml:space="preserve">Cost burden: </w:t>
      </w:r>
      <w:r w:rsidRPr="00B73BE3" w:rsidR="0053143B">
        <w:rPr>
          <w:rFonts w:eastAsia="Times New Roman" w:cstheme="minorHAnsi"/>
        </w:rPr>
        <w:t>3,105</w:t>
      </w:r>
      <w:r w:rsidRPr="00B73BE3">
        <w:rPr>
          <w:rFonts w:eastAsia="Times New Roman" w:cstheme="minorHAnsi"/>
        </w:rPr>
        <w:t xml:space="preserve"> hours x $51.18 hourly wage</w:t>
      </w:r>
      <w:r>
        <w:rPr>
          <w:rStyle w:val="FootnoteReference"/>
          <w:rFonts w:eastAsia="Times New Roman" w:cstheme="minorHAnsi"/>
        </w:rPr>
        <w:footnoteReference w:id="3"/>
      </w:r>
      <w:r w:rsidRPr="00B73BE3">
        <w:rPr>
          <w:rFonts w:eastAsia="Times New Roman" w:cstheme="minorHAnsi"/>
        </w:rPr>
        <w:t xml:space="preserve"> </w:t>
      </w:r>
      <w:r w:rsidRPr="00B73BE3">
        <w:rPr>
          <w:rFonts w:eastAsia="Times New Roman" w:cstheme="minorHAnsi"/>
        </w:rPr>
        <w:t>= $</w:t>
      </w:r>
      <w:r w:rsidRPr="00B73BE3" w:rsidR="0053143B">
        <w:rPr>
          <w:rFonts w:eastAsia="Times New Roman" w:cstheme="minorHAnsi"/>
        </w:rPr>
        <w:t>158,91</w:t>
      </w:r>
      <w:r w:rsidR="00E443C0">
        <w:rPr>
          <w:rFonts w:eastAsia="Times New Roman" w:cstheme="minorHAnsi"/>
        </w:rPr>
        <w:t>4.</w:t>
      </w:r>
    </w:p>
    <w:p w:rsidR="00DA1610" w:rsidRPr="00B73BE3" w:rsidP="00EA5684" w14:paraId="4E08E391" w14:textId="77777777">
      <w:pPr>
        <w:pStyle w:val="Heading2"/>
        <w:rPr>
          <w:rFonts w:cstheme="minorHAnsi"/>
        </w:rPr>
      </w:pPr>
      <w:bookmarkStart w:id="16" w:name="_Toc128483712"/>
      <w:r w:rsidRPr="00B73BE3">
        <w:rPr>
          <w:rFonts w:cstheme="minorHAnsi"/>
        </w:rPr>
        <w:t>A.15. Reasons for Changes in Burden</w:t>
      </w:r>
      <w:bookmarkEnd w:id="16"/>
    </w:p>
    <w:p w:rsidR="00DA1610" w:rsidRPr="00B73BE3" w:rsidP="00DA1610" w14:paraId="460F1734" w14:textId="3D36A248">
      <w:pPr>
        <w:rPr>
          <w:rFonts w:cstheme="minorHAnsi"/>
          <w:b/>
          <w:bCs/>
        </w:rPr>
      </w:pPr>
      <w:r w:rsidRPr="00B73BE3">
        <w:rPr>
          <w:rFonts w:cstheme="minorHAnsi"/>
          <w:b/>
          <w:bCs/>
        </w:rPr>
        <w:t xml:space="preserve">Explain the reasons for any program changes or adjustments reported in Items 13 (or 14) of OMB Form 83-I. </w:t>
      </w:r>
    </w:p>
    <w:p w:rsidR="00D6223F" w:rsidRPr="00B73BE3" w:rsidP="00DA1610" w14:paraId="73FC8988" w14:textId="40476509">
      <w:pPr>
        <w:rPr>
          <w:rFonts w:cstheme="minorHAnsi"/>
        </w:rPr>
      </w:pPr>
      <w:r w:rsidRPr="00B73BE3">
        <w:rPr>
          <w:rFonts w:cstheme="minorHAnsi"/>
        </w:rPr>
        <w:t>Due to the increase in funding and activity from the Bipartisan Infrastructure Law AKA Infrastructure Investment and Jobs Act, the projected burden hours for reporting are higher than previously projected measurements.</w:t>
      </w:r>
    </w:p>
    <w:p w:rsidR="00DA1610" w:rsidRPr="00B73BE3" w:rsidP="00D854D8" w14:paraId="20F68077" w14:textId="6E1DE95E">
      <w:pPr>
        <w:rPr>
          <w:rFonts w:cstheme="minorHAnsi"/>
          <w:iCs/>
        </w:rPr>
      </w:pPr>
      <w:r w:rsidRPr="00B73BE3">
        <w:rPr>
          <w:rFonts w:eastAsia="Times New Roman" w:cstheme="minorHAnsi"/>
          <w:b/>
          <w:color w:val="0070C0"/>
          <w:sz w:val="28"/>
          <w:szCs w:val="28"/>
        </w:rPr>
        <w:t>Table A3. ICR Summary of Burden</w:t>
      </w:r>
    </w:p>
    <w:tbl>
      <w:tblPr>
        <w:tblW w:w="9360" w:type="dxa"/>
        <w:tblLayout w:type="fixed"/>
        <w:tblCellMar>
          <w:left w:w="115" w:type="dxa"/>
          <w:right w:w="115" w:type="dxa"/>
        </w:tblCellMar>
        <w:tblLook w:val="04A0"/>
      </w:tblPr>
      <w:tblGrid>
        <w:gridCol w:w="1872"/>
        <w:gridCol w:w="1872"/>
        <w:gridCol w:w="1872"/>
        <w:gridCol w:w="1872"/>
        <w:gridCol w:w="1872"/>
      </w:tblGrid>
      <w:tr w14:paraId="5DB15D04" w14:textId="77777777" w:rsidTr="006E1EBE">
        <w:tblPrEx>
          <w:tblW w:w="9360" w:type="dxa"/>
          <w:tblLayout w:type="fixed"/>
          <w:tblCellMar>
            <w:left w:w="115" w:type="dxa"/>
            <w:right w:w="115" w:type="dxa"/>
          </w:tblCellMar>
          <w:tblLook w:val="04A0"/>
        </w:tblPrEx>
        <w:trPr>
          <w:trHeight w:val="510"/>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016390" w:rsidRPr="00B73BE3" w:rsidP="00CC64B9" w14:paraId="4C4C7E17" w14:textId="77777777">
            <w:pPr>
              <w:spacing w:after="0" w:line="240" w:lineRule="auto"/>
              <w:jc w:val="center"/>
              <w:rPr>
                <w:rFonts w:eastAsia="Times New Roman" w:cstheme="minorHAnsi"/>
                <w:b/>
                <w:bCs/>
                <w:color w:val="FFFFFF"/>
                <w:sz w:val="20"/>
                <w:szCs w:val="20"/>
              </w:rPr>
            </w:pPr>
            <w:r w:rsidRPr="00B73BE3">
              <w:rPr>
                <w:rFonts w:eastAsia="Times New Roman" w:cstheme="minorHAnsi"/>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016390" w:rsidRPr="00B73BE3" w:rsidP="00CC64B9" w14:paraId="2D8E2767"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Requested</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016390" w:rsidRPr="00B73BE3" w:rsidP="00CC64B9" w14:paraId="418A553D"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016390" w:rsidRPr="00B73BE3" w:rsidP="00CC64B9" w14:paraId="72F4CF30"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016390" w:rsidRPr="00B73BE3" w:rsidP="00CC64B9" w14:paraId="34BD4FF6" w14:textId="77777777">
            <w:pPr>
              <w:spacing w:after="0" w:line="240" w:lineRule="auto"/>
              <w:jc w:val="center"/>
              <w:rPr>
                <w:rFonts w:eastAsia="Times New Roman" w:cstheme="minorHAnsi"/>
                <w:b/>
                <w:bCs/>
                <w:sz w:val="20"/>
                <w:szCs w:val="20"/>
              </w:rPr>
            </w:pPr>
            <w:r w:rsidRPr="00B73BE3">
              <w:rPr>
                <w:rFonts w:eastAsia="Times New Roman" w:cstheme="minorHAnsi"/>
                <w:b/>
                <w:bCs/>
                <w:sz w:val="20"/>
                <w:szCs w:val="20"/>
              </w:rPr>
              <w:t>Previously Approved</w:t>
            </w:r>
          </w:p>
        </w:tc>
      </w:tr>
      <w:tr w14:paraId="4702AC71" w14:textId="77777777" w:rsidTr="006E1EBE">
        <w:tblPrEx>
          <w:tblW w:w="9360" w:type="dxa"/>
          <w:tblLayout w:type="fixed"/>
          <w:tblCellMar>
            <w:left w:w="115" w:type="dxa"/>
            <w:right w:w="115" w:type="dxa"/>
          </w:tblCellMar>
          <w:tblLook w:val="04A0"/>
        </w:tblPrEx>
        <w:trPr>
          <w:trHeight w:val="525"/>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A91EFA" w:rsidRPr="00B73BE3" w:rsidP="00A91EFA" w14:paraId="784A5BAF" w14:textId="77777777">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Total Number of Responses</w:t>
            </w:r>
          </w:p>
        </w:tc>
        <w:tc>
          <w:tcPr>
            <w:tcW w:w="1872" w:type="dxa"/>
            <w:tcBorders>
              <w:top w:val="nil"/>
              <w:left w:val="nil"/>
              <w:bottom w:val="single" w:sz="4" w:space="0" w:color="auto"/>
              <w:right w:val="single" w:sz="4" w:space="0" w:color="auto"/>
            </w:tcBorders>
            <w:shd w:val="clear" w:color="auto" w:fill="auto"/>
            <w:vAlign w:val="center"/>
            <w:hideMark/>
          </w:tcPr>
          <w:p w:rsidR="00A91EFA" w:rsidRPr="00B73BE3" w:rsidP="00A91EFA" w14:paraId="57AC44BB" w14:textId="5FEDD622">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 3,105</w:t>
            </w:r>
          </w:p>
        </w:tc>
        <w:tc>
          <w:tcPr>
            <w:tcW w:w="1872" w:type="dxa"/>
            <w:tcBorders>
              <w:top w:val="nil"/>
              <w:left w:val="nil"/>
              <w:bottom w:val="single" w:sz="4" w:space="0" w:color="auto"/>
              <w:right w:val="single" w:sz="4" w:space="0" w:color="auto"/>
            </w:tcBorders>
            <w:shd w:val="clear" w:color="auto" w:fill="auto"/>
            <w:vAlign w:val="center"/>
            <w:hideMark/>
          </w:tcPr>
          <w:p w:rsidR="00A91EFA" w:rsidRPr="00B73BE3" w:rsidP="00A91EFA" w14:paraId="06D59307" w14:textId="68FCC8BD">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 </w:t>
            </w:r>
          </w:p>
        </w:tc>
        <w:tc>
          <w:tcPr>
            <w:tcW w:w="1872" w:type="dxa"/>
            <w:tcBorders>
              <w:top w:val="nil"/>
              <w:left w:val="nil"/>
              <w:bottom w:val="single" w:sz="4" w:space="0" w:color="auto"/>
              <w:right w:val="single" w:sz="4" w:space="0" w:color="auto"/>
            </w:tcBorders>
            <w:shd w:val="clear" w:color="auto" w:fill="auto"/>
            <w:vAlign w:val="center"/>
            <w:hideMark/>
          </w:tcPr>
          <w:p w:rsidR="00A91EFA" w:rsidRPr="00B73BE3" w:rsidP="00A91EFA" w14:paraId="4A7625E5" w14:textId="4E0ECECC">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 </w:t>
            </w:r>
            <w:r w:rsidRPr="00B73BE3" w:rsidR="00D6223F">
              <w:rPr>
                <w:rFonts w:eastAsia="Times New Roman" w:cstheme="minorHAnsi"/>
                <w:color w:val="576170"/>
                <w:sz w:val="20"/>
                <w:szCs w:val="20"/>
              </w:rPr>
              <w:t>2,884</w:t>
            </w:r>
          </w:p>
        </w:tc>
        <w:tc>
          <w:tcPr>
            <w:tcW w:w="1872" w:type="dxa"/>
            <w:tcBorders>
              <w:top w:val="nil"/>
              <w:left w:val="nil"/>
              <w:bottom w:val="single" w:sz="4" w:space="0" w:color="auto"/>
              <w:right w:val="single" w:sz="4" w:space="0" w:color="auto"/>
            </w:tcBorders>
            <w:shd w:val="clear" w:color="auto" w:fill="auto"/>
            <w:vAlign w:val="center"/>
            <w:hideMark/>
          </w:tcPr>
          <w:p w:rsidR="00A91EFA" w:rsidRPr="00B73BE3" w:rsidP="00A91EFA" w14:paraId="31989E6E" w14:textId="329DA4B6">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 221</w:t>
            </w:r>
          </w:p>
        </w:tc>
      </w:tr>
      <w:tr w14:paraId="1FD779A5" w14:textId="77777777" w:rsidTr="006E1EBE">
        <w:tblPrEx>
          <w:tblW w:w="9360" w:type="dxa"/>
          <w:tblLayout w:type="fixed"/>
          <w:tblCellMar>
            <w:left w:w="115" w:type="dxa"/>
            <w:right w:w="115" w:type="dxa"/>
          </w:tblCellMar>
          <w:tblLook w:val="04A0"/>
        </w:tblPrEx>
        <w:trPr>
          <w:trHeight w:val="5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EFA" w:rsidRPr="00B73BE3" w:rsidP="00A91EFA" w14:paraId="4C9E33A8" w14:textId="77777777">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Total Time Burden (Hr)</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A91EFA" w:rsidRPr="00B73BE3" w:rsidP="00A91EFA" w14:paraId="6C308E3E" w14:textId="7E6F591C">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 </w:t>
            </w:r>
            <w:r w:rsidRPr="00B73BE3" w:rsidR="00B72687">
              <w:rPr>
                <w:rFonts w:eastAsia="Times New Roman" w:cstheme="minorHAnsi"/>
                <w:color w:val="576170"/>
                <w:sz w:val="20"/>
                <w:szCs w:val="20"/>
              </w:rPr>
              <w:t>6,548</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A91EFA" w:rsidRPr="00B73BE3" w:rsidP="00A91EFA" w14:paraId="1DCDD50A" w14:textId="761A9556">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 </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A91EFA" w:rsidRPr="00B73BE3" w:rsidP="00A91EFA" w14:paraId="7C72A57D" w14:textId="0D23AC82">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 </w:t>
            </w:r>
            <w:r w:rsidRPr="00B73BE3" w:rsidR="00D6223F">
              <w:rPr>
                <w:rFonts w:eastAsia="Times New Roman" w:cstheme="minorHAnsi"/>
                <w:color w:val="576170"/>
                <w:sz w:val="20"/>
                <w:szCs w:val="20"/>
              </w:rPr>
              <w:t>6,106</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A91EFA" w:rsidRPr="00B73BE3" w:rsidP="00A91EFA" w14:paraId="5543A9D7" w14:textId="2BB12F3B">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 442</w:t>
            </w:r>
          </w:p>
        </w:tc>
      </w:tr>
      <w:tr w14:paraId="4B274B70" w14:textId="77777777" w:rsidTr="006E1EBE">
        <w:tblPrEx>
          <w:tblW w:w="9360" w:type="dxa"/>
          <w:tblLayout w:type="fixed"/>
          <w:tblCellMar>
            <w:left w:w="115" w:type="dxa"/>
            <w:right w:w="115" w:type="dxa"/>
          </w:tblCellMar>
          <w:tblLook w:val="04A0"/>
        </w:tblPrEx>
        <w:trPr>
          <w:trHeight w:val="5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A91EFA" w:rsidRPr="00B73BE3" w:rsidP="00A91EFA" w14:paraId="28626EEF" w14:textId="77777777">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Total Cost Burden</w:t>
            </w:r>
          </w:p>
        </w:tc>
        <w:tc>
          <w:tcPr>
            <w:tcW w:w="1872" w:type="dxa"/>
            <w:tcBorders>
              <w:top w:val="single" w:sz="4" w:space="0" w:color="auto"/>
              <w:left w:val="nil"/>
              <w:bottom w:val="single" w:sz="4" w:space="0" w:color="auto"/>
              <w:right w:val="single" w:sz="4" w:space="0" w:color="auto"/>
            </w:tcBorders>
            <w:shd w:val="clear" w:color="auto" w:fill="auto"/>
            <w:vAlign w:val="center"/>
          </w:tcPr>
          <w:p w:rsidR="00A91EFA" w:rsidRPr="00B73BE3" w:rsidP="00A91EFA" w14:paraId="63467EF2" w14:textId="4A18A630">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w:t>
            </w:r>
            <w:r w:rsidRPr="00B73BE3" w:rsidR="00B72687">
              <w:rPr>
                <w:rFonts w:eastAsia="Times New Roman" w:cstheme="minorHAnsi"/>
                <w:color w:val="576170"/>
                <w:sz w:val="20"/>
                <w:szCs w:val="20"/>
              </w:rPr>
              <w:t>363,21</w:t>
            </w:r>
            <w:r w:rsidR="00302763">
              <w:rPr>
                <w:rFonts w:eastAsia="Times New Roman" w:cstheme="minorHAnsi"/>
                <w:color w:val="576170"/>
                <w:sz w:val="20"/>
                <w:szCs w:val="20"/>
              </w:rPr>
              <w:t>8</w:t>
            </w:r>
          </w:p>
        </w:tc>
        <w:tc>
          <w:tcPr>
            <w:tcW w:w="1872" w:type="dxa"/>
            <w:tcBorders>
              <w:top w:val="single" w:sz="4" w:space="0" w:color="auto"/>
              <w:left w:val="nil"/>
              <w:bottom w:val="single" w:sz="4" w:space="0" w:color="auto"/>
              <w:right w:val="single" w:sz="4" w:space="0" w:color="auto"/>
            </w:tcBorders>
            <w:shd w:val="clear" w:color="auto" w:fill="auto"/>
            <w:vAlign w:val="center"/>
          </w:tcPr>
          <w:p w:rsidR="00A91EFA" w:rsidRPr="00B73BE3" w:rsidP="00A91EFA" w14:paraId="2280E5A1" w14:textId="1EC85951">
            <w:pPr>
              <w:spacing w:after="0" w:line="240" w:lineRule="auto"/>
              <w:rPr>
                <w:rFonts w:eastAsia="Times New Roman" w:cstheme="minorHAnsi"/>
                <w:color w:val="576170"/>
                <w:sz w:val="20"/>
                <w:szCs w:val="20"/>
              </w:rPr>
            </w:pPr>
          </w:p>
        </w:tc>
        <w:tc>
          <w:tcPr>
            <w:tcW w:w="1872" w:type="dxa"/>
            <w:tcBorders>
              <w:top w:val="single" w:sz="4" w:space="0" w:color="auto"/>
              <w:left w:val="nil"/>
              <w:bottom w:val="single" w:sz="4" w:space="0" w:color="auto"/>
              <w:right w:val="single" w:sz="4" w:space="0" w:color="auto"/>
            </w:tcBorders>
            <w:shd w:val="clear" w:color="auto" w:fill="auto"/>
            <w:vAlign w:val="center"/>
          </w:tcPr>
          <w:p w:rsidR="00A91EFA" w:rsidRPr="00B73BE3" w:rsidP="00A91EFA" w14:paraId="45F6118D" w14:textId="0C612182">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$344,4</w:t>
            </w:r>
            <w:r w:rsidR="00302763">
              <w:rPr>
                <w:rFonts w:eastAsia="Times New Roman" w:cstheme="minorHAnsi"/>
                <w:color w:val="576170"/>
                <w:sz w:val="20"/>
                <w:szCs w:val="20"/>
              </w:rPr>
              <w:t>90</w:t>
            </w:r>
          </w:p>
        </w:tc>
        <w:tc>
          <w:tcPr>
            <w:tcW w:w="1872" w:type="dxa"/>
            <w:tcBorders>
              <w:top w:val="single" w:sz="4" w:space="0" w:color="auto"/>
              <w:left w:val="nil"/>
              <w:bottom w:val="single" w:sz="4" w:space="0" w:color="auto"/>
              <w:right w:val="single" w:sz="4" w:space="0" w:color="auto"/>
            </w:tcBorders>
            <w:shd w:val="clear" w:color="auto" w:fill="auto"/>
            <w:vAlign w:val="center"/>
          </w:tcPr>
          <w:p w:rsidR="00A91EFA" w:rsidRPr="00B73BE3" w:rsidP="00A91EFA" w14:paraId="0C0C33AE" w14:textId="343B42D8">
            <w:pPr>
              <w:spacing w:after="0" w:line="240" w:lineRule="auto"/>
              <w:rPr>
                <w:rFonts w:eastAsia="Times New Roman" w:cstheme="minorHAnsi"/>
                <w:color w:val="576170"/>
                <w:sz w:val="20"/>
                <w:szCs w:val="20"/>
              </w:rPr>
            </w:pPr>
            <w:r w:rsidRPr="00B73BE3">
              <w:rPr>
                <w:rFonts w:eastAsia="Times New Roman" w:cstheme="minorHAnsi"/>
                <w:color w:val="576170"/>
                <w:sz w:val="20"/>
                <w:szCs w:val="20"/>
              </w:rPr>
              <w:t>$18,728</w:t>
            </w:r>
          </w:p>
        </w:tc>
      </w:tr>
    </w:tbl>
    <w:p w:rsidR="00DA1610" w:rsidRPr="00B73BE3" w:rsidP="00EA5684" w14:paraId="3BC7539D" w14:textId="65240E2A">
      <w:pPr>
        <w:pStyle w:val="Heading2"/>
        <w:rPr>
          <w:rFonts w:cstheme="minorHAnsi"/>
        </w:rPr>
      </w:pPr>
      <w:bookmarkStart w:id="17" w:name="_Toc128483713"/>
      <w:r w:rsidRPr="00B73BE3">
        <w:rPr>
          <w:rFonts w:cstheme="minorHAnsi"/>
        </w:rPr>
        <w:t>A.16. Collection, Tabulation, and Publication Plans</w:t>
      </w:r>
      <w:bookmarkEnd w:id="17"/>
      <w:r w:rsidRPr="00B73BE3">
        <w:rPr>
          <w:rFonts w:cstheme="minorHAnsi"/>
        </w:rPr>
        <w:t xml:space="preserve"> </w:t>
      </w:r>
    </w:p>
    <w:p w:rsidR="00DA1610" w:rsidRPr="00B73BE3" w:rsidP="00DA1610" w14:paraId="68DF8061" w14:textId="77777777">
      <w:pPr>
        <w:rPr>
          <w:rFonts w:cstheme="minorHAnsi"/>
        </w:rPr>
      </w:pPr>
      <w:r w:rsidRPr="00B73BE3">
        <w:rPr>
          <w:rFonts w:cstheme="minorHAnsi"/>
          <w:b/>
          <w:bCs/>
        </w:rPr>
        <w:t xml:space="preserve">For collections whose results will be published, outline the plans for tabulation and publication. </w:t>
      </w:r>
    </w:p>
    <w:p w:rsidR="00DA1610" w:rsidRPr="00B73BE3" w:rsidP="00DA1610" w14:paraId="614CFAFA" w14:textId="77777777">
      <w:pPr>
        <w:spacing w:after="0" w:line="240" w:lineRule="auto"/>
        <w:rPr>
          <w:rFonts w:eastAsia="Times New Roman" w:cstheme="minorHAnsi"/>
        </w:rPr>
      </w:pPr>
      <w:r w:rsidRPr="00B73BE3">
        <w:rPr>
          <w:rFonts w:eastAsia="Times New Roman" w:cstheme="minorHAnsi"/>
        </w:rPr>
        <w:t xml:space="preserve">The information collected is not intended to be published at this time. No complex analytical techniques will be employed. </w:t>
      </w:r>
    </w:p>
    <w:p w:rsidR="00DA1610" w:rsidRPr="00B73BE3" w:rsidP="00EA5684" w14:paraId="0E631CBD" w14:textId="77777777">
      <w:pPr>
        <w:pStyle w:val="Heading2"/>
        <w:rPr>
          <w:rFonts w:cstheme="minorHAnsi"/>
        </w:rPr>
      </w:pPr>
      <w:bookmarkStart w:id="18" w:name="_Toc128483714"/>
      <w:r w:rsidRPr="00B73BE3">
        <w:rPr>
          <w:rFonts w:cstheme="minorHAnsi"/>
        </w:rPr>
        <w:t>A.17. OMB Number and Expiration Date</w:t>
      </w:r>
      <w:bookmarkEnd w:id="18"/>
      <w:r w:rsidRPr="00B73BE3">
        <w:rPr>
          <w:rFonts w:cstheme="minorHAnsi"/>
        </w:rPr>
        <w:t xml:space="preserve"> </w:t>
      </w:r>
    </w:p>
    <w:p w:rsidR="00DA1610" w:rsidRPr="00B73BE3" w:rsidP="00DA1610" w14:paraId="0B523DAE" w14:textId="77777777">
      <w:pPr>
        <w:rPr>
          <w:rFonts w:cstheme="minorHAnsi"/>
        </w:rPr>
      </w:pPr>
      <w:r w:rsidRPr="00B73BE3">
        <w:rPr>
          <w:rFonts w:cstheme="minorHAnsi"/>
          <w:b/>
          <w:bCs/>
        </w:rPr>
        <w:t xml:space="preserve">If seeking approval to not display the expiration date for OMB approval of the information collection, explain the reasons why display would be inappropriate. </w:t>
      </w:r>
    </w:p>
    <w:p w:rsidR="00DA1610" w:rsidRPr="00B73BE3" w:rsidP="00DA1610" w14:paraId="7FB5F4CD" w14:textId="77777777">
      <w:pPr>
        <w:spacing w:after="0" w:line="240" w:lineRule="auto"/>
        <w:rPr>
          <w:rFonts w:eastAsia="Times New Roman" w:cstheme="minorHAnsi"/>
        </w:rPr>
      </w:pPr>
      <w:r w:rsidRPr="00B73BE3">
        <w:rPr>
          <w:rFonts w:eastAsia="Times New Roman" w:cstheme="minorHAnsi"/>
        </w:rPr>
        <w:t xml:space="preserve">DOE is not seeking approval to not display the expiration date for OMB approval of this information collection. </w:t>
      </w:r>
    </w:p>
    <w:p w:rsidR="00DA1610" w:rsidRPr="00B73BE3" w:rsidP="00EA5684" w14:paraId="027D5436" w14:textId="77777777">
      <w:pPr>
        <w:pStyle w:val="Heading2"/>
        <w:rPr>
          <w:rFonts w:cstheme="minorHAnsi"/>
        </w:rPr>
      </w:pPr>
      <w:bookmarkStart w:id="19" w:name="_Toc128483715"/>
      <w:r w:rsidRPr="00B73BE3">
        <w:rPr>
          <w:rFonts w:cstheme="minorHAnsi"/>
        </w:rPr>
        <w:t>A.18. Certification Statement</w:t>
      </w:r>
      <w:bookmarkEnd w:id="19"/>
      <w:r w:rsidRPr="00B73BE3">
        <w:rPr>
          <w:rFonts w:cstheme="minorHAnsi"/>
        </w:rPr>
        <w:t xml:space="preserve"> </w:t>
      </w:r>
    </w:p>
    <w:p w:rsidR="00DA1610" w:rsidRPr="00B73BE3" w:rsidP="00DA1610" w14:paraId="1D145949" w14:textId="77777777">
      <w:pPr>
        <w:rPr>
          <w:rFonts w:cstheme="minorHAnsi"/>
        </w:rPr>
      </w:pPr>
      <w:r w:rsidRPr="00B73BE3">
        <w:rPr>
          <w:rFonts w:cstheme="minorHAnsi"/>
          <w:b/>
          <w:bCs/>
        </w:rPr>
        <w:t xml:space="preserve">Explain each exception to the certification statement identified in Item 19 of OMB Form 83-I. </w:t>
      </w:r>
    </w:p>
    <w:p w:rsidR="002E09AE" w:rsidRPr="00B73BE3" w:rsidP="006E1EBE" w14:paraId="56F7DF93" w14:textId="685A19AF">
      <w:pPr>
        <w:rPr>
          <w:rFonts w:cstheme="minorHAnsi"/>
        </w:rPr>
      </w:pPr>
      <w:r w:rsidRPr="00B73BE3">
        <w:rPr>
          <w:rFonts w:eastAsia="Times New Roman" w:cstheme="minorHAnsi"/>
        </w:rPr>
        <w:t>There are no exceptions to the certification stateme</w:t>
      </w:r>
      <w:r w:rsidRPr="00B73BE3" w:rsidR="00BE566C">
        <w:rPr>
          <w:rFonts w:eastAsia="Times New Roman" w:cstheme="minorHAnsi"/>
        </w:rPr>
        <w:t>n</w:t>
      </w:r>
      <w:r w:rsidRPr="00B73BE3">
        <w:rPr>
          <w:rFonts w:eastAsia="Times New Roman" w:cstheme="minorHAnsi"/>
        </w:rPr>
        <w:t>t</w:t>
      </w:r>
    </w:p>
    <w:sectPr w:rsidSect="00933D5D">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1F3A8F" w:rsidP="00616E46" w14:paraId="27A9D0C7" w14:textId="17EC3974">
    <w:pPr>
      <w:pStyle w:val="Footer"/>
      <w:tabs>
        <w:tab w:val="left" w:pos="8655"/>
        <w:tab w:val="clear" w:pos="9720"/>
      </w:tabs>
    </w:pPr>
    <w:r w:rsidRPr="00CB180D">
      <w:t xml:space="preserve">U.S. </w:t>
    </w:r>
    <w:r w:rsidR="00FE2197">
      <w:t>Department of Energy</w:t>
    </w:r>
    <w:r w:rsidRPr="00CB180D">
      <w:t xml:space="preserve">   |</w:t>
    </w:r>
    <w:r w:rsidR="00A41763">
      <w:t xml:space="preserve">   </w:t>
    </w:r>
    <w:sdt>
      <w:sdtPr>
        <w:alias w:val="Title"/>
        <w:id w:val="463942435"/>
        <w:dataBinding w:prefixMappings="xmlns:ns0='http://purl.org/dc/elements/1.1/' xmlns:ns1='http://schemas.openxmlformats.org/package/2006/metadata/core-properties' " w:xpath="/ns1:coreProperties[1]/ns0:title[1]" w:storeItemID="{6C3C8BC8-F283-45AE-878A-BAB7291924A1}"/>
        <w:text/>
      </w:sdtPr>
      <w:sdtContent>
        <w:r w:rsidR="001871EA">
          <w:t>Supporting Statement for Historic Preservation for Energy Efficiency Programs</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763B81">
      <w:rPr>
        <w:noProof/>
      </w:rPr>
      <w:t>7</w:t>
    </w:r>
    <w:r w:rsidR="00616E4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7E94DD56"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i</w:t>
    </w:r>
    <w:r w:rsidR="007A0E7F">
      <w:rPr>
        <w:noProof/>
      </w:rPr>
      <w:fldChar w:fldCharType="end"/>
    </w:r>
  </w:p>
  <w:p w:rsidR="00132F4A" w14:paraId="2FFC1EC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2CA53427" w14:textId="77777777">
    <w:pPr>
      <w:pStyle w:val="Footer"/>
    </w:pPr>
    <w:sdt>
      <w:sdtPr>
        <w:id w:val="1041714361"/>
        <w:docPartObj>
          <w:docPartGallery w:val="Page Numbers (Bottom of Page)"/>
          <w:docPartUnique/>
        </w:docPartObj>
      </w:sdtPr>
      <w:sdtContent>
        <w:r w:rsidRPr="00CB180D">
          <w:t xml:space="preserve">U.S. Energy Information Administration   |   </w:t>
        </w:r>
        <w:sdt>
          <w:sdtPr>
            <w:alias w:val="Subject"/>
            <w:id w:val="-129922436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ii</w:t>
    </w:r>
    <w:r w:rsidR="007A0E7F">
      <w:rPr>
        <w:noProof/>
      </w:rPr>
      <w:fldChar w:fldCharType="end"/>
    </w:r>
  </w:p>
  <w:p w:rsidR="00132F4A" w:rsidP="00760677" w14:paraId="58CE8ED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D5D" w:rsidRPr="001F3A8F" w:rsidP="00616E46" w14:paraId="560228C4" w14:textId="4A8B838B">
    <w:pPr>
      <w:pStyle w:val="Footer"/>
      <w:tabs>
        <w:tab w:val="left" w:pos="8655"/>
        <w:tab w:val="clear" w:pos="9720"/>
      </w:tabs>
    </w:pPr>
    <w:r>
      <w:t>U.S. Department of Energy</w:t>
    </w:r>
    <w:r w:rsidRPr="00CB180D">
      <w:t xml:space="preserve">   |</w:t>
    </w:r>
    <w:r>
      <w:t xml:space="preserve">   </w:t>
    </w:r>
    <w:sdt>
      <w:sdtPr>
        <w:alias w:val="Title"/>
        <w:id w:val="-850179400"/>
        <w:dataBinding w:prefixMappings="xmlns:ns0='http://purl.org/dc/elements/1.1/' xmlns:ns1='http://schemas.openxmlformats.org/package/2006/metadata/core-properties' " w:xpath="/ns1:coreProperties[1]/ns0:title[1]" w:storeItemID="{6C3C8BC8-F283-45AE-878A-BAB7291924A1}"/>
        <w:text/>
      </w:sdtPr>
      <w:sdtContent>
        <w:r w:rsidR="001871EA">
          <w:t>Supporting Statement for Historic Preservation for Energy Efficiency Programs</w:t>
        </w:r>
      </w:sdtContent>
    </w:sdt>
    <w:r>
      <w:t xml:space="preserve"> </w:t>
    </w:r>
    <w:r>
      <w:tab/>
      <w:t xml:space="preserve"> </w:t>
    </w:r>
    <w:r>
      <w:fldChar w:fldCharType="begin"/>
    </w:r>
    <w:r>
      <w:instrText xml:space="preserve"> PAGE   \* MERGEFORMAT </w:instrText>
    </w:r>
    <w:r>
      <w:fldChar w:fldCharType="separate"/>
    </w:r>
    <w:r w:rsidR="00763B81">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64B9" w:rsidP="00536CE1" w14:paraId="67E8A6D6" w14:textId="77777777">
      <w:pPr>
        <w:spacing w:after="0" w:line="240" w:lineRule="auto"/>
      </w:pPr>
      <w:r>
        <w:separator/>
      </w:r>
    </w:p>
  </w:footnote>
  <w:footnote w:type="continuationSeparator" w:id="1">
    <w:p w:rsidR="00CC64B9" w:rsidP="00536CE1" w14:paraId="5D237A86" w14:textId="77777777">
      <w:pPr>
        <w:spacing w:after="0" w:line="240" w:lineRule="auto"/>
      </w:pPr>
      <w:r>
        <w:continuationSeparator/>
      </w:r>
    </w:p>
  </w:footnote>
  <w:footnote w:id="2">
    <w:p w:rsidR="007263DC" w:rsidRPr="007263DC" w:rsidP="00CA6215" w14:paraId="49BBB7A1" w14:textId="796D7F95">
      <w:pPr>
        <w:pStyle w:val="CommentText"/>
      </w:pPr>
      <w:r>
        <w:rPr>
          <w:rStyle w:val="FootnoteReference"/>
        </w:rPr>
        <w:footnoteRef/>
      </w:r>
      <w:r>
        <w:t xml:space="preserve"> </w:t>
      </w:r>
      <w:hyperlink r:id="rId1" w:history="1">
        <w:r w:rsidR="00B72687">
          <w:rPr>
            <w:rStyle w:val="Hyperlink"/>
          </w:rPr>
          <w:t>Table 3. State and local government workers by occupational and industry group - 2022 Q02 Results (bls.gov)</w:t>
        </w:r>
      </w:hyperlink>
    </w:p>
  </w:footnote>
  <w:footnote w:id="3">
    <w:p w:rsidR="00D56E32" w:rsidRPr="007263DC" w:rsidP="00D56E32" w14:paraId="4582EB50" w14:textId="73B2C291">
      <w:pPr>
        <w:pStyle w:val="CommentText"/>
      </w:pPr>
      <w:r>
        <w:rPr>
          <w:rStyle w:val="FootnoteReference"/>
        </w:rPr>
        <w:footnoteRef/>
      </w:r>
      <w:r>
        <w:t xml:space="preserve"> </w:t>
      </w:r>
      <w:r w:rsidR="005D6982">
        <w:t xml:space="preserve">SALARY TABLE 2022-DCB INCORPORATING THE 2.2% GENERAL SCHEDULE INCREASE AND A LOCALITY PAYMENT OF 31.53% FOR THE LOCALITY PAY AREA OF WASHINGTON-BALTIMORE-ARLINGTON, DC-MD-VA-WV-PA - </w:t>
      </w:r>
      <w:hyperlink r:id="rId2" w:history="1">
        <w:r>
          <w:rPr>
            <w:rStyle w:val="Hyperlink"/>
          </w:rPr>
          <w:t>SALARY TABLE 2022-DCB (opm.gov)</w:t>
        </w:r>
      </w:hyperlink>
      <w:r w:rsidR="001B793C">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25453" w14:paraId="0CEAB65E"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2E47289B"/>
    <w:multiLevelType w:val="hybridMultilevel"/>
    <w:tmpl w:val="42865E9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8F3341C"/>
    <w:multiLevelType w:val="hybridMultilevel"/>
    <w:tmpl w:val="F708B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2063480289">
    <w:abstractNumId w:val="10"/>
  </w:num>
  <w:num w:numId="2" w16cid:durableId="713385212">
    <w:abstractNumId w:val="9"/>
  </w:num>
  <w:num w:numId="3" w16cid:durableId="1901595437">
    <w:abstractNumId w:val="7"/>
  </w:num>
  <w:num w:numId="4" w16cid:durableId="1023241821">
    <w:abstractNumId w:val="6"/>
  </w:num>
  <w:num w:numId="5" w16cid:durableId="586427340">
    <w:abstractNumId w:val="5"/>
  </w:num>
  <w:num w:numId="6" w16cid:durableId="1608780389">
    <w:abstractNumId w:val="4"/>
  </w:num>
  <w:num w:numId="7" w16cid:durableId="1985964779">
    <w:abstractNumId w:val="8"/>
  </w:num>
  <w:num w:numId="8" w16cid:durableId="182087833">
    <w:abstractNumId w:val="3"/>
  </w:num>
  <w:num w:numId="9" w16cid:durableId="837229869">
    <w:abstractNumId w:val="2"/>
  </w:num>
  <w:num w:numId="10" w16cid:durableId="1581602407">
    <w:abstractNumId w:val="1"/>
  </w:num>
  <w:num w:numId="11" w16cid:durableId="1728189310">
    <w:abstractNumId w:val="0"/>
  </w:num>
  <w:num w:numId="12" w16cid:durableId="24448287">
    <w:abstractNumId w:val="17"/>
  </w:num>
  <w:num w:numId="13" w16cid:durableId="1744453826">
    <w:abstractNumId w:val="12"/>
  </w:num>
  <w:num w:numId="14" w16cid:durableId="976641828">
    <w:abstractNumId w:val="14"/>
  </w:num>
  <w:num w:numId="15" w16cid:durableId="196548376">
    <w:abstractNumId w:val="16"/>
  </w:num>
  <w:num w:numId="16" w16cid:durableId="1032613959">
    <w:abstractNumId w:val="10"/>
  </w:num>
  <w:num w:numId="17" w16cid:durableId="272322194">
    <w:abstractNumId w:val="10"/>
  </w:num>
  <w:num w:numId="18" w16cid:durableId="236985616">
    <w:abstractNumId w:val="15"/>
  </w:num>
  <w:num w:numId="19" w16cid:durableId="718288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6542262">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770348027">
    <w:abstractNumId w:val="10"/>
  </w:num>
  <w:num w:numId="22" w16cid:durableId="321156099">
    <w:abstractNumId w:val="10"/>
  </w:num>
  <w:num w:numId="23" w16cid:durableId="454101521">
    <w:abstractNumId w:val="10"/>
  </w:num>
  <w:num w:numId="24" w16cid:durableId="1946307246">
    <w:abstractNumId w:val="10"/>
  </w:num>
  <w:num w:numId="25" w16cid:durableId="1066952288">
    <w:abstractNumId w:val="10"/>
  </w:num>
  <w:num w:numId="26" w16cid:durableId="1303122268">
    <w:abstractNumId w:val="19"/>
  </w:num>
  <w:num w:numId="27" w16cid:durableId="1872454685">
    <w:abstractNumId w:val="10"/>
  </w:num>
  <w:num w:numId="28" w16cid:durableId="91559589">
    <w:abstractNumId w:val="19"/>
  </w:num>
  <w:num w:numId="29" w16cid:durableId="1598292995">
    <w:abstractNumId w:val="19"/>
  </w:num>
  <w:num w:numId="30" w16cid:durableId="1871912429">
    <w:abstractNumId w:val="19"/>
  </w:num>
  <w:num w:numId="31" w16cid:durableId="1852789925">
    <w:abstractNumId w:val="10"/>
  </w:num>
  <w:num w:numId="32" w16cid:durableId="554656587">
    <w:abstractNumId w:val="10"/>
  </w:num>
  <w:num w:numId="33" w16cid:durableId="667292038">
    <w:abstractNumId w:val="10"/>
  </w:num>
  <w:num w:numId="34" w16cid:durableId="1976442870">
    <w:abstractNumId w:val="9"/>
  </w:num>
  <w:num w:numId="35" w16cid:durableId="805700943">
    <w:abstractNumId w:val="7"/>
  </w:num>
  <w:num w:numId="36" w16cid:durableId="889001279">
    <w:abstractNumId w:val="6"/>
  </w:num>
  <w:num w:numId="37" w16cid:durableId="1446314903">
    <w:abstractNumId w:val="5"/>
  </w:num>
  <w:num w:numId="38" w16cid:durableId="1168402028">
    <w:abstractNumId w:val="12"/>
  </w:num>
  <w:num w:numId="39" w16cid:durableId="1258055757">
    <w:abstractNumId w:val="19"/>
  </w:num>
  <w:num w:numId="40" w16cid:durableId="2082949078">
    <w:abstractNumId w:val="19"/>
  </w:num>
  <w:num w:numId="41" w16cid:durableId="762340919">
    <w:abstractNumId w:val="19"/>
  </w:num>
  <w:num w:numId="42" w16cid:durableId="50736446">
    <w:abstractNumId w:val="12"/>
  </w:num>
  <w:num w:numId="43" w16cid:durableId="1801264383">
    <w:abstractNumId w:val="12"/>
  </w:num>
  <w:num w:numId="44" w16cid:durableId="2082018539">
    <w:abstractNumId w:val="12"/>
  </w:num>
  <w:num w:numId="45" w16cid:durableId="573272485">
    <w:abstractNumId w:val="12"/>
  </w:num>
  <w:num w:numId="46" w16cid:durableId="438720868">
    <w:abstractNumId w:val="11"/>
  </w:num>
  <w:num w:numId="47" w16cid:durableId="331492340">
    <w:abstractNumId w:val="20"/>
  </w:num>
  <w:num w:numId="48" w16cid:durableId="1243493718">
    <w:abstractNumId w:val="20"/>
  </w:num>
  <w:num w:numId="49" w16cid:durableId="1534264852">
    <w:abstractNumId w:val="18"/>
  </w:num>
  <w:num w:numId="50" w16cid:durableId="1969509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63"/>
    <w:rsid w:val="0000019D"/>
    <w:rsid w:val="0000364C"/>
    <w:rsid w:val="00004135"/>
    <w:rsid w:val="000041A1"/>
    <w:rsid w:val="000053BB"/>
    <w:rsid w:val="00010109"/>
    <w:rsid w:val="00011B3F"/>
    <w:rsid w:val="00013373"/>
    <w:rsid w:val="000142E5"/>
    <w:rsid w:val="00015DA7"/>
    <w:rsid w:val="00016390"/>
    <w:rsid w:val="000248CE"/>
    <w:rsid w:val="00024E1E"/>
    <w:rsid w:val="00034A4B"/>
    <w:rsid w:val="00034D66"/>
    <w:rsid w:val="00041909"/>
    <w:rsid w:val="00046593"/>
    <w:rsid w:val="00047C08"/>
    <w:rsid w:val="000501A4"/>
    <w:rsid w:val="0005401F"/>
    <w:rsid w:val="00055769"/>
    <w:rsid w:val="00056EC3"/>
    <w:rsid w:val="00062CFE"/>
    <w:rsid w:val="0007129A"/>
    <w:rsid w:val="000750DF"/>
    <w:rsid w:val="0008009A"/>
    <w:rsid w:val="000831C4"/>
    <w:rsid w:val="000844CA"/>
    <w:rsid w:val="0008649C"/>
    <w:rsid w:val="000A43E2"/>
    <w:rsid w:val="000B3FBE"/>
    <w:rsid w:val="000C28E1"/>
    <w:rsid w:val="000C5311"/>
    <w:rsid w:val="000D24B1"/>
    <w:rsid w:val="000D70A6"/>
    <w:rsid w:val="000E07D0"/>
    <w:rsid w:val="000E16CA"/>
    <w:rsid w:val="000F040A"/>
    <w:rsid w:val="000F1189"/>
    <w:rsid w:val="000F3B44"/>
    <w:rsid w:val="001034E8"/>
    <w:rsid w:val="00103E16"/>
    <w:rsid w:val="00110B62"/>
    <w:rsid w:val="00112A69"/>
    <w:rsid w:val="001140B1"/>
    <w:rsid w:val="0011541D"/>
    <w:rsid w:val="001300DC"/>
    <w:rsid w:val="00132F4A"/>
    <w:rsid w:val="001355C8"/>
    <w:rsid w:val="00153E00"/>
    <w:rsid w:val="00154192"/>
    <w:rsid w:val="00160BC8"/>
    <w:rsid w:val="00167425"/>
    <w:rsid w:val="001807A3"/>
    <w:rsid w:val="001871EA"/>
    <w:rsid w:val="001947D5"/>
    <w:rsid w:val="001A6E1E"/>
    <w:rsid w:val="001A6E9A"/>
    <w:rsid w:val="001A77B7"/>
    <w:rsid w:val="001B0E69"/>
    <w:rsid w:val="001B34B6"/>
    <w:rsid w:val="001B6585"/>
    <w:rsid w:val="001B6C4F"/>
    <w:rsid w:val="001B725F"/>
    <w:rsid w:val="001B793C"/>
    <w:rsid w:val="001C3BCD"/>
    <w:rsid w:val="001C6D20"/>
    <w:rsid w:val="001D03A8"/>
    <w:rsid w:val="001F3A8F"/>
    <w:rsid w:val="002008B4"/>
    <w:rsid w:val="00201F24"/>
    <w:rsid w:val="0020701B"/>
    <w:rsid w:val="002127CE"/>
    <w:rsid w:val="002151B5"/>
    <w:rsid w:val="00215842"/>
    <w:rsid w:val="002207DF"/>
    <w:rsid w:val="002218F1"/>
    <w:rsid w:val="00221AC2"/>
    <w:rsid w:val="00227E4B"/>
    <w:rsid w:val="0023015A"/>
    <w:rsid w:val="00236C55"/>
    <w:rsid w:val="0023708A"/>
    <w:rsid w:val="0025022D"/>
    <w:rsid w:val="002530BB"/>
    <w:rsid w:val="002556F3"/>
    <w:rsid w:val="00260EDF"/>
    <w:rsid w:val="00264148"/>
    <w:rsid w:val="00264D7A"/>
    <w:rsid w:val="002722D9"/>
    <w:rsid w:val="00272CEF"/>
    <w:rsid w:val="00273E96"/>
    <w:rsid w:val="00274179"/>
    <w:rsid w:val="00291CBA"/>
    <w:rsid w:val="002B0FD2"/>
    <w:rsid w:val="002C378C"/>
    <w:rsid w:val="002D19BB"/>
    <w:rsid w:val="002D29B9"/>
    <w:rsid w:val="002D2AAF"/>
    <w:rsid w:val="002D7824"/>
    <w:rsid w:val="002E083D"/>
    <w:rsid w:val="002E09AE"/>
    <w:rsid w:val="002E0A68"/>
    <w:rsid w:val="002E3FD5"/>
    <w:rsid w:val="002E7A38"/>
    <w:rsid w:val="002F170D"/>
    <w:rsid w:val="00302763"/>
    <w:rsid w:val="00306516"/>
    <w:rsid w:val="00326972"/>
    <w:rsid w:val="00337FBF"/>
    <w:rsid w:val="00343BCB"/>
    <w:rsid w:val="003469CB"/>
    <w:rsid w:val="00350C8B"/>
    <w:rsid w:val="00351313"/>
    <w:rsid w:val="00353D63"/>
    <w:rsid w:val="00362E92"/>
    <w:rsid w:val="00363331"/>
    <w:rsid w:val="00364F0A"/>
    <w:rsid w:val="00371E14"/>
    <w:rsid w:val="00373208"/>
    <w:rsid w:val="00375C94"/>
    <w:rsid w:val="00383DB3"/>
    <w:rsid w:val="003854B2"/>
    <w:rsid w:val="00385AE6"/>
    <w:rsid w:val="00387C8D"/>
    <w:rsid w:val="00392DD0"/>
    <w:rsid w:val="00393EA7"/>
    <w:rsid w:val="00396BCB"/>
    <w:rsid w:val="00396D7E"/>
    <w:rsid w:val="00397825"/>
    <w:rsid w:val="00397856"/>
    <w:rsid w:val="003A1073"/>
    <w:rsid w:val="003A10F3"/>
    <w:rsid w:val="003A3906"/>
    <w:rsid w:val="003B03A4"/>
    <w:rsid w:val="003C03EA"/>
    <w:rsid w:val="003C10A5"/>
    <w:rsid w:val="003C690C"/>
    <w:rsid w:val="003D4A77"/>
    <w:rsid w:val="003D54D1"/>
    <w:rsid w:val="003E40FA"/>
    <w:rsid w:val="003E478A"/>
    <w:rsid w:val="003E5D90"/>
    <w:rsid w:val="003F24ED"/>
    <w:rsid w:val="003F529E"/>
    <w:rsid w:val="00407CCE"/>
    <w:rsid w:val="00407D92"/>
    <w:rsid w:val="00420B87"/>
    <w:rsid w:val="00426481"/>
    <w:rsid w:val="00431ED1"/>
    <w:rsid w:val="00432966"/>
    <w:rsid w:val="004425F5"/>
    <w:rsid w:val="0045608E"/>
    <w:rsid w:val="0045662F"/>
    <w:rsid w:val="00466959"/>
    <w:rsid w:val="004768FB"/>
    <w:rsid w:val="0047784B"/>
    <w:rsid w:val="00493E50"/>
    <w:rsid w:val="004946F0"/>
    <w:rsid w:val="00494BBF"/>
    <w:rsid w:val="00497C2A"/>
    <w:rsid w:val="004A63BC"/>
    <w:rsid w:val="004B1075"/>
    <w:rsid w:val="004B61CB"/>
    <w:rsid w:val="004C277B"/>
    <w:rsid w:val="004C7930"/>
    <w:rsid w:val="004D05FB"/>
    <w:rsid w:val="004D29C7"/>
    <w:rsid w:val="004D7E34"/>
    <w:rsid w:val="004F0B8A"/>
    <w:rsid w:val="0050388D"/>
    <w:rsid w:val="00504119"/>
    <w:rsid w:val="005065CF"/>
    <w:rsid w:val="00506BB4"/>
    <w:rsid w:val="0050705F"/>
    <w:rsid w:val="005164B3"/>
    <w:rsid w:val="005170D3"/>
    <w:rsid w:val="0052493A"/>
    <w:rsid w:val="0052783E"/>
    <w:rsid w:val="0053143B"/>
    <w:rsid w:val="00535CAF"/>
    <w:rsid w:val="00536054"/>
    <w:rsid w:val="0053654B"/>
    <w:rsid w:val="00536CE1"/>
    <w:rsid w:val="0054180D"/>
    <w:rsid w:val="00545C0F"/>
    <w:rsid w:val="00547B53"/>
    <w:rsid w:val="005515CD"/>
    <w:rsid w:val="00553C77"/>
    <w:rsid w:val="00571D8F"/>
    <w:rsid w:val="0057367D"/>
    <w:rsid w:val="00585BE3"/>
    <w:rsid w:val="0058753D"/>
    <w:rsid w:val="00587F4A"/>
    <w:rsid w:val="0059212D"/>
    <w:rsid w:val="005A5110"/>
    <w:rsid w:val="005B1751"/>
    <w:rsid w:val="005B2B58"/>
    <w:rsid w:val="005C00FA"/>
    <w:rsid w:val="005C2D89"/>
    <w:rsid w:val="005C485B"/>
    <w:rsid w:val="005D39D7"/>
    <w:rsid w:val="005D5956"/>
    <w:rsid w:val="005D6982"/>
    <w:rsid w:val="005D6F63"/>
    <w:rsid w:val="005F2CDF"/>
    <w:rsid w:val="005F4848"/>
    <w:rsid w:val="00616E46"/>
    <w:rsid w:val="0062008C"/>
    <w:rsid w:val="00620797"/>
    <w:rsid w:val="00623DF4"/>
    <w:rsid w:val="00626494"/>
    <w:rsid w:val="00634A37"/>
    <w:rsid w:val="00641DE2"/>
    <w:rsid w:val="0064332A"/>
    <w:rsid w:val="00643384"/>
    <w:rsid w:val="00653C35"/>
    <w:rsid w:val="0065406F"/>
    <w:rsid w:val="006563CA"/>
    <w:rsid w:val="00663EC4"/>
    <w:rsid w:val="00672F50"/>
    <w:rsid w:val="00677C5F"/>
    <w:rsid w:val="00680BE7"/>
    <w:rsid w:val="00682589"/>
    <w:rsid w:val="006A0BC7"/>
    <w:rsid w:val="006B1C9A"/>
    <w:rsid w:val="006B7CD8"/>
    <w:rsid w:val="006C0062"/>
    <w:rsid w:val="006C097E"/>
    <w:rsid w:val="006C0A4D"/>
    <w:rsid w:val="006C2DC3"/>
    <w:rsid w:val="006D0439"/>
    <w:rsid w:val="006D0BFC"/>
    <w:rsid w:val="006D24F5"/>
    <w:rsid w:val="006D2601"/>
    <w:rsid w:val="006D3364"/>
    <w:rsid w:val="006D42EC"/>
    <w:rsid w:val="006E1EBE"/>
    <w:rsid w:val="006E5483"/>
    <w:rsid w:val="00704B7D"/>
    <w:rsid w:val="00711414"/>
    <w:rsid w:val="00725453"/>
    <w:rsid w:val="007263DC"/>
    <w:rsid w:val="00726F12"/>
    <w:rsid w:val="00730DA0"/>
    <w:rsid w:val="00731796"/>
    <w:rsid w:val="00734DB3"/>
    <w:rsid w:val="00737591"/>
    <w:rsid w:val="007438F2"/>
    <w:rsid w:val="00744E74"/>
    <w:rsid w:val="00755C3D"/>
    <w:rsid w:val="007576EF"/>
    <w:rsid w:val="00760677"/>
    <w:rsid w:val="00761C12"/>
    <w:rsid w:val="00763B81"/>
    <w:rsid w:val="007658BA"/>
    <w:rsid w:val="00776CF4"/>
    <w:rsid w:val="00777E63"/>
    <w:rsid w:val="007832D3"/>
    <w:rsid w:val="00784F89"/>
    <w:rsid w:val="00786336"/>
    <w:rsid w:val="007951D6"/>
    <w:rsid w:val="007A0E7F"/>
    <w:rsid w:val="007A2059"/>
    <w:rsid w:val="007A4378"/>
    <w:rsid w:val="007C1F31"/>
    <w:rsid w:val="007C501A"/>
    <w:rsid w:val="007C5CE9"/>
    <w:rsid w:val="007D39CC"/>
    <w:rsid w:val="007D6AAF"/>
    <w:rsid w:val="007E29F8"/>
    <w:rsid w:val="007E5A11"/>
    <w:rsid w:val="007E73E6"/>
    <w:rsid w:val="007F1954"/>
    <w:rsid w:val="007F21D7"/>
    <w:rsid w:val="008026DE"/>
    <w:rsid w:val="008054F7"/>
    <w:rsid w:val="008057F8"/>
    <w:rsid w:val="00811910"/>
    <w:rsid w:val="00812C91"/>
    <w:rsid w:val="008213F9"/>
    <w:rsid w:val="008307E1"/>
    <w:rsid w:val="00836D62"/>
    <w:rsid w:val="00844524"/>
    <w:rsid w:val="0084512E"/>
    <w:rsid w:val="008515C7"/>
    <w:rsid w:val="008624DF"/>
    <w:rsid w:val="00866CE0"/>
    <w:rsid w:val="00867160"/>
    <w:rsid w:val="0087205B"/>
    <w:rsid w:val="00872B3F"/>
    <w:rsid w:val="00874FB8"/>
    <w:rsid w:val="00881B8A"/>
    <w:rsid w:val="00893D5A"/>
    <w:rsid w:val="00895669"/>
    <w:rsid w:val="00896A69"/>
    <w:rsid w:val="00897946"/>
    <w:rsid w:val="008A019E"/>
    <w:rsid w:val="008A0BD0"/>
    <w:rsid w:val="008A3276"/>
    <w:rsid w:val="008A3447"/>
    <w:rsid w:val="008A7E5F"/>
    <w:rsid w:val="008B3035"/>
    <w:rsid w:val="008B6C78"/>
    <w:rsid w:val="008C00AB"/>
    <w:rsid w:val="008C3A0F"/>
    <w:rsid w:val="008C734C"/>
    <w:rsid w:val="008D34E8"/>
    <w:rsid w:val="008D7360"/>
    <w:rsid w:val="008E0946"/>
    <w:rsid w:val="008E255F"/>
    <w:rsid w:val="008E4BF2"/>
    <w:rsid w:val="008F2EA0"/>
    <w:rsid w:val="008F4CBD"/>
    <w:rsid w:val="009017AD"/>
    <w:rsid w:val="00901BED"/>
    <w:rsid w:val="00905735"/>
    <w:rsid w:val="009131B9"/>
    <w:rsid w:val="0091409C"/>
    <w:rsid w:val="00933D5D"/>
    <w:rsid w:val="00935805"/>
    <w:rsid w:val="009368F3"/>
    <w:rsid w:val="00947C42"/>
    <w:rsid w:val="00950489"/>
    <w:rsid w:val="00957DE9"/>
    <w:rsid w:val="009616F7"/>
    <w:rsid w:val="00965A44"/>
    <w:rsid w:val="00967290"/>
    <w:rsid w:val="00967D7C"/>
    <w:rsid w:val="009757AD"/>
    <w:rsid w:val="00980B6A"/>
    <w:rsid w:val="009818F9"/>
    <w:rsid w:val="00983248"/>
    <w:rsid w:val="0098618F"/>
    <w:rsid w:val="00987C32"/>
    <w:rsid w:val="00991646"/>
    <w:rsid w:val="0099448B"/>
    <w:rsid w:val="00996FBB"/>
    <w:rsid w:val="00997347"/>
    <w:rsid w:val="009A31C1"/>
    <w:rsid w:val="009B19CE"/>
    <w:rsid w:val="009B37B2"/>
    <w:rsid w:val="009C1126"/>
    <w:rsid w:val="009C202F"/>
    <w:rsid w:val="009C2D2E"/>
    <w:rsid w:val="009C77F7"/>
    <w:rsid w:val="009E48F1"/>
    <w:rsid w:val="009E5898"/>
    <w:rsid w:val="009E5ABC"/>
    <w:rsid w:val="009E5B9C"/>
    <w:rsid w:val="009F261C"/>
    <w:rsid w:val="009F2C6B"/>
    <w:rsid w:val="009F4ED1"/>
    <w:rsid w:val="00A00D71"/>
    <w:rsid w:val="00A00EDF"/>
    <w:rsid w:val="00A05BFB"/>
    <w:rsid w:val="00A109FF"/>
    <w:rsid w:val="00A204E8"/>
    <w:rsid w:val="00A26A17"/>
    <w:rsid w:val="00A30169"/>
    <w:rsid w:val="00A312A3"/>
    <w:rsid w:val="00A33D9F"/>
    <w:rsid w:val="00A37229"/>
    <w:rsid w:val="00A41763"/>
    <w:rsid w:val="00A418C9"/>
    <w:rsid w:val="00A43329"/>
    <w:rsid w:val="00A62EDE"/>
    <w:rsid w:val="00A72AA8"/>
    <w:rsid w:val="00A74C9B"/>
    <w:rsid w:val="00A874E4"/>
    <w:rsid w:val="00A91EFA"/>
    <w:rsid w:val="00A93478"/>
    <w:rsid w:val="00A97FE7"/>
    <w:rsid w:val="00AA3D91"/>
    <w:rsid w:val="00AA3FD0"/>
    <w:rsid w:val="00AA46CA"/>
    <w:rsid w:val="00AA7EFA"/>
    <w:rsid w:val="00AB61B3"/>
    <w:rsid w:val="00AC2DE3"/>
    <w:rsid w:val="00AC323A"/>
    <w:rsid w:val="00AD6357"/>
    <w:rsid w:val="00AD7F81"/>
    <w:rsid w:val="00AE0388"/>
    <w:rsid w:val="00AE206B"/>
    <w:rsid w:val="00AE2208"/>
    <w:rsid w:val="00AE2FE2"/>
    <w:rsid w:val="00AE4CA9"/>
    <w:rsid w:val="00AE522B"/>
    <w:rsid w:val="00AF367D"/>
    <w:rsid w:val="00AF45FD"/>
    <w:rsid w:val="00B01332"/>
    <w:rsid w:val="00B01AFB"/>
    <w:rsid w:val="00B05783"/>
    <w:rsid w:val="00B11DF1"/>
    <w:rsid w:val="00B15112"/>
    <w:rsid w:val="00B22745"/>
    <w:rsid w:val="00B2386E"/>
    <w:rsid w:val="00B35E2A"/>
    <w:rsid w:val="00B37FBB"/>
    <w:rsid w:val="00B4263D"/>
    <w:rsid w:val="00B558FE"/>
    <w:rsid w:val="00B56F49"/>
    <w:rsid w:val="00B604E3"/>
    <w:rsid w:val="00B65F19"/>
    <w:rsid w:val="00B72687"/>
    <w:rsid w:val="00B73199"/>
    <w:rsid w:val="00B73BE3"/>
    <w:rsid w:val="00B7442A"/>
    <w:rsid w:val="00B76418"/>
    <w:rsid w:val="00B97002"/>
    <w:rsid w:val="00BB2F70"/>
    <w:rsid w:val="00BB57ED"/>
    <w:rsid w:val="00BB6CF4"/>
    <w:rsid w:val="00BC14C3"/>
    <w:rsid w:val="00BC1ABE"/>
    <w:rsid w:val="00BC7660"/>
    <w:rsid w:val="00BD0F04"/>
    <w:rsid w:val="00BD2F20"/>
    <w:rsid w:val="00BD4F62"/>
    <w:rsid w:val="00BE4AFD"/>
    <w:rsid w:val="00BE566C"/>
    <w:rsid w:val="00BF348B"/>
    <w:rsid w:val="00BF443C"/>
    <w:rsid w:val="00C00590"/>
    <w:rsid w:val="00C04647"/>
    <w:rsid w:val="00C058CF"/>
    <w:rsid w:val="00C12551"/>
    <w:rsid w:val="00C211CD"/>
    <w:rsid w:val="00C25328"/>
    <w:rsid w:val="00C313D1"/>
    <w:rsid w:val="00C3744D"/>
    <w:rsid w:val="00C43A84"/>
    <w:rsid w:val="00C50653"/>
    <w:rsid w:val="00C64137"/>
    <w:rsid w:val="00C658E4"/>
    <w:rsid w:val="00C711A2"/>
    <w:rsid w:val="00C7266E"/>
    <w:rsid w:val="00C76C66"/>
    <w:rsid w:val="00C771C6"/>
    <w:rsid w:val="00C82DF9"/>
    <w:rsid w:val="00C8494B"/>
    <w:rsid w:val="00C87190"/>
    <w:rsid w:val="00C91033"/>
    <w:rsid w:val="00CA1564"/>
    <w:rsid w:val="00CA6215"/>
    <w:rsid w:val="00CA7C8A"/>
    <w:rsid w:val="00CB1650"/>
    <w:rsid w:val="00CB180D"/>
    <w:rsid w:val="00CB44E8"/>
    <w:rsid w:val="00CB6D46"/>
    <w:rsid w:val="00CB7978"/>
    <w:rsid w:val="00CC1D12"/>
    <w:rsid w:val="00CC64B9"/>
    <w:rsid w:val="00CE42E9"/>
    <w:rsid w:val="00CE5C74"/>
    <w:rsid w:val="00CE7EDD"/>
    <w:rsid w:val="00D001E4"/>
    <w:rsid w:val="00D00AA8"/>
    <w:rsid w:val="00D02778"/>
    <w:rsid w:val="00D13E84"/>
    <w:rsid w:val="00D20533"/>
    <w:rsid w:val="00D300F4"/>
    <w:rsid w:val="00D3344B"/>
    <w:rsid w:val="00D36855"/>
    <w:rsid w:val="00D40175"/>
    <w:rsid w:val="00D47EC1"/>
    <w:rsid w:val="00D52789"/>
    <w:rsid w:val="00D55243"/>
    <w:rsid w:val="00D56E32"/>
    <w:rsid w:val="00D6223F"/>
    <w:rsid w:val="00D62C8E"/>
    <w:rsid w:val="00D62F90"/>
    <w:rsid w:val="00D63E74"/>
    <w:rsid w:val="00D715C4"/>
    <w:rsid w:val="00D854D8"/>
    <w:rsid w:val="00D928FD"/>
    <w:rsid w:val="00D939C2"/>
    <w:rsid w:val="00D96F87"/>
    <w:rsid w:val="00DA1610"/>
    <w:rsid w:val="00DA50A7"/>
    <w:rsid w:val="00DA5469"/>
    <w:rsid w:val="00DA602A"/>
    <w:rsid w:val="00DB0E41"/>
    <w:rsid w:val="00DC79E3"/>
    <w:rsid w:val="00DD51E0"/>
    <w:rsid w:val="00DD51E1"/>
    <w:rsid w:val="00DE2D54"/>
    <w:rsid w:val="00DE3AC7"/>
    <w:rsid w:val="00DE4A2E"/>
    <w:rsid w:val="00DE6E55"/>
    <w:rsid w:val="00E02BB0"/>
    <w:rsid w:val="00E037DD"/>
    <w:rsid w:val="00E03CE6"/>
    <w:rsid w:val="00E13716"/>
    <w:rsid w:val="00E162BC"/>
    <w:rsid w:val="00E23CC7"/>
    <w:rsid w:val="00E266FF"/>
    <w:rsid w:val="00E27471"/>
    <w:rsid w:val="00E27661"/>
    <w:rsid w:val="00E27673"/>
    <w:rsid w:val="00E443C0"/>
    <w:rsid w:val="00E454C9"/>
    <w:rsid w:val="00E46391"/>
    <w:rsid w:val="00E47DB3"/>
    <w:rsid w:val="00E50040"/>
    <w:rsid w:val="00E509A9"/>
    <w:rsid w:val="00E51F8B"/>
    <w:rsid w:val="00E5242A"/>
    <w:rsid w:val="00E53398"/>
    <w:rsid w:val="00E57072"/>
    <w:rsid w:val="00E66AE2"/>
    <w:rsid w:val="00E74DA4"/>
    <w:rsid w:val="00E81B89"/>
    <w:rsid w:val="00E91432"/>
    <w:rsid w:val="00E91B5A"/>
    <w:rsid w:val="00E9616B"/>
    <w:rsid w:val="00EA1C25"/>
    <w:rsid w:val="00EA5684"/>
    <w:rsid w:val="00EA5D78"/>
    <w:rsid w:val="00EB6047"/>
    <w:rsid w:val="00EC3B14"/>
    <w:rsid w:val="00EC7B91"/>
    <w:rsid w:val="00ED6E45"/>
    <w:rsid w:val="00EE2CAF"/>
    <w:rsid w:val="00EE43E4"/>
    <w:rsid w:val="00EF25DC"/>
    <w:rsid w:val="00EF27F3"/>
    <w:rsid w:val="00F001EA"/>
    <w:rsid w:val="00F046F0"/>
    <w:rsid w:val="00F056C3"/>
    <w:rsid w:val="00F1446D"/>
    <w:rsid w:val="00F16B90"/>
    <w:rsid w:val="00F302D0"/>
    <w:rsid w:val="00F34F19"/>
    <w:rsid w:val="00F3618A"/>
    <w:rsid w:val="00F41A59"/>
    <w:rsid w:val="00F44A21"/>
    <w:rsid w:val="00F575F0"/>
    <w:rsid w:val="00F65374"/>
    <w:rsid w:val="00F6664C"/>
    <w:rsid w:val="00F73487"/>
    <w:rsid w:val="00F750E7"/>
    <w:rsid w:val="00F80AF1"/>
    <w:rsid w:val="00F8298C"/>
    <w:rsid w:val="00F873F8"/>
    <w:rsid w:val="00F90245"/>
    <w:rsid w:val="00F92003"/>
    <w:rsid w:val="00F920D9"/>
    <w:rsid w:val="00F94781"/>
    <w:rsid w:val="00FA0592"/>
    <w:rsid w:val="00FA5388"/>
    <w:rsid w:val="00FA5ADE"/>
    <w:rsid w:val="00FB08E3"/>
    <w:rsid w:val="00FB284C"/>
    <w:rsid w:val="00FB6BF3"/>
    <w:rsid w:val="00FD397B"/>
    <w:rsid w:val="00FD4B01"/>
    <w:rsid w:val="00FD52F2"/>
    <w:rsid w:val="00FD7CDC"/>
    <w:rsid w:val="00FE11D2"/>
    <w:rsid w:val="00FE2197"/>
    <w:rsid w:val="00FE58E0"/>
    <w:rsid w:val="00FE6264"/>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469C97"/>
  <w15:docId w15:val="{6B9BC951-D444-4BE5-865B-A1983B57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EA5684"/>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EA5684"/>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C91033"/>
    <w:pPr>
      <w:ind w:left="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3E478A"/>
    <w:pPr>
      <w:spacing w:after="0" w:line="240" w:lineRule="atLeast"/>
      <w:contextualSpacing/>
    </w:pPr>
    <w:rPr>
      <w:sz w:val="18"/>
    </w:rPr>
  </w:style>
  <w:style w:type="character" w:customStyle="1" w:styleId="FootnoteTextChar">
    <w:name w:val="Footnote Text Char"/>
    <w:basedOn w:val="DefaultParagraphFont"/>
    <w:link w:val="FootnoteText"/>
    <w:uiPriority w:val="99"/>
    <w:rsid w:val="003E478A"/>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4A63BC"/>
    <w:rPr>
      <w:sz w:val="16"/>
      <w:szCs w:val="16"/>
    </w:rPr>
  </w:style>
  <w:style w:type="paragraph" w:styleId="CommentText">
    <w:name w:val="annotation text"/>
    <w:basedOn w:val="Normal"/>
    <w:link w:val="CommentTextChar"/>
    <w:uiPriority w:val="99"/>
    <w:unhideWhenUsed/>
    <w:locked/>
    <w:rsid w:val="004A63BC"/>
    <w:pPr>
      <w:spacing w:line="240" w:lineRule="auto"/>
    </w:pPr>
    <w:rPr>
      <w:sz w:val="20"/>
      <w:szCs w:val="20"/>
    </w:rPr>
  </w:style>
  <w:style w:type="character" w:customStyle="1" w:styleId="CommentTextChar">
    <w:name w:val="Comment Text Char"/>
    <w:basedOn w:val="DefaultParagraphFont"/>
    <w:link w:val="CommentText"/>
    <w:uiPriority w:val="99"/>
    <w:rsid w:val="004A63BC"/>
    <w:rPr>
      <w:sz w:val="20"/>
      <w:szCs w:val="20"/>
    </w:rPr>
  </w:style>
  <w:style w:type="paragraph" w:styleId="CommentSubject">
    <w:name w:val="annotation subject"/>
    <w:basedOn w:val="CommentText"/>
    <w:next w:val="CommentText"/>
    <w:link w:val="CommentSubjectChar"/>
    <w:uiPriority w:val="99"/>
    <w:semiHidden/>
    <w:unhideWhenUsed/>
    <w:locked/>
    <w:rsid w:val="004A63BC"/>
    <w:rPr>
      <w:b/>
      <w:bCs/>
    </w:rPr>
  </w:style>
  <w:style w:type="character" w:customStyle="1" w:styleId="CommentSubjectChar">
    <w:name w:val="Comment Subject Char"/>
    <w:basedOn w:val="CommentTextChar"/>
    <w:link w:val="CommentSubject"/>
    <w:uiPriority w:val="99"/>
    <w:semiHidden/>
    <w:rsid w:val="004A63BC"/>
    <w:rPr>
      <w:b/>
      <w:bCs/>
      <w:sz w:val="20"/>
      <w:szCs w:val="20"/>
    </w:rPr>
  </w:style>
  <w:style w:type="character" w:styleId="FollowedHyperlink">
    <w:name w:val="FollowedHyperlink"/>
    <w:basedOn w:val="DefaultParagraphFont"/>
    <w:uiPriority w:val="99"/>
    <w:semiHidden/>
    <w:unhideWhenUsed/>
    <w:locked/>
    <w:rsid w:val="003E478A"/>
    <w:rPr>
      <w:color w:val="5D9732" w:themeColor="followedHyperlink"/>
      <w:u w:val="single"/>
    </w:rPr>
  </w:style>
  <w:style w:type="paragraph" w:customStyle="1" w:styleId="resulttext">
    <w:name w:val="resulttext"/>
    <w:basedOn w:val="Normal"/>
    <w:rsid w:val="009B37B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72B3F"/>
    <w:pPr>
      <w:spacing w:after="0"/>
    </w:pPr>
  </w:style>
  <w:style w:type="paragraph" w:styleId="HTMLPreformatted">
    <w:name w:val="HTML Preformatted"/>
    <w:basedOn w:val="Normal"/>
    <w:link w:val="HTMLPreformattedChar"/>
    <w:uiPriority w:val="99"/>
    <w:unhideWhenUsed/>
    <w:locked/>
    <w:rsid w:val="000E1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E16CA"/>
    <w:rPr>
      <w:rFonts w:ascii="Courier New" w:hAnsi="Courier New" w:cs="Courier New"/>
      <w:sz w:val="20"/>
      <w:szCs w:val="20"/>
    </w:rPr>
  </w:style>
  <w:style w:type="character" w:styleId="UnresolvedMention">
    <w:name w:val="Unresolved Mention"/>
    <w:basedOn w:val="DefaultParagraphFont"/>
    <w:uiPriority w:val="99"/>
    <w:semiHidden/>
    <w:unhideWhenUsed/>
    <w:rsid w:val="00FA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yperlink" Target="https://www.federalregister.gov/documents/2022/08/30/2022-18635/extension-of-a-currently-approved-information-collection-for-the-weatherization-assistance-program" TargetMode="Externa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3.htm" TargetMode="External" /><Relationship Id="rId2" Type="http://schemas.openxmlformats.org/officeDocument/2006/relationships/hyperlink" Target="https://www.opm.gov/policy-data-oversight/pay-leave/salaries-wages/salary-tables/pdf/2022/DCB_h.pdf" TargetMode="Externa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415B67-11EA-4DAA-B83E-AF292763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 for Historic Preservation for Energy Efficiency Programs</vt:lpstr>
    </vt:vector>
  </TitlesOfParts>
  <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Historic Preservation for Energy Efficiency Programs</dc:title>
  <dc:subject>Improving the Quality and Scope of EIA Data</dc:subject>
  <dc:creator>Valued DOE Employee</dc:creator>
  <cp:lastModifiedBy>Freeman, Yohanna</cp:lastModifiedBy>
  <cp:revision>18</cp:revision>
  <cp:lastPrinted>2019-08-05T15:49:00Z</cp:lastPrinted>
  <dcterms:created xsi:type="dcterms:W3CDTF">2022-11-17T20:47:00Z</dcterms:created>
  <dcterms:modified xsi:type="dcterms:W3CDTF">2023-02-28T19:09:00Z</dcterms:modified>
</cp:coreProperties>
</file>