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645B8" w:rsidRPr="00C12EA2" w:rsidP="007A01E7" w14:paraId="6D881B66" w14:textId="645396D7">
      <w:pPr>
        <w:pStyle w:val="Title"/>
      </w:pPr>
      <w:bookmarkStart w:id="0" w:name="_Toc49148152"/>
      <w:r w:rsidRPr="00C12EA2">
        <w:t>Supporting Statement for a</w:t>
      </w:r>
      <w:r w:rsidR="009505AD">
        <w:t>n</w:t>
      </w:r>
      <w:r w:rsidRPr="00C12EA2">
        <w:t xml:space="preserve"> Information Collection Request (ICR) </w:t>
      </w:r>
    </w:p>
    <w:p w:rsidR="005645B8" w:rsidP="007A01E7" w14:paraId="19900C7F" w14:textId="48571761">
      <w:pPr>
        <w:pStyle w:val="Title"/>
      </w:pPr>
      <w:r w:rsidRPr="00C12EA2">
        <w:t>Under the Paperwork Reduction Act (PRA)</w:t>
      </w:r>
    </w:p>
    <w:p w:rsidR="005645B8" w:rsidRPr="00534AA1" w:rsidP="007A01E7" w14:paraId="0BF5219B" w14:textId="77777777">
      <w:pPr>
        <w:pStyle w:val="Heading1"/>
      </w:pPr>
      <w:r w:rsidRPr="00534AA1">
        <w:t>EXECUTIVE SUMMARY</w:t>
      </w:r>
      <w:bookmarkEnd w:id="0"/>
    </w:p>
    <w:p w:rsidR="005645B8" w:rsidRPr="002059F4" w:rsidP="002059F4" w14:paraId="5616E8D6" w14:textId="03BDFD68">
      <w:pPr>
        <w:pStyle w:val="Heading3"/>
        <w:numPr>
          <w:ilvl w:val="0"/>
          <w:numId w:val="0"/>
        </w:numPr>
      </w:pPr>
      <w:bookmarkStart w:id="1" w:name="_Toc49148153"/>
      <w:r w:rsidRPr="002059F4">
        <w:t>Identification of the Information Collection – Title and Numbers</w:t>
      </w:r>
      <w:bookmarkEnd w:id="1"/>
    </w:p>
    <w:p w:rsidR="005645B8" w:rsidRPr="007C207E" w:rsidP="009505AD" w14:paraId="47EF360E" w14:textId="5C9EDD87">
      <w:pPr>
        <w:pStyle w:val="NoSpacing"/>
        <w:spacing w:after="120"/>
        <w:rPr>
          <w:rFonts w:ascii="Arial" w:hAnsi="Arial" w:cs="Arial"/>
          <w:sz w:val="24"/>
          <w:szCs w:val="24"/>
        </w:rPr>
      </w:pPr>
      <w:r>
        <w:rPr>
          <w:rFonts w:ascii="Arial" w:hAnsi="Arial" w:cs="Arial"/>
          <w:sz w:val="24"/>
          <w:szCs w:val="24"/>
        </w:rPr>
        <w:tab/>
      </w:r>
      <w:r w:rsidRPr="007C207E">
        <w:rPr>
          <w:rFonts w:ascii="Arial" w:hAnsi="Arial" w:cs="Arial"/>
          <w:b/>
          <w:sz w:val="24"/>
          <w:szCs w:val="24"/>
        </w:rPr>
        <w:t xml:space="preserve">Title: </w:t>
      </w:r>
      <w:r w:rsidRPr="00193743" w:rsidR="007C207E">
        <w:rPr>
          <w:rFonts w:ascii="Arial" w:eastAsia="Times New Roman" w:hAnsi="Arial" w:cs="Arial"/>
          <w:noProof/>
          <w:sz w:val="24"/>
          <w:szCs w:val="24"/>
        </w:rPr>
        <w:t>Chemical Data Reporting under the Toxic Substances Control Act (TSCA</w:t>
      </w:r>
      <w:r w:rsidR="009F5B0C">
        <w:rPr>
          <w:rFonts w:ascii="Arial" w:eastAsia="Times New Roman" w:hAnsi="Arial" w:cs="Arial"/>
          <w:noProof/>
          <w:sz w:val="24"/>
          <w:szCs w:val="24"/>
        </w:rPr>
        <w:t>)</w:t>
      </w:r>
    </w:p>
    <w:p w:rsidR="009505AD" w:rsidP="005645B8" w14:paraId="1968D082" w14:textId="5B0D67B5">
      <w:pPr>
        <w:pStyle w:val="NoSpacing"/>
        <w:spacing w:after="120"/>
        <w:rPr>
          <w:rFonts w:ascii="Arial" w:hAnsi="Arial" w:cs="Arial"/>
          <w:sz w:val="24"/>
          <w:szCs w:val="24"/>
        </w:rPr>
      </w:pPr>
      <w:r>
        <w:rPr>
          <w:rFonts w:ascii="Arial" w:hAnsi="Arial" w:cs="Arial"/>
          <w:sz w:val="24"/>
          <w:szCs w:val="24"/>
        </w:rPr>
        <w:tab/>
      </w:r>
      <w:r w:rsidRPr="009505AD">
        <w:rPr>
          <w:rFonts w:ascii="Arial" w:hAnsi="Arial" w:cs="Arial"/>
          <w:b/>
          <w:bCs/>
          <w:sz w:val="24"/>
          <w:szCs w:val="24"/>
        </w:rPr>
        <w:t xml:space="preserve">EPA </w:t>
      </w:r>
      <w:r w:rsidRPr="009505AD">
        <w:rPr>
          <w:rFonts w:ascii="Arial" w:hAnsi="Arial" w:cs="Arial"/>
          <w:b/>
          <w:bCs/>
          <w:sz w:val="24"/>
          <w:szCs w:val="24"/>
        </w:rPr>
        <w:t>ICR N</w:t>
      </w:r>
      <w:r w:rsidRPr="009505AD">
        <w:rPr>
          <w:rFonts w:ascii="Arial" w:hAnsi="Arial" w:cs="Arial"/>
          <w:b/>
          <w:bCs/>
          <w:sz w:val="24"/>
          <w:szCs w:val="24"/>
        </w:rPr>
        <w:t>o</w:t>
      </w:r>
      <w:r>
        <w:rPr>
          <w:rFonts w:ascii="Arial" w:hAnsi="Arial" w:cs="Arial"/>
          <w:b/>
          <w:bCs/>
          <w:sz w:val="24"/>
          <w:szCs w:val="24"/>
        </w:rPr>
        <w:t>.</w:t>
      </w:r>
      <w:r w:rsidRPr="009505AD">
        <w:rPr>
          <w:rFonts w:ascii="Arial" w:hAnsi="Arial" w:cs="Arial"/>
          <w:b/>
          <w:bCs/>
          <w:sz w:val="24"/>
          <w:szCs w:val="24"/>
        </w:rPr>
        <w:t>:</w:t>
      </w:r>
      <w:r w:rsidRPr="1087B227">
        <w:rPr>
          <w:rFonts w:ascii="Arial" w:hAnsi="Arial" w:cs="Arial"/>
          <w:b/>
          <w:bCs/>
          <w:sz w:val="24"/>
          <w:szCs w:val="24"/>
        </w:rPr>
        <w:t xml:space="preserve"> </w:t>
      </w:r>
      <w:r w:rsidR="007C207E">
        <w:rPr>
          <w:rFonts w:ascii="Arial" w:hAnsi="Arial" w:cs="Arial"/>
          <w:sz w:val="24"/>
          <w:szCs w:val="24"/>
        </w:rPr>
        <w:t>1884.15</w:t>
      </w:r>
    </w:p>
    <w:p w:rsidR="005645B8" w:rsidP="005645B8" w14:paraId="3EF98889" w14:textId="0C581466">
      <w:pPr>
        <w:pStyle w:val="NoSpacing"/>
        <w:spacing w:after="120"/>
        <w:rPr>
          <w:rFonts w:ascii="Arial" w:hAnsi="Arial" w:cs="Arial"/>
          <w:sz w:val="24"/>
          <w:szCs w:val="24"/>
        </w:rPr>
      </w:pPr>
      <w:r>
        <w:rPr>
          <w:rFonts w:ascii="Arial" w:hAnsi="Arial" w:cs="Arial"/>
          <w:sz w:val="24"/>
          <w:szCs w:val="24"/>
        </w:rPr>
        <w:tab/>
      </w:r>
      <w:r w:rsidRPr="009505AD">
        <w:rPr>
          <w:rFonts w:ascii="Arial" w:hAnsi="Arial" w:cs="Arial"/>
          <w:b/>
          <w:bCs/>
          <w:sz w:val="24"/>
          <w:szCs w:val="24"/>
        </w:rPr>
        <w:t>OMB Control No.:</w:t>
      </w:r>
      <w:r>
        <w:rPr>
          <w:rFonts w:ascii="Arial" w:hAnsi="Arial" w:cs="Arial"/>
          <w:sz w:val="24"/>
          <w:szCs w:val="24"/>
        </w:rPr>
        <w:t xml:space="preserve"> </w:t>
      </w:r>
      <w:r w:rsidR="007C207E">
        <w:rPr>
          <w:rFonts w:ascii="Arial" w:hAnsi="Arial" w:cs="Arial"/>
          <w:sz w:val="24"/>
          <w:szCs w:val="24"/>
        </w:rPr>
        <w:t>2070-0162</w:t>
      </w:r>
    </w:p>
    <w:p w:rsidR="005645B8" w:rsidRPr="00C12EA2" w:rsidP="005645B8" w14:paraId="05F7B442" w14:textId="7724B0DE">
      <w:pPr>
        <w:pStyle w:val="NoSpacing"/>
        <w:spacing w:after="120"/>
        <w:rPr>
          <w:rFonts w:ascii="Arial" w:hAnsi="Arial" w:cs="Arial"/>
          <w:sz w:val="24"/>
          <w:szCs w:val="24"/>
        </w:rPr>
      </w:pPr>
      <w:r>
        <w:rPr>
          <w:rFonts w:ascii="Arial" w:hAnsi="Arial" w:cs="Arial"/>
          <w:sz w:val="24"/>
          <w:szCs w:val="24"/>
        </w:rPr>
        <w:tab/>
      </w:r>
      <w:r>
        <w:rPr>
          <w:rFonts w:ascii="Arial" w:hAnsi="Arial" w:cs="Arial"/>
          <w:b/>
          <w:sz w:val="24"/>
          <w:szCs w:val="24"/>
        </w:rPr>
        <w:t xml:space="preserve">Docket ID No.: </w:t>
      </w:r>
      <w:r>
        <w:rPr>
          <w:rFonts w:ascii="Arial" w:hAnsi="Arial" w:cs="Arial"/>
          <w:sz w:val="24"/>
          <w:szCs w:val="24"/>
        </w:rPr>
        <w:t>EPA-HQ-</w:t>
      </w:r>
      <w:r w:rsidR="007C207E">
        <w:rPr>
          <w:rFonts w:ascii="Arial" w:hAnsi="Arial" w:cs="Arial"/>
          <w:sz w:val="24"/>
          <w:szCs w:val="24"/>
        </w:rPr>
        <w:t>OPPT-</w:t>
      </w:r>
      <w:bookmarkStart w:id="2" w:name="_Hlk103068936"/>
      <w:r w:rsidR="007C207E">
        <w:rPr>
          <w:rFonts w:ascii="Arial" w:hAnsi="Arial" w:cs="Arial"/>
          <w:sz w:val="24"/>
          <w:szCs w:val="24"/>
        </w:rPr>
        <w:t>20</w:t>
      </w:r>
      <w:r w:rsidR="00307190">
        <w:rPr>
          <w:rFonts w:ascii="Arial" w:hAnsi="Arial" w:cs="Arial"/>
          <w:sz w:val="24"/>
          <w:szCs w:val="24"/>
        </w:rPr>
        <w:t>13</w:t>
      </w:r>
      <w:r w:rsidR="003C6F38">
        <w:rPr>
          <w:rFonts w:ascii="Arial" w:hAnsi="Arial" w:cs="Arial"/>
          <w:sz w:val="24"/>
          <w:szCs w:val="24"/>
        </w:rPr>
        <w:t>-</w:t>
      </w:r>
      <w:r w:rsidR="00307190">
        <w:rPr>
          <w:rFonts w:ascii="Arial" w:hAnsi="Arial" w:cs="Arial"/>
          <w:sz w:val="24"/>
          <w:szCs w:val="24"/>
        </w:rPr>
        <w:t>0721</w:t>
      </w:r>
      <w:bookmarkEnd w:id="2"/>
    </w:p>
    <w:p w:rsidR="005645B8" w:rsidRPr="00BF52B6" w:rsidP="002059F4" w14:paraId="6A1E128E" w14:textId="352364C1">
      <w:pPr>
        <w:pStyle w:val="Heading3"/>
        <w:numPr>
          <w:ilvl w:val="0"/>
          <w:numId w:val="0"/>
        </w:numPr>
      </w:pPr>
      <w:bookmarkStart w:id="3" w:name="_Toc49148156"/>
      <w:r w:rsidRPr="00483711">
        <w:t>Abstract</w:t>
      </w:r>
      <w:bookmarkEnd w:id="3"/>
    </w:p>
    <w:p w:rsidR="00272700" w:rsidP="005450A1" w14:paraId="5EF29B24" w14:textId="77777777">
      <w:r w:rsidRPr="009533EA">
        <w:t>Th</w:t>
      </w:r>
      <w:r>
        <w:t xml:space="preserve">is </w:t>
      </w:r>
      <w:r w:rsidRPr="009533EA">
        <w:t>information collection request (ICR) addresses the paperwork requirements contained in the most recent Chemical Data Reporting (CDR) rule</w:t>
      </w:r>
      <w:r>
        <w:t xml:space="preserve"> </w:t>
      </w:r>
      <w:r w:rsidRPr="009533EA">
        <w:t>(</w:t>
      </w:r>
      <w:hyperlink r:id="rId10" w:history="1">
        <w:r w:rsidRPr="009F4C2D">
          <w:rPr>
            <w:rStyle w:val="Hyperlink"/>
          </w:rPr>
          <w:t>40 CFR Part 711</w:t>
        </w:r>
      </w:hyperlink>
      <w:r w:rsidRPr="009533EA">
        <w:t>)</w:t>
      </w:r>
      <w:r>
        <w:t xml:space="preserve"> </w:t>
      </w:r>
      <w:r w:rsidRPr="009533EA">
        <w:t xml:space="preserve">under the Toxic Substances Control Act (TSCA). Under TSCA section 8(a) (15 USC 2607), the Environmental Protection Agency (EPA) is authorized to collect certain information on chemical substances manufactured (including imported) or processed in the United States. </w:t>
      </w:r>
      <w:r>
        <w:t>The CDR was</w:t>
      </w:r>
      <w:r w:rsidRPr="009533EA">
        <w:t xml:space="preserve"> formerly known as the Inventory Update Rule (IUR)</w:t>
      </w:r>
      <w:r>
        <w:t>.</w:t>
      </w:r>
      <w:r w:rsidRPr="009533EA">
        <w:t xml:space="preserve"> </w:t>
      </w:r>
    </w:p>
    <w:p w:rsidR="00E041AB" w:rsidP="005450A1" w14:paraId="0ED07498" w14:textId="443D549A">
      <w:r w:rsidRPr="009533EA">
        <w:t>The CDR collection provides chemical manufacture, processing, and use information that helps EPA identify what chemicals the public may be exposed to as consumers or in commercial and industrial settings</w:t>
      </w:r>
      <w:r>
        <w:t>. The data also help EPA</w:t>
      </w:r>
      <w:r w:rsidRPr="009533EA">
        <w:t xml:space="preserve"> assess routes of potential exposure to those chemicals. </w:t>
      </w:r>
      <w:r>
        <w:t>EPA</w:t>
      </w:r>
      <w:r w:rsidRPr="009533EA">
        <w:t xml:space="preserve"> has used the CDR rule to collect basic manufacturing information for selected chemical substances on the TSCA Inventory eight times beginning in 1986. More recent collections, beginning in 2006, included additional information relating to the manufacture, processing, and use of those chemical substances. The reporting requirements have been modified through rulemaking, </w:t>
      </w:r>
      <w:r>
        <w:t>with the most recent major changes occurring</w:t>
      </w:r>
      <w:r w:rsidRPr="009533EA">
        <w:t xml:space="preserve"> in 20</w:t>
      </w:r>
      <w:r w:rsidR="00E6506D">
        <w:t xml:space="preserve">20 </w:t>
      </w:r>
      <w:r w:rsidRPr="009533EA">
        <w:t xml:space="preserve">when EPA promulgated the </w:t>
      </w:r>
      <w:r w:rsidR="006D1012">
        <w:t>TSCA</w:t>
      </w:r>
      <w:r w:rsidR="007854D0">
        <w:t xml:space="preserve"> Chemical </w:t>
      </w:r>
      <w:r w:rsidRPr="0074546E" w:rsidR="007854D0">
        <w:t>Data Reporting</w:t>
      </w:r>
      <w:r w:rsidRPr="0074546E" w:rsidR="00E6506D">
        <w:t xml:space="preserve"> Revisions</w:t>
      </w:r>
      <w:r w:rsidRPr="0074546E">
        <w:t xml:space="preserve"> </w:t>
      </w:r>
      <w:r w:rsidRPr="0074546E" w:rsidR="007854D0">
        <w:t>Under TSCA Section 8(a) r</w:t>
      </w:r>
      <w:r w:rsidRPr="0074546E">
        <w:t>ule (</w:t>
      </w:r>
      <w:r w:rsidRPr="0074546E" w:rsidR="00967DC0">
        <w:t>85</w:t>
      </w:r>
      <w:r w:rsidRPr="0074546E">
        <w:t xml:space="preserve"> FR </w:t>
      </w:r>
      <w:r w:rsidRPr="0074546E" w:rsidR="00967DC0">
        <w:t>20122</w:t>
      </w:r>
      <w:r w:rsidRPr="0074546E">
        <w:t xml:space="preserve">, </w:t>
      </w:r>
      <w:r w:rsidRPr="0074546E" w:rsidR="006D48EE">
        <w:t>April 9</w:t>
      </w:r>
      <w:r w:rsidRPr="0074546E">
        <w:t>, 20</w:t>
      </w:r>
      <w:r w:rsidRPr="0074546E" w:rsidR="006D48EE">
        <w:t>20</w:t>
      </w:r>
      <w:r w:rsidRPr="0074546E">
        <w:t>)</w:t>
      </w:r>
      <w:r w:rsidRPr="0074546E" w:rsidR="006535DF">
        <w:t xml:space="preserve"> and th</w:t>
      </w:r>
      <w:r w:rsidR="006535DF">
        <w:t xml:space="preserve">e </w:t>
      </w:r>
      <w:r w:rsidRPr="00C91AA1" w:rsidR="008C2686">
        <w:t xml:space="preserve">Small Manufacturer Definition Update for Reporting and Recordkeeping Requirements under </w:t>
      </w:r>
      <w:r w:rsidR="008C2686">
        <w:t>the Toxic Substances Control Act (</w:t>
      </w:r>
      <w:r w:rsidRPr="0074546E" w:rsidR="008C2686">
        <w:t>TSCA)</w:t>
      </w:r>
      <w:r w:rsidRPr="0074546E" w:rsidR="00FE68DD">
        <w:t xml:space="preserve"> </w:t>
      </w:r>
      <w:r w:rsidRPr="0074546E" w:rsidR="00317ADE">
        <w:t>S</w:t>
      </w:r>
      <w:r w:rsidRPr="0074546E" w:rsidR="005B14C3">
        <w:t>ection 8(a)</w:t>
      </w:r>
      <w:r w:rsidRPr="0074546E" w:rsidR="005B14C3">
        <w:t xml:space="preserve"> </w:t>
      </w:r>
      <w:r w:rsidRPr="0074546E" w:rsidR="00FE68DD">
        <w:t>(</w:t>
      </w:r>
      <w:r w:rsidRPr="0074546E" w:rsidR="00B915A3">
        <w:t>85</w:t>
      </w:r>
      <w:r w:rsidRPr="0074546E" w:rsidR="00FE68DD">
        <w:t xml:space="preserve"> FR </w:t>
      </w:r>
      <w:r w:rsidRPr="0074546E" w:rsidR="00842BF0">
        <w:t>31986</w:t>
      </w:r>
      <w:r w:rsidRPr="0074546E" w:rsidR="00FE68DD">
        <w:t xml:space="preserve">, </w:t>
      </w:r>
      <w:r w:rsidRPr="0074546E" w:rsidR="00842BF0">
        <w:t>May</w:t>
      </w:r>
      <w:r w:rsidRPr="0074546E" w:rsidR="00FE68DD">
        <w:t xml:space="preserve"> </w:t>
      </w:r>
      <w:r w:rsidRPr="0074546E" w:rsidR="00842BF0">
        <w:t>28</w:t>
      </w:r>
      <w:r w:rsidRPr="0074546E" w:rsidR="00FE68DD">
        <w:t>, 20</w:t>
      </w:r>
      <w:r w:rsidRPr="0074546E" w:rsidR="00842BF0">
        <w:t>20</w:t>
      </w:r>
      <w:r w:rsidRPr="0074546E" w:rsidR="00FE68DD">
        <w:t>)</w:t>
      </w:r>
      <w:r w:rsidRPr="0074546E">
        <w:t>. The 20</w:t>
      </w:r>
      <w:r w:rsidRPr="0074546E" w:rsidR="00E31C2E">
        <w:t>20 CDR Revisions R</w:t>
      </w:r>
      <w:r w:rsidRPr="0074546E">
        <w:t>ule phased in</w:t>
      </w:r>
      <w:r>
        <w:t xml:space="preserve"> some </w:t>
      </w:r>
      <w:r w:rsidRPr="00D23CDC">
        <w:t>provisions; all changes w</w:t>
      </w:r>
      <w:r w:rsidRPr="00D23CDC" w:rsidR="00B76699">
        <w:t>ill be</w:t>
      </w:r>
      <w:r w:rsidRPr="00D23CDC">
        <w:t xml:space="preserve"> fully </w:t>
      </w:r>
      <w:r w:rsidRPr="00D23CDC" w:rsidR="00B76699">
        <w:t>i</w:t>
      </w:r>
      <w:r w:rsidRPr="00D23CDC">
        <w:t>mplemented with the 20</w:t>
      </w:r>
      <w:r w:rsidRPr="00D23CDC" w:rsidR="00B76699">
        <w:t>24</w:t>
      </w:r>
      <w:r w:rsidRPr="00D23CDC">
        <w:t xml:space="preserve"> CDR. The CDR collection is on a four-year reporting cycle and contains detailed manufacturing</w:t>
      </w:r>
      <w:r w:rsidRPr="00D23CDC" w:rsidR="00CB1903">
        <w:t>,</w:t>
      </w:r>
      <w:r w:rsidRPr="00D23CDC">
        <w:t xml:space="preserve"> processing</w:t>
      </w:r>
      <w:r w:rsidRPr="00D23CDC" w:rsidR="00CB1903">
        <w:t>, and use</w:t>
      </w:r>
      <w:r w:rsidRPr="00D23CDC">
        <w:t xml:space="preserve"> information drawn from the principal reporting year; </w:t>
      </w:r>
      <w:r w:rsidRPr="00E2548A" w:rsidR="00243860">
        <w:t xml:space="preserve">as well as </w:t>
      </w:r>
      <w:r w:rsidRPr="00D23CDC">
        <w:t>basic information on production volume, by year, for the three years prior to the principal reporting year</w:t>
      </w:r>
      <w:r w:rsidRPr="00E2548A" w:rsidR="00243860">
        <w:t xml:space="preserve">. </w:t>
      </w:r>
    </w:p>
    <w:p w:rsidR="007C207E" w:rsidP="005450A1" w14:paraId="665514E0" w14:textId="3804FF8B">
      <w:r w:rsidRPr="005450A1">
        <w:t>OPPT</w:t>
      </w:r>
      <w:r>
        <w:t xml:space="preserve"> uses the CDR data in its chemical substance risk-management efforts. Individual sites manufacturing (including importing) chemical substances will submit the required information. The information will be stored electronically for reference by EPA staff and </w:t>
      </w:r>
      <w:r>
        <w:t>others. Within the constraints of confidentiality claims, the information will be made public through the Agency’s website (</w:t>
      </w:r>
      <w:r w:rsidRPr="009142B1" w:rsidR="00676540">
        <w:rPr>
          <w:rStyle w:val="Hyperlink"/>
        </w:rPr>
        <w:t>https://www.epa.gov/chemical-data-reporting</w:t>
      </w:r>
      <w:r>
        <w:t>). Further discussion of how the information is used, stored, and collected is included in this document.</w:t>
      </w:r>
      <w:r>
        <w:tab/>
      </w:r>
    </w:p>
    <w:p w:rsidR="007A01E7" w:rsidP="002059F4" w14:paraId="61F105B4" w14:textId="07B5D911">
      <w:pPr>
        <w:pStyle w:val="Heading3"/>
        <w:numPr>
          <w:ilvl w:val="0"/>
          <w:numId w:val="0"/>
        </w:numPr>
      </w:pPr>
      <w:r>
        <w:t>Summary Total Burden and Costs</w:t>
      </w:r>
    </w:p>
    <w:p w:rsidR="005F06EC" w:rsidP="005645B8" w14:paraId="0F1B2C82" w14:textId="03508C11">
      <w:r>
        <w:t xml:space="preserve">Table </w:t>
      </w:r>
      <w:r w:rsidR="00D60245">
        <w:t>1</w:t>
      </w:r>
      <w:r>
        <w:t xml:space="preserve"> provides the total estimated number of respondents, average burden per response, reporting and recordkeeping burdens, and the corresponding costs for reporting and recordkeeping activities required by this ICR.</w:t>
      </w:r>
    </w:p>
    <w:p w:rsidR="005F06EC" w:rsidP="005645B8" w14:paraId="76DBF509" w14:textId="1689C409">
      <w:pPr>
        <w:rPr>
          <w:b/>
          <w:bCs/>
        </w:rPr>
      </w:pPr>
      <w:r>
        <w:rPr>
          <w:b/>
          <w:bCs/>
        </w:rPr>
        <w:t xml:space="preserve">Table </w:t>
      </w:r>
      <w:r w:rsidR="00D60245">
        <w:rPr>
          <w:b/>
          <w:bCs/>
        </w:rPr>
        <w:t>1</w:t>
      </w:r>
      <w:r>
        <w:rPr>
          <w:b/>
          <w:bCs/>
        </w:rPr>
        <w:t>. Summary Table of Respondent Burden and Cost</w:t>
      </w:r>
    </w:p>
    <w:tbl>
      <w:tblPr>
        <w:tblStyle w:val="TableGrid"/>
        <w:tblW w:w="5000" w:type="pct"/>
        <w:tblLook w:val="04A0"/>
      </w:tblPr>
      <w:tblGrid>
        <w:gridCol w:w="2653"/>
        <w:gridCol w:w="1610"/>
        <w:gridCol w:w="2110"/>
        <w:gridCol w:w="2977"/>
      </w:tblGrid>
      <w:tr w14:paraId="0161617C" w14:textId="77777777" w:rsidTr="00E2548A">
        <w:tblPrEx>
          <w:tblW w:w="5000" w:type="pct"/>
          <w:tblLook w:val="04A0"/>
        </w:tblPrEx>
        <w:tc>
          <w:tcPr>
            <w:tcW w:w="1441" w:type="pct"/>
            <w:vAlign w:val="center"/>
          </w:tcPr>
          <w:p w:rsidR="00A43AB6" w:rsidRPr="00E2548A" w:rsidP="0078762A" w14:paraId="7195C528" w14:textId="66FBACD2">
            <w:pPr>
              <w:rPr>
                <w:rFonts w:cs="Arial"/>
                <w:b/>
                <w:bCs/>
                <w:sz w:val="22"/>
              </w:rPr>
            </w:pPr>
            <w:r w:rsidRPr="00E2548A">
              <w:rPr>
                <w:rFonts w:cs="Arial"/>
                <w:b/>
                <w:bCs/>
                <w:sz w:val="22"/>
              </w:rPr>
              <w:t xml:space="preserve">Information Collection </w:t>
            </w:r>
          </w:p>
        </w:tc>
        <w:tc>
          <w:tcPr>
            <w:tcW w:w="794" w:type="pct"/>
            <w:vAlign w:val="center"/>
          </w:tcPr>
          <w:p w:rsidR="00A43AB6" w:rsidRPr="00E2548A" w:rsidP="006E4C14" w14:paraId="19B98685" w14:textId="305BADCA">
            <w:pPr>
              <w:rPr>
                <w:rFonts w:cs="Arial"/>
                <w:b/>
                <w:bCs/>
                <w:sz w:val="22"/>
              </w:rPr>
            </w:pPr>
            <w:r w:rsidRPr="00E2548A">
              <w:rPr>
                <w:rFonts w:cs="Arial"/>
                <w:b/>
                <w:bCs/>
                <w:sz w:val="22"/>
              </w:rPr>
              <w:t>Number of Respon</w:t>
            </w:r>
            <w:r w:rsidRPr="00E2548A" w:rsidR="00EA52D1">
              <w:rPr>
                <w:rFonts w:cs="Arial"/>
                <w:b/>
                <w:bCs/>
                <w:sz w:val="22"/>
              </w:rPr>
              <w:t>dents</w:t>
            </w:r>
          </w:p>
        </w:tc>
        <w:tc>
          <w:tcPr>
            <w:tcW w:w="1151" w:type="pct"/>
            <w:vAlign w:val="center"/>
          </w:tcPr>
          <w:p w:rsidR="00A43AB6" w:rsidRPr="00E2548A" w14:paraId="7D6A60DF" w14:textId="4826F526">
            <w:pPr>
              <w:rPr>
                <w:rFonts w:cs="Arial"/>
                <w:b/>
                <w:bCs/>
                <w:sz w:val="22"/>
              </w:rPr>
            </w:pPr>
            <w:r w:rsidRPr="00E2548A">
              <w:rPr>
                <w:rFonts w:cs="Arial"/>
                <w:b/>
                <w:bCs/>
                <w:sz w:val="22"/>
              </w:rPr>
              <w:t xml:space="preserve">Average Annual </w:t>
            </w:r>
            <w:r w:rsidRPr="00E2548A">
              <w:rPr>
                <w:rFonts w:cs="Arial"/>
                <w:b/>
                <w:bCs/>
                <w:sz w:val="22"/>
              </w:rPr>
              <w:t xml:space="preserve">Burden Hours </w:t>
            </w:r>
          </w:p>
        </w:tc>
        <w:tc>
          <w:tcPr>
            <w:tcW w:w="1614" w:type="pct"/>
            <w:vAlign w:val="center"/>
          </w:tcPr>
          <w:p w:rsidR="00A43AB6" w:rsidRPr="00E2548A" w14:paraId="751352EE" w14:textId="199799AF">
            <w:pPr>
              <w:rPr>
                <w:rFonts w:cs="Arial"/>
                <w:b/>
                <w:bCs/>
                <w:sz w:val="22"/>
              </w:rPr>
            </w:pPr>
            <w:r w:rsidRPr="00E2548A">
              <w:rPr>
                <w:rFonts w:cs="Arial"/>
                <w:b/>
                <w:bCs/>
                <w:sz w:val="22"/>
              </w:rPr>
              <w:t xml:space="preserve">Average Annual </w:t>
            </w:r>
            <w:r w:rsidRPr="00E2548A">
              <w:rPr>
                <w:rFonts w:cs="Arial"/>
                <w:b/>
                <w:bCs/>
                <w:sz w:val="22"/>
              </w:rPr>
              <w:t xml:space="preserve">Costs </w:t>
            </w:r>
          </w:p>
        </w:tc>
      </w:tr>
      <w:tr w14:paraId="25A66D06" w14:textId="77777777" w:rsidTr="00E2548A">
        <w:tblPrEx>
          <w:tblW w:w="5000" w:type="pct"/>
          <w:tblLook w:val="04A0"/>
        </w:tblPrEx>
        <w:tc>
          <w:tcPr>
            <w:tcW w:w="5000" w:type="pct"/>
            <w:gridSpan w:val="4"/>
            <w:tcBorders>
              <w:top w:val="nil"/>
              <w:left w:val="single" w:sz="4" w:space="0" w:color="auto"/>
              <w:bottom w:val="single" w:sz="4" w:space="0" w:color="auto"/>
              <w:right w:val="single" w:sz="4" w:space="0" w:color="auto"/>
            </w:tcBorders>
            <w:shd w:val="clear" w:color="000000" w:fill="FFFFFF"/>
            <w:vAlign w:val="center"/>
          </w:tcPr>
          <w:p w:rsidR="00BF571F" w:rsidRPr="00E2548A" w14:paraId="0ED1E763" w14:textId="34F2FDCE">
            <w:pPr>
              <w:rPr>
                <w:rFonts w:eastAsia="Times New Roman" w:cs="Arial"/>
                <w:color w:val="000000"/>
                <w:sz w:val="22"/>
              </w:rPr>
            </w:pPr>
            <w:r w:rsidRPr="00E2548A">
              <w:rPr>
                <w:rFonts w:eastAsia="Times New Roman" w:cs="Arial"/>
                <w:b/>
                <w:bCs/>
                <w:color w:val="000000"/>
                <w:sz w:val="22"/>
              </w:rPr>
              <w:t>Form U Submission: Prepare and Submit Report, and Maintain Records</w:t>
            </w:r>
          </w:p>
        </w:tc>
      </w:tr>
      <w:tr w14:paraId="6B688BBA" w14:textId="77777777" w:rsidTr="00E2548A">
        <w:tblPrEx>
          <w:tblW w:w="5000" w:type="pct"/>
          <w:tblLook w:val="04A0"/>
        </w:tblPrEx>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6565BE" w:rsidRPr="00E2548A" w:rsidP="00546FCE" w14:paraId="0FE5909E" w14:textId="7B3BE515">
            <w:pPr>
              <w:rPr>
                <w:rFonts w:cs="Arial"/>
                <w:b/>
                <w:bCs/>
                <w:sz w:val="22"/>
              </w:rPr>
            </w:pPr>
            <w:r w:rsidRPr="00E2548A">
              <w:rPr>
                <w:rFonts w:eastAsia="Times New Roman" w:cs="Arial"/>
                <w:color w:val="000000"/>
                <w:sz w:val="22"/>
              </w:rPr>
              <w:t>Rule Familiarization</w:t>
            </w:r>
          </w:p>
        </w:tc>
        <w:tc>
          <w:tcPr>
            <w:tcW w:w="794" w:type="pct"/>
            <w:vAlign w:val="bottom"/>
          </w:tcPr>
          <w:p w:rsidR="006565BE" w:rsidRPr="00E2548A" w:rsidP="00E2548A" w14:paraId="74E9A436" w14:textId="06E48FE6">
            <w:pPr>
              <w:jc w:val="right"/>
              <w:rPr>
                <w:rFonts w:cs="Arial"/>
                <w:sz w:val="22"/>
              </w:rPr>
            </w:pPr>
            <w:r w:rsidRPr="00E2548A">
              <w:rPr>
                <w:rFonts w:cs="Arial"/>
                <w:sz w:val="22"/>
              </w:rPr>
              <w:t>5460</w:t>
            </w:r>
          </w:p>
        </w:tc>
        <w:tc>
          <w:tcPr>
            <w:tcW w:w="1151" w:type="pct"/>
            <w:tcBorders>
              <w:top w:val="single" w:sz="4" w:space="0" w:color="auto"/>
              <w:left w:val="nil"/>
              <w:bottom w:val="single" w:sz="4" w:space="0" w:color="auto"/>
              <w:right w:val="single" w:sz="4" w:space="0" w:color="auto"/>
            </w:tcBorders>
            <w:shd w:val="clear" w:color="auto" w:fill="auto"/>
            <w:vAlign w:val="bottom"/>
          </w:tcPr>
          <w:p w:rsidR="006565BE" w:rsidRPr="00E2548A" w:rsidP="00E2548A" w14:paraId="424D9468" w14:textId="67EF911C">
            <w:pPr>
              <w:jc w:val="right"/>
              <w:rPr>
                <w:rFonts w:cs="Arial"/>
                <w:sz w:val="22"/>
              </w:rPr>
            </w:pPr>
            <w:r w:rsidRPr="00E2548A">
              <w:rPr>
                <w:rFonts w:eastAsia="Times New Roman" w:cs="Arial"/>
                <w:color w:val="000000"/>
                <w:sz w:val="22"/>
              </w:rPr>
              <w:t>5,395</w:t>
            </w:r>
          </w:p>
        </w:tc>
        <w:tc>
          <w:tcPr>
            <w:tcW w:w="1614" w:type="pct"/>
            <w:tcBorders>
              <w:top w:val="single" w:sz="4" w:space="0" w:color="auto"/>
              <w:left w:val="nil"/>
              <w:bottom w:val="single" w:sz="4" w:space="0" w:color="auto"/>
              <w:right w:val="single" w:sz="4" w:space="0" w:color="auto"/>
            </w:tcBorders>
            <w:shd w:val="clear" w:color="auto" w:fill="auto"/>
            <w:vAlign w:val="bottom"/>
          </w:tcPr>
          <w:p w:rsidR="006565BE" w:rsidRPr="00E2548A" w:rsidP="00E2548A" w14:paraId="3543217D" w14:textId="6C9EC466">
            <w:pPr>
              <w:jc w:val="right"/>
              <w:rPr>
                <w:rFonts w:cs="Arial"/>
                <w:sz w:val="22"/>
              </w:rPr>
            </w:pPr>
            <w:r w:rsidRPr="00E2548A">
              <w:rPr>
                <w:rFonts w:eastAsia="Times New Roman" w:cs="Arial"/>
                <w:color w:val="000000"/>
                <w:sz w:val="22"/>
              </w:rPr>
              <w:t>$456,347</w:t>
            </w:r>
          </w:p>
        </w:tc>
      </w:tr>
      <w:tr w14:paraId="289DED99" w14:textId="77777777" w:rsidTr="00E2548A">
        <w:tblPrEx>
          <w:tblW w:w="5000" w:type="pct"/>
          <w:tblLook w:val="04A0"/>
        </w:tblPrEx>
        <w:tc>
          <w:tcPr>
            <w:tcW w:w="1441" w:type="pct"/>
            <w:tcBorders>
              <w:top w:val="nil"/>
              <w:left w:val="single" w:sz="4" w:space="0" w:color="auto"/>
              <w:bottom w:val="single" w:sz="4" w:space="0" w:color="auto"/>
              <w:right w:val="single" w:sz="4" w:space="0" w:color="auto"/>
            </w:tcBorders>
            <w:shd w:val="clear" w:color="auto" w:fill="auto"/>
            <w:vAlign w:val="center"/>
          </w:tcPr>
          <w:p w:rsidR="006565BE" w:rsidRPr="00E2548A" w:rsidP="006E4C14" w14:paraId="24C55E2D" w14:textId="43D05E53">
            <w:pPr>
              <w:rPr>
                <w:rFonts w:cs="Arial"/>
                <w:b/>
                <w:bCs/>
                <w:sz w:val="22"/>
              </w:rPr>
            </w:pPr>
            <w:r w:rsidRPr="00E2548A">
              <w:rPr>
                <w:rFonts w:eastAsia="Times New Roman" w:cs="Arial"/>
                <w:color w:val="000000"/>
                <w:sz w:val="22"/>
              </w:rPr>
              <w:t>Compliance Determination</w:t>
            </w:r>
          </w:p>
        </w:tc>
        <w:tc>
          <w:tcPr>
            <w:tcW w:w="794" w:type="pct"/>
            <w:vAlign w:val="bottom"/>
          </w:tcPr>
          <w:p w:rsidR="006565BE" w:rsidRPr="00E2548A" w:rsidP="00E2548A" w14:paraId="42BAA4B6" w14:textId="53BC6906">
            <w:pPr>
              <w:jc w:val="right"/>
              <w:rPr>
                <w:rFonts w:cs="Arial"/>
                <w:sz w:val="22"/>
              </w:rPr>
            </w:pPr>
            <w:r w:rsidRPr="00E2548A">
              <w:rPr>
                <w:rFonts w:cs="Arial"/>
                <w:sz w:val="22"/>
              </w:rPr>
              <w:t>5460</w:t>
            </w:r>
          </w:p>
        </w:tc>
        <w:tc>
          <w:tcPr>
            <w:tcW w:w="1151" w:type="pct"/>
            <w:tcBorders>
              <w:top w:val="nil"/>
              <w:left w:val="nil"/>
              <w:bottom w:val="single" w:sz="4" w:space="0" w:color="auto"/>
              <w:right w:val="single" w:sz="4" w:space="0" w:color="auto"/>
            </w:tcBorders>
            <w:shd w:val="clear" w:color="auto" w:fill="auto"/>
            <w:vAlign w:val="bottom"/>
          </w:tcPr>
          <w:p w:rsidR="006565BE" w:rsidRPr="00E2548A" w:rsidP="00E2548A" w14:paraId="0D4DB515" w14:textId="21E1661B">
            <w:pPr>
              <w:jc w:val="right"/>
              <w:rPr>
                <w:rFonts w:cs="Arial"/>
                <w:sz w:val="22"/>
              </w:rPr>
            </w:pPr>
            <w:r w:rsidRPr="00E2548A">
              <w:rPr>
                <w:rFonts w:eastAsia="Times New Roman" w:cs="Arial"/>
                <w:color w:val="000000"/>
                <w:sz w:val="22"/>
              </w:rPr>
              <w:t>10,107</w:t>
            </w:r>
          </w:p>
        </w:tc>
        <w:tc>
          <w:tcPr>
            <w:tcW w:w="1614" w:type="pct"/>
            <w:tcBorders>
              <w:top w:val="nil"/>
              <w:left w:val="nil"/>
              <w:bottom w:val="single" w:sz="4" w:space="0" w:color="auto"/>
              <w:right w:val="single" w:sz="4" w:space="0" w:color="auto"/>
            </w:tcBorders>
            <w:shd w:val="clear" w:color="auto" w:fill="auto"/>
            <w:vAlign w:val="bottom"/>
          </w:tcPr>
          <w:p w:rsidR="006565BE" w:rsidRPr="00E2548A" w:rsidP="00E2548A" w14:paraId="7928ADBC" w14:textId="5F16E6C2">
            <w:pPr>
              <w:jc w:val="right"/>
              <w:rPr>
                <w:rFonts w:cs="Arial"/>
                <w:sz w:val="22"/>
              </w:rPr>
            </w:pPr>
            <w:r w:rsidRPr="00E2548A">
              <w:rPr>
                <w:rFonts w:eastAsia="Times New Roman" w:cs="Arial"/>
                <w:color w:val="000000"/>
                <w:sz w:val="22"/>
              </w:rPr>
              <w:t>$857,206</w:t>
            </w:r>
          </w:p>
        </w:tc>
      </w:tr>
      <w:tr w14:paraId="38251CA4" w14:textId="77777777" w:rsidTr="00E2548A">
        <w:tblPrEx>
          <w:tblW w:w="5000" w:type="pct"/>
          <w:tblLook w:val="04A0"/>
        </w:tblPrEx>
        <w:tc>
          <w:tcPr>
            <w:tcW w:w="1441" w:type="pct"/>
            <w:tcBorders>
              <w:top w:val="nil"/>
              <w:left w:val="single" w:sz="4" w:space="0" w:color="auto"/>
              <w:bottom w:val="single" w:sz="4" w:space="0" w:color="auto"/>
              <w:right w:val="single" w:sz="4" w:space="0" w:color="auto"/>
            </w:tcBorders>
            <w:shd w:val="clear" w:color="auto" w:fill="auto"/>
            <w:vAlign w:val="center"/>
          </w:tcPr>
          <w:p w:rsidR="006565BE" w:rsidRPr="00E2548A" w:rsidP="006E4C14" w14:paraId="70B3AE78" w14:textId="2BBF6E32">
            <w:pPr>
              <w:rPr>
                <w:rFonts w:cs="Arial"/>
                <w:b/>
                <w:bCs/>
                <w:sz w:val="22"/>
              </w:rPr>
            </w:pPr>
            <w:r w:rsidRPr="00E2548A">
              <w:rPr>
                <w:rFonts w:eastAsia="Times New Roman" w:cs="Arial"/>
                <w:color w:val="000000"/>
                <w:sz w:val="22"/>
              </w:rPr>
              <w:t>Recordkeeping</w:t>
            </w:r>
          </w:p>
        </w:tc>
        <w:tc>
          <w:tcPr>
            <w:tcW w:w="794" w:type="pct"/>
            <w:vAlign w:val="bottom"/>
          </w:tcPr>
          <w:p w:rsidR="006565BE" w:rsidRPr="00E2548A" w:rsidP="00E2548A" w14:paraId="3839346B" w14:textId="7E15FFD7">
            <w:pPr>
              <w:jc w:val="right"/>
              <w:rPr>
                <w:rFonts w:cs="Arial"/>
                <w:sz w:val="22"/>
              </w:rPr>
            </w:pPr>
            <w:r w:rsidRPr="00E2548A">
              <w:rPr>
                <w:rFonts w:cs="Arial"/>
                <w:sz w:val="22"/>
              </w:rPr>
              <w:t>5460</w:t>
            </w:r>
          </w:p>
        </w:tc>
        <w:tc>
          <w:tcPr>
            <w:tcW w:w="1151" w:type="pct"/>
            <w:tcBorders>
              <w:top w:val="nil"/>
              <w:left w:val="nil"/>
              <w:bottom w:val="single" w:sz="4" w:space="0" w:color="auto"/>
              <w:right w:val="single" w:sz="4" w:space="0" w:color="auto"/>
            </w:tcBorders>
            <w:shd w:val="clear" w:color="auto" w:fill="auto"/>
            <w:vAlign w:val="bottom"/>
          </w:tcPr>
          <w:p w:rsidR="006565BE" w:rsidRPr="00E2548A" w:rsidP="00E2548A" w14:paraId="6B5A7BF5" w14:textId="0C9F8F39">
            <w:pPr>
              <w:jc w:val="right"/>
              <w:rPr>
                <w:rFonts w:cs="Arial"/>
                <w:sz w:val="22"/>
              </w:rPr>
            </w:pPr>
            <w:r w:rsidRPr="00E2548A">
              <w:rPr>
                <w:rFonts w:eastAsia="Times New Roman" w:cs="Arial"/>
                <w:color w:val="000000"/>
                <w:sz w:val="22"/>
              </w:rPr>
              <w:t>4,095</w:t>
            </w:r>
          </w:p>
        </w:tc>
        <w:tc>
          <w:tcPr>
            <w:tcW w:w="1614" w:type="pct"/>
            <w:tcBorders>
              <w:top w:val="nil"/>
              <w:left w:val="nil"/>
              <w:bottom w:val="single" w:sz="4" w:space="0" w:color="auto"/>
              <w:right w:val="single" w:sz="4" w:space="0" w:color="auto"/>
            </w:tcBorders>
            <w:shd w:val="clear" w:color="auto" w:fill="auto"/>
            <w:vAlign w:val="bottom"/>
          </w:tcPr>
          <w:p w:rsidR="006565BE" w:rsidRPr="00E2548A" w:rsidP="00E2548A" w14:paraId="09525F77" w14:textId="60464304">
            <w:pPr>
              <w:jc w:val="right"/>
              <w:rPr>
                <w:rFonts w:cs="Arial"/>
                <w:sz w:val="22"/>
              </w:rPr>
            </w:pPr>
            <w:r w:rsidRPr="00E2548A">
              <w:rPr>
                <w:rFonts w:eastAsia="Times New Roman" w:cs="Arial"/>
                <w:color w:val="000000"/>
                <w:sz w:val="22"/>
              </w:rPr>
              <w:t>$299,058</w:t>
            </w:r>
          </w:p>
        </w:tc>
      </w:tr>
      <w:tr w14:paraId="383BEE3B" w14:textId="77777777" w:rsidTr="00E2548A">
        <w:tblPrEx>
          <w:tblW w:w="5000" w:type="pct"/>
          <w:tblLook w:val="04A0"/>
        </w:tblPrEx>
        <w:tc>
          <w:tcPr>
            <w:tcW w:w="1441" w:type="pct"/>
            <w:tcBorders>
              <w:top w:val="nil"/>
              <w:left w:val="single" w:sz="4" w:space="0" w:color="auto"/>
              <w:bottom w:val="single" w:sz="4" w:space="0" w:color="auto"/>
              <w:right w:val="single" w:sz="4" w:space="0" w:color="auto"/>
            </w:tcBorders>
            <w:shd w:val="clear" w:color="auto" w:fill="auto"/>
            <w:vAlign w:val="center"/>
          </w:tcPr>
          <w:p w:rsidR="006565BE" w:rsidRPr="00E2548A" w:rsidP="006E4C14" w14:paraId="78BFDC43" w14:textId="69F3380C">
            <w:pPr>
              <w:rPr>
                <w:rFonts w:cs="Arial"/>
                <w:b/>
                <w:bCs/>
                <w:sz w:val="22"/>
              </w:rPr>
            </w:pPr>
            <w:r w:rsidRPr="00E2548A">
              <w:rPr>
                <w:rFonts w:eastAsia="Times New Roman" w:cs="Arial"/>
                <w:color w:val="000000"/>
                <w:sz w:val="22"/>
              </w:rPr>
              <w:t>Average Multi-Chemical Form Completion besides Function Category Data Elements (7.38 chemicals)</w:t>
            </w:r>
          </w:p>
        </w:tc>
        <w:tc>
          <w:tcPr>
            <w:tcW w:w="794" w:type="pct"/>
            <w:vAlign w:val="bottom"/>
          </w:tcPr>
          <w:p w:rsidR="006565BE" w:rsidRPr="00E2548A" w:rsidP="00E2548A" w14:paraId="7371E096" w14:textId="2D04D431">
            <w:pPr>
              <w:jc w:val="right"/>
              <w:rPr>
                <w:rFonts w:cs="Arial"/>
                <w:sz w:val="22"/>
              </w:rPr>
            </w:pPr>
            <w:r w:rsidRPr="00E2548A">
              <w:rPr>
                <w:rFonts w:cs="Arial"/>
                <w:sz w:val="22"/>
              </w:rPr>
              <w:t>5460</w:t>
            </w:r>
          </w:p>
        </w:tc>
        <w:tc>
          <w:tcPr>
            <w:tcW w:w="1151" w:type="pct"/>
            <w:tcBorders>
              <w:top w:val="nil"/>
              <w:left w:val="nil"/>
              <w:bottom w:val="single" w:sz="4" w:space="0" w:color="auto"/>
              <w:right w:val="single" w:sz="4" w:space="0" w:color="auto"/>
            </w:tcBorders>
            <w:shd w:val="clear" w:color="auto" w:fill="auto"/>
            <w:vAlign w:val="bottom"/>
          </w:tcPr>
          <w:p w:rsidR="006565BE" w:rsidRPr="00E2548A" w:rsidP="00E2548A" w14:paraId="0F774CDE" w14:textId="47CAA708">
            <w:pPr>
              <w:jc w:val="right"/>
              <w:rPr>
                <w:rFonts w:cs="Arial"/>
                <w:sz w:val="22"/>
              </w:rPr>
            </w:pPr>
            <w:r w:rsidRPr="00E2548A">
              <w:rPr>
                <w:rFonts w:eastAsia="Times New Roman" w:cs="Arial"/>
                <w:color w:val="000000"/>
                <w:sz w:val="22"/>
              </w:rPr>
              <w:t>620,499</w:t>
            </w:r>
          </w:p>
        </w:tc>
        <w:tc>
          <w:tcPr>
            <w:tcW w:w="1614" w:type="pct"/>
            <w:tcBorders>
              <w:top w:val="nil"/>
              <w:left w:val="nil"/>
              <w:bottom w:val="single" w:sz="4" w:space="0" w:color="auto"/>
              <w:right w:val="single" w:sz="4" w:space="0" w:color="auto"/>
            </w:tcBorders>
            <w:shd w:val="clear" w:color="auto" w:fill="auto"/>
            <w:vAlign w:val="bottom"/>
          </w:tcPr>
          <w:p w:rsidR="006565BE" w:rsidRPr="00E2548A" w:rsidP="00E2548A" w14:paraId="6ECC8CA1" w14:textId="4476A936">
            <w:pPr>
              <w:jc w:val="right"/>
              <w:rPr>
                <w:rFonts w:cs="Arial"/>
                <w:sz w:val="22"/>
              </w:rPr>
            </w:pPr>
            <w:r w:rsidRPr="00E2548A">
              <w:rPr>
                <w:rFonts w:eastAsia="Times New Roman" w:cs="Arial"/>
                <w:color w:val="000000"/>
                <w:sz w:val="22"/>
              </w:rPr>
              <w:t>$67,255,338</w:t>
            </w:r>
          </w:p>
        </w:tc>
      </w:tr>
      <w:tr w14:paraId="092AFA01" w14:textId="77777777" w:rsidTr="00E2548A">
        <w:tblPrEx>
          <w:tblW w:w="5000" w:type="pct"/>
          <w:tblLook w:val="04A0"/>
        </w:tblPrEx>
        <w:trPr>
          <w:trHeight w:val="1610"/>
        </w:trPr>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6565BE" w:rsidRPr="00E2548A" w:rsidP="006E4C14" w14:paraId="4BD9F073" w14:textId="32BA13EE">
            <w:pPr>
              <w:rPr>
                <w:rFonts w:cs="Arial"/>
                <w:b/>
                <w:bCs/>
                <w:sz w:val="22"/>
              </w:rPr>
            </w:pPr>
            <w:r w:rsidRPr="00E2548A">
              <w:rPr>
                <w:rFonts w:eastAsia="Times New Roman" w:cs="Arial"/>
                <w:color w:val="000000"/>
                <w:sz w:val="22"/>
              </w:rPr>
              <w:t>Function Category Data Elements (7.38 chemicals per site)</w:t>
            </w:r>
          </w:p>
        </w:tc>
        <w:tc>
          <w:tcPr>
            <w:tcW w:w="794" w:type="pct"/>
            <w:vAlign w:val="bottom"/>
          </w:tcPr>
          <w:p w:rsidR="006565BE" w:rsidRPr="00E2548A" w:rsidP="00E2548A" w14:paraId="02EA39DB" w14:textId="2D4D23A9">
            <w:pPr>
              <w:jc w:val="right"/>
              <w:rPr>
                <w:rFonts w:cs="Arial"/>
                <w:sz w:val="22"/>
              </w:rPr>
            </w:pPr>
            <w:r w:rsidRPr="00E2548A">
              <w:rPr>
                <w:rFonts w:cs="Arial"/>
                <w:sz w:val="22"/>
              </w:rPr>
              <w:t>5460</w:t>
            </w:r>
          </w:p>
        </w:tc>
        <w:tc>
          <w:tcPr>
            <w:tcW w:w="1151" w:type="pct"/>
            <w:tcBorders>
              <w:top w:val="nil"/>
              <w:left w:val="nil"/>
              <w:bottom w:val="single" w:sz="4" w:space="0" w:color="auto"/>
              <w:right w:val="single" w:sz="4" w:space="0" w:color="auto"/>
            </w:tcBorders>
            <w:shd w:val="clear" w:color="auto" w:fill="auto"/>
            <w:vAlign w:val="bottom"/>
          </w:tcPr>
          <w:p w:rsidR="006565BE" w:rsidRPr="00E2548A" w:rsidP="00E2548A" w14:paraId="7ADDEB18" w14:textId="17464527">
            <w:pPr>
              <w:jc w:val="right"/>
              <w:rPr>
                <w:rFonts w:cs="Arial"/>
                <w:sz w:val="22"/>
              </w:rPr>
            </w:pPr>
            <w:r w:rsidRPr="00E2548A">
              <w:rPr>
                <w:rFonts w:eastAsia="Times New Roman" w:cs="Arial"/>
                <w:color w:val="000000"/>
                <w:sz w:val="22"/>
              </w:rPr>
              <w:t>89,259</w:t>
            </w:r>
          </w:p>
        </w:tc>
        <w:tc>
          <w:tcPr>
            <w:tcW w:w="1614" w:type="pct"/>
            <w:tcBorders>
              <w:top w:val="nil"/>
              <w:left w:val="nil"/>
              <w:bottom w:val="single" w:sz="4" w:space="0" w:color="auto"/>
              <w:right w:val="single" w:sz="4" w:space="0" w:color="auto"/>
            </w:tcBorders>
            <w:shd w:val="clear" w:color="auto" w:fill="auto"/>
            <w:vAlign w:val="bottom"/>
          </w:tcPr>
          <w:p w:rsidR="006565BE" w:rsidRPr="00E2548A" w:rsidP="00E2548A" w14:paraId="2E90EEEE" w14:textId="7DD7960C">
            <w:pPr>
              <w:jc w:val="right"/>
              <w:rPr>
                <w:rFonts w:cs="Arial"/>
                <w:sz w:val="22"/>
              </w:rPr>
            </w:pPr>
            <w:r w:rsidRPr="00E2548A">
              <w:rPr>
                <w:rFonts w:eastAsia="Times New Roman" w:cs="Arial"/>
                <w:color w:val="000000"/>
                <w:sz w:val="22"/>
              </w:rPr>
              <w:t>$9,733,679</w:t>
            </w:r>
          </w:p>
        </w:tc>
      </w:tr>
      <w:tr w14:paraId="51370C80" w14:textId="77777777" w:rsidTr="00E2548A">
        <w:tblPrEx>
          <w:tblW w:w="5000" w:type="pct"/>
          <w:tblLook w:val="04A0"/>
        </w:tblPrEx>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6565BE" w:rsidRPr="00E2548A" w:rsidP="006E4C14" w14:paraId="689879EC" w14:textId="3E013E49">
            <w:pPr>
              <w:rPr>
                <w:rFonts w:eastAsia="Times New Roman" w:cs="Arial"/>
                <w:color w:val="000000"/>
                <w:sz w:val="22"/>
              </w:rPr>
            </w:pPr>
            <w:r w:rsidRPr="00E2548A">
              <w:rPr>
                <w:rFonts w:eastAsia="Times New Roman" w:cs="Arial"/>
                <w:color w:val="000000"/>
                <w:sz w:val="22"/>
              </w:rPr>
              <w:t>CDX Registration and eSignature</w:t>
            </w:r>
          </w:p>
        </w:tc>
        <w:tc>
          <w:tcPr>
            <w:tcW w:w="794" w:type="pct"/>
            <w:vAlign w:val="bottom"/>
          </w:tcPr>
          <w:p w:rsidR="006565BE" w:rsidRPr="00E2548A" w:rsidP="00E2548A" w14:paraId="3C8A4DD8" w14:textId="52A442FE">
            <w:pPr>
              <w:jc w:val="right"/>
              <w:rPr>
                <w:rFonts w:cs="Arial"/>
                <w:sz w:val="22"/>
              </w:rPr>
            </w:pPr>
            <w:r w:rsidRPr="00E2548A">
              <w:rPr>
                <w:rFonts w:cs="Arial"/>
                <w:sz w:val="22"/>
              </w:rPr>
              <w:t>1365</w:t>
            </w:r>
          </w:p>
        </w:tc>
        <w:tc>
          <w:tcPr>
            <w:tcW w:w="1151" w:type="pct"/>
            <w:tcBorders>
              <w:top w:val="nil"/>
              <w:left w:val="nil"/>
              <w:bottom w:val="single" w:sz="4" w:space="0" w:color="auto"/>
              <w:right w:val="single" w:sz="4" w:space="0" w:color="auto"/>
            </w:tcBorders>
            <w:shd w:val="clear" w:color="auto" w:fill="auto"/>
            <w:vAlign w:val="bottom"/>
          </w:tcPr>
          <w:p w:rsidR="006565BE" w:rsidRPr="00E2548A" w:rsidP="00E2548A" w14:paraId="20D91BA8" w14:textId="02AAF533">
            <w:pPr>
              <w:jc w:val="right"/>
              <w:rPr>
                <w:rFonts w:eastAsia="Times New Roman" w:cs="Arial"/>
                <w:color w:val="000000"/>
                <w:sz w:val="22"/>
              </w:rPr>
            </w:pPr>
            <w:r w:rsidRPr="00E2548A">
              <w:rPr>
                <w:rFonts w:eastAsia="Times New Roman" w:cs="Arial"/>
                <w:color w:val="000000"/>
                <w:sz w:val="22"/>
              </w:rPr>
              <w:t>181</w:t>
            </w:r>
          </w:p>
        </w:tc>
        <w:tc>
          <w:tcPr>
            <w:tcW w:w="1614" w:type="pct"/>
            <w:tcBorders>
              <w:top w:val="nil"/>
              <w:left w:val="nil"/>
              <w:bottom w:val="single" w:sz="4" w:space="0" w:color="auto"/>
              <w:right w:val="single" w:sz="4" w:space="0" w:color="auto"/>
            </w:tcBorders>
            <w:shd w:val="clear" w:color="auto" w:fill="auto"/>
            <w:vAlign w:val="bottom"/>
          </w:tcPr>
          <w:p w:rsidR="006565BE" w:rsidRPr="00E2548A" w:rsidP="00E2548A" w14:paraId="4406BABF" w14:textId="738D60B8">
            <w:pPr>
              <w:jc w:val="right"/>
              <w:rPr>
                <w:rFonts w:eastAsia="Times New Roman" w:cs="Arial"/>
                <w:color w:val="000000"/>
                <w:sz w:val="22"/>
              </w:rPr>
            </w:pPr>
            <w:r w:rsidRPr="00E2548A">
              <w:rPr>
                <w:rFonts w:eastAsia="Times New Roman" w:cs="Arial"/>
                <w:color w:val="000000"/>
                <w:sz w:val="22"/>
              </w:rPr>
              <w:t>$14,558</w:t>
            </w:r>
          </w:p>
        </w:tc>
      </w:tr>
      <w:tr w14:paraId="589DE2A1" w14:textId="77777777" w:rsidTr="00E2548A">
        <w:tblPrEx>
          <w:tblW w:w="5000" w:type="pct"/>
          <w:tblLook w:val="04A0"/>
        </w:tblPrEx>
        <w:tc>
          <w:tcPr>
            <w:tcW w:w="1441" w:type="pct"/>
            <w:tcBorders>
              <w:top w:val="single" w:sz="4" w:space="0" w:color="auto"/>
              <w:left w:val="single" w:sz="4" w:space="0" w:color="auto"/>
              <w:bottom w:val="single" w:sz="4" w:space="0" w:color="auto"/>
              <w:right w:val="single" w:sz="4" w:space="0" w:color="auto"/>
            </w:tcBorders>
            <w:shd w:val="clear" w:color="auto" w:fill="auto"/>
            <w:vAlign w:val="center"/>
          </w:tcPr>
          <w:p w:rsidR="006565BE" w:rsidRPr="00E2548A" w:rsidP="006E4C14" w14:paraId="531CCD6D" w14:textId="3598DD67">
            <w:pPr>
              <w:rPr>
                <w:rFonts w:eastAsia="Times New Roman" w:cs="Arial"/>
                <w:b/>
                <w:bCs/>
                <w:color w:val="000000"/>
                <w:sz w:val="22"/>
              </w:rPr>
            </w:pPr>
            <w:r w:rsidRPr="00E2548A">
              <w:rPr>
                <w:rFonts w:eastAsia="Times New Roman" w:cs="Arial"/>
                <w:b/>
                <w:bCs/>
                <w:color w:val="000000"/>
                <w:sz w:val="22"/>
              </w:rPr>
              <w:t>Respondent Totals</w:t>
            </w:r>
          </w:p>
        </w:tc>
        <w:tc>
          <w:tcPr>
            <w:tcW w:w="794" w:type="pct"/>
            <w:vAlign w:val="bottom"/>
          </w:tcPr>
          <w:p w:rsidR="006565BE" w:rsidRPr="00E2548A" w:rsidP="00E2548A" w14:paraId="1301B1E1" w14:textId="44727DCD">
            <w:pPr>
              <w:jc w:val="right"/>
              <w:rPr>
                <w:rFonts w:cs="Arial"/>
                <w:b/>
                <w:bCs/>
                <w:sz w:val="22"/>
              </w:rPr>
            </w:pPr>
          </w:p>
        </w:tc>
        <w:tc>
          <w:tcPr>
            <w:tcW w:w="1151" w:type="pct"/>
            <w:tcBorders>
              <w:top w:val="nil"/>
              <w:left w:val="nil"/>
              <w:bottom w:val="single" w:sz="4" w:space="0" w:color="auto"/>
              <w:right w:val="single" w:sz="4" w:space="0" w:color="auto"/>
            </w:tcBorders>
            <w:shd w:val="clear" w:color="auto" w:fill="auto"/>
            <w:vAlign w:val="bottom"/>
          </w:tcPr>
          <w:p w:rsidR="006565BE" w:rsidRPr="00E2548A" w:rsidP="00E2548A" w14:paraId="1DB49B0A" w14:textId="4EB21F89">
            <w:pPr>
              <w:jc w:val="right"/>
              <w:rPr>
                <w:rFonts w:cs="Arial"/>
                <w:b/>
                <w:bCs/>
                <w:sz w:val="22"/>
              </w:rPr>
            </w:pPr>
            <w:r w:rsidRPr="00E2548A">
              <w:rPr>
                <w:rFonts w:eastAsia="Times New Roman" w:cs="Arial"/>
                <w:b/>
                <w:bCs/>
                <w:color w:val="000000"/>
                <w:sz w:val="22"/>
              </w:rPr>
              <w:t>729,465</w:t>
            </w:r>
          </w:p>
        </w:tc>
        <w:tc>
          <w:tcPr>
            <w:tcW w:w="1614" w:type="pct"/>
            <w:tcBorders>
              <w:top w:val="nil"/>
              <w:left w:val="nil"/>
              <w:bottom w:val="single" w:sz="4" w:space="0" w:color="auto"/>
              <w:right w:val="single" w:sz="4" w:space="0" w:color="auto"/>
            </w:tcBorders>
            <w:shd w:val="clear" w:color="auto" w:fill="auto"/>
            <w:vAlign w:val="bottom"/>
          </w:tcPr>
          <w:p w:rsidR="006565BE" w:rsidRPr="00E2548A" w:rsidP="00E2548A" w14:paraId="34AC7F56" w14:textId="227098EC">
            <w:pPr>
              <w:jc w:val="right"/>
              <w:rPr>
                <w:rFonts w:cs="Arial"/>
                <w:b/>
                <w:bCs/>
                <w:sz w:val="22"/>
              </w:rPr>
            </w:pPr>
            <w:r w:rsidRPr="00E2548A">
              <w:rPr>
                <w:rFonts w:eastAsia="Times New Roman" w:cs="Arial"/>
                <w:b/>
                <w:bCs/>
                <w:color w:val="000000"/>
                <w:sz w:val="22"/>
              </w:rPr>
              <w:t>$78,616,166</w:t>
            </w:r>
          </w:p>
        </w:tc>
      </w:tr>
      <w:tr w14:paraId="1C976B5C" w14:textId="77777777" w:rsidTr="00001788">
        <w:tblPrEx>
          <w:tblW w:w="5000" w:type="pct"/>
          <w:tblLook w:val="04A0"/>
        </w:tblPrEx>
        <w:tc>
          <w:tcPr>
            <w:tcW w:w="144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565BE" w:rsidRPr="00E2548A" w:rsidP="006E4C14" w14:paraId="660A8D76" w14:textId="5FB71AB5">
            <w:pPr>
              <w:rPr>
                <w:rFonts w:eastAsia="Times New Roman" w:cs="Arial"/>
                <w:b/>
                <w:bCs/>
                <w:color w:val="000000"/>
                <w:sz w:val="22"/>
              </w:rPr>
            </w:pPr>
            <w:r w:rsidRPr="00E2548A">
              <w:rPr>
                <w:rFonts w:eastAsia="Times New Roman" w:cs="Arial"/>
                <w:b/>
                <w:bCs/>
                <w:color w:val="000000"/>
                <w:sz w:val="22"/>
              </w:rPr>
              <w:t xml:space="preserve">Total Agency </w:t>
            </w:r>
          </w:p>
        </w:tc>
        <w:tc>
          <w:tcPr>
            <w:tcW w:w="794" w:type="pct"/>
            <w:shd w:val="clear" w:color="auto" w:fill="D9D9D9" w:themeFill="background1" w:themeFillShade="D9"/>
            <w:vAlign w:val="bottom"/>
          </w:tcPr>
          <w:p w:rsidR="006565BE" w:rsidRPr="00E2548A" w:rsidP="00E2548A" w14:paraId="3DE1C7C7" w14:textId="0E8874BD">
            <w:pPr>
              <w:jc w:val="right"/>
              <w:rPr>
                <w:rFonts w:cs="Arial"/>
                <w:b/>
                <w:bCs/>
                <w:sz w:val="22"/>
              </w:rPr>
            </w:pPr>
            <w:r w:rsidRPr="00E2548A">
              <w:rPr>
                <w:rFonts w:cs="Arial"/>
                <w:b/>
                <w:bCs/>
                <w:sz w:val="22"/>
              </w:rPr>
              <w:t>-</w:t>
            </w:r>
          </w:p>
        </w:tc>
        <w:tc>
          <w:tcPr>
            <w:tcW w:w="1151" w:type="pct"/>
            <w:tcBorders>
              <w:top w:val="nil"/>
              <w:left w:val="nil"/>
              <w:bottom w:val="single" w:sz="4" w:space="0" w:color="auto"/>
              <w:right w:val="single" w:sz="4" w:space="0" w:color="auto"/>
            </w:tcBorders>
            <w:shd w:val="clear" w:color="auto" w:fill="D9D9D9" w:themeFill="background1" w:themeFillShade="D9"/>
            <w:vAlign w:val="bottom"/>
          </w:tcPr>
          <w:p w:rsidR="006565BE" w:rsidRPr="00E2548A" w:rsidP="00E2548A" w14:paraId="0B6AC622" w14:textId="296BBB3E">
            <w:pPr>
              <w:jc w:val="right"/>
              <w:rPr>
                <w:rFonts w:cs="Arial"/>
                <w:b/>
                <w:bCs/>
                <w:sz w:val="22"/>
              </w:rPr>
            </w:pPr>
            <w:r w:rsidRPr="00E2548A">
              <w:rPr>
                <w:rFonts w:eastAsia="Times New Roman" w:cs="Arial"/>
                <w:b/>
                <w:bCs/>
                <w:color w:val="000000"/>
                <w:sz w:val="22"/>
              </w:rPr>
              <w:t>3,458</w:t>
            </w:r>
          </w:p>
        </w:tc>
        <w:tc>
          <w:tcPr>
            <w:tcW w:w="1614" w:type="pct"/>
            <w:tcBorders>
              <w:top w:val="nil"/>
              <w:left w:val="nil"/>
              <w:bottom w:val="single" w:sz="4" w:space="0" w:color="auto"/>
              <w:right w:val="single" w:sz="4" w:space="0" w:color="auto"/>
            </w:tcBorders>
            <w:shd w:val="clear" w:color="auto" w:fill="D9D9D9" w:themeFill="background1" w:themeFillShade="D9"/>
            <w:vAlign w:val="bottom"/>
          </w:tcPr>
          <w:p w:rsidR="006565BE" w:rsidRPr="00E2548A" w:rsidP="00E2548A" w14:paraId="1A3FCC90" w14:textId="24FAFE76">
            <w:pPr>
              <w:jc w:val="right"/>
              <w:rPr>
                <w:rFonts w:cs="Arial"/>
                <w:b/>
                <w:bCs/>
                <w:sz w:val="22"/>
              </w:rPr>
            </w:pPr>
            <w:r w:rsidRPr="00E2548A">
              <w:rPr>
                <w:rFonts w:eastAsia="Times New Roman" w:cs="Arial"/>
                <w:b/>
                <w:bCs/>
                <w:color w:val="000000"/>
                <w:sz w:val="22"/>
              </w:rPr>
              <w:t xml:space="preserve">$822,928 </w:t>
            </w:r>
          </w:p>
        </w:tc>
      </w:tr>
    </w:tbl>
    <w:p w:rsidR="00870E89" w:rsidRPr="007C3211" w:rsidP="005645B8" w14:paraId="0997F178" w14:textId="77777777">
      <w:pPr>
        <w:rPr>
          <w:b/>
          <w:bCs/>
        </w:rPr>
      </w:pPr>
    </w:p>
    <w:p w:rsidR="00B262D4" w:rsidRPr="00A640A9" w:rsidP="002059F4" w14:paraId="526A56DE" w14:textId="26ABA31A">
      <w:pPr>
        <w:pStyle w:val="Heading1"/>
      </w:pPr>
      <w:r w:rsidRPr="00A640A9">
        <w:t>Supporting Statement</w:t>
      </w:r>
    </w:p>
    <w:p w:rsidR="00897D7E" w:rsidP="002059F4" w14:paraId="163FE936" w14:textId="0705B32F">
      <w:pPr>
        <w:pStyle w:val="Heading2"/>
        <w:ind w:left="360"/>
      </w:pPr>
      <w:bookmarkStart w:id="4" w:name="_Toc49148160"/>
      <w:r w:rsidRPr="00E00E93">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304AF" w:rsidP="00BA2E8E" w14:paraId="445D1665" w14:textId="7AF160D7">
      <w:r w:rsidRPr="009533EA">
        <w:t>Under TSCA as amended by the Lautenberg Act</w:t>
      </w:r>
      <w:r>
        <w:t xml:space="preserve"> in 2016</w:t>
      </w:r>
      <w:r w:rsidRPr="009533EA">
        <w:t xml:space="preserve">, EPA is charged with protecting human health and the environment from potential chemical risks. </w:t>
      </w:r>
      <w:r>
        <w:t>EPA’s Office of Pollution and Toxics (</w:t>
      </w:r>
      <w:r w:rsidRPr="009533EA">
        <w:t>OPPT</w:t>
      </w:r>
      <w:r>
        <w:t>)</w:t>
      </w:r>
      <w:r w:rsidRPr="009533EA">
        <w:t xml:space="preserve"> carries out its responsibilities by</w:t>
      </w:r>
      <w:r>
        <w:t>, among other things,</w:t>
      </w:r>
      <w:r w:rsidRPr="009533EA">
        <w:t xml:space="preserve"> </w:t>
      </w:r>
      <w:r>
        <w:t xml:space="preserve">prioritizing chemicals for evaluation, </w:t>
      </w:r>
      <w:r w:rsidRPr="009533EA">
        <w:t xml:space="preserve">conducting risk </w:t>
      </w:r>
      <w:r>
        <w:t>evaluations</w:t>
      </w:r>
      <w:r w:rsidRPr="009533EA">
        <w:t xml:space="preserve"> and, where necessary, taking risk management actions under TSCA, as well as by making non-confidential information publicly available in order to promote informed decision-making and transparency. CDR data help the Agency to identify, assess, and control potential risks to human health and the environment posed by commercial chemical substances. TSCA section 8(a) authorizes the Administrator to promulgate rules to provide for the maintenance and collection of records from manufacturers</w:t>
      </w:r>
      <w:r w:rsidRPr="009533EA">
        <w:t xml:space="preserve"> </w:t>
      </w:r>
      <w:r w:rsidRPr="009533EA">
        <w:t>(including importers) and processors of commercial chemical substances. Sections 8(a)(1) and (2) of TSCA also authorize the Agency to collect information on the chemical substance manufacturing (including importing) industry. EPA possesses broad discretion in determining the information to be reported under TSCA section 8(a)</w:t>
      </w:r>
      <w:r w:rsidR="00E273CB">
        <w:t xml:space="preserve"> </w:t>
      </w:r>
      <w:r w:rsidR="00FF54A5">
        <w:t>(</w:t>
      </w:r>
      <w:r>
        <w:t xml:space="preserve">See </w:t>
      </w:r>
      <w:r w:rsidRPr="00DC05D5">
        <w:t>Attachment 1</w:t>
      </w:r>
      <w:r w:rsidR="00FF54A5">
        <w:t>)</w:t>
      </w:r>
      <w:r>
        <w:t>.</w:t>
      </w:r>
    </w:p>
    <w:p w:rsidR="001304AF" w:rsidRPr="009533EA" w:rsidP="00BA2E8E" w14:paraId="4230E806" w14:textId="77777777">
      <w:r w:rsidRPr="009533EA">
        <w:t>Through the CDR regulation</w:t>
      </w:r>
      <w:r>
        <w:rPr>
          <w:rStyle w:val="FootnoteReference"/>
        </w:rPr>
        <w:footnoteReference w:id="3"/>
      </w:r>
      <w:r>
        <w:t xml:space="preserve"> (See </w:t>
      </w:r>
      <w:r w:rsidRPr="00DC05D5">
        <w:t>Attachment 2</w:t>
      </w:r>
      <w:r>
        <w:t>)</w:t>
      </w:r>
      <w:r w:rsidRPr="009533EA">
        <w:t>, EPA collects basic exposure-related manufacturing, processing, and use information used by the Agency and others in a wide range of activities. The CDR data collection is on a four-year reporting cycle and mainly contains information drawn from the principal reporting year but also contains some information, by year, from the previous three years. The information collected enable</w:t>
      </w:r>
      <w:r>
        <w:t>s</w:t>
      </w:r>
      <w:r w:rsidRPr="009533EA">
        <w:t xml:space="preserve"> EPA to better understand and interpret the state of U.S. chemical manufacturing, processing, and use, and further enhance</w:t>
      </w:r>
      <w:r>
        <w:t>s</w:t>
      </w:r>
      <w:r w:rsidRPr="009533EA">
        <w:t xml:space="preserve"> EPA’s ability to identify, </w:t>
      </w:r>
      <w:r>
        <w:t>evaluate</w:t>
      </w:r>
      <w:r w:rsidRPr="009533EA">
        <w:t xml:space="preserve">, and manage potential chemical risks. </w:t>
      </w:r>
    </w:p>
    <w:p w:rsidR="000D5E31" w:rsidP="002059F4" w14:paraId="36FA8BB3" w14:textId="1DF3E591">
      <w:pPr>
        <w:pStyle w:val="Heading2"/>
        <w:ind w:left="360"/>
      </w:pPr>
      <w:r w:rsidRPr="00E00E93">
        <w:t>Indicate how, by whom, and for what purpose the information is to be used.  Except for a new collection, indicate the actual use the Agency has made of the information received from the current collection</w:t>
      </w:r>
      <w:bookmarkEnd w:id="4"/>
      <w:r w:rsidR="000E28F2">
        <w:t xml:space="preserve">. </w:t>
      </w:r>
    </w:p>
    <w:p w:rsidR="00CD611B" w:rsidRPr="009533EA" w:rsidP="00A929BD" w14:paraId="55D482EA" w14:textId="477AA1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pPr>
      <w:r w:rsidRPr="009533EA">
        <w:t>The CDR information collection is the only mechanism through which EPA</w:t>
      </w:r>
      <w:r>
        <w:t xml:space="preserve"> routinely</w:t>
      </w:r>
      <w:r w:rsidRPr="009533EA">
        <w:t xml:space="preserve"> collects basic information on commercial chemical substances listed on the TSCA Inventory, including production volume and other manufacturing (including importing), processing, and use exposure-related data. This collection of information is key to strengthening EPA’s TSCA program, by providing exposure-related data needed to develop an understanding of chemical risks. Past improvements of the CDR collection during the last </w:t>
      </w:r>
      <w:r w:rsidR="0003111A">
        <w:t>several</w:t>
      </w:r>
      <w:r w:rsidRPr="009533EA">
        <w:t xml:space="preserve"> reporting cycles resulted in data that are more transparent, more </w:t>
      </w:r>
      <w:r w:rsidRPr="009533EA">
        <w:t xml:space="preserve">useful, and </w:t>
      </w:r>
      <w:r w:rsidR="0003111A">
        <w:t xml:space="preserve">provided </w:t>
      </w:r>
      <w:r w:rsidRPr="009533EA">
        <w:t xml:space="preserve">in a more useable format. An increased quality and reliability of the data, faster access to the data, and an increased amount of data for the public have vastly expanded the usefulness of the CDR data.  </w:t>
      </w:r>
    </w:p>
    <w:p w:rsidR="00CD611B" w:rsidRPr="00BF571F" w:rsidP="00F4767D" w14:paraId="54AF2A2A" w14:textId="77777777">
      <w:r w:rsidRPr="00BF571F">
        <w:t>CDR data provide basic exposure information which helps EPA fulfill its environmental protection mandate. For example, CDR data:</w:t>
      </w:r>
    </w:p>
    <w:p w:rsidR="00CD611B" w:rsidRPr="007C1271" w:rsidP="00A929BD" w14:paraId="5EF18152" w14:textId="77777777">
      <w:pPr>
        <w:pStyle w:val="BodyText"/>
        <w:widowControl/>
        <w:numPr>
          <w:ilvl w:val="0"/>
          <w:numId w:val="15"/>
        </w:numPr>
        <w:autoSpaceDE/>
        <w:autoSpaceDN/>
        <w:adjustRightInd/>
        <w:spacing w:after="200" w:line="276" w:lineRule="auto"/>
      </w:pPr>
      <w:r w:rsidRPr="007C1271">
        <w:t xml:space="preserve">Provide a “current picture” of a chemical, industry, or use by reporting information not otherwise available for chemicals listed on the TSCA Inventory. </w:t>
      </w:r>
    </w:p>
    <w:p w:rsidR="00CD611B" w:rsidRPr="007C1271" w:rsidP="00A929BD" w14:paraId="71FB0E7D" w14:textId="77777777">
      <w:pPr>
        <w:pStyle w:val="BodyText"/>
        <w:widowControl/>
        <w:numPr>
          <w:ilvl w:val="0"/>
          <w:numId w:val="15"/>
        </w:numPr>
        <w:autoSpaceDE/>
        <w:autoSpaceDN/>
        <w:adjustRightInd/>
        <w:spacing w:after="200" w:line="276" w:lineRule="auto"/>
      </w:pPr>
      <w:r w:rsidRPr="007C1271">
        <w:t>Enable more effective screening of chemicals, their uses, and potential exposures so EPA can prioritize efforts.</w:t>
      </w:r>
    </w:p>
    <w:p w:rsidR="00CD611B" w:rsidRPr="007C1271" w:rsidP="00A929BD" w14:paraId="4767BA3C" w14:textId="77777777">
      <w:pPr>
        <w:pStyle w:val="BodyText"/>
        <w:widowControl/>
        <w:numPr>
          <w:ilvl w:val="0"/>
          <w:numId w:val="15"/>
        </w:numPr>
        <w:autoSpaceDE/>
        <w:autoSpaceDN/>
        <w:adjustRightInd/>
        <w:spacing w:after="200" w:line="276" w:lineRule="auto"/>
      </w:pPr>
      <w:r w:rsidRPr="007C1271">
        <w:t>Provide information useful for measuring the progress of regulatory or voluntary programs.</w:t>
      </w:r>
    </w:p>
    <w:p w:rsidR="00CD611B" w:rsidP="00A929BD" w14:paraId="71606E21" w14:textId="77777777">
      <w:pPr>
        <w:pStyle w:val="BodyText"/>
        <w:widowControl/>
        <w:numPr>
          <w:ilvl w:val="0"/>
          <w:numId w:val="15"/>
        </w:numPr>
        <w:autoSpaceDE/>
        <w:autoSpaceDN/>
        <w:adjustRightInd/>
        <w:spacing w:after="200" w:line="276" w:lineRule="auto"/>
      </w:pPr>
      <w:r w:rsidRPr="007C1271">
        <w:t>Allow EPA to identify industry trends.</w:t>
      </w:r>
    </w:p>
    <w:p w:rsidR="00CD611B" w:rsidRPr="00BF571F" w:rsidP="00F4767D" w14:paraId="60A2A671" w14:textId="352AA137">
      <w:r w:rsidRPr="00BF571F">
        <w:t>TSCA section 6 requires EPA to develop an</w:t>
      </w:r>
      <w:r w:rsidRPr="000D40CB">
        <w:t>d use a process to designate</w:t>
      </w:r>
      <w:r w:rsidRPr="00BF571F">
        <w:t xml:space="preserve"> the priority of chemical substances, and that the process:</w:t>
      </w:r>
    </w:p>
    <w:p w:rsidR="00CD611B" w:rsidP="00A929BD" w14:paraId="5AD82FB1" w14:textId="77777777">
      <w:pPr>
        <w:ind w:left="720"/>
        <w:rPr>
          <w:rFonts w:eastAsia="Times New Roman" w:cs="Times New Roman"/>
        </w:rPr>
      </w:pPr>
      <w:r w:rsidRPr="009533EA">
        <w:rPr>
          <w:rFonts w:eastAsia="Times New Roman" w:cs="Times New Roman"/>
        </w:rPr>
        <w:t>…shall include a consideration of the hazard and exposure potential of a chemical substance or a category of chemical substances (including consideration of persistence and bioaccumulation, potentially exposed or susceptible subpopulations and storage near significant sources of drinking water), the conditions of use or significant changes in the conditions of use of the chemical substance, and the volume or significant changes in the volume of the chemical substance manufactured or proce</w:t>
      </w:r>
      <w:r>
        <w:rPr>
          <w:rFonts w:eastAsia="Times New Roman" w:cs="Times New Roman"/>
        </w:rPr>
        <w:t>ssed. [TSCA section 6(b)(1)(A)]</w:t>
      </w:r>
    </w:p>
    <w:p w:rsidR="00CD611B" w:rsidRPr="000C2497" w:rsidP="00A929BD" w14:paraId="32AA6FB2" w14:textId="77777777">
      <w:pPr>
        <w:rPr>
          <w:rFonts w:eastAsia="Times New Roman" w:cs="Times New Roman"/>
        </w:rPr>
      </w:pPr>
      <w:r w:rsidRPr="000C2497">
        <w:rPr>
          <w:rFonts w:eastAsia="Times New Roman" w:cs="Times New Roman"/>
        </w:rPr>
        <w:t>CDR data will be i</w:t>
      </w:r>
      <w:r>
        <w:rPr>
          <w:rFonts w:eastAsia="Times New Roman" w:cs="Times New Roman"/>
        </w:rPr>
        <w:t>mportant for characterizing</w:t>
      </w:r>
      <w:r w:rsidRPr="000C2497">
        <w:rPr>
          <w:rFonts w:eastAsia="Times New Roman" w:cs="Times New Roman"/>
        </w:rPr>
        <w:t xml:space="preserve"> the exposure potential, potentially exposed or susceptible subpopulations, the conditions of use, and the </w:t>
      </w:r>
      <w:r>
        <w:rPr>
          <w:rFonts w:eastAsia="Times New Roman" w:cs="Times New Roman"/>
        </w:rPr>
        <w:t xml:space="preserve">production </w:t>
      </w:r>
      <w:r w:rsidRPr="000C2497">
        <w:rPr>
          <w:rFonts w:eastAsia="Times New Roman" w:cs="Times New Roman"/>
        </w:rPr>
        <w:t xml:space="preserve">volume or significant changes in the </w:t>
      </w:r>
      <w:r>
        <w:rPr>
          <w:rFonts w:eastAsia="Times New Roman" w:cs="Times New Roman"/>
        </w:rPr>
        <w:t xml:space="preserve">production </w:t>
      </w:r>
      <w:r w:rsidRPr="000C2497">
        <w:rPr>
          <w:rFonts w:eastAsia="Times New Roman" w:cs="Times New Roman"/>
        </w:rPr>
        <w:t>volume</w:t>
      </w:r>
      <w:r>
        <w:rPr>
          <w:rFonts w:eastAsia="Times New Roman" w:cs="Times New Roman"/>
        </w:rPr>
        <w:t xml:space="preserve"> of chemical substances being considered for priority designation for risk evaluation</w:t>
      </w:r>
      <w:r w:rsidRPr="000C2497">
        <w:rPr>
          <w:rFonts w:eastAsia="Times New Roman" w:cs="Times New Roman"/>
        </w:rPr>
        <w:t xml:space="preserve">.  </w:t>
      </w:r>
    </w:p>
    <w:p w:rsidR="00CD611B" w:rsidRPr="009533EA" w:rsidP="00A929BD" w14:paraId="3FDF812B" w14:textId="77777777">
      <w:r>
        <w:t>Also</w:t>
      </w:r>
      <w:r w:rsidRPr="009533EA">
        <w:t>, CDR data are used in risk evaluation (</w:t>
      </w:r>
      <w:r w:rsidRPr="00512482">
        <w:rPr>
          <w:rFonts w:eastAsia="Times New Roman" w:cs="Times New Roman"/>
        </w:rPr>
        <w:t>including</w:t>
      </w:r>
      <w:r w:rsidRPr="009533EA">
        <w:t xml:space="preserve"> scope development and exposure assessment) to:</w:t>
      </w:r>
    </w:p>
    <w:p w:rsidR="00CD611B" w:rsidRPr="009533EA" w:rsidP="00A929BD" w14:paraId="7C6B31F9" w14:textId="536C3846">
      <w:pPr>
        <w:numPr>
          <w:ilvl w:val="0"/>
          <w:numId w:val="12"/>
        </w:numPr>
        <w:rPr>
          <w:rFonts w:eastAsia="Times New Roman" w:cs="Times New Roman"/>
        </w:rPr>
      </w:pPr>
      <w:r>
        <w:rPr>
          <w:rFonts w:eastAsia="Times New Roman" w:cs="Times New Roman"/>
        </w:rPr>
        <w:t>A</w:t>
      </w:r>
      <w:r w:rsidRPr="009533EA">
        <w:rPr>
          <w:rFonts w:eastAsia="Times New Roman" w:cs="Times New Roman"/>
        </w:rPr>
        <w:t>id in characterizing the life cycle of the chemical (from manufacture, processing, use, and recycling activities)</w:t>
      </w:r>
      <w:r>
        <w:rPr>
          <w:rFonts w:eastAsia="Times New Roman" w:cs="Times New Roman"/>
        </w:rPr>
        <w:t>.</w:t>
      </w:r>
    </w:p>
    <w:p w:rsidR="00CD611B" w:rsidRPr="009533EA" w:rsidP="00A929BD" w14:paraId="3769181E" w14:textId="79B7BACE">
      <w:pPr>
        <w:numPr>
          <w:ilvl w:val="0"/>
          <w:numId w:val="12"/>
        </w:numPr>
        <w:rPr>
          <w:rFonts w:eastAsia="Times New Roman" w:cs="Times New Roman"/>
        </w:rPr>
      </w:pPr>
      <w:r>
        <w:rPr>
          <w:rFonts w:eastAsia="Times New Roman" w:cs="Times New Roman"/>
        </w:rPr>
        <w:t>I</w:t>
      </w:r>
      <w:r w:rsidRPr="009533EA">
        <w:rPr>
          <w:rFonts w:eastAsia="Times New Roman" w:cs="Times New Roman"/>
        </w:rPr>
        <w:t xml:space="preserve">dentify existing conditions of use based on industrial processing and use </w:t>
      </w:r>
      <w:r>
        <w:rPr>
          <w:rFonts w:eastAsia="Times New Roman" w:cs="Times New Roman"/>
        </w:rPr>
        <w:t xml:space="preserve">reporting </w:t>
      </w:r>
      <w:r w:rsidRPr="009533EA">
        <w:rPr>
          <w:rFonts w:eastAsia="Times New Roman" w:cs="Times New Roman"/>
        </w:rPr>
        <w:t xml:space="preserve">as well as </w:t>
      </w:r>
      <w:r>
        <w:rPr>
          <w:rFonts w:eastAsia="Times New Roman" w:cs="Times New Roman"/>
        </w:rPr>
        <w:t xml:space="preserve">reporting on the use of a CDR chemical in </w:t>
      </w:r>
      <w:r w:rsidRPr="009533EA">
        <w:rPr>
          <w:rFonts w:eastAsia="Times New Roman" w:cs="Times New Roman"/>
        </w:rPr>
        <w:t>commercial and consumer products</w:t>
      </w:r>
      <w:r w:rsidR="00A6287F">
        <w:rPr>
          <w:rFonts w:eastAsia="Times New Roman" w:cs="Times New Roman"/>
        </w:rPr>
        <w:t>.</w:t>
      </w:r>
    </w:p>
    <w:p w:rsidR="00CD611B" w:rsidRPr="009533EA" w:rsidP="00A929BD" w14:paraId="55CEF7B6" w14:textId="102F77CD">
      <w:pPr>
        <w:numPr>
          <w:ilvl w:val="0"/>
          <w:numId w:val="12"/>
        </w:numPr>
        <w:rPr>
          <w:rFonts w:eastAsia="Times New Roman" w:cs="Times New Roman"/>
        </w:rPr>
      </w:pPr>
      <w:r>
        <w:rPr>
          <w:rFonts w:eastAsia="Times New Roman" w:cs="Times New Roman"/>
        </w:rPr>
        <w:t>I</w:t>
      </w:r>
      <w:r w:rsidRPr="009533EA">
        <w:rPr>
          <w:rFonts w:eastAsia="Times New Roman" w:cs="Times New Roman"/>
        </w:rPr>
        <w:t>dentify potentially exposed or susceptible subpopulations (e.g.</w:t>
      </w:r>
      <w:r w:rsidR="00062044">
        <w:rPr>
          <w:rFonts w:eastAsia="Times New Roman" w:cs="Times New Roman"/>
        </w:rPr>
        <w:t>,</w:t>
      </w:r>
      <w:r w:rsidRPr="009533EA">
        <w:rPr>
          <w:rFonts w:eastAsia="Times New Roman" w:cs="Times New Roman"/>
        </w:rPr>
        <w:t xml:space="preserve"> number of workers, use in children’s products)</w:t>
      </w:r>
      <w:r>
        <w:rPr>
          <w:rFonts w:eastAsia="Times New Roman" w:cs="Times New Roman"/>
        </w:rPr>
        <w:t>.</w:t>
      </w:r>
    </w:p>
    <w:p w:rsidR="00CD611B" w:rsidP="00A929BD" w14:paraId="0001DF88" w14:textId="7749CE35">
      <w:pPr>
        <w:numPr>
          <w:ilvl w:val="0"/>
          <w:numId w:val="12"/>
        </w:numPr>
        <w:rPr>
          <w:rFonts w:eastAsia="Times New Roman" w:cs="Times New Roman"/>
        </w:rPr>
      </w:pPr>
      <w:r>
        <w:rPr>
          <w:rFonts w:eastAsia="Times New Roman" w:cs="Times New Roman"/>
        </w:rPr>
        <w:t>E</w:t>
      </w:r>
      <w:r w:rsidRPr="009533EA">
        <w:rPr>
          <w:rFonts w:eastAsia="Times New Roman" w:cs="Times New Roman"/>
        </w:rPr>
        <w:t>stimate releases and exposures associated with conditions of use</w:t>
      </w:r>
      <w:r>
        <w:rPr>
          <w:rFonts w:eastAsia="Times New Roman" w:cs="Times New Roman"/>
        </w:rPr>
        <w:t>.</w:t>
      </w:r>
    </w:p>
    <w:p w:rsidR="00CD611B" w:rsidRPr="00282359" w:rsidP="00A929BD" w14:paraId="22829392" w14:textId="1463E795">
      <w:pPr>
        <w:rPr>
          <w:rFonts w:eastAsia="Times New Roman" w:cs="Times New Roman"/>
        </w:rPr>
      </w:pPr>
      <w:r w:rsidRPr="00282359">
        <w:rPr>
          <w:rFonts w:eastAsia="Times New Roman" w:cs="Times New Roman"/>
        </w:rPr>
        <w:t>Specific examples</w:t>
      </w:r>
      <w:r>
        <w:rPr>
          <w:rFonts w:eastAsia="Times New Roman" w:cs="Times New Roman"/>
        </w:rPr>
        <w:t xml:space="preserve"> of </w:t>
      </w:r>
      <w:r w:rsidRPr="009533EA">
        <w:t>CDR data used in risk evaluation</w:t>
      </w:r>
      <w:r w:rsidRPr="00282359">
        <w:rPr>
          <w:rFonts w:eastAsia="Times New Roman" w:cs="Times New Roman"/>
        </w:rPr>
        <w:t>:</w:t>
      </w:r>
    </w:p>
    <w:p w:rsidR="00CD611B" w:rsidRPr="009533EA" w:rsidP="00A929BD" w14:paraId="0664149F" w14:textId="2D1C849E">
      <w:pPr>
        <w:numPr>
          <w:ilvl w:val="0"/>
          <w:numId w:val="13"/>
        </w:numPr>
        <w:contextualSpacing/>
        <w:rPr>
          <w:rFonts w:eastAsia="Times New Roman" w:cs="Times New Roman"/>
        </w:rPr>
      </w:pPr>
      <w:r w:rsidRPr="009533EA">
        <w:rPr>
          <w:rFonts w:eastAsia="Times New Roman" w:cs="Times New Roman"/>
        </w:rPr>
        <w:t xml:space="preserve">In 2012 (and updated in 2014), EPA screened all existing chemicals to identify candidates for assessment over the next several years. The screening process used to identify these chemicals is detailed in the </w:t>
      </w:r>
      <w:hyperlink r:id="rId11" w:history="1">
        <w:r w:rsidRPr="009533EA">
          <w:rPr>
            <w:rFonts w:eastAsia="Times New Roman" w:cs="Times New Roman"/>
            <w:color w:val="0000FF"/>
            <w:u w:val="single"/>
          </w:rPr>
          <w:t>TSCA Work Plan Chemicals Methods Document</w:t>
        </w:r>
      </w:hyperlink>
      <w:r w:rsidRPr="009533EA">
        <w:rPr>
          <w:rFonts w:eastAsia="Times New Roman" w:cs="Times New Roman"/>
        </w:rPr>
        <w:t xml:space="preserve">. This process used CDR data to develop an exposure score, which included identifying if children were likely to be exposed, determining the potential for release when TRI data were not available, identifying the production volume and number of sites, and developing rankings based on the industrial processing and use and on the consumer/commercial uses. Ultimately, 345 chemical substances or chemical compound categories </w:t>
      </w:r>
      <w:r w:rsidRPr="009533EA">
        <w:rPr>
          <w:rFonts w:eastAsia="Times New Roman" w:cs="Times New Roman"/>
        </w:rPr>
        <w:t>were screened,</w:t>
      </w:r>
      <w:r w:rsidRPr="009533EA">
        <w:rPr>
          <w:rFonts w:eastAsia="Times New Roman" w:cs="Times New Roman"/>
        </w:rPr>
        <w:t xml:space="preserve"> from which 90 in 2014 were identified as the TSCA Work Plan Chemicals, or chemicals the Agency identified as high priority for risk assessment. </w:t>
      </w:r>
    </w:p>
    <w:p w:rsidR="00CD611B" w:rsidRPr="009533EA" w:rsidP="00A929BD" w14:paraId="4877BD4D" w14:textId="77777777">
      <w:pPr>
        <w:numPr>
          <w:ilvl w:val="0"/>
          <w:numId w:val="13"/>
        </w:numPr>
        <w:contextualSpacing/>
        <w:rPr>
          <w:rFonts w:eastAsia="Times New Roman" w:cs="Times New Roman"/>
        </w:rPr>
      </w:pPr>
      <w:r w:rsidRPr="009533EA">
        <w:rPr>
          <w:rFonts w:eastAsia="Times New Roman" w:cs="Times New Roman"/>
        </w:rPr>
        <w:t xml:space="preserve">The </w:t>
      </w:r>
      <w:r>
        <w:rPr>
          <w:rFonts w:eastAsia="Times New Roman" w:cs="Times New Roman"/>
        </w:rPr>
        <w:t xml:space="preserve">2014 </w:t>
      </w:r>
      <w:r w:rsidRPr="009533EA">
        <w:rPr>
          <w:rFonts w:eastAsia="Times New Roman" w:cs="Times New Roman"/>
        </w:rPr>
        <w:t xml:space="preserve">TSCA Work Plan will continue to inform future prioritization of chemicals for risk evaluation under TSCA as amended by </w:t>
      </w:r>
      <w:r>
        <w:rPr>
          <w:rFonts w:eastAsia="Times New Roman" w:cs="Times New Roman"/>
        </w:rPr>
        <w:t xml:space="preserve">the </w:t>
      </w:r>
      <w:r w:rsidRPr="009533EA">
        <w:rPr>
          <w:rFonts w:eastAsia="Times New Roman" w:cs="Times New Roman"/>
        </w:rPr>
        <w:t xml:space="preserve">Lautenberg Act. </w:t>
      </w:r>
    </w:p>
    <w:p w:rsidR="00CD611B" w:rsidRPr="009533EA" w:rsidP="00A929BD" w14:paraId="34A60CE3" w14:textId="7AE1A108">
      <w:pPr>
        <w:numPr>
          <w:ilvl w:val="0"/>
          <w:numId w:val="13"/>
        </w:numPr>
        <w:contextualSpacing/>
        <w:rPr>
          <w:rFonts w:eastAsia="Times New Roman" w:cs="Times New Roman"/>
        </w:rPr>
      </w:pPr>
      <w:r w:rsidRPr="009533EA">
        <w:rPr>
          <w:rFonts w:eastAsia="Times New Roman" w:cs="Times New Roman"/>
        </w:rPr>
        <w:t xml:space="preserve">In 2016, EPA announced the </w:t>
      </w:r>
      <w:hyperlink r:id="rId12" w:history="1">
        <w:r w:rsidRPr="009533EA">
          <w:rPr>
            <w:rFonts w:eastAsia="Times New Roman" w:cs="Times New Roman"/>
            <w:color w:val="0000FF"/>
            <w:u w:val="single"/>
          </w:rPr>
          <w:t>first 10 chemicals</w:t>
        </w:r>
      </w:hyperlink>
      <w:r w:rsidRPr="009533EA">
        <w:rPr>
          <w:rFonts w:eastAsia="Times New Roman" w:cs="Times New Roman"/>
        </w:rPr>
        <w:t xml:space="preserve">  for risk evaluation, as required by </w:t>
      </w:r>
      <w:r>
        <w:rPr>
          <w:rFonts w:eastAsia="Times New Roman" w:cs="Times New Roman"/>
        </w:rPr>
        <w:t>TSCA</w:t>
      </w:r>
      <w:r w:rsidRPr="009533EA">
        <w:rPr>
          <w:rFonts w:eastAsia="Times New Roman" w:cs="Times New Roman"/>
        </w:rPr>
        <w:t xml:space="preserve">. As part of this process, EPA </w:t>
      </w:r>
      <w:hyperlink r:id="rId12" w:anchor="ten" w:history="1">
        <w:r w:rsidRPr="009533EA">
          <w:rPr>
            <w:rFonts w:eastAsia="Times New Roman" w:cs="Times New Roman"/>
            <w:color w:val="0000FF"/>
            <w:u w:val="single"/>
          </w:rPr>
          <w:t xml:space="preserve">published the scope of </w:t>
        </w:r>
        <w:r>
          <w:rPr>
            <w:rFonts w:eastAsia="Times New Roman" w:cs="Times New Roman"/>
            <w:color w:val="0000FF"/>
            <w:u w:val="single"/>
          </w:rPr>
          <w:t>each</w:t>
        </w:r>
        <w:r w:rsidRPr="009533EA">
          <w:rPr>
            <w:rFonts w:eastAsia="Times New Roman" w:cs="Times New Roman"/>
            <w:color w:val="0000FF"/>
            <w:u w:val="single"/>
          </w:rPr>
          <w:t xml:space="preserve"> risk evaluation</w:t>
        </w:r>
      </w:hyperlink>
      <w:r w:rsidRPr="009533EA">
        <w:rPr>
          <w:rFonts w:eastAsia="Times New Roman" w:cs="Times New Roman"/>
        </w:rPr>
        <w:t xml:space="preserve"> to be conducted. These scope documents utilized CDR data to identify potential exposures, conditions of use and potentially exposed or susceptible subpopulations that the Agency expects to consider during the risk evaluation. </w:t>
      </w:r>
      <w:r w:rsidR="00640B76">
        <w:rPr>
          <w:rFonts w:eastAsia="Times New Roman" w:cs="Times New Roman"/>
        </w:rPr>
        <w:t>EPA continues to develop</w:t>
      </w:r>
      <w:r w:rsidR="00ED110B">
        <w:rPr>
          <w:rFonts w:eastAsia="Times New Roman" w:cs="Times New Roman"/>
        </w:rPr>
        <w:t xml:space="preserve"> </w:t>
      </w:r>
      <w:r w:rsidR="006C6C37">
        <w:rPr>
          <w:rFonts w:eastAsia="Times New Roman" w:cs="Times New Roman"/>
        </w:rPr>
        <w:t>scoping documents for additional chemicals, beyond the original 10</w:t>
      </w:r>
      <w:r w:rsidR="00DA199A">
        <w:rPr>
          <w:rFonts w:eastAsia="Times New Roman" w:cs="Times New Roman"/>
        </w:rPr>
        <w:t xml:space="preserve"> chemicals.</w:t>
      </w:r>
    </w:p>
    <w:p w:rsidR="00CD611B" w:rsidRPr="009533EA" w:rsidP="00A929BD" w14:paraId="6149391A" w14:textId="77777777">
      <w:pPr>
        <w:numPr>
          <w:ilvl w:val="0"/>
          <w:numId w:val="13"/>
        </w:numPr>
        <w:contextualSpacing/>
        <w:rPr>
          <w:rFonts w:eastAsia="Times New Roman" w:cs="Times New Roman"/>
        </w:rPr>
      </w:pPr>
      <w:r w:rsidRPr="00AC0A9B">
        <w:rPr>
          <w:rFonts w:eastAsia="Times New Roman" w:cs="Times New Roman"/>
        </w:rPr>
        <w:t>OPPT develops Emission Scenario Docu</w:t>
      </w:r>
      <w:r>
        <w:rPr>
          <w:rFonts w:eastAsia="Times New Roman" w:cs="Times New Roman"/>
        </w:rPr>
        <w:t>ments (ESDs) used by the Organis</w:t>
      </w:r>
      <w:r w:rsidRPr="00AC0A9B">
        <w:rPr>
          <w:rFonts w:eastAsia="Times New Roman" w:cs="Times New Roman"/>
        </w:rPr>
        <w:t>ation for Economic Cooperation and Development (OECD) and industry-specific generic scenarios for use in developing occupational exposure and environmental release estimates of chemicals for specific use scenarios</w:t>
      </w:r>
      <w:r>
        <w:rPr>
          <w:rFonts w:eastAsia="Times New Roman" w:cs="Times New Roman"/>
        </w:rPr>
        <w:t>.</w:t>
      </w:r>
      <w:r w:rsidRPr="009533EA">
        <w:rPr>
          <w:rFonts w:eastAsia="Times New Roman" w:cs="Times New Roman"/>
        </w:rPr>
        <w:t xml:space="preserve"> CDR data are used in generic scenario / ESD development to:</w:t>
      </w:r>
    </w:p>
    <w:p w:rsidR="00CD611B" w:rsidRPr="009533EA" w:rsidP="00A929BD" w14:paraId="51209614" w14:textId="79A968B9">
      <w:pPr>
        <w:numPr>
          <w:ilvl w:val="1"/>
          <w:numId w:val="13"/>
        </w:numPr>
        <w:contextualSpacing/>
        <w:rPr>
          <w:rFonts w:eastAsia="Times New Roman" w:cs="Times New Roman"/>
        </w:rPr>
      </w:pPr>
      <w:r w:rsidRPr="009533EA">
        <w:rPr>
          <w:rFonts w:eastAsia="Times New Roman" w:cs="Times New Roman"/>
        </w:rPr>
        <w:t>identify types of chemicals commonly used and their functions in the industry of interest</w:t>
      </w:r>
      <w:r w:rsidR="006C73F3">
        <w:rPr>
          <w:rFonts w:eastAsia="Times New Roman" w:cs="Times New Roman"/>
        </w:rPr>
        <w:t>,</w:t>
      </w:r>
    </w:p>
    <w:p w:rsidR="00CD611B" w:rsidRPr="009533EA" w:rsidP="00A929BD" w14:paraId="6A2A4BDD" w14:textId="750FF241">
      <w:pPr>
        <w:numPr>
          <w:ilvl w:val="1"/>
          <w:numId w:val="13"/>
        </w:numPr>
        <w:contextualSpacing/>
        <w:rPr>
          <w:rFonts w:eastAsia="Times New Roman" w:cs="Times New Roman"/>
        </w:rPr>
      </w:pPr>
      <w:r w:rsidRPr="009533EA">
        <w:rPr>
          <w:rFonts w:eastAsia="Times New Roman" w:cs="Times New Roman"/>
        </w:rPr>
        <w:t>estimate number of potentially exposed workers per site</w:t>
      </w:r>
      <w:r w:rsidR="006C73F3">
        <w:rPr>
          <w:rFonts w:eastAsia="Times New Roman" w:cs="Times New Roman"/>
        </w:rPr>
        <w:t>, and</w:t>
      </w:r>
    </w:p>
    <w:p w:rsidR="00CD611B" w:rsidP="00A929BD" w14:paraId="73AD4BE0" w14:textId="77777777">
      <w:pPr>
        <w:numPr>
          <w:ilvl w:val="1"/>
          <w:numId w:val="13"/>
        </w:numPr>
        <w:contextualSpacing/>
        <w:rPr>
          <w:rFonts w:eastAsia="Times New Roman" w:cs="Times New Roman"/>
        </w:rPr>
      </w:pPr>
      <w:r w:rsidRPr="009533EA">
        <w:rPr>
          <w:rFonts w:eastAsia="Times New Roman" w:cs="Times New Roman"/>
        </w:rPr>
        <w:t>develop estimates of exposure levels and releases</w:t>
      </w:r>
      <w:r>
        <w:rPr>
          <w:rFonts w:eastAsia="Times New Roman" w:cs="Times New Roman"/>
        </w:rPr>
        <w:t>.</w:t>
      </w:r>
    </w:p>
    <w:p w:rsidR="00CD611B" w:rsidRPr="009533EA" w:rsidP="00A929BD" w14:paraId="5A44D479" w14:textId="77777777">
      <w:pPr>
        <w:ind w:left="1440"/>
        <w:contextualSpacing/>
        <w:rPr>
          <w:rFonts w:eastAsia="Times New Roman" w:cs="Times New Roman"/>
        </w:rPr>
      </w:pPr>
    </w:p>
    <w:p w:rsidR="00CD611B" w:rsidRPr="00282359" w:rsidP="00A929BD" w14:paraId="1D9808CA" w14:textId="77777777">
      <w:pPr>
        <w:rPr>
          <w:rFonts w:eastAsia="Times New Roman" w:cs="Times New Roman"/>
        </w:rPr>
      </w:pPr>
      <w:r w:rsidRPr="00282359">
        <w:rPr>
          <w:rFonts w:eastAsia="Times New Roman" w:cs="Times New Roman"/>
        </w:rPr>
        <w:t xml:space="preserve">Other offices in EPA rely on CDR data: </w:t>
      </w:r>
    </w:p>
    <w:p w:rsidR="00CD611B" w:rsidRPr="009533EA" w:rsidP="00A929BD" w14:paraId="6C95F742" w14:textId="77777777">
      <w:pPr>
        <w:numPr>
          <w:ilvl w:val="0"/>
          <w:numId w:val="13"/>
        </w:numPr>
        <w:contextualSpacing/>
        <w:rPr>
          <w:rFonts w:eastAsia="Times New Roman" w:cs="Times New Roman"/>
        </w:rPr>
      </w:pPr>
      <w:r w:rsidRPr="009533EA">
        <w:rPr>
          <w:rFonts w:eastAsia="Times New Roman" w:cs="Times New Roman"/>
        </w:rPr>
        <w:t>ORD (Office of Research and Development) uses CDR data in the development of life-cycle inventories (LCIs) to:</w:t>
      </w:r>
    </w:p>
    <w:p w:rsidR="00CD611B" w:rsidRPr="009533EA" w:rsidP="00A929BD" w14:paraId="503BA2ED" w14:textId="292C6BA9">
      <w:pPr>
        <w:numPr>
          <w:ilvl w:val="1"/>
          <w:numId w:val="13"/>
        </w:numPr>
        <w:contextualSpacing/>
        <w:rPr>
          <w:rFonts w:eastAsia="Times New Roman" w:cs="Times New Roman"/>
        </w:rPr>
      </w:pPr>
      <w:r w:rsidRPr="009533EA">
        <w:rPr>
          <w:rFonts w:eastAsia="Times New Roman" w:cs="Times New Roman"/>
        </w:rPr>
        <w:t>aid in characterizing the life cycle of the chemical</w:t>
      </w:r>
      <w:r w:rsidR="00226F11">
        <w:rPr>
          <w:rFonts w:eastAsia="Times New Roman" w:cs="Times New Roman"/>
        </w:rPr>
        <w:t xml:space="preserve"> and </w:t>
      </w:r>
    </w:p>
    <w:p w:rsidR="00CD611B" w:rsidRPr="009533EA" w:rsidP="00A929BD" w14:paraId="1AE632FE" w14:textId="282AFFCC">
      <w:pPr>
        <w:numPr>
          <w:ilvl w:val="1"/>
          <w:numId w:val="13"/>
        </w:numPr>
        <w:contextualSpacing/>
        <w:rPr>
          <w:rFonts w:eastAsia="Times New Roman" w:cs="Times New Roman"/>
        </w:rPr>
      </w:pPr>
      <w:r w:rsidRPr="009533EA">
        <w:rPr>
          <w:rFonts w:eastAsia="Times New Roman" w:cs="Times New Roman"/>
        </w:rPr>
        <w:t>develop standardized emission/release estimates (i.e., per 1 kg chemical) during chemical production</w:t>
      </w:r>
      <w:r w:rsidR="00226F11">
        <w:rPr>
          <w:rFonts w:eastAsia="Times New Roman" w:cs="Times New Roman"/>
        </w:rPr>
        <w:t>.</w:t>
      </w:r>
    </w:p>
    <w:p w:rsidR="00CD611B" w:rsidRPr="009533EA" w:rsidP="00A929BD" w14:paraId="0C3F0C66" w14:textId="77777777">
      <w:pPr>
        <w:numPr>
          <w:ilvl w:val="0"/>
          <w:numId w:val="13"/>
        </w:numPr>
        <w:contextualSpacing/>
        <w:rPr>
          <w:rFonts w:eastAsia="Times New Roman" w:cs="Times New Roman"/>
        </w:rPr>
      </w:pPr>
      <w:r w:rsidRPr="009533EA">
        <w:rPr>
          <w:rFonts w:eastAsia="Times New Roman" w:cs="Times New Roman"/>
        </w:rPr>
        <w:t xml:space="preserve">OW (Office of Water) uses CDR data in the development of effluent guidelines to: </w:t>
      </w:r>
    </w:p>
    <w:p w:rsidR="00CD611B" w:rsidRPr="009533EA" w:rsidP="00A929BD" w14:paraId="69CB5B86" w14:textId="3699C894">
      <w:pPr>
        <w:numPr>
          <w:ilvl w:val="1"/>
          <w:numId w:val="13"/>
        </w:numPr>
        <w:contextualSpacing/>
        <w:rPr>
          <w:rFonts w:eastAsia="Times New Roman" w:cs="Times New Roman"/>
        </w:rPr>
      </w:pPr>
      <w:r w:rsidRPr="009533EA">
        <w:rPr>
          <w:rFonts w:eastAsia="Times New Roman" w:cs="Times New Roman"/>
        </w:rPr>
        <w:t>identify facilities in industry sectors of interest for development of new effluent guidelines</w:t>
      </w:r>
      <w:r w:rsidR="00226F11">
        <w:rPr>
          <w:rFonts w:eastAsia="Times New Roman" w:cs="Times New Roman"/>
        </w:rPr>
        <w:t xml:space="preserve"> and</w:t>
      </w:r>
    </w:p>
    <w:p w:rsidR="00CD611B" w:rsidRPr="009533EA" w:rsidP="00A929BD" w14:paraId="398325E8" w14:textId="44B0B5D3">
      <w:pPr>
        <w:numPr>
          <w:ilvl w:val="1"/>
          <w:numId w:val="13"/>
        </w:numPr>
        <w:contextualSpacing/>
        <w:rPr>
          <w:rFonts w:eastAsia="Times New Roman" w:cs="Times New Roman"/>
        </w:rPr>
      </w:pPr>
      <w:r w:rsidRPr="009533EA">
        <w:rPr>
          <w:rFonts w:eastAsia="Times New Roman" w:cs="Times New Roman"/>
        </w:rPr>
        <w:t>identify chemicals of interest and their associated processing and use activities (part of Annual Effluent Guideline Review Reports)</w:t>
      </w:r>
      <w:r w:rsidR="00226F11">
        <w:rPr>
          <w:rFonts w:eastAsia="Times New Roman" w:cs="Times New Roman"/>
        </w:rPr>
        <w:t>.</w:t>
      </w:r>
    </w:p>
    <w:p w:rsidR="00CD611B" w:rsidRPr="009533EA" w:rsidP="00A929BD" w14:paraId="77520347" w14:textId="77777777">
      <w:pPr>
        <w:numPr>
          <w:ilvl w:val="0"/>
          <w:numId w:val="13"/>
        </w:numPr>
        <w:contextualSpacing/>
        <w:rPr>
          <w:rFonts w:eastAsia="Times New Roman" w:cs="Times New Roman"/>
        </w:rPr>
      </w:pPr>
      <w:r w:rsidRPr="009533EA">
        <w:rPr>
          <w:rFonts w:eastAsia="Times New Roman" w:cs="Times New Roman"/>
        </w:rPr>
        <w:t xml:space="preserve">OECA (Office of Enforcement and Compliance Assurance) uses CDR data to: </w:t>
      </w:r>
    </w:p>
    <w:p w:rsidR="00CD611B" w:rsidRPr="009533EA" w:rsidP="00A929BD" w14:paraId="2054BE5F" w14:textId="4A3C4B40">
      <w:pPr>
        <w:numPr>
          <w:ilvl w:val="1"/>
          <w:numId w:val="13"/>
        </w:numPr>
        <w:contextualSpacing/>
        <w:rPr>
          <w:rFonts w:eastAsia="Times New Roman" w:cs="Times New Roman"/>
        </w:rPr>
      </w:pPr>
      <w:r w:rsidRPr="009533EA">
        <w:rPr>
          <w:rFonts w:eastAsia="Times New Roman" w:cs="Times New Roman"/>
        </w:rPr>
        <w:t>analyze chemical manufacturing production volume trends over time and correlate production with facility discharges to evaluate potential noncompliance and define compliance assistance efforts</w:t>
      </w:r>
      <w:r w:rsidR="00226F11">
        <w:rPr>
          <w:rFonts w:eastAsia="Times New Roman" w:cs="Times New Roman"/>
        </w:rPr>
        <w:t>.</w:t>
      </w:r>
    </w:p>
    <w:p w:rsidR="006F1C05" w:rsidP="00A929BD" w14:paraId="302F435D" w14:textId="77777777">
      <w:pPr>
        <w:rPr>
          <w:rFonts w:eastAsia="Times New Roman" w:cs="Times New Roman"/>
        </w:rPr>
      </w:pPr>
    </w:p>
    <w:p w:rsidR="00CD611B" w:rsidP="00A929BD" w14:paraId="280B3F2C" w14:textId="5B037F16">
      <w:pPr>
        <w:rPr>
          <w:rFonts w:eastAsia="Times New Roman" w:cs="Times New Roman"/>
        </w:rPr>
      </w:pPr>
      <w:r w:rsidRPr="009533EA">
        <w:rPr>
          <w:rFonts w:eastAsia="Times New Roman" w:cs="Times New Roman"/>
        </w:rPr>
        <w:t>Other Federal Agencies</w:t>
      </w:r>
      <w:r>
        <w:rPr>
          <w:rFonts w:eastAsia="Times New Roman" w:cs="Times New Roman"/>
        </w:rPr>
        <w:t xml:space="preserve"> use CDR data</w:t>
      </w:r>
      <w:r w:rsidRPr="009533EA">
        <w:rPr>
          <w:rFonts w:eastAsia="Times New Roman" w:cs="Times New Roman"/>
        </w:rPr>
        <w:t>:</w:t>
      </w:r>
    </w:p>
    <w:p w:rsidR="00CD611B" w:rsidRPr="009533EA" w:rsidP="00A929BD" w14:paraId="528333DB" w14:textId="77777777">
      <w:pPr>
        <w:numPr>
          <w:ilvl w:val="0"/>
          <w:numId w:val="14"/>
        </w:numPr>
        <w:contextualSpacing/>
        <w:rPr>
          <w:rFonts w:eastAsia="Times New Roman" w:cs="Times New Roman"/>
        </w:rPr>
      </w:pPr>
      <w:r w:rsidRPr="009533EA">
        <w:rPr>
          <w:rFonts w:eastAsia="Times New Roman" w:cs="Times New Roman"/>
        </w:rPr>
        <w:t>Occupational Safety and Health Administration (OSHA):</w:t>
      </w:r>
    </w:p>
    <w:p w:rsidR="00CD611B" w:rsidRPr="009533EA" w:rsidP="00A929BD" w14:paraId="0E692D3B" w14:textId="2E7A84C7">
      <w:pPr>
        <w:numPr>
          <w:ilvl w:val="1"/>
          <w:numId w:val="14"/>
        </w:numPr>
        <w:contextualSpacing/>
        <w:rPr>
          <w:rFonts w:eastAsia="Times New Roman" w:cs="Times New Roman"/>
        </w:rPr>
      </w:pPr>
      <w:r w:rsidRPr="009533EA">
        <w:rPr>
          <w:rFonts w:eastAsia="Times New Roman" w:cs="Times New Roman"/>
        </w:rPr>
        <w:t>uses the production and use information to better understand worker exposure and industries where exposure may occur (</w:t>
      </w:r>
      <w:hyperlink r:id="rId13" w:history="1">
        <w:r w:rsidRPr="009533EA">
          <w:rPr>
            <w:rFonts w:eastAsia="Times New Roman" w:cs="Times New Roman"/>
            <w:color w:val="0000FF"/>
            <w:u w:val="single"/>
          </w:rPr>
          <w:t>FR Doc No: 2014-24009</w:t>
        </w:r>
      </w:hyperlink>
      <w:r w:rsidRPr="009533EA">
        <w:rPr>
          <w:rFonts w:eastAsia="Times New Roman" w:cs="Times New Roman"/>
        </w:rPr>
        <w:t>)</w:t>
      </w:r>
      <w:r w:rsidR="00B65C1B">
        <w:rPr>
          <w:rFonts w:eastAsia="Times New Roman" w:cs="Times New Roman"/>
        </w:rPr>
        <w:t>.</w:t>
      </w:r>
    </w:p>
    <w:p w:rsidR="00CD611B" w:rsidRPr="009533EA" w:rsidP="00A929BD" w14:paraId="73F8EDA6" w14:textId="2D4492B9">
      <w:pPr>
        <w:numPr>
          <w:ilvl w:val="0"/>
          <w:numId w:val="14"/>
        </w:numPr>
        <w:contextualSpacing/>
        <w:rPr>
          <w:rFonts w:eastAsia="Times New Roman" w:cs="Times New Roman"/>
        </w:rPr>
      </w:pPr>
      <w:r w:rsidRPr="009533EA">
        <w:rPr>
          <w:rFonts w:eastAsia="Times New Roman" w:cs="Times New Roman"/>
        </w:rPr>
        <w:t>Center</w:t>
      </w:r>
      <w:r>
        <w:rPr>
          <w:rFonts w:eastAsia="Times New Roman" w:cs="Times New Roman"/>
        </w:rPr>
        <w:t>s</w:t>
      </w:r>
      <w:r w:rsidRPr="009533EA">
        <w:rPr>
          <w:rFonts w:eastAsia="Times New Roman" w:cs="Times New Roman"/>
        </w:rPr>
        <w:t xml:space="preserve"> for Disease Control </w:t>
      </w:r>
      <w:r>
        <w:rPr>
          <w:rFonts w:eastAsia="Times New Roman" w:cs="Times New Roman"/>
        </w:rPr>
        <w:t xml:space="preserve">and Prevention </w:t>
      </w:r>
      <w:r w:rsidRPr="009533EA">
        <w:rPr>
          <w:rFonts w:eastAsia="Times New Roman" w:cs="Times New Roman"/>
        </w:rPr>
        <w:t>(CDC)</w:t>
      </w:r>
      <w:r w:rsidR="00B65C1B">
        <w:rPr>
          <w:rFonts w:eastAsia="Times New Roman" w:cs="Times New Roman"/>
        </w:rPr>
        <w:t>:</w:t>
      </w:r>
    </w:p>
    <w:p w:rsidR="00CD611B" w:rsidRPr="009533EA" w:rsidP="00A929BD" w14:paraId="2FC1E281" w14:textId="3ABD812C">
      <w:pPr>
        <w:numPr>
          <w:ilvl w:val="1"/>
          <w:numId w:val="14"/>
        </w:numPr>
        <w:contextualSpacing/>
        <w:rPr>
          <w:rFonts w:eastAsia="Times New Roman" w:cs="Times New Roman"/>
        </w:rPr>
      </w:pPr>
      <w:r w:rsidRPr="009533EA">
        <w:rPr>
          <w:rFonts w:eastAsia="Times New Roman" w:cs="Times New Roman"/>
        </w:rPr>
        <w:t>the Agency for Toxic Substances and Disease Registry (ATSDR) uses CDR data to develop toxicological profiles</w:t>
      </w:r>
      <w:r w:rsidR="00B65C1B">
        <w:rPr>
          <w:rFonts w:eastAsia="Times New Roman" w:cs="Times New Roman"/>
        </w:rPr>
        <w:t>.</w:t>
      </w:r>
    </w:p>
    <w:p w:rsidR="00CD611B" w:rsidRPr="009533EA" w:rsidP="00A929BD" w14:paraId="3C1B499A" w14:textId="13115725">
      <w:pPr>
        <w:numPr>
          <w:ilvl w:val="0"/>
          <w:numId w:val="14"/>
        </w:numPr>
        <w:contextualSpacing/>
        <w:rPr>
          <w:rFonts w:eastAsia="Times New Roman" w:cs="Times New Roman"/>
        </w:rPr>
      </w:pPr>
      <w:r w:rsidRPr="009533EA">
        <w:rPr>
          <w:rFonts w:eastAsia="Times New Roman" w:cs="Times New Roman"/>
        </w:rPr>
        <w:t>National Institute of Health (NIH)</w:t>
      </w:r>
      <w:r w:rsidR="00B65C1B">
        <w:rPr>
          <w:rFonts w:eastAsia="Times New Roman" w:cs="Times New Roman"/>
        </w:rPr>
        <w:t>:</w:t>
      </w:r>
    </w:p>
    <w:p w:rsidR="00CD611B" w:rsidRPr="009533EA" w:rsidP="00A929BD" w14:paraId="7DE37182" w14:textId="1B48D7F9">
      <w:pPr>
        <w:numPr>
          <w:ilvl w:val="1"/>
          <w:numId w:val="14"/>
        </w:numPr>
        <w:rPr>
          <w:rFonts w:eastAsia="Times New Roman" w:cs="Times New Roman"/>
        </w:rPr>
      </w:pPr>
      <w:r w:rsidRPr="009533EA">
        <w:rPr>
          <w:rFonts w:eastAsia="Times New Roman" w:cs="Times New Roman"/>
        </w:rPr>
        <w:t>uses CDR data for exposure and use information published in the Hazardous Substances Data Bank (HSDB)</w:t>
      </w:r>
      <w:r w:rsidR="00B65C1B">
        <w:rPr>
          <w:rFonts w:eastAsia="Times New Roman" w:cs="Times New Roman"/>
        </w:rPr>
        <w:t>.</w:t>
      </w:r>
    </w:p>
    <w:p w:rsidR="00CD611B" w:rsidP="00A929BD" w14:paraId="5772099F" w14:textId="77777777">
      <w:pPr>
        <w:rPr>
          <w:rFonts w:eastAsia="Times New Roman" w:cs="Times New Roman"/>
        </w:rPr>
      </w:pPr>
      <w:r w:rsidRPr="009533EA">
        <w:rPr>
          <w:rFonts w:eastAsia="Times New Roman" w:cs="Times New Roman"/>
        </w:rPr>
        <w:t xml:space="preserve">Following the </w:t>
      </w:r>
      <w:r>
        <w:rPr>
          <w:rFonts w:eastAsia="Times New Roman" w:cs="Times New Roman"/>
        </w:rPr>
        <w:t xml:space="preserve">2016 </w:t>
      </w:r>
      <w:r w:rsidRPr="009533EA">
        <w:rPr>
          <w:rFonts w:eastAsia="Times New Roman" w:cs="Times New Roman"/>
        </w:rPr>
        <w:t xml:space="preserve">amendment of TSCA by </w:t>
      </w:r>
      <w:r>
        <w:rPr>
          <w:rFonts w:eastAsia="Times New Roman" w:cs="Times New Roman"/>
        </w:rPr>
        <w:t xml:space="preserve">the </w:t>
      </w:r>
      <w:r w:rsidRPr="009533EA">
        <w:rPr>
          <w:rFonts w:eastAsia="Times New Roman" w:cs="Times New Roman"/>
        </w:rPr>
        <w:t>Lautenberg Act, states are expected to have increased access to TSCA data and to have more opportunity to contribute to EPA’s risk evaluation processes for chemicals in commerce. While this process is being put into place, states have identified their current uses of CDR data:</w:t>
      </w:r>
    </w:p>
    <w:p w:rsidR="00CD611B" w:rsidRPr="009533EA" w:rsidP="00A929BD" w14:paraId="7D6C0069" w14:textId="55AC1BCE">
      <w:pPr>
        <w:numPr>
          <w:ilvl w:val="0"/>
          <w:numId w:val="11"/>
        </w:numPr>
        <w:contextualSpacing/>
        <w:rPr>
          <w:rFonts w:eastAsia="Times New Roman" w:cs="Times New Roman"/>
        </w:rPr>
      </w:pPr>
      <w:r w:rsidRPr="009533EA">
        <w:rPr>
          <w:rFonts w:eastAsia="Times New Roman" w:cs="Times New Roman"/>
        </w:rPr>
        <w:t>State chemical risk evaluation processes</w:t>
      </w:r>
      <w:r w:rsidR="00A33DAA">
        <w:rPr>
          <w:rFonts w:eastAsia="Times New Roman" w:cs="Times New Roman"/>
        </w:rPr>
        <w:t>,</w:t>
      </w:r>
    </w:p>
    <w:p w:rsidR="00CD611B" w:rsidRPr="009533EA" w:rsidP="00A929BD" w14:paraId="3358B3E2" w14:textId="1028DDB7">
      <w:pPr>
        <w:numPr>
          <w:ilvl w:val="0"/>
          <w:numId w:val="11"/>
        </w:numPr>
        <w:contextualSpacing/>
        <w:rPr>
          <w:rFonts w:eastAsia="Times New Roman" w:cs="Times New Roman"/>
        </w:rPr>
      </w:pPr>
      <w:r w:rsidRPr="009533EA">
        <w:rPr>
          <w:rFonts w:eastAsia="Times New Roman" w:cs="Times New Roman"/>
        </w:rPr>
        <w:t xml:space="preserve">Emergency </w:t>
      </w:r>
      <w:r w:rsidR="00216468">
        <w:rPr>
          <w:rFonts w:eastAsia="Times New Roman" w:cs="Times New Roman"/>
        </w:rPr>
        <w:t>r</w:t>
      </w:r>
      <w:r w:rsidRPr="009533EA">
        <w:rPr>
          <w:rFonts w:eastAsia="Times New Roman" w:cs="Times New Roman"/>
        </w:rPr>
        <w:t xml:space="preserve">esponse </w:t>
      </w:r>
      <w:r w:rsidR="00216468">
        <w:rPr>
          <w:rFonts w:eastAsia="Times New Roman" w:cs="Times New Roman"/>
        </w:rPr>
        <w:t>p</w:t>
      </w:r>
      <w:r w:rsidRPr="009533EA">
        <w:rPr>
          <w:rFonts w:eastAsia="Times New Roman" w:cs="Times New Roman"/>
        </w:rPr>
        <w:t>lanning/</w:t>
      </w:r>
      <w:r w:rsidR="00216468">
        <w:rPr>
          <w:rFonts w:eastAsia="Times New Roman" w:cs="Times New Roman"/>
        </w:rPr>
        <w:t>c</w:t>
      </w:r>
      <w:r w:rsidRPr="009533EA">
        <w:rPr>
          <w:rFonts w:eastAsia="Times New Roman" w:cs="Times New Roman"/>
        </w:rPr>
        <w:t xml:space="preserve">ommunity </w:t>
      </w:r>
      <w:r w:rsidR="00216468">
        <w:rPr>
          <w:rFonts w:eastAsia="Times New Roman" w:cs="Times New Roman"/>
        </w:rPr>
        <w:t>r</w:t>
      </w:r>
      <w:r w:rsidRPr="009533EA">
        <w:rPr>
          <w:rFonts w:eastAsia="Times New Roman" w:cs="Times New Roman"/>
        </w:rPr>
        <w:t xml:space="preserve">ight to </w:t>
      </w:r>
      <w:r w:rsidR="00216468">
        <w:rPr>
          <w:rFonts w:eastAsia="Times New Roman" w:cs="Times New Roman"/>
        </w:rPr>
        <w:t>k</w:t>
      </w:r>
      <w:r w:rsidRPr="009533EA">
        <w:rPr>
          <w:rFonts w:eastAsia="Times New Roman" w:cs="Times New Roman"/>
        </w:rPr>
        <w:t>now</w:t>
      </w:r>
      <w:r w:rsidR="00A33DAA">
        <w:rPr>
          <w:rFonts w:eastAsia="Times New Roman" w:cs="Times New Roman"/>
        </w:rPr>
        <w:t>,</w:t>
      </w:r>
    </w:p>
    <w:p w:rsidR="00CD611B" w:rsidRPr="009533EA" w:rsidP="00A929BD" w14:paraId="6CF9A2C4" w14:textId="74B2D81D">
      <w:pPr>
        <w:numPr>
          <w:ilvl w:val="0"/>
          <w:numId w:val="11"/>
        </w:numPr>
        <w:contextualSpacing/>
        <w:rPr>
          <w:rFonts w:eastAsia="Times New Roman" w:cs="Times New Roman"/>
        </w:rPr>
      </w:pPr>
      <w:r w:rsidRPr="009533EA">
        <w:rPr>
          <w:rFonts w:eastAsia="Times New Roman" w:cs="Times New Roman"/>
        </w:rPr>
        <w:t>State OSHA/worker health and safety</w:t>
      </w:r>
      <w:r w:rsidR="00A33DAA">
        <w:rPr>
          <w:rFonts w:eastAsia="Times New Roman" w:cs="Times New Roman"/>
        </w:rPr>
        <w:t>,</w:t>
      </w:r>
    </w:p>
    <w:p w:rsidR="00CD611B" w:rsidRPr="009533EA" w:rsidP="00A929BD" w14:paraId="3FE625D9" w14:textId="2E71B016">
      <w:pPr>
        <w:numPr>
          <w:ilvl w:val="0"/>
          <w:numId w:val="11"/>
        </w:numPr>
        <w:contextualSpacing/>
        <w:rPr>
          <w:rFonts w:eastAsia="Times New Roman" w:cs="Times New Roman"/>
        </w:rPr>
      </w:pPr>
      <w:r w:rsidRPr="009533EA">
        <w:rPr>
          <w:rFonts w:eastAsia="Times New Roman" w:cs="Times New Roman"/>
        </w:rPr>
        <w:t xml:space="preserve">Facility </w:t>
      </w:r>
      <w:r w:rsidR="00216468">
        <w:rPr>
          <w:rFonts w:eastAsia="Times New Roman" w:cs="Times New Roman"/>
        </w:rPr>
        <w:t>s</w:t>
      </w:r>
      <w:r w:rsidRPr="009533EA">
        <w:rPr>
          <w:rFonts w:eastAsia="Times New Roman" w:cs="Times New Roman"/>
        </w:rPr>
        <w:t xml:space="preserve">iting and </w:t>
      </w:r>
      <w:r w:rsidR="00216468">
        <w:rPr>
          <w:rFonts w:eastAsia="Times New Roman" w:cs="Times New Roman"/>
        </w:rPr>
        <w:t>p</w:t>
      </w:r>
      <w:r w:rsidRPr="009533EA">
        <w:rPr>
          <w:rFonts w:eastAsia="Times New Roman" w:cs="Times New Roman"/>
        </w:rPr>
        <w:t>ermitting (most likely air and water permits)</w:t>
      </w:r>
      <w:r w:rsidR="00A33DAA">
        <w:rPr>
          <w:rFonts w:eastAsia="Times New Roman" w:cs="Times New Roman"/>
        </w:rPr>
        <w:t>,</w:t>
      </w:r>
    </w:p>
    <w:p w:rsidR="00CD611B" w:rsidRPr="009533EA" w:rsidP="00A929BD" w14:paraId="7B46DE5B" w14:textId="5524B783">
      <w:pPr>
        <w:numPr>
          <w:ilvl w:val="0"/>
          <w:numId w:val="11"/>
        </w:numPr>
        <w:contextualSpacing/>
        <w:rPr>
          <w:rFonts w:eastAsia="Times New Roman" w:cs="Times New Roman"/>
        </w:rPr>
      </w:pPr>
      <w:r w:rsidRPr="009533EA">
        <w:rPr>
          <w:rFonts w:eastAsia="Times New Roman" w:cs="Times New Roman"/>
        </w:rPr>
        <w:t>Compliance and enforcement for disposal/releases/mismanagement</w:t>
      </w:r>
      <w:r w:rsidR="00A33DAA">
        <w:rPr>
          <w:rFonts w:eastAsia="Times New Roman" w:cs="Times New Roman"/>
        </w:rPr>
        <w:t>,</w:t>
      </w:r>
    </w:p>
    <w:p w:rsidR="00CD611B" w:rsidRPr="009533EA" w:rsidP="00A929BD" w14:paraId="68CD31CE" w14:textId="168692B5">
      <w:pPr>
        <w:numPr>
          <w:ilvl w:val="0"/>
          <w:numId w:val="11"/>
        </w:numPr>
        <w:contextualSpacing/>
        <w:rPr>
          <w:rFonts w:eastAsia="Times New Roman" w:cs="Times New Roman"/>
        </w:rPr>
      </w:pPr>
      <w:r w:rsidRPr="009533EA">
        <w:rPr>
          <w:rFonts w:eastAsia="Times New Roman" w:cs="Times New Roman"/>
        </w:rPr>
        <w:t xml:space="preserve">Pollution </w:t>
      </w:r>
      <w:r w:rsidR="00216468">
        <w:rPr>
          <w:rFonts w:eastAsia="Times New Roman" w:cs="Times New Roman"/>
        </w:rPr>
        <w:t>p</w:t>
      </w:r>
      <w:r w:rsidRPr="009533EA">
        <w:rPr>
          <w:rFonts w:eastAsia="Times New Roman" w:cs="Times New Roman"/>
        </w:rPr>
        <w:t xml:space="preserve">revention </w:t>
      </w:r>
      <w:r w:rsidR="00216468">
        <w:rPr>
          <w:rFonts w:eastAsia="Times New Roman" w:cs="Times New Roman"/>
        </w:rPr>
        <w:t>p</w:t>
      </w:r>
      <w:r w:rsidRPr="009533EA">
        <w:rPr>
          <w:rFonts w:eastAsia="Times New Roman" w:cs="Times New Roman"/>
        </w:rPr>
        <w:t xml:space="preserve">lanning and </w:t>
      </w:r>
      <w:r w:rsidR="00216468">
        <w:rPr>
          <w:rFonts w:eastAsia="Times New Roman" w:cs="Times New Roman"/>
        </w:rPr>
        <w:t>i</w:t>
      </w:r>
      <w:r w:rsidRPr="009533EA">
        <w:rPr>
          <w:rFonts w:eastAsia="Times New Roman" w:cs="Times New Roman"/>
        </w:rPr>
        <w:t>mplementation</w:t>
      </w:r>
      <w:r w:rsidR="00A33DAA">
        <w:rPr>
          <w:rFonts w:eastAsia="Times New Roman" w:cs="Times New Roman"/>
        </w:rPr>
        <w:t>,</w:t>
      </w:r>
    </w:p>
    <w:p w:rsidR="00CD611B" w:rsidRPr="009533EA" w:rsidP="00A929BD" w14:paraId="22FCA9A5" w14:textId="5AF87F18">
      <w:pPr>
        <w:numPr>
          <w:ilvl w:val="0"/>
          <w:numId w:val="11"/>
        </w:numPr>
        <w:contextualSpacing/>
        <w:rPr>
          <w:rFonts w:eastAsia="Times New Roman" w:cs="Times New Roman"/>
        </w:rPr>
      </w:pPr>
      <w:r w:rsidRPr="009533EA">
        <w:rPr>
          <w:rFonts w:eastAsia="Times New Roman" w:cs="Times New Roman"/>
        </w:rPr>
        <w:t xml:space="preserve">Technical </w:t>
      </w:r>
      <w:r w:rsidR="00216468">
        <w:rPr>
          <w:rFonts w:eastAsia="Times New Roman" w:cs="Times New Roman"/>
        </w:rPr>
        <w:t>a</w:t>
      </w:r>
      <w:r w:rsidRPr="009533EA">
        <w:rPr>
          <w:rFonts w:eastAsia="Times New Roman" w:cs="Times New Roman"/>
        </w:rPr>
        <w:t xml:space="preserve">ssistance </w:t>
      </w:r>
      <w:r w:rsidR="00216468">
        <w:rPr>
          <w:rFonts w:eastAsia="Times New Roman" w:cs="Times New Roman"/>
        </w:rPr>
        <w:t>p</w:t>
      </w:r>
      <w:r w:rsidRPr="009533EA">
        <w:rPr>
          <w:rFonts w:eastAsia="Times New Roman" w:cs="Times New Roman"/>
        </w:rPr>
        <w:t>rograms</w:t>
      </w:r>
      <w:r w:rsidR="00A33DAA">
        <w:rPr>
          <w:rFonts w:eastAsia="Times New Roman" w:cs="Times New Roman"/>
        </w:rPr>
        <w:t>, and</w:t>
      </w:r>
    </w:p>
    <w:p w:rsidR="00A929BD" w:rsidP="00A929BD" w14:paraId="66F48E89" w14:textId="77777777">
      <w:pPr>
        <w:numPr>
          <w:ilvl w:val="0"/>
          <w:numId w:val="11"/>
        </w:numPr>
        <w:contextualSpacing/>
        <w:rPr>
          <w:rFonts w:eastAsia="Times New Roman" w:cs="Times New Roman"/>
        </w:rPr>
      </w:pPr>
      <w:r w:rsidRPr="009533EA">
        <w:rPr>
          <w:rFonts w:eastAsia="Times New Roman" w:cs="Times New Roman"/>
        </w:rPr>
        <w:t xml:space="preserve">Development of </w:t>
      </w:r>
      <w:r w:rsidR="00216468">
        <w:rPr>
          <w:rFonts w:eastAsia="Times New Roman" w:cs="Times New Roman"/>
        </w:rPr>
        <w:t>p</w:t>
      </w:r>
      <w:r w:rsidRPr="009533EA">
        <w:rPr>
          <w:rFonts w:eastAsia="Times New Roman" w:cs="Times New Roman"/>
        </w:rPr>
        <w:t xml:space="preserve">olicy and </w:t>
      </w:r>
      <w:r w:rsidR="00A33DAA">
        <w:rPr>
          <w:rFonts w:eastAsia="Times New Roman" w:cs="Times New Roman"/>
        </w:rPr>
        <w:t>l</w:t>
      </w:r>
      <w:r w:rsidRPr="009533EA">
        <w:rPr>
          <w:rFonts w:eastAsia="Times New Roman" w:cs="Times New Roman"/>
        </w:rPr>
        <w:t>egislation</w:t>
      </w:r>
      <w:r w:rsidR="00A33DAA">
        <w:rPr>
          <w:rFonts w:eastAsia="Times New Roman" w:cs="Times New Roman"/>
        </w:rPr>
        <w:t>.</w:t>
      </w:r>
    </w:p>
    <w:p w:rsidR="00CD611B" w:rsidRPr="00A929BD" w:rsidP="00A929BD" w14:paraId="4638614F" w14:textId="7F810083">
      <w:pPr>
        <w:contextualSpacing/>
        <w:rPr>
          <w:rFonts w:eastAsia="Times New Roman" w:cs="Times New Roman"/>
        </w:rPr>
      </w:pPr>
      <w:r w:rsidRPr="009533EA">
        <w:t xml:space="preserve">CDR data are also made public by the Agency via the online </w:t>
      </w:r>
      <w:r w:rsidRPr="009533EA">
        <w:t>ChemView</w:t>
      </w:r>
      <w:r w:rsidRPr="009533EA">
        <w:t xml:space="preserve"> database, public releases of </w:t>
      </w:r>
      <w:r w:rsidRPr="00A929BD">
        <w:rPr>
          <w:rFonts w:eastAsia="Times New Roman" w:cs="Times New Roman"/>
        </w:rPr>
        <w:t>information</w:t>
      </w:r>
      <w:r w:rsidRPr="009533EA">
        <w:t xml:space="preserve"> on chemicals of interest (such as those prioritized for risk </w:t>
      </w:r>
      <w:r w:rsidRPr="009533EA">
        <w:t>evaluation under TSCA (82 FR 31592, July 7, 2017), and documents posted publicly by EPA that highlight key information about the most current reporting period.</w:t>
      </w:r>
    </w:p>
    <w:p w:rsidR="000D5E31" w:rsidP="002059F4" w14:paraId="44CE1C5B" w14:textId="3E531669">
      <w:pPr>
        <w:pStyle w:val="Heading2"/>
        <w:ind w:left="360"/>
      </w:pPr>
      <w:r w:rsidRPr="00E00E93">
        <w:t>Describe whether, and to what extent, the collection of information involves the use of automated, electronic, mechanical, or other technological collection techniques or other forms of information technology, e.g., permitting electronic submission of responses</w:t>
      </w:r>
      <w:r w:rsidRPr="00E00E93" w:rsidR="00103B2E">
        <w:t>, and the basis for the decision for adopting this means of collection. Also describe any consideration of using information technology to reduce burden.</w:t>
      </w:r>
    </w:p>
    <w:p w:rsidR="00F440AB" w:rsidRPr="00F440AB" w:rsidP="00F440AB" w14:paraId="64778D58" w14:textId="5B555808">
      <w:r w:rsidRPr="00F440AB">
        <w:t>Submitters are required to submit information associated with this data collection electronically via the Internet using e-CDRweb</w:t>
      </w:r>
      <w:r w:rsidR="008F5FE3">
        <w:t xml:space="preserve"> reporting tool</w:t>
      </w:r>
      <w:r w:rsidRPr="00F440AB">
        <w:t xml:space="preserve"> and </w:t>
      </w:r>
      <w:r w:rsidR="008F5FE3">
        <w:t xml:space="preserve">EPA’s </w:t>
      </w:r>
      <w:r w:rsidR="002373D0">
        <w:t>Central Data Exchange (</w:t>
      </w:r>
      <w:r w:rsidRPr="00F440AB">
        <w:t>CDX</w:t>
      </w:r>
      <w:r w:rsidR="002373D0">
        <w:t>) data portal</w:t>
      </w:r>
      <w:r w:rsidRPr="00F440AB">
        <w:t>.</w:t>
      </w:r>
    </w:p>
    <w:p w:rsidR="000D5E31" w:rsidP="002059F4" w14:paraId="3222B018" w14:textId="5F271B82">
      <w:pPr>
        <w:pStyle w:val="Heading2"/>
        <w:ind w:left="360"/>
      </w:pPr>
      <w:r w:rsidRPr="00E00E93">
        <w:t>D</w:t>
      </w:r>
      <w:r w:rsidRPr="00E00E93">
        <w:t>escribe efforts to identify duplication.</w:t>
      </w:r>
      <w:r w:rsidRPr="00E00E93" w:rsidR="0093316B">
        <w:t xml:space="preserve"> Show specifically why any similar information already available cannot be used or modified for use for the purposes described in Item 2 above.</w:t>
      </w:r>
    </w:p>
    <w:p w:rsidR="000E28F2" w:rsidRPr="000E28F2" w:rsidP="000E28F2" w14:paraId="58CEDFED" w14:textId="1E421FFC">
      <w:r w:rsidRPr="000E28F2">
        <w:t xml:space="preserve">The data included in this information collection (i.e., production volume, chemical manufacture, exposure, and processing and use data) are not collected comprehensively or systematically at the national level. There are a variety of sources for certain data elements, but the sources are either incomplete or incompatible. </w:t>
      </w:r>
    </w:p>
    <w:p w:rsidR="000D5E31" w:rsidP="002059F4" w14:paraId="318B9393" w14:textId="40C1285B">
      <w:pPr>
        <w:pStyle w:val="Heading2"/>
        <w:ind w:left="360"/>
      </w:pPr>
      <w:r w:rsidRPr="00E00E93">
        <w:t>If the collection of information impacts small businesses or other small entities, describe the methods used to minimize burden.</w:t>
      </w:r>
    </w:p>
    <w:p w:rsidR="00F440AB" w:rsidRPr="00DE7930" w:rsidP="00F65968" w14:paraId="7E04E4E0" w14:textId="70D59E60">
      <w:r>
        <w:t>The CDR regulation provides ample flexibility to small entities. Small manufacturers (including importers), in accordance with TSCA section 8(b)</w:t>
      </w:r>
      <w:r w:rsidR="00CD6970">
        <w:t>, are exempted from the need to report unless their chemical is the subject of certain TSCA actions</w:t>
      </w:r>
      <w:r>
        <w:t>. A manufacturer (including importer) is considered a small business</w:t>
      </w:r>
      <w:r w:rsidRPr="00ED6F18">
        <w:t xml:space="preserve"> </w:t>
      </w:r>
      <w:r w:rsidR="00CD6970">
        <w:t>when, (1) for a particular chemical company</w:t>
      </w:r>
      <w:r w:rsidR="001B00A5">
        <w:t>,</w:t>
      </w:r>
      <w:r w:rsidR="00CD6970">
        <w:t xml:space="preserve"> annual sales</w:t>
      </w:r>
      <w:r w:rsidRPr="00ED6F18">
        <w:t xml:space="preserve"> </w:t>
      </w:r>
      <w:r w:rsidR="00CD6970">
        <w:t xml:space="preserve">are </w:t>
      </w:r>
      <w:r w:rsidRPr="00ED6F18">
        <w:t>$1</w:t>
      </w:r>
      <w:r>
        <w:t>2</w:t>
      </w:r>
      <w:r w:rsidRPr="00ED6F18">
        <w:t xml:space="preserve">0 million </w:t>
      </w:r>
      <w:r w:rsidR="00CD6970">
        <w:t>and the chemical’s</w:t>
      </w:r>
      <w:r w:rsidRPr="00ED6F18">
        <w:t xml:space="preserve"> production volume </w:t>
      </w:r>
      <w:r w:rsidR="00CD6970">
        <w:t>is greater than</w:t>
      </w:r>
      <w:r w:rsidRPr="00ED6F18">
        <w:t xml:space="preserve"> 100,000 lb</w:t>
      </w:r>
      <w:r w:rsidR="00CD6970">
        <w:t xml:space="preserve"> or (2</w:t>
      </w:r>
      <w:r w:rsidRPr="00ED6F18">
        <w:t xml:space="preserve">) </w:t>
      </w:r>
      <w:r w:rsidR="00CD6970">
        <w:t>the company’s annual revenue is at least</w:t>
      </w:r>
      <w:r w:rsidRPr="00ED6F18">
        <w:t xml:space="preserve"> $1</w:t>
      </w:r>
      <w:r>
        <w:t>2</w:t>
      </w:r>
      <w:r w:rsidRPr="00ED6F18">
        <w:t xml:space="preserve"> million</w:t>
      </w:r>
      <w:r w:rsidR="00CD6970">
        <w:t xml:space="preserve">, regardless </w:t>
      </w:r>
      <w:r w:rsidRPr="006B1B9A" w:rsidR="00CD6970">
        <w:t>of the</w:t>
      </w:r>
      <w:r w:rsidRPr="006B1B9A">
        <w:t xml:space="preserve"> production volume.</w:t>
      </w:r>
      <w:r w:rsidR="00031267">
        <w:t xml:space="preserve"> (</w:t>
      </w:r>
      <w:r w:rsidRPr="00ED6F18" w:rsidR="00ED49EC">
        <w:t>40 CFR 704.3</w:t>
      </w:r>
      <w:r w:rsidR="00ED49EC">
        <w:t>)</w:t>
      </w:r>
      <w:r w:rsidRPr="006B1B9A">
        <w:t xml:space="preserve"> </w:t>
      </w:r>
      <w:r w:rsidRPr="006B1B9A" w:rsidR="006B1B9A">
        <w:t xml:space="preserve"> </w:t>
      </w:r>
      <w:r w:rsidR="001E2E47">
        <w:t xml:space="preserve"> </w:t>
      </w:r>
      <w:r w:rsidR="006B1B9A">
        <w:t>A</w:t>
      </w:r>
      <w:r w:rsidRPr="006B1B9A" w:rsidR="006B1B9A">
        <w:t xml:space="preserve"> government </w:t>
      </w:r>
      <w:r w:rsidR="006B1B9A">
        <w:t xml:space="preserve">may also be a </w:t>
      </w:r>
      <w:r w:rsidRPr="006B1B9A" w:rsidR="006B1B9A">
        <w:t>manufacturer</w:t>
      </w:r>
      <w:r w:rsidR="006B1B9A">
        <w:t>; when</w:t>
      </w:r>
      <w:r w:rsidRPr="006B1B9A" w:rsidR="006B1B9A">
        <w:t xml:space="preserve"> the government </w:t>
      </w:r>
      <w:r w:rsidRPr="00F65968">
        <w:t xml:space="preserve">of a city, county, town, township, village, school district, or special district </w:t>
      </w:r>
      <w:r w:rsidR="006B1B9A">
        <w:t>has</w:t>
      </w:r>
      <w:r w:rsidRPr="00F65968" w:rsidR="006B1B9A">
        <w:t xml:space="preserve"> </w:t>
      </w:r>
      <w:r w:rsidRPr="00F65968">
        <w:t>a population of less than 50,000</w:t>
      </w:r>
      <w:r w:rsidR="006B1B9A">
        <w:t>, it</w:t>
      </w:r>
      <w:r w:rsidRPr="00F65968" w:rsidR="006B1B9A">
        <w:t xml:space="preserve"> is considered small</w:t>
      </w:r>
      <w:r w:rsidRPr="00F65968">
        <w:t>.</w:t>
      </w:r>
      <w:r w:rsidR="00ED49EC">
        <w:t xml:space="preserve"> (</w:t>
      </w:r>
      <w:r w:rsidRPr="00ED6F18" w:rsidR="00ED49EC">
        <w:t>40 CFR 704.3</w:t>
      </w:r>
      <w:r w:rsidR="00ED49EC">
        <w:t>)</w:t>
      </w:r>
      <w:r w:rsidRPr="00F65968">
        <w:t xml:space="preserve"> States and tribal governments are not considered </w:t>
      </w:r>
      <w:r w:rsidRPr="001B00A5">
        <w:t>small governments.</w:t>
      </w:r>
    </w:p>
    <w:p w:rsidR="00897D7E" w:rsidP="002059F4" w14:paraId="5F088A3E" w14:textId="400AD991">
      <w:pPr>
        <w:pStyle w:val="Heading2"/>
        <w:ind w:left="360"/>
      </w:pPr>
      <w:r w:rsidRPr="00E00E93">
        <w:t>Describe the consequence to Federal program or policy activities if the collection is not conducted or is conducted less frequently, as well as any technical or legal obstacles to reducing burden.</w:t>
      </w:r>
    </w:p>
    <w:p w:rsidR="00DE7930" w:rsidRPr="00DE7930" w:rsidP="00DE7930" w14:paraId="7B495AFA" w14:textId="7F064FB4">
      <w:r w:rsidRPr="00DE7930">
        <w:t xml:space="preserve">If data were collected less frequently there would be a significant loss of data to the agency and general public as there are no alternative data sets as comprehensive as CDR for the chemical manufacturing industry. Requiring this data collection every four </w:t>
      </w:r>
      <w:r w:rsidRPr="00DE7930">
        <w:t>years help</w:t>
      </w:r>
      <w:r w:rsidR="00AD2DF6">
        <w:t>s</w:t>
      </w:r>
      <w:r w:rsidRPr="00DE7930">
        <w:t xml:space="preserve"> to increase the agency’s ability to understand the chemical industry and monitor the production levels of chemical substances manufactured (including imported) in the United States. As chemical industry product lines and manufacturing in the United States change substantially from one submission period to the next, more current information enhances the agency’s ability to make more accurate chemical substance risk assessment and management decisions in a timely and cost</w:t>
      </w:r>
      <w:r w:rsidR="00C57465">
        <w:t>-</w:t>
      </w:r>
      <w:r w:rsidRPr="00DE7930">
        <w:t>effective manner.</w:t>
      </w:r>
    </w:p>
    <w:p w:rsidR="0093316B" w:rsidRPr="00E00E93" w:rsidP="0093316B" w14:paraId="6B8F0DD0" w14:textId="3B129352">
      <w:pPr>
        <w:pStyle w:val="Heading2"/>
        <w:ind w:left="360"/>
      </w:pPr>
      <w:r w:rsidRPr="00E00E93">
        <w:t>Explain any special circumstances that require the collection to be conducted in a manner</w:t>
      </w:r>
      <w:r w:rsidRPr="00E00E93">
        <w:t xml:space="preserve">: </w:t>
      </w:r>
    </w:p>
    <w:p w:rsidR="0093316B" w:rsidRPr="00E00E93" w:rsidP="0093316B" w14:paraId="6A11E7D6" w14:textId="77777777">
      <w:pPr>
        <w:pStyle w:val="Heading3"/>
      </w:pPr>
      <w:r w:rsidRPr="00E00E93">
        <w:t xml:space="preserve">requiring respondents to report information to the agency more often than </w:t>
      </w:r>
      <w:r w:rsidRPr="00E00E93">
        <w:t>quarterly;</w:t>
      </w:r>
      <w:r w:rsidRPr="00E00E93">
        <w:t xml:space="preserve"> </w:t>
      </w:r>
    </w:p>
    <w:p w:rsidR="0093316B" w:rsidRPr="00E00E93" w:rsidP="0093316B" w14:paraId="4BF7DF92" w14:textId="77777777">
      <w:pPr>
        <w:pStyle w:val="Heading3"/>
      </w:pPr>
      <w:r w:rsidRPr="00E00E93">
        <w:t xml:space="preserve">requiring respondents to prepare a written response to a collection of information in fewer than 30 days after receipt of </w:t>
      </w:r>
      <w:r w:rsidRPr="00E00E93">
        <w:t>it;</w:t>
      </w:r>
      <w:r w:rsidRPr="00E00E93">
        <w:t xml:space="preserve"> </w:t>
      </w:r>
    </w:p>
    <w:p w:rsidR="0093316B" w:rsidRPr="00E00E93" w:rsidP="0093316B" w14:paraId="7F48D447" w14:textId="77777777">
      <w:pPr>
        <w:pStyle w:val="Heading3"/>
      </w:pPr>
      <w:r w:rsidRPr="00E00E93">
        <w:t xml:space="preserve">requiring respondents to submit more than an original and two copies of any </w:t>
      </w:r>
      <w:r w:rsidRPr="00E00E93">
        <w:t>document;</w:t>
      </w:r>
      <w:r w:rsidRPr="00E00E93">
        <w:t xml:space="preserve"> </w:t>
      </w:r>
    </w:p>
    <w:p w:rsidR="0093316B" w:rsidRPr="00E00E93" w:rsidP="0093316B" w14:paraId="2804ABBE" w14:textId="77777777">
      <w:pPr>
        <w:pStyle w:val="Heading3"/>
      </w:pPr>
      <w:r w:rsidRPr="00E00E93">
        <w:t xml:space="preserve">requiring respondents to retain records, other than health, medical, government contract, grant-in-aid, or tax records, for more than three </w:t>
      </w:r>
      <w:r w:rsidRPr="00E00E93">
        <w:t>years;</w:t>
      </w:r>
      <w:r w:rsidRPr="00E00E93">
        <w:t xml:space="preserve"> </w:t>
      </w:r>
    </w:p>
    <w:p w:rsidR="0093316B" w:rsidRPr="00E00E93" w:rsidP="0093316B" w14:paraId="563D6CEB" w14:textId="77777777">
      <w:pPr>
        <w:pStyle w:val="Heading3"/>
      </w:pPr>
      <w:r w:rsidRPr="00E00E93">
        <w:t xml:space="preserve">in connection with a statistical survey, that is not designed to produce valid and reliable results that can be generalized to the universe of </w:t>
      </w:r>
      <w:r w:rsidRPr="00E00E93">
        <w:t>study;</w:t>
      </w:r>
    </w:p>
    <w:p w:rsidR="0093316B" w:rsidRPr="00E00E93" w:rsidP="0093316B" w14:paraId="0D88457F" w14:textId="77777777">
      <w:pPr>
        <w:pStyle w:val="Heading3"/>
      </w:pPr>
      <w:r w:rsidRPr="00E00E93">
        <w:t xml:space="preserve">requiring the use of a statistical data classification that has not been reviewed and approved by </w:t>
      </w:r>
      <w:r w:rsidRPr="00E00E93">
        <w:t>OMB;</w:t>
      </w:r>
      <w:r w:rsidRPr="00E00E93">
        <w:t xml:space="preserve"> </w:t>
      </w:r>
    </w:p>
    <w:p w:rsidR="0093316B" w:rsidRPr="00E00E93" w:rsidP="0093316B" w14:paraId="3FDECF9C" w14:textId="77777777">
      <w:pPr>
        <w:pStyle w:val="Heading3"/>
      </w:pPr>
      <w:r w:rsidRPr="00E00E93">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93316B" w:rsidP="0093316B" w14:paraId="61CF6F88" w14:textId="55ACC40D">
      <w:pPr>
        <w:pStyle w:val="Heading3"/>
      </w:pPr>
      <w:r w:rsidRPr="00E00E93">
        <w:t xml:space="preserve">requiring respondents to submit proprietary trade secrets, or other confidential information unless the agency can demonstrate that it has instituted procedures to protect the information's confidentiality to the extent permitted by law.  </w:t>
      </w:r>
    </w:p>
    <w:p w:rsidR="00DE7930" w:rsidRPr="00DE7930" w:rsidP="00DE7930" w14:paraId="5BC12FB6" w14:textId="5D975D77">
      <w:r w:rsidRPr="00DE7930">
        <w:t>This collection does not exceed any of the Paperwork Reduction Act guidelines at 5 CFR 1320.6, with the exceptions listed below.</w:t>
      </w:r>
    </w:p>
    <w:p w:rsidR="00DE7930" w:rsidRPr="00DE7930" w:rsidP="00DE7930" w14:paraId="0C7A310A" w14:textId="53ED9CFD">
      <w:r w:rsidRPr="00DE7930">
        <w:t xml:space="preserve">The record retention period of this collection is five years, as specified in 40 CFR </w:t>
      </w:r>
      <w:r w:rsidR="00983892">
        <w:t>711.25</w:t>
      </w:r>
      <w:r w:rsidRPr="00DE7930">
        <w:t>, exceeding the PRA maximum of three years. This is necessary to ensure companies retain records long enough to facilitate completion of Form U (</w:t>
      </w:r>
      <w:bookmarkStart w:id="5" w:name="_Hlk107318906"/>
      <w:r w:rsidRPr="00DE7930">
        <w:t>EPA Form 7740-8)</w:t>
      </w:r>
      <w:bookmarkEnd w:id="5"/>
      <w:r w:rsidRPr="00DE7930">
        <w:t xml:space="preserve"> in the next collection, which is in four years and to allow EPA’s enforcement activities to overlap </w:t>
      </w:r>
      <w:r>
        <w:t>CDR</w:t>
      </w:r>
      <w:r w:rsidRPr="00DE7930">
        <w:t xml:space="preserve"> reporting cycles.</w:t>
      </w:r>
    </w:p>
    <w:p w:rsidR="00E00E93" w:rsidP="002059F4" w14:paraId="0102AF12" w14:textId="77777777">
      <w:pPr>
        <w:pStyle w:val="Heading2"/>
        <w:ind w:left="360"/>
      </w:pPr>
      <w:r w:rsidRPr="003041B0">
        <w:t>If applicable, provide a copy and identify the date and page number of publication in the Federal Register of the agency’s notice, required by 5</w:t>
      </w:r>
      <w:r w:rsidR="002059F4">
        <w:t xml:space="preserve"> </w:t>
      </w:r>
      <w:r w:rsidRPr="003041B0">
        <w:t xml:space="preserve">CFR </w:t>
      </w:r>
      <w:r w:rsidR="002059F4">
        <w:t>1</w:t>
      </w:r>
      <w:r w:rsidRPr="003041B0">
        <w:t xml:space="preserve">320.8(d), soliciting comments on the information collection prior to submission to OMB. Summarize public comments received in response to that notice and describe actions taken in response to the comments. Specifically address comments received on cost and hour burden. </w:t>
      </w:r>
    </w:p>
    <w:p w:rsidR="009A7738" w:rsidP="00E00E93" w14:paraId="4DF9935E" w14:textId="04B2BCAD">
      <w:pPr>
        <w:pStyle w:val="Heading2"/>
        <w:numPr>
          <w:ilvl w:val="0"/>
          <w:numId w:val="0"/>
        </w:numPr>
        <w:ind w:left="360"/>
      </w:pPr>
      <w:r w:rsidRPr="003041B0">
        <w:t xml:space="preserve">Describe efforts to consult with persons outside </w:t>
      </w:r>
      <w:r w:rsidR="002059F4">
        <w:t>EPA</w:t>
      </w:r>
      <w:r w:rsidRPr="003041B0">
        <w:t xml:space="preserve"> to obtain their views on the availability of data, frequency of collection, the clarity of instructions and recordkeeping, disclosure, or reporting format (if any), and on the data elements to be recorded, disclosed, or report</w:t>
      </w:r>
      <w:r w:rsidR="00E00E93">
        <w:t>ed</w:t>
      </w:r>
      <w:r w:rsidRPr="003041B0">
        <w:t>.</w:t>
      </w:r>
    </w:p>
    <w:p w:rsidR="00E00E93" w:rsidP="00E00E93" w14:paraId="57FCDACA" w14:textId="259B0E65">
      <w:pPr>
        <w:pStyle w:val="Heading2"/>
        <w:numPr>
          <w:ilvl w:val="0"/>
          <w:numId w:val="0"/>
        </w:numPr>
        <w:ind w:left="360"/>
      </w:pPr>
      <w:r w:rsidRPr="00A20E41">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3269F" w:rsidRPr="0038550D" w:rsidP="00B3269F" w14:paraId="0D23E474" w14:textId="7A6B4885">
      <w:pPr>
        <w:pStyle w:val="NoSpacing"/>
        <w:rPr>
          <w:rFonts w:ascii="Arial" w:hAnsi="Arial" w:cs="Arial"/>
          <w:sz w:val="24"/>
          <w:szCs w:val="24"/>
        </w:rPr>
      </w:pPr>
      <w:r w:rsidRPr="0027213D">
        <w:rPr>
          <w:rFonts w:ascii="Arial" w:hAnsi="Arial" w:cs="Arial"/>
          <w:sz w:val="24"/>
          <w:szCs w:val="24"/>
        </w:rPr>
        <w:t>Additionally, under 5 CFR 1320.8(d)(1), OMB requires agencies to consult with potential ICR respondents and data users about specific aspects of ICRs before submitting an ICR to OMB for review and approval. In accordance with this regulation, EPA submitted questions to several interested parties via email</w:t>
      </w:r>
      <w:r w:rsidR="00D72422">
        <w:rPr>
          <w:rFonts w:ascii="Arial" w:hAnsi="Arial" w:cs="Arial"/>
          <w:sz w:val="24"/>
          <w:szCs w:val="24"/>
        </w:rPr>
        <w:t xml:space="preserve"> (See</w:t>
      </w:r>
      <w:r w:rsidRPr="0027213D">
        <w:rPr>
          <w:rFonts w:ascii="Arial" w:hAnsi="Arial" w:cs="Arial"/>
          <w:sz w:val="24"/>
          <w:szCs w:val="24"/>
        </w:rPr>
        <w:t xml:space="preserve"> Attachment </w:t>
      </w:r>
      <w:r w:rsidR="0053159D">
        <w:rPr>
          <w:rFonts w:ascii="Arial" w:hAnsi="Arial" w:cs="Arial"/>
          <w:sz w:val="24"/>
          <w:szCs w:val="24"/>
        </w:rPr>
        <w:t>6</w:t>
      </w:r>
      <w:r w:rsidR="004354BF">
        <w:rPr>
          <w:rFonts w:ascii="Arial" w:hAnsi="Arial" w:cs="Arial"/>
          <w:sz w:val="24"/>
          <w:szCs w:val="24"/>
        </w:rPr>
        <w:t>)</w:t>
      </w:r>
      <w:r w:rsidRPr="0027213D">
        <w:rPr>
          <w:rFonts w:ascii="Arial" w:hAnsi="Arial" w:cs="Arial"/>
          <w:sz w:val="24"/>
          <w:szCs w:val="24"/>
        </w:rPr>
        <w:t xml:space="preserve">. The individual entities contacted </w:t>
      </w:r>
      <w:r w:rsidRPr="0038550D">
        <w:rPr>
          <w:rFonts w:ascii="Arial" w:hAnsi="Arial" w:cs="Arial"/>
          <w:sz w:val="24"/>
          <w:szCs w:val="24"/>
        </w:rPr>
        <w:t xml:space="preserve">were: </w:t>
      </w:r>
    </w:p>
    <w:p w:rsidR="0038550D" w:rsidRPr="0038550D" w:rsidP="0038550D" w14:paraId="0437A68D" w14:textId="77777777">
      <w:pPr>
        <w:pStyle w:val="NoSpacing"/>
        <w:rPr>
          <w:rFonts w:ascii="Arial" w:hAnsi="Arial" w:cs="Arial"/>
          <w:sz w:val="24"/>
          <w:szCs w:val="24"/>
        </w:rPr>
      </w:pPr>
    </w:p>
    <w:p w:rsidR="0038550D" w:rsidRPr="0038550D" w:rsidP="0038550D" w14:paraId="65FD2F0F" w14:textId="0350DB74">
      <w:pPr>
        <w:pStyle w:val="NoSpacing"/>
        <w:numPr>
          <w:ilvl w:val="0"/>
          <w:numId w:val="32"/>
        </w:numPr>
        <w:rPr>
          <w:rFonts w:ascii="Arial" w:eastAsia="Times New Roman" w:hAnsi="Arial" w:cs="Arial"/>
          <w:sz w:val="24"/>
          <w:szCs w:val="24"/>
        </w:rPr>
      </w:pPr>
      <w:r w:rsidRPr="0038550D">
        <w:rPr>
          <w:rFonts w:ascii="Arial" w:eastAsia="Times New Roman" w:hAnsi="Arial" w:cs="Arial"/>
          <w:sz w:val="24"/>
          <w:szCs w:val="24"/>
        </w:rPr>
        <w:t>Nipro</w:t>
      </w:r>
      <w:r w:rsidRPr="0038550D">
        <w:rPr>
          <w:rFonts w:ascii="Arial" w:eastAsia="Times New Roman" w:hAnsi="Arial" w:cs="Arial"/>
          <w:sz w:val="24"/>
          <w:szCs w:val="24"/>
        </w:rPr>
        <w:t xml:space="preserve"> </w:t>
      </w:r>
      <w:r w:rsidRPr="0038550D">
        <w:rPr>
          <w:rFonts w:ascii="Arial" w:eastAsia="Times New Roman" w:hAnsi="Arial" w:cs="Arial"/>
          <w:sz w:val="24"/>
          <w:szCs w:val="24"/>
        </w:rPr>
        <w:t>Pharma</w:t>
      </w:r>
      <w:r>
        <w:rPr>
          <w:rFonts w:ascii="Arial" w:eastAsia="Times New Roman" w:hAnsi="Arial" w:cs="Arial"/>
          <w:sz w:val="24"/>
          <w:szCs w:val="24"/>
        </w:rPr>
        <w:t>P</w:t>
      </w:r>
      <w:r w:rsidRPr="0038550D">
        <w:rPr>
          <w:rFonts w:ascii="Arial" w:eastAsia="Times New Roman" w:hAnsi="Arial" w:cs="Arial"/>
          <w:sz w:val="24"/>
          <w:szCs w:val="24"/>
        </w:rPr>
        <w:t>ackaging</w:t>
      </w:r>
      <w:r w:rsidRPr="0038550D">
        <w:rPr>
          <w:rFonts w:ascii="Arial" w:eastAsia="Times New Roman" w:hAnsi="Arial" w:cs="Arial"/>
          <w:sz w:val="24"/>
          <w:szCs w:val="24"/>
        </w:rPr>
        <w:t xml:space="preserve"> Americas Corp</w:t>
      </w:r>
      <w:r w:rsidR="009E7CAB">
        <w:rPr>
          <w:rFonts w:ascii="Arial" w:eastAsia="Times New Roman" w:hAnsi="Arial" w:cs="Arial"/>
          <w:sz w:val="24"/>
          <w:szCs w:val="24"/>
        </w:rPr>
        <w:t>.</w:t>
      </w:r>
    </w:p>
    <w:p w:rsidR="0038550D" w:rsidRPr="0038550D" w:rsidP="0038550D" w14:paraId="3D03495C" w14:textId="4D47ECE9">
      <w:pPr>
        <w:pStyle w:val="NoSpacing"/>
        <w:numPr>
          <w:ilvl w:val="0"/>
          <w:numId w:val="32"/>
        </w:numPr>
        <w:rPr>
          <w:rFonts w:ascii="Arial" w:eastAsia="Times New Roman" w:hAnsi="Arial" w:cs="Arial"/>
          <w:sz w:val="24"/>
          <w:szCs w:val="24"/>
        </w:rPr>
      </w:pPr>
      <w:r w:rsidRPr="0038550D">
        <w:rPr>
          <w:rFonts w:ascii="Arial" w:eastAsia="Times New Roman" w:hAnsi="Arial" w:cs="Arial"/>
          <w:sz w:val="24"/>
          <w:szCs w:val="24"/>
        </w:rPr>
        <w:t>Arakawa Chemical (U</w:t>
      </w:r>
      <w:r>
        <w:rPr>
          <w:rFonts w:ascii="Arial" w:eastAsia="Times New Roman" w:hAnsi="Arial" w:cs="Arial"/>
          <w:sz w:val="24"/>
          <w:szCs w:val="24"/>
        </w:rPr>
        <w:t>SA</w:t>
      </w:r>
      <w:r w:rsidRPr="0038550D">
        <w:rPr>
          <w:rFonts w:ascii="Arial" w:eastAsia="Times New Roman" w:hAnsi="Arial" w:cs="Arial"/>
          <w:sz w:val="24"/>
          <w:szCs w:val="24"/>
        </w:rPr>
        <w:t>) Inc</w:t>
      </w:r>
      <w:r w:rsidR="00B776B2">
        <w:rPr>
          <w:rFonts w:ascii="Arial" w:eastAsia="Times New Roman" w:hAnsi="Arial" w:cs="Arial"/>
          <w:sz w:val="24"/>
          <w:szCs w:val="24"/>
        </w:rPr>
        <w:t>.</w:t>
      </w:r>
    </w:p>
    <w:p w:rsidR="0038550D" w:rsidRPr="0038550D" w:rsidP="0038550D" w14:paraId="42223260" w14:textId="644F3242">
      <w:pPr>
        <w:pStyle w:val="NoSpacing"/>
        <w:numPr>
          <w:ilvl w:val="0"/>
          <w:numId w:val="32"/>
        </w:numPr>
        <w:rPr>
          <w:rFonts w:ascii="Arial" w:eastAsia="Times New Roman" w:hAnsi="Arial" w:cs="Arial"/>
          <w:sz w:val="24"/>
          <w:szCs w:val="24"/>
        </w:rPr>
      </w:pPr>
      <w:r w:rsidRPr="0038550D">
        <w:rPr>
          <w:rFonts w:ascii="Arial" w:eastAsia="Times New Roman" w:hAnsi="Arial" w:cs="Arial"/>
          <w:sz w:val="24"/>
          <w:szCs w:val="24"/>
        </w:rPr>
        <w:t>Ube America, Inc</w:t>
      </w:r>
      <w:r w:rsidR="00B776B2">
        <w:rPr>
          <w:rFonts w:ascii="Arial" w:eastAsia="Times New Roman" w:hAnsi="Arial" w:cs="Arial"/>
          <w:sz w:val="24"/>
          <w:szCs w:val="24"/>
        </w:rPr>
        <w:t>.</w:t>
      </w:r>
    </w:p>
    <w:p w:rsidR="0038550D" w:rsidRPr="0038550D" w:rsidP="0038550D" w14:paraId="34F3728E" w14:textId="084EB57B">
      <w:pPr>
        <w:pStyle w:val="NoSpacing"/>
        <w:numPr>
          <w:ilvl w:val="0"/>
          <w:numId w:val="32"/>
        </w:numPr>
        <w:rPr>
          <w:rFonts w:ascii="Arial" w:eastAsia="Times New Roman" w:hAnsi="Arial" w:cs="Arial"/>
          <w:sz w:val="24"/>
          <w:szCs w:val="24"/>
        </w:rPr>
      </w:pPr>
      <w:r w:rsidRPr="0038550D">
        <w:rPr>
          <w:rFonts w:ascii="Arial" w:eastAsia="Times New Roman" w:hAnsi="Arial" w:cs="Arial"/>
          <w:sz w:val="24"/>
          <w:szCs w:val="24"/>
        </w:rPr>
        <w:t>Vulcan Global Manufacturing Solutions Inc</w:t>
      </w:r>
      <w:r w:rsidR="00CD5A2F">
        <w:rPr>
          <w:rFonts w:ascii="Arial" w:eastAsia="Times New Roman" w:hAnsi="Arial" w:cs="Arial"/>
          <w:sz w:val="24"/>
          <w:szCs w:val="24"/>
        </w:rPr>
        <w:t>.</w:t>
      </w:r>
    </w:p>
    <w:p w:rsidR="0038550D" w:rsidRPr="0038550D" w:rsidP="0038550D" w14:paraId="7A7E77B7" w14:textId="23113FDF">
      <w:pPr>
        <w:pStyle w:val="NoSpacing"/>
        <w:numPr>
          <w:ilvl w:val="0"/>
          <w:numId w:val="32"/>
        </w:numPr>
        <w:rPr>
          <w:rFonts w:ascii="Arial" w:eastAsia="Times New Roman" w:hAnsi="Arial" w:cs="Arial"/>
          <w:sz w:val="24"/>
          <w:szCs w:val="24"/>
        </w:rPr>
      </w:pPr>
      <w:r w:rsidRPr="0038550D">
        <w:rPr>
          <w:rFonts w:ascii="Arial" w:eastAsia="Times New Roman" w:hAnsi="Arial" w:cs="Arial"/>
          <w:sz w:val="24"/>
          <w:szCs w:val="24"/>
        </w:rPr>
        <w:t>Sika Corp</w:t>
      </w:r>
      <w:r w:rsidR="00C55162">
        <w:rPr>
          <w:rFonts w:ascii="Arial" w:eastAsia="Times New Roman" w:hAnsi="Arial" w:cs="Arial"/>
          <w:sz w:val="24"/>
          <w:szCs w:val="24"/>
        </w:rPr>
        <w:t>oration</w:t>
      </w:r>
    </w:p>
    <w:p w:rsidR="0038550D" w:rsidRPr="0038550D" w:rsidP="0038550D" w14:paraId="60C3A848" w14:textId="72886687">
      <w:pPr>
        <w:pStyle w:val="NoSpacing"/>
        <w:numPr>
          <w:ilvl w:val="0"/>
          <w:numId w:val="32"/>
        </w:numPr>
        <w:rPr>
          <w:rFonts w:ascii="Arial" w:eastAsia="Times New Roman" w:hAnsi="Arial" w:cs="Arial"/>
          <w:sz w:val="24"/>
          <w:szCs w:val="24"/>
        </w:rPr>
      </w:pPr>
      <w:r w:rsidRPr="0038550D">
        <w:rPr>
          <w:rFonts w:ascii="Arial" w:eastAsia="Times New Roman" w:hAnsi="Arial" w:cs="Arial"/>
          <w:sz w:val="24"/>
          <w:szCs w:val="24"/>
        </w:rPr>
        <w:t>Univar Solutions Inc</w:t>
      </w:r>
      <w:r w:rsidR="00B8613B">
        <w:rPr>
          <w:rFonts w:ascii="Arial" w:eastAsia="Times New Roman" w:hAnsi="Arial" w:cs="Arial"/>
          <w:sz w:val="24"/>
          <w:szCs w:val="24"/>
        </w:rPr>
        <w:t>.</w:t>
      </w:r>
    </w:p>
    <w:p w:rsidR="0038550D" w:rsidRPr="0038550D" w:rsidP="0038550D" w14:paraId="4D1BB549" w14:textId="5C61F680">
      <w:pPr>
        <w:pStyle w:val="NoSpacing"/>
        <w:numPr>
          <w:ilvl w:val="0"/>
          <w:numId w:val="32"/>
        </w:numPr>
        <w:rPr>
          <w:rFonts w:ascii="Arial" w:eastAsia="Times New Roman" w:hAnsi="Arial" w:cs="Arial"/>
          <w:sz w:val="24"/>
          <w:szCs w:val="24"/>
        </w:rPr>
      </w:pPr>
      <w:r w:rsidRPr="0038550D">
        <w:rPr>
          <w:rFonts w:ascii="Arial" w:eastAsia="Times New Roman" w:hAnsi="Arial" w:cs="Arial"/>
          <w:sz w:val="24"/>
          <w:szCs w:val="24"/>
        </w:rPr>
        <w:t>O'</w:t>
      </w:r>
      <w:r>
        <w:rPr>
          <w:rFonts w:ascii="Arial" w:eastAsia="Times New Roman" w:hAnsi="Arial" w:cs="Arial"/>
          <w:sz w:val="24"/>
          <w:szCs w:val="24"/>
        </w:rPr>
        <w:t>B</w:t>
      </w:r>
      <w:r w:rsidRPr="0038550D">
        <w:rPr>
          <w:rFonts w:ascii="Arial" w:eastAsia="Times New Roman" w:hAnsi="Arial" w:cs="Arial"/>
          <w:sz w:val="24"/>
          <w:szCs w:val="24"/>
        </w:rPr>
        <w:t>rien Industrial Holding</w:t>
      </w:r>
      <w:r w:rsidR="00CB3C16">
        <w:rPr>
          <w:rFonts w:ascii="Arial" w:eastAsia="Times New Roman" w:hAnsi="Arial" w:cs="Arial"/>
          <w:sz w:val="24"/>
          <w:szCs w:val="24"/>
        </w:rPr>
        <w:t>s</w:t>
      </w:r>
      <w:r w:rsidR="003F1A5A">
        <w:rPr>
          <w:rFonts w:ascii="Arial" w:eastAsia="Times New Roman" w:hAnsi="Arial" w:cs="Arial"/>
          <w:sz w:val="24"/>
          <w:szCs w:val="24"/>
        </w:rPr>
        <w:t xml:space="preserve"> LLC</w:t>
      </w:r>
      <w:r w:rsidRPr="0038550D">
        <w:rPr>
          <w:rFonts w:ascii="Arial" w:eastAsia="Times New Roman" w:hAnsi="Arial" w:cs="Arial"/>
          <w:sz w:val="24"/>
          <w:szCs w:val="24"/>
        </w:rPr>
        <w:t xml:space="preserve"> </w:t>
      </w:r>
    </w:p>
    <w:p w:rsidR="0038550D" w:rsidRPr="0038550D" w:rsidP="0038550D" w14:paraId="3B069746" w14:textId="24305867">
      <w:pPr>
        <w:pStyle w:val="NoSpacing"/>
        <w:numPr>
          <w:ilvl w:val="0"/>
          <w:numId w:val="32"/>
        </w:numPr>
        <w:rPr>
          <w:rFonts w:ascii="Arial" w:eastAsia="Times New Roman" w:hAnsi="Arial" w:cs="Arial"/>
          <w:sz w:val="24"/>
          <w:szCs w:val="24"/>
        </w:rPr>
      </w:pPr>
      <w:r w:rsidRPr="0038550D">
        <w:rPr>
          <w:rFonts w:ascii="Arial" w:eastAsia="Times New Roman" w:hAnsi="Arial" w:cs="Arial"/>
          <w:sz w:val="24"/>
          <w:szCs w:val="24"/>
        </w:rPr>
        <w:t>Giant Cement Holding Inc</w:t>
      </w:r>
      <w:r w:rsidR="008E29EA">
        <w:rPr>
          <w:rFonts w:ascii="Arial" w:eastAsia="Times New Roman" w:hAnsi="Arial" w:cs="Arial"/>
          <w:sz w:val="24"/>
          <w:szCs w:val="24"/>
        </w:rPr>
        <w:t>.</w:t>
      </w:r>
    </w:p>
    <w:p w:rsidR="00B3269F" w:rsidRPr="0027213D" w:rsidP="00D45D6E" w14:paraId="5955FCB3" w14:textId="27A53657">
      <w:pPr>
        <w:pStyle w:val="NoSpacing"/>
        <w:numPr>
          <w:ilvl w:val="0"/>
          <w:numId w:val="32"/>
        </w:numPr>
        <w:rPr>
          <w:rFonts w:ascii="Arial" w:hAnsi="Arial" w:cs="Arial"/>
          <w:sz w:val="24"/>
          <w:szCs w:val="24"/>
        </w:rPr>
      </w:pPr>
      <w:r w:rsidRPr="004D2B6E">
        <w:rPr>
          <w:rFonts w:ascii="Arial" w:hAnsi="Arial" w:cs="Arial"/>
          <w:sz w:val="24"/>
          <w:szCs w:val="24"/>
        </w:rPr>
        <w:t>Livent</w:t>
      </w:r>
      <w:r w:rsidRPr="004D2B6E">
        <w:rPr>
          <w:rFonts w:ascii="Arial" w:hAnsi="Arial" w:cs="Arial"/>
          <w:sz w:val="24"/>
          <w:szCs w:val="24"/>
        </w:rPr>
        <w:t xml:space="preserve"> Co</w:t>
      </w:r>
      <w:r w:rsidRPr="004B388F">
        <w:rPr>
          <w:rFonts w:ascii="Arial" w:hAnsi="Arial" w:cs="Arial"/>
          <w:sz w:val="24"/>
          <w:szCs w:val="24"/>
        </w:rPr>
        <w:t>rporation</w:t>
      </w:r>
      <w:r w:rsidR="004B388F">
        <w:rPr>
          <w:rFonts w:ascii="Arial" w:hAnsi="Arial" w:cs="Arial"/>
          <w:sz w:val="24"/>
          <w:szCs w:val="24"/>
        </w:rPr>
        <w:br/>
      </w:r>
    </w:p>
    <w:p w:rsidR="00356BB4" w:rsidP="00356BB4" w14:paraId="39667CA0" w14:textId="3C06EF78">
      <w:pPr>
        <w:rPr>
          <w:rFonts w:cs="Arial"/>
        </w:rPr>
      </w:pPr>
      <w:r w:rsidRPr="0027213D">
        <w:rPr>
          <w:rFonts w:cs="Arial"/>
        </w:rPr>
        <w:t xml:space="preserve">A copy of EPA’s consultation to the above potential respondents and the </w:t>
      </w:r>
      <w:r>
        <w:rPr>
          <w:rFonts w:cs="Arial"/>
        </w:rPr>
        <w:t xml:space="preserve">two </w:t>
      </w:r>
      <w:r w:rsidRPr="0027213D">
        <w:rPr>
          <w:rFonts w:cs="Arial"/>
        </w:rPr>
        <w:t>response</w:t>
      </w:r>
      <w:r>
        <w:rPr>
          <w:rFonts w:cs="Arial"/>
        </w:rPr>
        <w:t>s</w:t>
      </w:r>
      <w:r w:rsidRPr="0027213D">
        <w:rPr>
          <w:rFonts w:cs="Arial"/>
        </w:rPr>
        <w:t xml:space="preserve"> received are in </w:t>
      </w:r>
      <w:r w:rsidRPr="00EF3149">
        <w:rPr>
          <w:rFonts w:cs="Arial"/>
        </w:rPr>
        <w:t xml:space="preserve">Attachment </w:t>
      </w:r>
      <w:r w:rsidR="0053159D">
        <w:rPr>
          <w:rFonts w:cs="Arial"/>
        </w:rPr>
        <w:t>6</w:t>
      </w:r>
      <w:r w:rsidRPr="0027213D" w:rsidR="0053159D">
        <w:rPr>
          <w:rFonts w:cs="Arial"/>
        </w:rPr>
        <w:t xml:space="preserve"> </w:t>
      </w:r>
      <w:r w:rsidRPr="0027213D">
        <w:rPr>
          <w:rFonts w:cs="Arial"/>
        </w:rPr>
        <w:t xml:space="preserve">and are available in the docket. </w:t>
      </w:r>
    </w:p>
    <w:p w:rsidR="00356BB4" w:rsidP="00356BB4" w14:paraId="2BC7DA92" w14:textId="55779218">
      <w:pPr>
        <w:rPr>
          <w:rStyle w:val="normaltextrun"/>
          <w:rFonts w:eastAsia="Yu Gothic Light" w:cs="Arial"/>
          <w:color w:val="000000"/>
          <w:shd w:val="clear" w:color="auto" w:fill="FFFFFF"/>
        </w:rPr>
      </w:pPr>
      <w:r w:rsidRPr="0027213D">
        <w:rPr>
          <w:rStyle w:val="normaltextrun"/>
          <w:rFonts w:cs="Arial"/>
          <w:color w:val="000000"/>
          <w:shd w:val="clear" w:color="auto" w:fill="FFFFFF"/>
        </w:rPr>
        <w:t>EPA received </w:t>
      </w:r>
      <w:r>
        <w:rPr>
          <w:rStyle w:val="normaltextrun"/>
          <w:rFonts w:cs="Arial"/>
          <w:color w:val="000000"/>
          <w:shd w:val="clear" w:color="auto" w:fill="FFFFFF"/>
        </w:rPr>
        <w:t xml:space="preserve">two </w:t>
      </w:r>
      <w:r w:rsidRPr="0027213D">
        <w:rPr>
          <w:rStyle w:val="normaltextrun"/>
          <w:rFonts w:cs="Arial"/>
          <w:color w:val="000000"/>
          <w:shd w:val="clear" w:color="auto" w:fill="FFFFFF"/>
        </w:rPr>
        <w:t>comment</w:t>
      </w:r>
      <w:r>
        <w:rPr>
          <w:rStyle w:val="normaltextrun"/>
          <w:rFonts w:cs="Arial"/>
          <w:color w:val="000000"/>
          <w:shd w:val="clear" w:color="auto" w:fill="FFFFFF"/>
        </w:rPr>
        <w:t>s</w:t>
      </w:r>
      <w:r w:rsidRPr="0027213D">
        <w:rPr>
          <w:rStyle w:val="normaltextrun"/>
          <w:rFonts w:cs="Arial"/>
          <w:color w:val="000000"/>
          <w:shd w:val="clear" w:color="auto" w:fill="FFFFFF"/>
        </w:rPr>
        <w:t xml:space="preserve"> in response to the previously provided 60-day public review opportunity (86 FR </w:t>
      </w:r>
      <w:r>
        <w:rPr>
          <w:rStyle w:val="normaltextrun"/>
          <w:rFonts w:cs="Arial"/>
          <w:color w:val="000000"/>
          <w:shd w:val="clear" w:color="auto" w:fill="FFFFFF"/>
        </w:rPr>
        <w:t>52457</w:t>
      </w:r>
      <w:r w:rsidRPr="0027213D">
        <w:rPr>
          <w:rStyle w:val="normaltextrun"/>
          <w:rFonts w:eastAsia="Yu Gothic Light" w:cs="Arial"/>
          <w:color w:val="000000"/>
          <w:shd w:val="clear" w:color="auto" w:fill="FFFFFF"/>
        </w:rPr>
        <w:t xml:space="preserve">, September </w:t>
      </w:r>
      <w:r>
        <w:rPr>
          <w:rStyle w:val="normaltextrun"/>
          <w:rFonts w:eastAsia="Yu Gothic Light" w:cs="Arial"/>
          <w:color w:val="000000"/>
          <w:shd w:val="clear" w:color="auto" w:fill="FFFFFF"/>
        </w:rPr>
        <w:t>2</w:t>
      </w:r>
      <w:r w:rsidRPr="0027213D">
        <w:rPr>
          <w:rStyle w:val="normaltextrun"/>
          <w:rFonts w:eastAsia="Yu Gothic Light" w:cs="Arial"/>
          <w:color w:val="000000"/>
          <w:shd w:val="clear" w:color="auto" w:fill="FFFFFF"/>
        </w:rPr>
        <w:t>1, 2021</w:t>
      </w:r>
      <w:r w:rsidRPr="0027213D">
        <w:rPr>
          <w:rStyle w:val="normaltextrun"/>
          <w:rFonts w:cs="Arial"/>
          <w:color w:val="000000"/>
          <w:shd w:val="clear" w:color="auto" w:fill="FFFFFF"/>
        </w:rPr>
        <w:t>) (FRL-87</w:t>
      </w:r>
      <w:r>
        <w:rPr>
          <w:rStyle w:val="normaltextrun"/>
          <w:rFonts w:cs="Arial"/>
          <w:color w:val="000000"/>
          <w:shd w:val="clear" w:color="auto" w:fill="FFFFFF"/>
        </w:rPr>
        <w:t>68</w:t>
      </w:r>
      <w:r w:rsidRPr="0027213D">
        <w:rPr>
          <w:rStyle w:val="normaltextrun"/>
          <w:rFonts w:eastAsia="Yu Gothic Light" w:cs="Arial"/>
          <w:color w:val="000000"/>
          <w:shd w:val="clear" w:color="auto" w:fill="FFFFFF"/>
        </w:rPr>
        <w:t>-</w:t>
      </w:r>
      <w:r w:rsidRPr="0027213D">
        <w:rPr>
          <w:rStyle w:val="normaltextrun"/>
          <w:rFonts w:cs="Arial"/>
          <w:color w:val="000000"/>
          <w:shd w:val="clear" w:color="auto" w:fill="FFFFFF"/>
        </w:rPr>
        <w:t>0</w:t>
      </w:r>
      <w:r>
        <w:rPr>
          <w:rStyle w:val="normaltextrun"/>
          <w:rFonts w:cs="Arial"/>
          <w:color w:val="000000"/>
          <w:shd w:val="clear" w:color="auto" w:fill="FFFFFF"/>
        </w:rPr>
        <w:t>1-OCSPP</w:t>
      </w:r>
      <w:r w:rsidRPr="0027213D">
        <w:rPr>
          <w:rStyle w:val="normaltextrun"/>
          <w:rFonts w:eastAsia="Yu Gothic Light" w:cs="Arial"/>
          <w:color w:val="000000"/>
          <w:shd w:val="clear" w:color="auto" w:fill="FFFFFF"/>
        </w:rPr>
        <w:t>).</w:t>
      </w:r>
      <w:r>
        <w:rPr>
          <w:rStyle w:val="normaltextrun"/>
          <w:rFonts w:eastAsia="Yu Gothic Light" w:cs="Arial"/>
          <w:color w:val="000000"/>
          <w:shd w:val="clear" w:color="auto" w:fill="FFFFFF"/>
        </w:rPr>
        <w:t xml:space="preserve"> One comment was a duplicate of </w:t>
      </w:r>
      <w:r w:rsidR="00A33A03">
        <w:rPr>
          <w:rStyle w:val="normaltextrun"/>
          <w:rFonts w:eastAsia="Yu Gothic Light" w:cs="Arial"/>
          <w:color w:val="000000"/>
          <w:shd w:val="clear" w:color="auto" w:fill="FFFFFF"/>
        </w:rPr>
        <w:t xml:space="preserve">a </w:t>
      </w:r>
      <w:r>
        <w:rPr>
          <w:rStyle w:val="normaltextrun"/>
          <w:rFonts w:eastAsia="Yu Gothic Light" w:cs="Arial"/>
          <w:color w:val="000000"/>
          <w:shd w:val="clear" w:color="auto" w:fill="FFFFFF"/>
        </w:rPr>
        <w:t>consultation response.</w:t>
      </w:r>
      <w:r w:rsidR="00B119CD">
        <w:rPr>
          <w:rStyle w:val="normaltextrun"/>
          <w:rFonts w:eastAsia="Yu Gothic Light" w:cs="Arial"/>
          <w:color w:val="000000"/>
          <w:shd w:val="clear" w:color="auto" w:fill="FFFFFF"/>
        </w:rPr>
        <w:t xml:space="preserve"> </w:t>
      </w:r>
    </w:p>
    <w:p w:rsidR="001D5FC5" w:rsidRPr="00EF3149" w:rsidP="00356BB4" w14:paraId="74CBF789" w14:textId="711DA00A">
      <w:pPr>
        <w:rPr>
          <w:rStyle w:val="normaltextrun"/>
          <w:rFonts w:eastAsia="Yu Gothic Light" w:cs="Arial"/>
          <w:color w:val="000000"/>
          <w:shd w:val="clear" w:color="auto" w:fill="FFFFFF"/>
        </w:rPr>
      </w:pPr>
      <w:r>
        <w:rPr>
          <w:rStyle w:val="normaltextrun"/>
          <w:rFonts w:eastAsia="Yu Gothic Light" w:cs="Arial"/>
          <w:color w:val="000000"/>
          <w:shd w:val="clear" w:color="auto" w:fill="FFFFFF"/>
        </w:rPr>
        <w:t>EPA’s responses</w:t>
      </w:r>
      <w:r w:rsidR="004B55E9">
        <w:rPr>
          <w:rStyle w:val="normaltextrun"/>
          <w:rFonts w:eastAsia="Yu Gothic Light" w:cs="Arial"/>
          <w:color w:val="000000"/>
          <w:shd w:val="clear" w:color="auto" w:fill="FFFFFF"/>
        </w:rPr>
        <w:t xml:space="preserve"> to the summarized </w:t>
      </w:r>
      <w:r w:rsidRPr="00EF3149" w:rsidR="004B55E9">
        <w:rPr>
          <w:rStyle w:val="normaltextrun"/>
          <w:rFonts w:eastAsia="Yu Gothic Light" w:cs="Arial"/>
          <w:color w:val="000000"/>
          <w:shd w:val="clear" w:color="auto" w:fill="FFFFFF"/>
        </w:rPr>
        <w:t>comments</w:t>
      </w:r>
      <w:r w:rsidRPr="00EF3149">
        <w:rPr>
          <w:rStyle w:val="normaltextrun"/>
          <w:rFonts w:eastAsia="Yu Gothic Light" w:cs="Arial"/>
          <w:color w:val="000000"/>
          <w:shd w:val="clear" w:color="auto" w:fill="FFFFFF"/>
        </w:rPr>
        <w:t xml:space="preserve"> are</w:t>
      </w:r>
      <w:r w:rsidRPr="00EF3149" w:rsidR="00C86991">
        <w:rPr>
          <w:rStyle w:val="normaltextrun"/>
          <w:rFonts w:eastAsia="Yu Gothic Light" w:cs="Arial"/>
          <w:color w:val="000000"/>
          <w:shd w:val="clear" w:color="auto" w:fill="FFFFFF"/>
        </w:rPr>
        <w:t xml:space="preserve"> in Attachment </w:t>
      </w:r>
      <w:r w:rsidR="0053159D">
        <w:rPr>
          <w:rStyle w:val="normaltextrun"/>
          <w:rFonts w:eastAsia="Yu Gothic Light" w:cs="Arial"/>
          <w:color w:val="000000"/>
          <w:shd w:val="clear" w:color="auto" w:fill="FFFFFF"/>
        </w:rPr>
        <w:t>7</w:t>
      </w:r>
      <w:r w:rsidRPr="00EF3149" w:rsidR="00C86991">
        <w:rPr>
          <w:rStyle w:val="normaltextrun"/>
          <w:rFonts w:eastAsia="Yu Gothic Light" w:cs="Arial"/>
          <w:color w:val="000000"/>
          <w:shd w:val="clear" w:color="auto" w:fill="FFFFFF"/>
        </w:rPr>
        <w:t>.</w:t>
      </w:r>
    </w:p>
    <w:p w:rsidR="006538BD" w:rsidRPr="00EF3149" w:rsidP="007F330A" w14:paraId="74CAC067" w14:textId="41A3B8B0">
      <w:pPr>
        <w:rPr>
          <w:lang w:bidi="en-US"/>
        </w:rPr>
      </w:pPr>
      <w:r w:rsidRPr="00EF3149">
        <w:rPr>
          <w:lang w:bidi="en-US"/>
        </w:rPr>
        <w:t xml:space="preserve">Giant Cement Holding, Inc. (GCHI) </w:t>
      </w:r>
      <w:r w:rsidRPr="00EF3149" w:rsidR="009A4C83">
        <w:rPr>
          <w:lang w:bidi="en-US"/>
        </w:rPr>
        <w:t xml:space="preserve">and Arakawa Chemical (USA) Inc </w:t>
      </w:r>
      <w:r w:rsidRPr="00EF3149">
        <w:rPr>
          <w:lang w:bidi="en-US"/>
        </w:rPr>
        <w:t>provided feedback</w:t>
      </w:r>
      <w:r w:rsidRPr="00EF3149" w:rsidR="00560ABE">
        <w:rPr>
          <w:lang w:bidi="en-US"/>
        </w:rPr>
        <w:t xml:space="preserve">, </w:t>
      </w:r>
      <w:r w:rsidRPr="00EF3149">
        <w:rPr>
          <w:lang w:bidi="en-US"/>
        </w:rPr>
        <w:t>not</w:t>
      </w:r>
      <w:r w:rsidRPr="00EF3149">
        <w:rPr>
          <w:lang w:bidi="en-US"/>
        </w:rPr>
        <w:t>ing</w:t>
      </w:r>
      <w:r w:rsidRPr="00EF3149">
        <w:rPr>
          <w:lang w:bidi="en-US"/>
        </w:rPr>
        <w:t xml:space="preserve"> that </w:t>
      </w:r>
      <w:r w:rsidRPr="00EF3149" w:rsidR="00560ABE">
        <w:rPr>
          <w:lang w:bidi="en-US"/>
        </w:rPr>
        <w:t>requirements</w:t>
      </w:r>
      <w:r w:rsidRPr="00EF3149">
        <w:rPr>
          <w:lang w:bidi="en-US"/>
        </w:rPr>
        <w:t xml:space="preserve"> for CDR submissions were clear</w:t>
      </w:r>
      <w:r w:rsidRPr="00EF3149">
        <w:rPr>
          <w:lang w:bidi="en-US"/>
        </w:rPr>
        <w:t xml:space="preserve"> and</w:t>
      </w:r>
      <w:r w:rsidRPr="00EF3149" w:rsidR="00A069ED">
        <w:rPr>
          <w:lang w:bidi="en-US"/>
        </w:rPr>
        <w:t xml:space="preserve"> the </w:t>
      </w:r>
      <w:r w:rsidRPr="00EF3149" w:rsidR="00A069ED">
        <w:rPr>
          <w:lang w:bidi="en-US"/>
        </w:rPr>
        <w:t>eCDRweb</w:t>
      </w:r>
      <w:r w:rsidRPr="00EF3149" w:rsidR="00A069ED">
        <w:rPr>
          <w:lang w:bidi="en-US"/>
        </w:rPr>
        <w:t xml:space="preserve"> reporting tool was easy to use</w:t>
      </w:r>
      <w:r w:rsidRPr="00EF3149">
        <w:rPr>
          <w:lang w:bidi="en-US"/>
        </w:rPr>
        <w:t>.</w:t>
      </w:r>
      <w:r w:rsidRPr="00EF3149" w:rsidR="00227264">
        <w:rPr>
          <w:lang w:bidi="en-US"/>
        </w:rPr>
        <w:t xml:space="preserve"> Arakawa comm</w:t>
      </w:r>
      <w:r w:rsidRPr="00EF3149" w:rsidR="00D66DE3">
        <w:rPr>
          <w:lang w:bidi="en-US"/>
        </w:rPr>
        <w:t xml:space="preserve">ented that the substantiation process </w:t>
      </w:r>
      <w:r w:rsidRPr="00EF3149" w:rsidR="00D66DE3">
        <w:rPr>
          <w:lang w:bidi="en-US"/>
        </w:rPr>
        <w:t>was</w:t>
      </w:r>
      <w:r w:rsidR="00E852C2">
        <w:rPr>
          <w:lang w:bidi="en-US"/>
        </w:rPr>
        <w:t xml:space="preserve"> slightly</w:t>
      </w:r>
      <w:r w:rsidRPr="00EF3149" w:rsidR="00D66DE3">
        <w:rPr>
          <w:lang w:bidi="en-US"/>
        </w:rPr>
        <w:t xml:space="preserve"> more difficult</w:t>
      </w:r>
      <w:r w:rsidR="004B4F35">
        <w:rPr>
          <w:lang w:bidi="en-US"/>
        </w:rPr>
        <w:t xml:space="preserve"> than entering the</w:t>
      </w:r>
      <w:r w:rsidR="0069792E">
        <w:rPr>
          <w:lang w:bidi="en-US"/>
        </w:rPr>
        <w:t xml:space="preserve"> data,</w:t>
      </w:r>
      <w:r w:rsidRPr="00EF3149" w:rsidR="00D66DE3">
        <w:rPr>
          <w:lang w:bidi="en-US"/>
        </w:rPr>
        <w:t xml:space="preserve"> but that the resources provided were adequate to complete this process</w:t>
      </w:r>
      <w:r w:rsidRPr="00EF3149" w:rsidR="00044A74">
        <w:rPr>
          <w:lang w:bidi="en-US"/>
        </w:rPr>
        <w:t xml:space="preserve">. </w:t>
      </w:r>
    </w:p>
    <w:p w:rsidR="00963A4E" w:rsidP="00963A4E" w14:paraId="6094F29C" w14:textId="61CFC2A6">
      <w:pPr>
        <w:rPr>
          <w:lang w:bidi="en-US"/>
        </w:rPr>
      </w:pPr>
      <w:r w:rsidRPr="00EF3149">
        <w:rPr>
          <w:lang w:bidi="en-US"/>
        </w:rPr>
        <w:t xml:space="preserve">The American </w:t>
      </w:r>
      <w:r w:rsidRPr="00EF3149" w:rsidR="00AC1FF8">
        <w:rPr>
          <w:lang w:bidi="en-US"/>
        </w:rPr>
        <w:t>Chemistry</w:t>
      </w:r>
      <w:r w:rsidRPr="00EF3149">
        <w:rPr>
          <w:lang w:bidi="en-US"/>
        </w:rPr>
        <w:t xml:space="preserve"> Council</w:t>
      </w:r>
      <w:r w:rsidRPr="00EF3149" w:rsidR="00AC1FF8">
        <w:rPr>
          <w:lang w:bidi="en-US"/>
        </w:rPr>
        <w:t xml:space="preserve"> (ACC) provided </w:t>
      </w:r>
      <w:r w:rsidRPr="00EF3149" w:rsidR="00B04949">
        <w:rPr>
          <w:lang w:bidi="en-US"/>
        </w:rPr>
        <w:t xml:space="preserve">comments </w:t>
      </w:r>
      <w:r w:rsidRPr="00EF3149" w:rsidR="00356BB4">
        <w:rPr>
          <w:lang w:bidi="en-US"/>
        </w:rPr>
        <w:t>in response to the public review opportunity. The ACC</w:t>
      </w:r>
      <w:r w:rsidRPr="00EF3149" w:rsidR="00A245EB">
        <w:rPr>
          <w:lang w:bidi="en-US"/>
        </w:rPr>
        <w:t xml:space="preserve"> comments included</w:t>
      </w:r>
      <w:r w:rsidRPr="00EF3149" w:rsidR="00A4455A">
        <w:rPr>
          <w:lang w:bidi="en-US"/>
        </w:rPr>
        <w:t>,</w:t>
      </w:r>
      <w:r w:rsidRPr="00EF3149" w:rsidR="00A245EB">
        <w:rPr>
          <w:lang w:bidi="en-US"/>
        </w:rPr>
        <w:t xml:space="preserve"> </w:t>
      </w:r>
      <w:r w:rsidRPr="00EF3149" w:rsidR="00827412">
        <w:rPr>
          <w:lang w:bidi="en-US"/>
        </w:rPr>
        <w:t>as an attachment</w:t>
      </w:r>
      <w:r w:rsidRPr="00EF3149" w:rsidR="00B33E77">
        <w:rPr>
          <w:lang w:bidi="en-US"/>
        </w:rPr>
        <w:t>,</w:t>
      </w:r>
      <w:r w:rsidRPr="00EF3149" w:rsidR="00827412">
        <w:rPr>
          <w:lang w:bidi="en-US"/>
        </w:rPr>
        <w:t xml:space="preserve"> </w:t>
      </w:r>
      <w:r w:rsidRPr="00EF3149" w:rsidR="00170883">
        <w:rPr>
          <w:lang w:bidi="en-US"/>
        </w:rPr>
        <w:t>a letter</w:t>
      </w:r>
      <w:r w:rsidRPr="00EF3149" w:rsidR="00E8638C">
        <w:rPr>
          <w:lang w:bidi="en-US"/>
        </w:rPr>
        <w:t xml:space="preserve"> previously provided to EPA</w:t>
      </w:r>
      <w:r w:rsidRPr="00EF3149" w:rsidR="00170883">
        <w:rPr>
          <w:lang w:bidi="en-US"/>
        </w:rPr>
        <w:t xml:space="preserve"> summarizing </w:t>
      </w:r>
      <w:r w:rsidRPr="00EF3149" w:rsidR="006B7269">
        <w:rPr>
          <w:lang w:bidi="en-US"/>
        </w:rPr>
        <w:t>experiences during the 2020 CDR submission period.</w:t>
      </w:r>
      <w:r w:rsidRPr="00EF3149" w:rsidR="005D2725">
        <w:rPr>
          <w:lang w:bidi="en-US"/>
        </w:rPr>
        <w:t xml:space="preserve"> </w:t>
      </w:r>
      <w:r w:rsidRPr="00EF3149">
        <w:rPr>
          <w:lang w:bidi="en-US"/>
        </w:rPr>
        <w:t xml:space="preserve">Comments from ACC </w:t>
      </w:r>
      <w:r w:rsidRPr="00EF3149" w:rsidR="00CE5817">
        <w:rPr>
          <w:lang w:bidi="en-US"/>
        </w:rPr>
        <w:t>were supportive of</w:t>
      </w:r>
      <w:r w:rsidRPr="00EF3149">
        <w:rPr>
          <w:lang w:bidi="en-US"/>
        </w:rPr>
        <w:t xml:space="preserve"> the Agency’s efforts to collect relevant information on chemicals in commerce (TSCA)</w:t>
      </w:r>
      <w:r w:rsidRPr="00EF3149" w:rsidR="005D2725">
        <w:rPr>
          <w:lang w:bidi="en-US"/>
        </w:rPr>
        <w:t>, b</w:t>
      </w:r>
      <w:r w:rsidRPr="00EF3149" w:rsidR="00F570FA">
        <w:rPr>
          <w:lang w:bidi="en-US"/>
        </w:rPr>
        <w:t xml:space="preserve">ut </w:t>
      </w:r>
      <w:r w:rsidRPr="00EF3149">
        <w:rPr>
          <w:lang w:bidi="en-US"/>
        </w:rPr>
        <w:t>noted that</w:t>
      </w:r>
      <w:r w:rsidRPr="00EF3149" w:rsidR="003211BA">
        <w:rPr>
          <w:lang w:bidi="en-US"/>
        </w:rPr>
        <w:t>, during the 2020 CDR submission period,</w:t>
      </w:r>
      <w:r w:rsidRPr="00EF3149">
        <w:rPr>
          <w:lang w:bidi="en-US"/>
        </w:rPr>
        <w:t xml:space="preserve"> ACC member companies reported spending </w:t>
      </w:r>
      <w:r w:rsidRPr="00EF3149" w:rsidR="00F570FA">
        <w:rPr>
          <w:lang w:bidi="en-US"/>
        </w:rPr>
        <w:t>about</w:t>
      </w:r>
      <w:r w:rsidRPr="00EF3149">
        <w:rPr>
          <w:lang w:bidi="en-US"/>
        </w:rPr>
        <w:t xml:space="preserve"> three times the amount of time as in previous years</w:t>
      </w:r>
      <w:r w:rsidRPr="00EF3149" w:rsidR="003211BA">
        <w:rPr>
          <w:lang w:bidi="en-US"/>
        </w:rPr>
        <w:t>. ACC attributed this to</w:t>
      </w:r>
      <w:r w:rsidRPr="00EF3149">
        <w:rPr>
          <w:lang w:bidi="en-US"/>
        </w:rPr>
        <w:t xml:space="preserve"> issues associated with the </w:t>
      </w:r>
      <w:r w:rsidRPr="00EF3149">
        <w:rPr>
          <w:lang w:bidi="en-US"/>
        </w:rPr>
        <w:t>eCDRweb</w:t>
      </w:r>
      <w:r w:rsidRPr="00EF3149">
        <w:rPr>
          <w:lang w:bidi="en-US"/>
        </w:rPr>
        <w:t xml:space="preserve"> reporting tool. </w:t>
      </w:r>
      <w:r w:rsidRPr="00EF3149" w:rsidR="0063180A">
        <w:rPr>
          <w:lang w:bidi="en-US"/>
        </w:rPr>
        <w:t>ACC als</w:t>
      </w:r>
      <w:r w:rsidRPr="00EF3149" w:rsidR="00E87C47">
        <w:rPr>
          <w:lang w:bidi="en-US"/>
        </w:rPr>
        <w:t>o suggested changes to some of the data element</w:t>
      </w:r>
      <w:r w:rsidRPr="00EF3149" w:rsidR="00600D80">
        <w:rPr>
          <w:lang w:bidi="en-US"/>
        </w:rPr>
        <w:t>s and the CBI substanti</w:t>
      </w:r>
      <w:r w:rsidRPr="00EF3149" w:rsidR="00D13590">
        <w:rPr>
          <w:lang w:bidi="en-US"/>
        </w:rPr>
        <w:t>ati</w:t>
      </w:r>
      <w:r w:rsidRPr="00EF3149" w:rsidR="00600D80">
        <w:rPr>
          <w:lang w:bidi="en-US"/>
        </w:rPr>
        <w:t>o</w:t>
      </w:r>
      <w:r w:rsidRPr="00EF3149" w:rsidR="007B7B14">
        <w:rPr>
          <w:lang w:bidi="en-US"/>
        </w:rPr>
        <w:t xml:space="preserve">n </w:t>
      </w:r>
      <w:r w:rsidRPr="00EF3149" w:rsidR="00600D80">
        <w:rPr>
          <w:lang w:bidi="en-US"/>
        </w:rPr>
        <w:t>and process.</w:t>
      </w:r>
      <w:r w:rsidRPr="00EF3149" w:rsidR="007B7B14">
        <w:rPr>
          <w:lang w:bidi="en-US"/>
        </w:rPr>
        <w:t xml:space="preserve"> </w:t>
      </w:r>
      <w:r w:rsidRPr="00EF3149" w:rsidR="00E87C47">
        <w:rPr>
          <w:lang w:bidi="en-US"/>
        </w:rPr>
        <w:t xml:space="preserve">and the </w:t>
      </w:r>
      <w:r w:rsidRPr="00EF3149">
        <w:rPr>
          <w:lang w:bidi="en-US"/>
        </w:rPr>
        <w:t xml:space="preserve">CBI substantiation </w:t>
      </w:r>
      <w:r w:rsidRPr="00EF3149" w:rsidR="002728CD">
        <w:rPr>
          <w:lang w:bidi="en-US"/>
        </w:rPr>
        <w:t>process</w:t>
      </w:r>
      <w:r w:rsidRPr="00EF3149">
        <w:rPr>
          <w:lang w:bidi="en-US"/>
        </w:rPr>
        <w:t xml:space="preserve">. </w:t>
      </w:r>
      <w:r w:rsidRPr="00EF3149" w:rsidR="00B82FDB">
        <w:rPr>
          <w:lang w:bidi="en-US"/>
        </w:rPr>
        <w:t xml:space="preserve"> EPA has taken steps to address </w:t>
      </w:r>
      <w:r w:rsidRPr="00EF3149" w:rsidR="000705A9">
        <w:rPr>
          <w:lang w:bidi="en-US"/>
        </w:rPr>
        <w:t xml:space="preserve">the items noted in the ACC comments. Specifics are provided in the comment summary and response in Attachment </w:t>
      </w:r>
      <w:r w:rsidR="0053159D">
        <w:rPr>
          <w:lang w:bidi="en-US"/>
        </w:rPr>
        <w:t>7</w:t>
      </w:r>
      <w:r w:rsidRPr="00EF3149" w:rsidR="000705A9">
        <w:rPr>
          <w:lang w:bidi="en-US"/>
        </w:rPr>
        <w:t>.</w:t>
      </w:r>
    </w:p>
    <w:p w:rsidR="009A7738" w:rsidP="002059F4" w14:paraId="68CD10BA" w14:textId="4C70E0F1">
      <w:pPr>
        <w:pStyle w:val="Heading2"/>
        <w:ind w:left="360"/>
      </w:pPr>
      <w:r>
        <w:t>Explain any decision to provide any payment or gift to respondents, other than remuneration of contractors or grantees.</w:t>
      </w:r>
    </w:p>
    <w:p w:rsidR="00DE7930" w:rsidRPr="00DE7930" w:rsidP="00DE7930" w14:paraId="217265C7" w14:textId="2DE8C3D0">
      <w:pPr>
        <w:rPr>
          <w:lang w:bidi="en-US"/>
        </w:rPr>
      </w:pPr>
      <w:r>
        <w:rPr>
          <w:lang w:bidi="en-US"/>
        </w:rPr>
        <w:t xml:space="preserve">Not applicable. </w:t>
      </w:r>
    </w:p>
    <w:p w:rsidR="009A7738" w:rsidP="002059F4" w14:paraId="1E0798B2" w14:textId="2988D89A">
      <w:pPr>
        <w:pStyle w:val="Heading2"/>
        <w:ind w:left="360"/>
      </w:pPr>
      <w:r w:rsidRPr="003041B0">
        <w:t>Describe any assurance of confidentiality provided to respondents and the basis for the assurance in statute, regulation, or agency policy.</w:t>
      </w:r>
      <w:r w:rsidR="00E00E93">
        <w:t xml:space="preserve"> </w:t>
      </w:r>
      <w:r w:rsidRPr="00CB6A40" w:rsidR="00E00E93">
        <w:t>If the collection requires a systems of records notice (SORN) or privacy impact assessment (PIA), those should be cited and described here.</w:t>
      </w:r>
    </w:p>
    <w:p w:rsidR="008F11B0" w:rsidP="00F440AB" w14:paraId="37F61A83" w14:textId="580CC39D">
      <w:r w:rsidRPr="009533EA">
        <w:rPr>
          <w:rFonts w:eastAsia="Times New Roman" w:cs="Times New Roman"/>
        </w:rPr>
        <w:t xml:space="preserve">Most CDR data can be claimed as </w:t>
      </w:r>
      <w:r w:rsidR="00A427AB">
        <w:rPr>
          <w:rFonts w:eastAsia="Times New Roman" w:cs="Times New Roman"/>
        </w:rPr>
        <w:t xml:space="preserve">confidential </w:t>
      </w:r>
      <w:r w:rsidRPr="009533EA">
        <w:rPr>
          <w:rFonts w:eastAsia="Times New Roman" w:cs="Times New Roman"/>
        </w:rPr>
        <w:t xml:space="preserve">when the CDR reporting form is submitted to EPA. As required under TSCA, substantiation for </w:t>
      </w:r>
      <w:r w:rsidR="00592C40">
        <w:rPr>
          <w:rFonts w:eastAsia="Times New Roman" w:cs="Times New Roman"/>
        </w:rPr>
        <w:t>confidentiality</w:t>
      </w:r>
      <w:r w:rsidRPr="009533EA">
        <w:rPr>
          <w:rFonts w:eastAsia="Times New Roman" w:cs="Times New Roman"/>
        </w:rPr>
        <w:t xml:space="preserve"> claims </w:t>
      </w:r>
      <w:r>
        <w:rPr>
          <w:rFonts w:eastAsia="Times New Roman" w:cs="Times New Roman"/>
        </w:rPr>
        <w:t>must</w:t>
      </w:r>
      <w:r w:rsidRPr="009533EA">
        <w:rPr>
          <w:rFonts w:eastAsia="Times New Roman" w:cs="Times New Roman"/>
        </w:rPr>
        <w:t xml:space="preserve"> be submitted at the time the claim is made, except for </w:t>
      </w:r>
      <w:r w:rsidR="00592C40">
        <w:rPr>
          <w:rFonts w:eastAsia="Times New Roman" w:cs="Times New Roman"/>
        </w:rPr>
        <w:t>confidential</w:t>
      </w:r>
      <w:r w:rsidR="00DE6025">
        <w:rPr>
          <w:rFonts w:eastAsia="Times New Roman" w:cs="Times New Roman"/>
        </w:rPr>
        <w:t>ity</w:t>
      </w:r>
      <w:r w:rsidRPr="009533EA">
        <w:rPr>
          <w:rFonts w:eastAsia="Times New Roman" w:cs="Times New Roman"/>
        </w:rPr>
        <w:t xml:space="preserve"> claims for production volume information (excludes percent production volume). </w:t>
      </w:r>
      <w:r w:rsidR="00C05711">
        <w:rPr>
          <w:rFonts w:eastAsia="Times New Roman" w:cs="Times New Roman"/>
        </w:rPr>
        <w:t>S</w:t>
      </w:r>
      <w:r w:rsidRPr="009533EA">
        <w:rPr>
          <w:rFonts w:eastAsia="Times New Roman" w:cs="Times New Roman"/>
        </w:rPr>
        <w:t xml:space="preserve">ubmitters must </w:t>
      </w:r>
      <w:r w:rsidR="00C05711">
        <w:rPr>
          <w:rFonts w:eastAsia="Times New Roman" w:cs="Times New Roman"/>
        </w:rPr>
        <w:t xml:space="preserve">substantiate </w:t>
      </w:r>
      <w:r w:rsidR="00DE6025">
        <w:rPr>
          <w:rFonts w:eastAsia="Times New Roman" w:cs="Times New Roman"/>
        </w:rPr>
        <w:t xml:space="preserve">their </w:t>
      </w:r>
      <w:r w:rsidR="00B50F16">
        <w:rPr>
          <w:rFonts w:eastAsia="Times New Roman" w:cs="Times New Roman"/>
        </w:rPr>
        <w:t xml:space="preserve">claims by </w:t>
      </w:r>
      <w:r w:rsidRPr="009533EA">
        <w:rPr>
          <w:rFonts w:eastAsia="Times New Roman" w:cs="Times New Roman"/>
        </w:rPr>
        <w:t>answer</w:t>
      </w:r>
      <w:r w:rsidR="001A7317">
        <w:rPr>
          <w:rFonts w:eastAsia="Times New Roman" w:cs="Times New Roman"/>
        </w:rPr>
        <w:t xml:space="preserve">ing a series of </w:t>
      </w:r>
      <w:r w:rsidRPr="009533EA">
        <w:rPr>
          <w:rFonts w:eastAsia="Times New Roman" w:cs="Times New Roman"/>
        </w:rPr>
        <w:t xml:space="preserve">questions related to whether the information is publicly known and whether public knowledge of the information would hurt a business’ competitive position. </w:t>
      </w:r>
      <w:r w:rsidRPr="009533EA" w:rsidR="008A7D31">
        <w:rPr>
          <w:rFonts w:eastAsia="Times New Roman" w:cs="Times New Roman"/>
        </w:rPr>
        <w:t xml:space="preserve">The e-CDRweb electronic reporting tool </w:t>
      </w:r>
      <w:r w:rsidR="008A7D31">
        <w:rPr>
          <w:rFonts w:eastAsia="Times New Roman" w:cs="Times New Roman"/>
        </w:rPr>
        <w:t>is the mechanism</w:t>
      </w:r>
      <w:r w:rsidRPr="009533EA" w:rsidR="008A7D31">
        <w:rPr>
          <w:rFonts w:eastAsia="Times New Roman" w:cs="Times New Roman"/>
        </w:rPr>
        <w:t xml:space="preserve"> for submi</w:t>
      </w:r>
      <w:r w:rsidR="008A7D31">
        <w:rPr>
          <w:rFonts w:eastAsia="Times New Roman" w:cs="Times New Roman"/>
        </w:rPr>
        <w:t>tting</w:t>
      </w:r>
      <w:r w:rsidRPr="009533EA" w:rsidR="008A7D31">
        <w:rPr>
          <w:rFonts w:eastAsia="Times New Roman" w:cs="Times New Roman"/>
        </w:rPr>
        <w:t xml:space="preserve"> substantiation information.</w:t>
      </w:r>
    </w:p>
    <w:p w:rsidR="00F440AB" w:rsidRPr="00F440AB" w:rsidP="00F440AB" w14:paraId="01EA5800" w14:textId="2A3114C2">
      <w:r w:rsidRPr="009533EA">
        <w:t>C</w:t>
      </w:r>
      <w:r>
        <w:t xml:space="preserve">onfidential business information (CBI) </w:t>
      </w:r>
      <w:r w:rsidRPr="009533EA">
        <w:t xml:space="preserve">claims limit </w:t>
      </w:r>
      <w:r>
        <w:t xml:space="preserve">public </w:t>
      </w:r>
      <w:r w:rsidRPr="009533EA">
        <w:t>access to the CDR data. EPA recognizes that some information submitted to the Agency is legitimately con</w:t>
      </w:r>
      <w:r>
        <w:t>fidential business information, and</w:t>
      </w:r>
      <w:r w:rsidRPr="009533EA">
        <w:t xml:space="preserve"> EPA</w:t>
      </w:r>
      <w:r>
        <w:t xml:space="preserve"> reviews</w:t>
      </w:r>
      <w:r w:rsidRPr="009533EA">
        <w:t xml:space="preserve"> CBI data </w:t>
      </w:r>
      <w:r>
        <w:t>in its mission</w:t>
      </w:r>
      <w:r w:rsidRPr="009533EA">
        <w:t xml:space="preserve"> to protect human health and the environment</w:t>
      </w:r>
      <w:r>
        <w:t>, in accordance with TSCA section 14(f) and (g)</w:t>
      </w:r>
      <w:r w:rsidRPr="009533EA">
        <w:t>.</w:t>
      </w:r>
    </w:p>
    <w:p w:rsidR="00575DC0" w:rsidP="002059F4" w14:paraId="675D5854" w14:textId="7117B238">
      <w:pPr>
        <w:pStyle w:val="Heading2"/>
        <w:ind w:left="360"/>
      </w:pPr>
      <w:r w:rsidRPr="00C42EF5">
        <w:t xml:space="preserve">Provide additional justification for any questions of a sensitive nature, </w:t>
      </w:r>
      <w:r>
        <w:t>such as sexual behavior and attitudes, religious beliefs, and other</w:t>
      </w:r>
      <w:r w:rsidRPr="00C42EF5">
        <w:t xml:space="preserve"> matters that are commonly considered private.</w:t>
      </w:r>
      <w:r w:rsidR="00E00E93">
        <w:t xml:space="preserve"> </w:t>
      </w:r>
      <w:r w:rsidRPr="00E00E93" w:rsidR="00E00E93">
        <w:t xml:space="preserve">This justification should include the reasons why the agency considers the questions necessary, the specific uses to be made of the information, the explanation to be given to persons from whom </w:t>
      </w:r>
      <w:r w:rsidRPr="00E00E93" w:rsidR="00E00E93">
        <w:t>the information is requested, and any steps to be taken to obtain their consent.</w:t>
      </w:r>
    </w:p>
    <w:p w:rsidR="00F440AB" w:rsidRPr="00F440AB" w:rsidP="002F7FE7" w14:paraId="351CF346" w14:textId="64CD25BA">
      <w:pPr>
        <w:numPr>
          <w:ilvl w:val="12"/>
          <w:numId w:val="0"/>
        </w:numPr>
      </w:pPr>
      <w:r>
        <w:t>No information of a sensitive or private nature is requested in conjunction with this information collection activity, and this information collection activity complies with the provisions of the Privacy Act of 1974 and OMB Circular A-108.</w:t>
      </w:r>
    </w:p>
    <w:p w:rsidR="00E00E93" w:rsidP="00E00E93" w14:paraId="29AD7DEB" w14:textId="77777777">
      <w:pPr>
        <w:pStyle w:val="Heading2"/>
        <w:ind w:left="360"/>
      </w:pPr>
      <w:r w:rsidRPr="00C42EF5">
        <w:t>Provide estimates of the hour burden of the collection of information.</w:t>
      </w:r>
      <w:r>
        <w:t xml:space="preserve"> The statement should: </w:t>
      </w:r>
    </w:p>
    <w:p w:rsidR="00E00E93" w:rsidP="002F7FE7" w14:paraId="7FC47722" w14:textId="77777777">
      <w:pPr>
        <w:pStyle w:val="Heading3"/>
        <w:numPr>
          <w:ilvl w:val="0"/>
          <w:numId w:val="5"/>
        </w:numPr>
      </w:pPr>
      <w: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00E93" w:rsidP="00E00E93" w14:paraId="2F1B6098" w14:textId="77777777">
      <w:pPr>
        <w:pStyle w:val="Heading3"/>
      </w:pPr>
      <w:r>
        <w:t xml:space="preserve">If this request for approval covers more than one form, provide separate hour burden estimates for each form and aggregate the hour burdens. </w:t>
      </w:r>
    </w:p>
    <w:p w:rsidR="00294EAC" w:rsidP="00E00E93" w14:paraId="2E905BB2" w14:textId="485569D4">
      <w:pPr>
        <w:pStyle w:val="Heading3"/>
      </w:pPr>
      <w: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00ED0FD8" w:rsidRPr="007C0253" w:rsidP="006F1C05" w14:paraId="56FCE0FC" w14:textId="62E34130">
      <w:pPr>
        <w:rPr>
          <w:rFonts w:eastAsia="Times New Roman" w:cs="Times New Roman"/>
        </w:rPr>
      </w:pPr>
      <w:r w:rsidRPr="007C0253">
        <w:rPr>
          <w:rFonts w:eastAsia="Times New Roman" w:cs="Times New Roman"/>
        </w:rPr>
        <w:t>The regulated community consists of companies manufacturing (including importing) certain chemical substances listed on the TSCA Inventory and regulated under the TSCA section 8(a) CDR regulation. In general, the industry segments that compose the regulated community for the rule are those that produce or import chemical substances. Most respondents expected to be subject to this ICR have previously reported CDR information. The Agency’s previous experience with CDR collections has shown that the majority of the respondents affected by this collection activity are from the following N</w:t>
      </w:r>
      <w:r w:rsidRPr="007C0253" w:rsidR="00363031">
        <w:rPr>
          <w:rFonts w:eastAsia="Times New Roman" w:cs="Times New Roman"/>
        </w:rPr>
        <w:t>orth American Index Classification (N</w:t>
      </w:r>
      <w:r w:rsidRPr="007C0253">
        <w:rPr>
          <w:rFonts w:eastAsia="Times New Roman" w:cs="Times New Roman"/>
        </w:rPr>
        <w:t>AICS</w:t>
      </w:r>
      <w:r w:rsidRPr="007C0253" w:rsidR="00363031">
        <w:rPr>
          <w:rFonts w:eastAsia="Times New Roman" w:cs="Times New Roman"/>
        </w:rPr>
        <w:t>)</w:t>
      </w:r>
      <w:r w:rsidRPr="007C0253">
        <w:rPr>
          <w:rFonts w:eastAsia="Times New Roman" w:cs="Times New Roman"/>
        </w:rPr>
        <w:t xml:space="preserve"> code categories:</w:t>
      </w:r>
    </w:p>
    <w:p w:rsidR="00ED0FD8" w:rsidRPr="009533EA" w:rsidP="006F1C05" w14:paraId="3E50046E" w14:textId="77777777">
      <w:pPr>
        <w:rPr>
          <w:rFonts w:eastAsia="Times New Roman" w:cs="Times New Roman"/>
        </w:rPr>
      </w:pPr>
      <w:r w:rsidRPr="009533EA">
        <w:rPr>
          <w:rFonts w:eastAsia="Times New Roman" w:cs="Times New Roman"/>
        </w:rPr>
        <w:tab/>
        <w:t>325 - Chemical Manufacturing</w:t>
      </w:r>
    </w:p>
    <w:p w:rsidR="00ED0FD8" w:rsidRPr="009533EA" w:rsidP="006F1C05" w14:paraId="1EC6C47B" w14:textId="77777777">
      <w:pPr>
        <w:rPr>
          <w:rFonts w:eastAsia="Times New Roman" w:cs="Times New Roman"/>
        </w:rPr>
      </w:pPr>
      <w:r w:rsidRPr="009533EA">
        <w:rPr>
          <w:rFonts w:eastAsia="Times New Roman" w:cs="Times New Roman"/>
        </w:rPr>
        <w:tab/>
        <w:t>324 - Petroleum and Coal Product Manufacturing</w:t>
      </w:r>
    </w:p>
    <w:p w:rsidR="00ED0FD8" w:rsidRPr="007C0253" w:rsidP="006F1C05" w14:paraId="3E50F998" w14:textId="77777777">
      <w:pPr>
        <w:rPr>
          <w:rFonts w:eastAsia="Times New Roman" w:cs="Times New Roman"/>
        </w:rPr>
      </w:pPr>
      <w:r w:rsidRPr="007C0253">
        <w:rPr>
          <w:rFonts w:eastAsia="Times New Roman" w:cs="Times New Roman"/>
        </w:rPr>
        <w:t>The subsectors identified above represent the designation of sites that likely would be subject to CDR reporting. However, this list does not include all potentially affected entities.  Other types of entities not listed in this unit could also be subject to reporting.</w:t>
      </w:r>
    </w:p>
    <w:p w:rsidR="00ED0FD8" w:rsidRPr="007C0253" w:rsidP="006F1C05" w14:paraId="43841635" w14:textId="6A35576B">
      <w:pPr>
        <w:rPr>
          <w:rFonts w:eastAsia="Times New Roman" w:cs="Times New Roman"/>
        </w:rPr>
      </w:pPr>
      <w:r w:rsidRPr="007C0253">
        <w:rPr>
          <w:rFonts w:eastAsia="Times New Roman" w:cs="Times New Roman"/>
        </w:rPr>
        <w:t xml:space="preserve">Generally, TSCA section 8(a) excludes small manufacturers (including importers) from reporting. EPA defines small manufacturers (including importers) for purposes of CDR and certain other reporting in 40 CFR 704.3. </w:t>
      </w:r>
    </w:p>
    <w:p w:rsidR="00185FB8" w:rsidRPr="007C0253" w:rsidP="006F1C05" w14:paraId="0D0C6F15" w14:textId="7CE6B681">
      <w:pPr>
        <w:rPr>
          <w:rFonts w:eastAsia="Times New Roman" w:cs="Times New Roman"/>
          <w:u w:val="single"/>
        </w:rPr>
      </w:pPr>
      <w:r w:rsidRPr="007C0253">
        <w:rPr>
          <w:rFonts w:eastAsia="Times New Roman" w:cs="Times New Roman"/>
          <w:u w:val="single"/>
        </w:rPr>
        <w:t>Reporting Threshold</w:t>
      </w:r>
    </w:p>
    <w:p w:rsidR="002414EB" w:rsidRPr="007C0253" w:rsidP="006F1C05" w14:paraId="624D720F" w14:textId="68A13F76">
      <w:pPr>
        <w:rPr>
          <w:rFonts w:eastAsia="Times New Roman" w:cs="Times New Roman"/>
        </w:rPr>
      </w:pPr>
      <w:r w:rsidRPr="007C0253">
        <w:rPr>
          <w:rFonts w:eastAsia="Times New Roman" w:cs="Times New Roman"/>
        </w:rPr>
        <w:t>The threshold for reporting to CDR is a production volume of 25,000 pounds at a single site for any calendar year since the previous principal reporting year. The reporting threshold is 2,500 pounds for certain chemical substances that are:</w:t>
      </w:r>
    </w:p>
    <w:p w:rsidR="002414EB" w:rsidRPr="007C0253" w:rsidP="006F1C05" w14:paraId="501D968B" w14:textId="77777777">
      <w:pPr>
        <w:pStyle w:val="ListParagraph"/>
        <w:numPr>
          <w:ilvl w:val="0"/>
          <w:numId w:val="29"/>
        </w:numPr>
        <w:rPr>
          <w:rFonts w:eastAsia="Times New Roman" w:cs="Times New Roman"/>
        </w:rPr>
      </w:pPr>
      <w:r w:rsidRPr="007C0253">
        <w:rPr>
          <w:rFonts w:eastAsia="Times New Roman" w:cs="Times New Roman"/>
        </w:rPr>
        <w:t>The subject of a rule proposed or promulgated under TSCA sections 5(a)(2), 5(b)(4), or 6,</w:t>
      </w:r>
    </w:p>
    <w:p w:rsidR="002414EB" w:rsidRPr="007C0253" w:rsidP="006F1C05" w14:paraId="1A253E52" w14:textId="27CF427A">
      <w:pPr>
        <w:pStyle w:val="ListParagraph"/>
        <w:numPr>
          <w:ilvl w:val="0"/>
          <w:numId w:val="29"/>
        </w:numPr>
        <w:rPr>
          <w:rFonts w:eastAsia="Times New Roman" w:cs="Times New Roman"/>
        </w:rPr>
      </w:pPr>
      <w:r w:rsidRPr="007C0253">
        <w:rPr>
          <w:rFonts w:eastAsia="Times New Roman" w:cs="Times New Roman"/>
        </w:rPr>
        <w:t>The subject of an order issued under TSCA sections 5(e) or 5(f),</w:t>
      </w:r>
      <w:r w:rsidR="007C2F06">
        <w:rPr>
          <w:rFonts w:eastAsia="Times New Roman" w:cs="Times New Roman"/>
        </w:rPr>
        <w:t xml:space="preserve"> or</w:t>
      </w:r>
    </w:p>
    <w:p w:rsidR="002414EB" w:rsidRPr="007C0253" w:rsidP="006F1C05" w14:paraId="21D491E1" w14:textId="77777777">
      <w:pPr>
        <w:pStyle w:val="ListParagraph"/>
        <w:numPr>
          <w:ilvl w:val="0"/>
          <w:numId w:val="29"/>
        </w:numPr>
        <w:rPr>
          <w:rFonts w:eastAsia="Times New Roman" w:cs="Times New Roman"/>
        </w:rPr>
      </w:pPr>
      <w:r w:rsidRPr="007C0253">
        <w:rPr>
          <w:rFonts w:eastAsia="Times New Roman" w:cs="Times New Roman"/>
        </w:rPr>
        <w:t>The subject of relief that has been granted under a civil action under TSCA sections 5 or 7.</w:t>
      </w:r>
    </w:p>
    <w:p w:rsidR="002414EB" w:rsidRPr="007C0253" w:rsidP="006F1C05" w14:paraId="0DF779F2" w14:textId="632BB75A">
      <w:pPr>
        <w:rPr>
          <w:rFonts w:eastAsia="Times New Roman" w:cs="Times New Roman"/>
        </w:rPr>
      </w:pPr>
      <w:r w:rsidRPr="007C0253">
        <w:rPr>
          <w:rFonts w:eastAsia="Times New Roman" w:cs="Times New Roman"/>
        </w:rPr>
        <w:t xml:space="preserve">Chemical substances subject to these TSCA actions are of demonstrated high interest to the Agency. The lower reporting threshold helps to ensure the availability of current information on those chemical substances manufactured above 2,500 pounds when the Agency has expressed a concern in the form of regulatory action. EPA will use the CDR data associated with these regulated chemical substances to monitor chemical substance production and compliance with the rules. </w:t>
      </w:r>
    </w:p>
    <w:p w:rsidR="00310DF0" w:rsidRPr="007C0253" w:rsidP="006F1C05" w14:paraId="51D8E1F1" w14:textId="77777777">
      <w:pPr>
        <w:rPr>
          <w:rFonts w:eastAsia="Times New Roman" w:cs="Times New Roman"/>
          <w:u w:val="single"/>
        </w:rPr>
      </w:pPr>
      <w:r w:rsidRPr="007C0253">
        <w:rPr>
          <w:rFonts w:eastAsia="Times New Roman" w:cs="Times New Roman"/>
          <w:u w:val="single"/>
        </w:rPr>
        <w:t>CDX Registration</w:t>
      </w:r>
    </w:p>
    <w:p w:rsidR="00310DF0" w:rsidRPr="007C0253" w:rsidP="006F1C05" w14:paraId="0860B704" w14:textId="77777777">
      <w:pPr>
        <w:rPr>
          <w:rFonts w:eastAsia="Times New Roman" w:cs="Times New Roman"/>
        </w:rPr>
      </w:pPr>
      <w:r w:rsidRPr="007C0253">
        <w:rPr>
          <w:rFonts w:eastAsia="Times New Roman" w:cs="Times New Roman"/>
        </w:rPr>
        <w:t xml:space="preserve">Each CDR submission must have an associated authorized official. The authorized official signs the certification statement and submits the CDR report via CDX. To register in CDX, the CDX registrant (also referred to as “Electronic Signature Holder”) completes an electronic signature agreement (ESA) form. For identity authentication, the registrant will complete the ESA, and either submit the form electronically or mail to EPA. Once EPA receives the form, EPA will activate the registrant’s CDX account and send a notification via email. </w:t>
      </w:r>
    </w:p>
    <w:p w:rsidR="00310DF0" w:rsidRPr="007C0253" w:rsidP="006F1C05" w14:paraId="0159CD7A" w14:textId="77777777">
      <w:pPr>
        <w:rPr>
          <w:rFonts w:eastAsia="Times New Roman" w:cs="Times New Roman"/>
        </w:rPr>
      </w:pPr>
      <w:r w:rsidRPr="007C0253">
        <w:rPr>
          <w:rFonts w:eastAsia="Times New Roman" w:cs="Times New Roman"/>
        </w:rPr>
        <w:t xml:space="preserve">A company may need or desire to have more than one individual complete an electronic signature agreement, so that more than one person can add information to an original CDR submission. Persons submitting supplemental information for a CDR submission on behalf of a company need to register with CDX by signing an ESA. The company official can authorize an unlimited number of agent or support registrants and agent or support registrants can work with an unlimited number of company officials. An agent registrant has abilities very similar to those of the authorized official, but the agent does not have the abilities to submit completed forms and assign agent or support registrants. A support registrant is more limited in their abilities, but they can enter and edit submission information. An agent or support registrant may be an employee of the </w:t>
      </w:r>
      <w:r w:rsidRPr="007C0253">
        <w:rPr>
          <w:rFonts w:eastAsia="Times New Roman" w:cs="Times New Roman"/>
        </w:rPr>
        <w:t xml:space="preserve">company, an outside consultant for the company, or an authorized representative agent for the company. While this individual is not able to sign the certification statement required for the initial CDR submission, they are able to provide additional information, if needed, using CDX. </w:t>
      </w:r>
    </w:p>
    <w:p w:rsidR="00623CBF" w:rsidRPr="006A5A28" w:rsidP="00DC05D5" w14:paraId="4AF239E2" w14:textId="77777777">
      <w:pPr>
        <w:pStyle w:val="BodyText"/>
        <w:spacing w:after="200" w:line="276" w:lineRule="auto"/>
      </w:pPr>
      <w:r>
        <w:t xml:space="preserve">Table </w:t>
      </w:r>
      <w:r w:rsidR="00FF1F2F">
        <w:t>2</w:t>
      </w:r>
      <w:r>
        <w:t xml:space="preserve"> provides the universe of respondent sites, chemical reports, and CDX registration based on analytical assumptions described in </w:t>
      </w:r>
      <w:r w:rsidR="183F1ED2">
        <w:t xml:space="preserve">section 4.3.2 of </w:t>
      </w:r>
      <w:r>
        <w:t xml:space="preserve">the </w:t>
      </w:r>
      <w:r w:rsidR="3418C7A6">
        <w:t xml:space="preserve">Economic Analysis for </w:t>
      </w:r>
      <w:r>
        <w:t xml:space="preserve">the CDR Revisions Rule </w:t>
      </w:r>
      <w:r w:rsidR="06ADAB1A">
        <w:t>and section 5.3.3 of</w:t>
      </w:r>
      <w:r w:rsidR="4EEE6ECF">
        <w:t xml:space="preserve"> the Economic Analysis for the Small Manufacturers Definition</w:t>
      </w:r>
      <w:r w:rsidR="00FF1F2F">
        <w:t xml:space="preserve"> (SMD)</w:t>
      </w:r>
      <w:r w:rsidR="4EEE6ECF">
        <w:t xml:space="preserve"> Rule </w:t>
      </w:r>
      <w:r>
        <w:t>(EPA, 2020</w:t>
      </w:r>
      <w:r w:rsidR="0EBEAE49">
        <w:t>a</w:t>
      </w:r>
      <w:r w:rsidR="4C92B5EC">
        <w:t>,b</w:t>
      </w:r>
      <w:r>
        <w:t>)</w:t>
      </w:r>
    </w:p>
    <w:p w:rsidR="00623CBF" w:rsidRPr="00E75A51" w:rsidP="00DC05D5" w14:paraId="28579ABE" w14:textId="35DE6FF9">
      <w:pPr>
        <w:pStyle w:val="BodyText"/>
        <w:spacing w:after="200" w:line="276" w:lineRule="auto"/>
        <w:rPr>
          <w:b/>
          <w:bCs/>
        </w:rPr>
      </w:pPr>
      <w:r w:rsidRPr="00E75A51">
        <w:rPr>
          <w:b/>
          <w:bCs/>
        </w:rPr>
        <w:t xml:space="preserve">Table </w:t>
      </w:r>
      <w:r w:rsidRPr="00E75A51" w:rsidR="00FF1F2F">
        <w:rPr>
          <w:b/>
          <w:bCs/>
        </w:rPr>
        <w:t>2</w:t>
      </w:r>
      <w:r w:rsidRPr="00E75A51">
        <w:rPr>
          <w:b/>
          <w:bCs/>
        </w:rPr>
        <w:t>. Universe of Respondent Sites, Chemical Reports, and CDX Registration</w:t>
      </w:r>
    </w:p>
    <w:tbl>
      <w:tblPr>
        <w:tblW w:w="6057" w:type="dxa"/>
        <w:jc w:val="center"/>
        <w:tblLook w:val="04A0"/>
      </w:tblPr>
      <w:tblGrid>
        <w:gridCol w:w="4486"/>
        <w:gridCol w:w="1106"/>
        <w:gridCol w:w="1217"/>
      </w:tblGrid>
      <w:tr w14:paraId="71BE0AAE" w14:textId="77777777" w:rsidTr="006707EC">
        <w:tblPrEx>
          <w:tblW w:w="6057" w:type="dxa"/>
          <w:jc w:val="center"/>
          <w:tblLook w:val="04A0"/>
        </w:tblPrEx>
        <w:trPr>
          <w:trHeight w:val="300"/>
          <w:jc w:val="center"/>
        </w:trPr>
        <w:tc>
          <w:tcPr>
            <w:tcW w:w="605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49D45497" w14:textId="77777777">
            <w:pPr>
              <w:jc w:val="center"/>
              <w:rPr>
                <w:rFonts w:eastAsia="Times New Roman" w:cs="Arial"/>
                <w:b/>
                <w:bCs/>
                <w:color w:val="000000"/>
                <w:sz w:val="20"/>
                <w:szCs w:val="20"/>
              </w:rPr>
            </w:pPr>
            <w:r w:rsidRPr="002311B4">
              <w:rPr>
                <w:rFonts w:eastAsia="Times New Roman" w:cs="Arial"/>
                <w:b/>
                <w:bCs/>
                <w:color w:val="000000"/>
                <w:sz w:val="20"/>
                <w:szCs w:val="20"/>
              </w:rPr>
              <w:t>Form U Reporting Universe</w:t>
            </w:r>
            <w:r w:rsidRPr="002311B4">
              <w:rPr>
                <w:rFonts w:eastAsia="Times New Roman" w:cs="Arial"/>
                <w:b/>
                <w:bCs/>
                <w:color w:val="000000"/>
                <w:sz w:val="20"/>
                <w:szCs w:val="20"/>
                <w:vertAlign w:val="superscript"/>
              </w:rPr>
              <w:t>1</w:t>
            </w:r>
          </w:p>
        </w:tc>
      </w:tr>
      <w:tr w14:paraId="4E3E4AD7" w14:textId="77777777" w:rsidTr="006707EC">
        <w:tblPrEx>
          <w:tblW w:w="6057" w:type="dxa"/>
          <w:jc w:val="center"/>
          <w:tblLook w:val="04A0"/>
        </w:tblPrEx>
        <w:trPr>
          <w:trHeight w:val="300"/>
          <w:jc w:val="center"/>
        </w:trPr>
        <w:tc>
          <w:tcPr>
            <w:tcW w:w="4486" w:type="dxa"/>
            <w:tcBorders>
              <w:top w:val="nil"/>
              <w:left w:val="single" w:sz="4" w:space="0" w:color="auto"/>
              <w:bottom w:val="single" w:sz="4" w:space="0" w:color="auto"/>
              <w:right w:val="single" w:sz="4" w:space="0" w:color="auto"/>
            </w:tcBorders>
            <w:shd w:val="clear" w:color="auto" w:fill="BFBFBF" w:themeFill="background1" w:themeFillShade="BF"/>
            <w:vAlign w:val="bottom"/>
            <w:hideMark/>
          </w:tcPr>
          <w:p w:rsidR="00623CBF" w:rsidRPr="002311B4" w:rsidP="00DC05D5" w14:paraId="22ACAFA5" w14:textId="77777777">
            <w:pPr>
              <w:jc w:val="center"/>
              <w:rPr>
                <w:rFonts w:eastAsia="Times New Roman" w:cs="Arial"/>
                <w:b/>
                <w:bCs/>
                <w:color w:val="000000"/>
                <w:sz w:val="20"/>
                <w:szCs w:val="20"/>
              </w:rPr>
            </w:pPr>
            <w:r w:rsidRPr="002311B4">
              <w:rPr>
                <w:rFonts w:eastAsia="Times New Roman" w:cs="Arial"/>
                <w:b/>
                <w:bCs/>
                <w:color w:val="000000"/>
                <w:sz w:val="20"/>
                <w:szCs w:val="20"/>
              </w:rPr>
              <w:t>Sites</w:t>
            </w:r>
          </w:p>
        </w:tc>
        <w:tc>
          <w:tcPr>
            <w:tcW w:w="740" w:type="dxa"/>
            <w:tcBorders>
              <w:top w:val="nil"/>
              <w:left w:val="nil"/>
              <w:bottom w:val="single" w:sz="4" w:space="0" w:color="auto"/>
              <w:right w:val="single" w:sz="4" w:space="0" w:color="auto"/>
            </w:tcBorders>
            <w:shd w:val="clear" w:color="auto" w:fill="BFBFBF" w:themeFill="background1" w:themeFillShade="BF"/>
            <w:vAlign w:val="bottom"/>
            <w:hideMark/>
          </w:tcPr>
          <w:p w:rsidR="00623CBF" w:rsidRPr="002311B4" w:rsidP="00DC05D5" w14:paraId="55DB1F49" w14:textId="77777777">
            <w:pPr>
              <w:jc w:val="center"/>
              <w:rPr>
                <w:rFonts w:eastAsia="Times New Roman" w:cs="Arial"/>
                <w:b/>
                <w:bCs/>
                <w:color w:val="000000"/>
                <w:sz w:val="20"/>
                <w:szCs w:val="20"/>
              </w:rPr>
            </w:pPr>
            <w:r w:rsidRPr="002311B4">
              <w:rPr>
                <w:rFonts w:eastAsia="Times New Roman" w:cs="Arial"/>
                <w:b/>
                <w:bCs/>
                <w:color w:val="000000"/>
                <w:sz w:val="20"/>
                <w:szCs w:val="20"/>
              </w:rPr>
              <w:t>Chemical Reports</w:t>
            </w:r>
          </w:p>
        </w:tc>
        <w:tc>
          <w:tcPr>
            <w:tcW w:w="831" w:type="dxa"/>
            <w:tcBorders>
              <w:top w:val="nil"/>
              <w:left w:val="nil"/>
              <w:bottom w:val="single" w:sz="4" w:space="0" w:color="auto"/>
              <w:right w:val="single" w:sz="4" w:space="0" w:color="auto"/>
            </w:tcBorders>
            <w:shd w:val="clear" w:color="auto" w:fill="BFBFBF" w:themeFill="background1" w:themeFillShade="BF"/>
            <w:vAlign w:val="bottom"/>
            <w:hideMark/>
          </w:tcPr>
          <w:p w:rsidR="00623CBF" w:rsidRPr="002311B4" w:rsidP="00DC05D5" w14:paraId="524C2543" w14:textId="77777777">
            <w:pPr>
              <w:jc w:val="center"/>
              <w:rPr>
                <w:rFonts w:eastAsia="Times New Roman" w:cs="Arial"/>
                <w:b/>
                <w:bCs/>
                <w:color w:val="000000"/>
                <w:sz w:val="20"/>
                <w:szCs w:val="20"/>
              </w:rPr>
            </w:pPr>
            <w:r w:rsidRPr="002311B4">
              <w:rPr>
                <w:rFonts w:eastAsia="Times New Roman" w:cs="Arial"/>
                <w:b/>
                <w:bCs/>
                <w:color w:val="000000"/>
                <w:sz w:val="20"/>
                <w:szCs w:val="20"/>
              </w:rPr>
              <w:t>Chemicals</w:t>
            </w:r>
          </w:p>
        </w:tc>
      </w:tr>
      <w:tr w14:paraId="0F894256" w14:textId="77777777" w:rsidTr="006707EC">
        <w:tblPrEx>
          <w:tblW w:w="6057" w:type="dxa"/>
          <w:jc w:val="center"/>
          <w:tblLook w:val="04A0"/>
        </w:tblPrEx>
        <w:trPr>
          <w:trHeight w:val="300"/>
          <w:jc w:val="center"/>
        </w:trPr>
        <w:tc>
          <w:tcPr>
            <w:tcW w:w="44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46C9E93B" w14:textId="77777777">
            <w:pPr>
              <w:jc w:val="right"/>
              <w:rPr>
                <w:rFonts w:eastAsia="Times New Roman" w:cs="Arial"/>
                <w:color w:val="000000"/>
                <w:sz w:val="20"/>
                <w:szCs w:val="20"/>
              </w:rPr>
            </w:pPr>
            <w:r w:rsidRPr="002311B4">
              <w:rPr>
                <w:rFonts w:eastAsia="Times New Roman" w:cs="Arial"/>
                <w:color w:val="000000"/>
                <w:sz w:val="20"/>
                <w:szCs w:val="20"/>
              </w:rPr>
              <w:t xml:space="preserve">5,460 </w:t>
            </w:r>
          </w:p>
        </w:tc>
        <w:tc>
          <w:tcPr>
            <w:tcW w:w="740"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4B054F14" w14:textId="77777777">
            <w:pPr>
              <w:jc w:val="right"/>
              <w:rPr>
                <w:rFonts w:eastAsia="Times New Roman" w:cs="Arial"/>
                <w:color w:val="000000"/>
                <w:sz w:val="20"/>
                <w:szCs w:val="20"/>
              </w:rPr>
            </w:pPr>
            <w:r w:rsidRPr="002311B4">
              <w:rPr>
                <w:rFonts w:eastAsia="Times New Roman" w:cs="Arial"/>
                <w:color w:val="000000"/>
                <w:sz w:val="20"/>
                <w:szCs w:val="20"/>
              </w:rPr>
              <w:t xml:space="preserve">40,286 </w:t>
            </w:r>
          </w:p>
        </w:tc>
        <w:tc>
          <w:tcPr>
            <w:tcW w:w="831"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25B79985" w14:textId="77777777">
            <w:pPr>
              <w:jc w:val="right"/>
              <w:rPr>
                <w:rFonts w:eastAsia="Times New Roman" w:cs="Arial"/>
                <w:color w:val="000000"/>
                <w:sz w:val="20"/>
                <w:szCs w:val="20"/>
              </w:rPr>
            </w:pPr>
            <w:r w:rsidRPr="002311B4">
              <w:rPr>
                <w:rFonts w:eastAsia="Times New Roman" w:cs="Arial"/>
                <w:color w:val="000000"/>
                <w:sz w:val="20"/>
                <w:szCs w:val="20"/>
              </w:rPr>
              <w:t>8,484</w:t>
            </w:r>
          </w:p>
        </w:tc>
      </w:tr>
      <w:tr w14:paraId="48074641" w14:textId="77777777" w:rsidTr="006707EC">
        <w:tblPrEx>
          <w:tblW w:w="6057" w:type="dxa"/>
          <w:jc w:val="center"/>
          <w:tblLook w:val="04A0"/>
        </w:tblPrEx>
        <w:trPr>
          <w:trHeight w:val="300"/>
          <w:jc w:val="center"/>
        </w:trPr>
        <w:tc>
          <w:tcPr>
            <w:tcW w:w="4486" w:type="dxa"/>
            <w:tcBorders>
              <w:top w:val="nil"/>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1FC28781" w14:textId="77777777">
            <w:pPr>
              <w:rPr>
                <w:rFonts w:eastAsia="Times New Roman" w:cs="Arial"/>
                <w:b/>
                <w:bCs/>
                <w:color w:val="000000"/>
                <w:sz w:val="20"/>
                <w:szCs w:val="20"/>
              </w:rPr>
            </w:pPr>
            <w:r w:rsidRPr="002311B4">
              <w:rPr>
                <w:rFonts w:eastAsia="Times New Roman" w:cs="Arial"/>
                <w:b/>
                <w:bCs/>
                <w:color w:val="000000"/>
                <w:sz w:val="20"/>
                <w:szCs w:val="20"/>
              </w:rPr>
              <w:t>Overall Submitter Characteristics, % of Chemical Reports</w:t>
            </w:r>
          </w:p>
        </w:tc>
        <w:tc>
          <w:tcPr>
            <w:tcW w:w="740"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04D5246D" w14:textId="77777777">
            <w:pPr>
              <w:rPr>
                <w:rFonts w:eastAsia="Times New Roman" w:cs="Arial"/>
                <w:color w:val="000000"/>
                <w:sz w:val="20"/>
                <w:szCs w:val="20"/>
              </w:rPr>
            </w:pPr>
            <w:r w:rsidRPr="002311B4">
              <w:rPr>
                <w:rFonts w:eastAsia="Times New Roman" w:cs="Arial"/>
                <w:color w:val="000000"/>
                <w:sz w:val="20"/>
                <w:szCs w:val="20"/>
              </w:rPr>
              <w:t> </w:t>
            </w:r>
          </w:p>
        </w:tc>
        <w:tc>
          <w:tcPr>
            <w:tcW w:w="831" w:type="dxa"/>
            <w:tcBorders>
              <w:top w:val="nil"/>
              <w:left w:val="nil"/>
              <w:bottom w:val="single" w:sz="4" w:space="0" w:color="auto"/>
              <w:right w:val="single" w:sz="4" w:space="0" w:color="auto"/>
            </w:tcBorders>
            <w:shd w:val="clear" w:color="auto" w:fill="auto"/>
            <w:noWrap/>
            <w:vAlign w:val="bottom"/>
            <w:hideMark/>
          </w:tcPr>
          <w:p w:rsidR="00623CBF" w:rsidRPr="002311B4" w:rsidP="00DC05D5" w14:paraId="7FE324CA" w14:textId="77777777">
            <w:pPr>
              <w:rPr>
                <w:rFonts w:eastAsia="Times New Roman" w:cs="Arial"/>
                <w:color w:val="000000"/>
                <w:sz w:val="20"/>
                <w:szCs w:val="20"/>
              </w:rPr>
            </w:pPr>
            <w:r w:rsidRPr="002311B4">
              <w:rPr>
                <w:rFonts w:eastAsia="Times New Roman" w:cs="Arial"/>
                <w:color w:val="000000"/>
                <w:sz w:val="20"/>
                <w:szCs w:val="20"/>
              </w:rPr>
              <w:t> </w:t>
            </w:r>
          </w:p>
        </w:tc>
      </w:tr>
      <w:tr w14:paraId="764EC11B" w14:textId="77777777" w:rsidTr="006707EC">
        <w:tblPrEx>
          <w:tblW w:w="6057" w:type="dxa"/>
          <w:jc w:val="center"/>
          <w:tblLook w:val="04A0"/>
        </w:tblPrEx>
        <w:trPr>
          <w:trHeight w:val="300"/>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23CBF" w:rsidRPr="002311B4" w:rsidP="00DC05D5" w14:paraId="5A1F029B" w14:textId="77777777">
            <w:pPr>
              <w:jc w:val="center"/>
              <w:rPr>
                <w:rFonts w:eastAsia="Times New Roman" w:cs="Arial"/>
                <w:b/>
                <w:bCs/>
                <w:color w:val="000000"/>
                <w:sz w:val="20"/>
                <w:szCs w:val="20"/>
              </w:rPr>
            </w:pPr>
            <w:r w:rsidRPr="002311B4">
              <w:rPr>
                <w:rFonts w:eastAsia="Times New Roman" w:cs="Arial"/>
                <w:b/>
                <w:bCs/>
                <w:color w:val="000000"/>
                <w:sz w:val="20"/>
                <w:szCs w:val="20"/>
              </w:rPr>
              <w:t>Characteristic</w:t>
            </w:r>
          </w:p>
        </w:tc>
        <w:tc>
          <w:tcPr>
            <w:tcW w:w="831" w:type="dxa"/>
            <w:tcBorders>
              <w:top w:val="nil"/>
              <w:left w:val="nil"/>
              <w:bottom w:val="single" w:sz="4" w:space="0" w:color="auto"/>
              <w:right w:val="single" w:sz="4" w:space="0" w:color="auto"/>
            </w:tcBorders>
            <w:shd w:val="clear" w:color="auto" w:fill="BFBFBF" w:themeFill="background1" w:themeFillShade="BF"/>
            <w:noWrap/>
            <w:vAlign w:val="bottom"/>
            <w:hideMark/>
          </w:tcPr>
          <w:p w:rsidR="00623CBF" w:rsidRPr="002311B4" w:rsidP="00DC05D5" w14:paraId="72B3C9B9" w14:textId="77777777">
            <w:pPr>
              <w:jc w:val="center"/>
              <w:rPr>
                <w:rFonts w:eastAsia="Times New Roman" w:cs="Arial"/>
                <w:b/>
                <w:bCs/>
                <w:color w:val="000000"/>
                <w:sz w:val="20"/>
                <w:szCs w:val="20"/>
              </w:rPr>
            </w:pPr>
            <w:r w:rsidRPr="002311B4">
              <w:rPr>
                <w:rFonts w:eastAsia="Times New Roman" w:cs="Arial"/>
                <w:b/>
                <w:bCs/>
                <w:color w:val="000000"/>
                <w:sz w:val="20"/>
                <w:szCs w:val="20"/>
              </w:rPr>
              <w:t>Value</w:t>
            </w:r>
          </w:p>
        </w:tc>
      </w:tr>
      <w:tr w14:paraId="6C088CB6" w14:textId="77777777" w:rsidTr="006707EC">
        <w:tblPrEx>
          <w:tblW w:w="6057" w:type="dxa"/>
          <w:jc w:val="center"/>
          <w:tblLook w:val="04A0"/>
        </w:tblPrEx>
        <w:trPr>
          <w:trHeight w:val="300"/>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46530F3C" w14:textId="77777777">
            <w:pPr>
              <w:rPr>
                <w:rFonts w:eastAsia="Times New Roman" w:cs="Arial"/>
                <w:color w:val="000000"/>
                <w:sz w:val="20"/>
                <w:szCs w:val="20"/>
              </w:rPr>
            </w:pPr>
            <w:r w:rsidRPr="002311B4">
              <w:rPr>
                <w:rFonts w:eastAsia="Times New Roman" w:cs="Arial"/>
                <w:color w:val="000000"/>
                <w:sz w:val="20"/>
                <w:szCs w:val="20"/>
              </w:rPr>
              <w:t>Chemicals per Report</w:t>
            </w:r>
          </w:p>
        </w:tc>
        <w:tc>
          <w:tcPr>
            <w:tcW w:w="831"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7B7C5652" w14:textId="77777777">
            <w:pPr>
              <w:jc w:val="right"/>
              <w:rPr>
                <w:rFonts w:eastAsia="Times New Roman" w:cs="Arial"/>
                <w:color w:val="000000"/>
                <w:sz w:val="20"/>
                <w:szCs w:val="20"/>
              </w:rPr>
            </w:pPr>
            <w:r w:rsidRPr="002311B4">
              <w:rPr>
                <w:rFonts w:eastAsia="Times New Roman" w:cs="Arial"/>
                <w:color w:val="000000"/>
                <w:sz w:val="20"/>
                <w:szCs w:val="20"/>
              </w:rPr>
              <w:t>7.38</w:t>
            </w:r>
          </w:p>
        </w:tc>
      </w:tr>
      <w:tr w14:paraId="4747C3FD" w14:textId="77777777" w:rsidTr="006707EC">
        <w:tblPrEx>
          <w:tblW w:w="6057" w:type="dxa"/>
          <w:jc w:val="center"/>
          <w:tblLook w:val="04A0"/>
        </w:tblPrEx>
        <w:trPr>
          <w:trHeight w:val="300"/>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1F0B04F3" w14:textId="77777777">
            <w:pPr>
              <w:rPr>
                <w:rFonts w:eastAsia="Times New Roman" w:cs="Arial"/>
                <w:color w:val="000000"/>
                <w:sz w:val="20"/>
                <w:szCs w:val="20"/>
              </w:rPr>
            </w:pPr>
            <w:r w:rsidRPr="002311B4">
              <w:rPr>
                <w:rFonts w:eastAsia="Times New Roman" w:cs="Arial"/>
                <w:color w:val="000000"/>
                <w:sz w:val="20"/>
                <w:szCs w:val="20"/>
              </w:rPr>
              <w:t xml:space="preserve">% </w:t>
            </w:r>
            <w:r w:rsidRPr="002311B4">
              <w:rPr>
                <w:rFonts w:eastAsia="Times New Roman" w:cs="Arial"/>
                <w:color w:val="000000"/>
                <w:sz w:val="20"/>
                <w:szCs w:val="20"/>
              </w:rPr>
              <w:t>of</w:t>
            </w:r>
            <w:r w:rsidRPr="002311B4">
              <w:rPr>
                <w:rFonts w:eastAsia="Times New Roman" w:cs="Arial"/>
                <w:color w:val="000000"/>
                <w:sz w:val="20"/>
                <w:szCs w:val="20"/>
              </w:rPr>
              <w:t xml:space="preserve"> Partial Reports</w:t>
            </w:r>
          </w:p>
        </w:tc>
        <w:tc>
          <w:tcPr>
            <w:tcW w:w="831"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04C9A83C" w14:textId="77777777">
            <w:pPr>
              <w:jc w:val="right"/>
              <w:rPr>
                <w:rFonts w:eastAsia="Times New Roman" w:cs="Arial"/>
                <w:color w:val="000000"/>
                <w:sz w:val="20"/>
                <w:szCs w:val="20"/>
              </w:rPr>
            </w:pPr>
            <w:r w:rsidRPr="002311B4">
              <w:rPr>
                <w:rFonts w:eastAsia="Times New Roman" w:cs="Arial"/>
                <w:color w:val="000000"/>
                <w:sz w:val="20"/>
                <w:szCs w:val="20"/>
              </w:rPr>
              <w:t>21.92%</w:t>
            </w:r>
          </w:p>
        </w:tc>
      </w:tr>
      <w:tr w14:paraId="17A556F7" w14:textId="77777777" w:rsidTr="006707EC">
        <w:tblPrEx>
          <w:tblW w:w="6057" w:type="dxa"/>
          <w:jc w:val="center"/>
          <w:tblLook w:val="04A0"/>
        </w:tblPrEx>
        <w:trPr>
          <w:trHeight w:val="300"/>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2736919C" w14:textId="77777777">
            <w:pPr>
              <w:rPr>
                <w:rFonts w:eastAsia="Times New Roman" w:cs="Arial"/>
                <w:color w:val="000000"/>
                <w:sz w:val="20"/>
                <w:szCs w:val="20"/>
              </w:rPr>
            </w:pPr>
            <w:r w:rsidRPr="002311B4">
              <w:rPr>
                <w:rFonts w:eastAsia="Times New Roman" w:cs="Arial"/>
                <w:color w:val="000000"/>
                <w:sz w:val="20"/>
                <w:szCs w:val="20"/>
              </w:rPr>
              <w:t>% Joint Reporters</w:t>
            </w:r>
          </w:p>
        </w:tc>
        <w:tc>
          <w:tcPr>
            <w:tcW w:w="831"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737CD932" w14:textId="77777777">
            <w:pPr>
              <w:jc w:val="right"/>
              <w:rPr>
                <w:rFonts w:eastAsia="Times New Roman" w:cs="Arial"/>
                <w:color w:val="000000"/>
                <w:sz w:val="20"/>
                <w:szCs w:val="20"/>
              </w:rPr>
            </w:pPr>
            <w:r w:rsidRPr="002311B4">
              <w:rPr>
                <w:rFonts w:eastAsia="Times New Roman" w:cs="Arial"/>
                <w:color w:val="000000"/>
                <w:sz w:val="20"/>
                <w:szCs w:val="20"/>
              </w:rPr>
              <w:t>1.72%</w:t>
            </w:r>
          </w:p>
        </w:tc>
      </w:tr>
      <w:tr w14:paraId="2098C010" w14:textId="77777777" w:rsidTr="006707EC">
        <w:tblPrEx>
          <w:tblW w:w="6057" w:type="dxa"/>
          <w:jc w:val="center"/>
          <w:tblLook w:val="04A0"/>
        </w:tblPrEx>
        <w:trPr>
          <w:trHeight w:val="300"/>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3D0608B0" w14:textId="77777777">
            <w:pPr>
              <w:rPr>
                <w:rFonts w:eastAsia="Times New Roman" w:cs="Arial"/>
                <w:color w:val="000000"/>
                <w:sz w:val="20"/>
                <w:szCs w:val="20"/>
              </w:rPr>
            </w:pPr>
            <w:r w:rsidRPr="002311B4">
              <w:rPr>
                <w:rFonts w:eastAsia="Times New Roman" w:cs="Arial"/>
                <w:color w:val="000000"/>
                <w:sz w:val="20"/>
                <w:szCs w:val="20"/>
              </w:rPr>
              <w:t>% CBI Chem ID</w:t>
            </w:r>
          </w:p>
        </w:tc>
        <w:tc>
          <w:tcPr>
            <w:tcW w:w="831"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2B88224D" w14:textId="77777777">
            <w:pPr>
              <w:jc w:val="right"/>
              <w:rPr>
                <w:rFonts w:eastAsia="Times New Roman" w:cs="Arial"/>
                <w:color w:val="000000"/>
                <w:sz w:val="20"/>
                <w:szCs w:val="20"/>
              </w:rPr>
            </w:pPr>
            <w:r w:rsidRPr="002311B4">
              <w:rPr>
                <w:rFonts w:eastAsia="Times New Roman" w:cs="Arial"/>
                <w:color w:val="000000"/>
                <w:sz w:val="20"/>
                <w:szCs w:val="20"/>
              </w:rPr>
              <w:t>1.44%</w:t>
            </w:r>
          </w:p>
        </w:tc>
      </w:tr>
      <w:tr w14:paraId="62D4D6BE" w14:textId="77777777" w:rsidTr="006707EC">
        <w:tblPrEx>
          <w:tblW w:w="6057" w:type="dxa"/>
          <w:jc w:val="center"/>
          <w:tblLook w:val="04A0"/>
        </w:tblPrEx>
        <w:trPr>
          <w:trHeight w:val="585"/>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rsidR="00623CBF" w:rsidRPr="002311B4" w:rsidP="00DC05D5" w14:paraId="1F0CE25B" w14:textId="740A73D7">
            <w:pPr>
              <w:rPr>
                <w:rFonts w:eastAsia="Times New Roman" w:cs="Arial"/>
                <w:color w:val="000000"/>
                <w:sz w:val="20"/>
                <w:szCs w:val="20"/>
              </w:rPr>
            </w:pPr>
            <w:r w:rsidRPr="002311B4">
              <w:rPr>
                <w:rFonts w:eastAsia="Times New Roman" w:cs="Arial"/>
                <w:color w:val="000000"/>
                <w:sz w:val="20"/>
                <w:szCs w:val="20"/>
              </w:rPr>
              <w:t>% Part II.A CBI Substantiation for Connection to Company ID,</w:t>
            </w:r>
            <w:r w:rsidRPr="002311B4" w:rsidR="009551BD">
              <w:rPr>
                <w:rFonts w:eastAsia="Times New Roman" w:cs="Arial"/>
                <w:color w:val="000000"/>
                <w:sz w:val="20"/>
                <w:szCs w:val="20"/>
              </w:rPr>
              <w:t xml:space="preserve"> </w:t>
            </w:r>
            <w:r w:rsidRPr="002311B4">
              <w:rPr>
                <w:rFonts w:eastAsia="Times New Roman" w:cs="Arial"/>
                <w:color w:val="000000"/>
                <w:sz w:val="20"/>
                <w:szCs w:val="20"/>
              </w:rPr>
              <w:t>Site ID, and/or Technical Contact</w:t>
            </w:r>
          </w:p>
        </w:tc>
        <w:tc>
          <w:tcPr>
            <w:tcW w:w="831"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4C548DE8" w14:textId="77777777">
            <w:pPr>
              <w:jc w:val="right"/>
              <w:rPr>
                <w:rFonts w:eastAsia="Times New Roman" w:cs="Arial"/>
                <w:color w:val="000000"/>
                <w:sz w:val="20"/>
                <w:szCs w:val="20"/>
              </w:rPr>
            </w:pPr>
            <w:r w:rsidRPr="002311B4">
              <w:rPr>
                <w:rFonts w:eastAsia="Times New Roman" w:cs="Arial"/>
                <w:color w:val="000000"/>
                <w:sz w:val="20"/>
                <w:szCs w:val="20"/>
              </w:rPr>
              <w:t>17.36%</w:t>
            </w:r>
          </w:p>
        </w:tc>
      </w:tr>
      <w:tr w14:paraId="3E751631" w14:textId="77777777" w:rsidTr="006707EC">
        <w:tblPrEx>
          <w:tblW w:w="6057" w:type="dxa"/>
          <w:jc w:val="center"/>
          <w:tblLook w:val="04A0"/>
        </w:tblPrEx>
        <w:trPr>
          <w:trHeight w:val="300"/>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1A3F3295" w14:textId="77777777">
            <w:pPr>
              <w:rPr>
                <w:rFonts w:eastAsia="Times New Roman" w:cs="Arial"/>
                <w:color w:val="000000"/>
                <w:sz w:val="20"/>
                <w:szCs w:val="20"/>
              </w:rPr>
            </w:pPr>
            <w:r w:rsidRPr="002311B4">
              <w:rPr>
                <w:rFonts w:eastAsia="Times New Roman" w:cs="Arial"/>
                <w:color w:val="000000"/>
                <w:sz w:val="20"/>
                <w:szCs w:val="20"/>
              </w:rPr>
              <w:t>% Part II.C CBI</w:t>
            </w:r>
          </w:p>
        </w:tc>
        <w:tc>
          <w:tcPr>
            <w:tcW w:w="831"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058445C4" w14:textId="77777777">
            <w:pPr>
              <w:jc w:val="right"/>
              <w:rPr>
                <w:rFonts w:eastAsia="Times New Roman" w:cs="Arial"/>
                <w:color w:val="000000"/>
                <w:sz w:val="20"/>
                <w:szCs w:val="20"/>
              </w:rPr>
            </w:pPr>
            <w:r w:rsidRPr="002311B4">
              <w:rPr>
                <w:rFonts w:eastAsia="Times New Roman" w:cs="Arial"/>
                <w:color w:val="000000"/>
                <w:sz w:val="20"/>
                <w:szCs w:val="20"/>
              </w:rPr>
              <w:t>35.93%</w:t>
            </w:r>
          </w:p>
        </w:tc>
      </w:tr>
      <w:tr w14:paraId="51187980" w14:textId="77777777" w:rsidTr="006707EC">
        <w:tblPrEx>
          <w:tblW w:w="6057" w:type="dxa"/>
          <w:jc w:val="center"/>
          <w:tblLook w:val="04A0"/>
        </w:tblPrEx>
        <w:trPr>
          <w:trHeight w:val="300"/>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2CE1332A" w14:textId="77777777">
            <w:pPr>
              <w:rPr>
                <w:rFonts w:eastAsia="Times New Roman" w:cs="Arial"/>
                <w:color w:val="000000"/>
                <w:sz w:val="20"/>
                <w:szCs w:val="20"/>
              </w:rPr>
            </w:pPr>
            <w:r w:rsidRPr="002311B4">
              <w:rPr>
                <w:rFonts w:eastAsia="Times New Roman" w:cs="Arial"/>
                <w:color w:val="000000"/>
                <w:sz w:val="20"/>
                <w:szCs w:val="20"/>
              </w:rPr>
              <w:t>% Part II.D CBI</w:t>
            </w:r>
          </w:p>
        </w:tc>
        <w:tc>
          <w:tcPr>
            <w:tcW w:w="831" w:type="dxa"/>
            <w:tcBorders>
              <w:top w:val="nil"/>
              <w:left w:val="nil"/>
              <w:bottom w:val="single" w:sz="4" w:space="0" w:color="auto"/>
              <w:right w:val="single" w:sz="4" w:space="0" w:color="auto"/>
            </w:tcBorders>
            <w:shd w:val="clear" w:color="auto" w:fill="FFFFFF" w:themeFill="background1"/>
            <w:noWrap/>
            <w:vAlign w:val="bottom"/>
            <w:hideMark/>
          </w:tcPr>
          <w:p w:rsidR="00623CBF" w:rsidRPr="002311B4" w:rsidP="00DC05D5" w14:paraId="5674922C" w14:textId="77777777">
            <w:pPr>
              <w:jc w:val="right"/>
              <w:rPr>
                <w:rFonts w:eastAsia="Times New Roman" w:cs="Arial"/>
                <w:color w:val="000000"/>
                <w:sz w:val="20"/>
                <w:szCs w:val="20"/>
              </w:rPr>
            </w:pPr>
            <w:r w:rsidRPr="002311B4">
              <w:rPr>
                <w:rFonts w:eastAsia="Times New Roman" w:cs="Arial"/>
                <w:color w:val="000000"/>
                <w:sz w:val="20"/>
                <w:szCs w:val="20"/>
              </w:rPr>
              <w:t>8.40%</w:t>
            </w:r>
          </w:p>
        </w:tc>
      </w:tr>
      <w:tr w14:paraId="3C5EB9EF" w14:textId="77777777" w:rsidTr="006707EC">
        <w:tblPrEx>
          <w:tblW w:w="6057" w:type="dxa"/>
          <w:jc w:val="center"/>
          <w:tblLook w:val="04A0"/>
        </w:tblPrEx>
        <w:trPr>
          <w:trHeight w:val="300"/>
          <w:jc w:val="center"/>
        </w:trPr>
        <w:tc>
          <w:tcPr>
            <w:tcW w:w="6057" w:type="dxa"/>
            <w:gridSpan w:val="3"/>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32FA0356" w14:textId="77777777">
            <w:pPr>
              <w:jc w:val="center"/>
              <w:rPr>
                <w:rFonts w:eastAsia="Times New Roman" w:cs="Arial"/>
                <w:b/>
                <w:bCs/>
                <w:color w:val="000000"/>
                <w:sz w:val="20"/>
                <w:szCs w:val="20"/>
              </w:rPr>
            </w:pPr>
            <w:r w:rsidRPr="002311B4">
              <w:rPr>
                <w:rFonts w:eastAsia="Times New Roman" w:cs="Arial"/>
                <w:b/>
                <w:bCs/>
                <w:color w:val="000000"/>
                <w:sz w:val="20"/>
                <w:szCs w:val="20"/>
              </w:rPr>
              <w:t>CDX Registrations Universe</w:t>
            </w:r>
          </w:p>
        </w:tc>
      </w:tr>
      <w:tr w14:paraId="63FD713E" w14:textId="77777777" w:rsidTr="006707EC">
        <w:tblPrEx>
          <w:tblW w:w="6057" w:type="dxa"/>
          <w:jc w:val="center"/>
          <w:tblLook w:val="04A0"/>
        </w:tblPrEx>
        <w:trPr>
          <w:trHeight w:val="300"/>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23CBF" w:rsidRPr="002311B4" w:rsidP="00DC05D5" w14:paraId="190FC870" w14:textId="77777777">
            <w:pPr>
              <w:rPr>
                <w:rFonts w:eastAsia="Times New Roman" w:cs="Arial"/>
                <w:b/>
                <w:bCs/>
                <w:color w:val="000000"/>
                <w:sz w:val="20"/>
                <w:szCs w:val="20"/>
              </w:rPr>
            </w:pPr>
            <w:r w:rsidRPr="002311B4">
              <w:rPr>
                <w:rFonts w:eastAsia="Times New Roman" w:cs="Arial"/>
                <w:b/>
                <w:bCs/>
                <w:color w:val="000000"/>
                <w:sz w:val="20"/>
                <w:szCs w:val="20"/>
              </w:rPr>
              <w:t>Type</w:t>
            </w:r>
          </w:p>
        </w:tc>
        <w:tc>
          <w:tcPr>
            <w:tcW w:w="831" w:type="dxa"/>
            <w:tcBorders>
              <w:top w:val="nil"/>
              <w:left w:val="nil"/>
              <w:bottom w:val="single" w:sz="4" w:space="0" w:color="auto"/>
              <w:right w:val="single" w:sz="4" w:space="0" w:color="auto"/>
            </w:tcBorders>
            <w:shd w:val="clear" w:color="auto" w:fill="BFBFBF" w:themeFill="background1" w:themeFillShade="BF"/>
            <w:noWrap/>
            <w:vAlign w:val="bottom"/>
            <w:hideMark/>
          </w:tcPr>
          <w:p w:rsidR="00623CBF" w:rsidRPr="002311B4" w:rsidP="00DC05D5" w14:paraId="0D893686" w14:textId="77777777">
            <w:pPr>
              <w:jc w:val="center"/>
              <w:rPr>
                <w:rFonts w:eastAsia="Times New Roman" w:cs="Arial"/>
                <w:b/>
                <w:bCs/>
                <w:color w:val="000000"/>
                <w:sz w:val="20"/>
                <w:szCs w:val="20"/>
              </w:rPr>
            </w:pPr>
            <w:r w:rsidRPr="002311B4">
              <w:rPr>
                <w:rFonts w:eastAsia="Times New Roman" w:cs="Arial"/>
                <w:b/>
                <w:bCs/>
                <w:color w:val="000000"/>
                <w:sz w:val="20"/>
                <w:szCs w:val="20"/>
              </w:rPr>
              <w:t>Value</w:t>
            </w:r>
          </w:p>
        </w:tc>
      </w:tr>
      <w:tr w14:paraId="3D05D864" w14:textId="77777777" w:rsidTr="006707EC">
        <w:tblPrEx>
          <w:tblW w:w="6057" w:type="dxa"/>
          <w:jc w:val="center"/>
          <w:tblLook w:val="04A0"/>
        </w:tblPrEx>
        <w:trPr>
          <w:trHeight w:val="300"/>
          <w:jc w:val="center"/>
        </w:trPr>
        <w:tc>
          <w:tcPr>
            <w:tcW w:w="522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623CBF" w:rsidRPr="002311B4" w:rsidP="00DC05D5" w14:paraId="0CEE4B11" w14:textId="77777777">
            <w:pPr>
              <w:rPr>
                <w:rFonts w:eastAsia="Times New Roman" w:cs="Arial"/>
                <w:color w:val="000000"/>
                <w:sz w:val="20"/>
                <w:szCs w:val="20"/>
              </w:rPr>
            </w:pPr>
            <w:r w:rsidRPr="002311B4">
              <w:rPr>
                <w:rFonts w:eastAsia="Times New Roman" w:cs="Arial"/>
                <w:color w:val="000000"/>
                <w:sz w:val="20"/>
                <w:szCs w:val="20"/>
              </w:rPr>
              <w:t>CDX Registrations</w:t>
            </w:r>
            <w:r w:rsidRPr="002311B4">
              <w:rPr>
                <w:rFonts w:eastAsia="Times New Roman" w:cs="Arial"/>
                <w:color w:val="000000"/>
                <w:sz w:val="20"/>
                <w:szCs w:val="20"/>
                <w:vertAlign w:val="superscript"/>
              </w:rPr>
              <w:t>2</w:t>
            </w:r>
          </w:p>
        </w:tc>
        <w:tc>
          <w:tcPr>
            <w:tcW w:w="831" w:type="dxa"/>
            <w:tcBorders>
              <w:top w:val="nil"/>
              <w:left w:val="nil"/>
              <w:bottom w:val="single" w:sz="4" w:space="0" w:color="auto"/>
              <w:right w:val="single" w:sz="4" w:space="0" w:color="auto"/>
            </w:tcBorders>
            <w:shd w:val="clear" w:color="auto" w:fill="FFFFFF" w:themeFill="background1"/>
            <w:noWrap/>
            <w:vAlign w:val="center"/>
            <w:hideMark/>
          </w:tcPr>
          <w:p w:rsidR="00623CBF" w:rsidRPr="002311B4" w:rsidP="00DC05D5" w14:paraId="2CC2821A" w14:textId="77777777">
            <w:pPr>
              <w:jc w:val="center"/>
              <w:rPr>
                <w:rFonts w:eastAsia="Times New Roman" w:cs="Arial"/>
                <w:color w:val="000000"/>
                <w:sz w:val="20"/>
                <w:szCs w:val="20"/>
              </w:rPr>
            </w:pPr>
            <w:r w:rsidRPr="002311B4">
              <w:rPr>
                <w:rFonts w:eastAsia="Times New Roman" w:cs="Arial"/>
                <w:color w:val="000000"/>
                <w:sz w:val="20"/>
                <w:szCs w:val="20"/>
              </w:rPr>
              <w:t>1,365</w:t>
            </w:r>
          </w:p>
        </w:tc>
      </w:tr>
      <w:tr w14:paraId="78479630" w14:textId="77777777" w:rsidTr="006707EC">
        <w:tblPrEx>
          <w:tblW w:w="6057" w:type="dxa"/>
          <w:jc w:val="center"/>
          <w:tblLook w:val="04A0"/>
        </w:tblPrEx>
        <w:trPr>
          <w:trHeight w:val="2175"/>
          <w:jc w:val="center"/>
        </w:trPr>
        <w:tc>
          <w:tcPr>
            <w:tcW w:w="6057"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885B8B" w:rsidRPr="002311B4" w:rsidP="00DC05D5" w14:paraId="0AD2CA09" w14:textId="3B6F2C18">
            <w:pPr>
              <w:rPr>
                <w:rFonts w:eastAsia="Times New Roman" w:cs="Arial"/>
                <w:color w:val="000000" w:themeColor="text1"/>
                <w:sz w:val="20"/>
                <w:szCs w:val="20"/>
              </w:rPr>
            </w:pPr>
            <w:r w:rsidRPr="002311B4">
              <w:rPr>
                <w:rFonts w:eastAsia="Times New Roman" w:cs="Arial"/>
                <w:color w:val="000000" w:themeColor="text1"/>
                <w:sz w:val="20"/>
                <w:szCs w:val="20"/>
              </w:rPr>
              <w:t>Table Footnotes</w:t>
            </w:r>
            <w:r w:rsidRPr="002311B4">
              <w:rPr>
                <w:rFonts w:cs="Arial"/>
                <w:sz w:val="20"/>
                <w:szCs w:val="20"/>
              </w:rPr>
              <w:br/>
            </w:r>
            <w:r w:rsidRPr="002311B4">
              <w:rPr>
                <w:rFonts w:eastAsia="Times New Roman" w:cs="Arial"/>
                <w:color w:val="000000" w:themeColor="text1"/>
                <w:sz w:val="20"/>
                <w:szCs w:val="20"/>
                <w:vertAlign w:val="superscript"/>
              </w:rPr>
              <w:t>1</w:t>
            </w:r>
            <w:r w:rsidRPr="002311B4">
              <w:rPr>
                <w:rFonts w:eastAsia="Times New Roman" w:cs="Arial"/>
                <w:color w:val="000000" w:themeColor="text1"/>
                <w:sz w:val="20"/>
                <w:szCs w:val="20"/>
              </w:rPr>
              <w:t xml:space="preserve"> Sites, Chemical Reports, Chemicals and Chemicals per Report information are based on observations in 2016 CDR (US EPA, 2018), adjusting for the reduction in reporting associated with the 2020 </w:t>
            </w:r>
            <w:r w:rsidRPr="002311B4" w:rsidR="00FF1F2F">
              <w:rPr>
                <w:rFonts w:eastAsia="Times New Roman" w:cs="Arial"/>
                <w:color w:val="000000" w:themeColor="text1"/>
                <w:sz w:val="20"/>
                <w:szCs w:val="20"/>
              </w:rPr>
              <w:t>rules (EPA, 2020a,b)</w:t>
            </w:r>
            <w:r w:rsidRPr="002311B4">
              <w:rPr>
                <w:rFonts w:eastAsia="Times New Roman" w:cs="Arial"/>
                <w:color w:val="000000" w:themeColor="text1"/>
                <w:sz w:val="20"/>
                <w:szCs w:val="20"/>
              </w:rPr>
              <w:t xml:space="preserve">. Percent of reports etc, are estimated from the unadjusted 2016 CDR </w:t>
            </w:r>
          </w:p>
          <w:p w:rsidR="00623CBF" w:rsidRPr="002311B4" w:rsidP="00DC05D5" w14:paraId="244B4FF8" w14:textId="3D449346">
            <w:pPr>
              <w:rPr>
                <w:rFonts w:eastAsia="Calibri" w:cs="Arial"/>
                <w:color w:val="000000" w:themeColor="text1"/>
                <w:sz w:val="20"/>
                <w:szCs w:val="20"/>
              </w:rPr>
            </w:pPr>
            <w:r w:rsidRPr="002311B4">
              <w:rPr>
                <w:rFonts w:eastAsia="Times New Roman" w:cs="Arial"/>
                <w:color w:val="000000" w:themeColor="text1"/>
                <w:sz w:val="20"/>
                <w:szCs w:val="20"/>
                <w:vertAlign w:val="superscript"/>
              </w:rPr>
              <w:t>2</w:t>
            </w:r>
            <w:r w:rsidRPr="002311B4">
              <w:rPr>
                <w:rFonts w:eastAsia="Times New Roman" w:cs="Arial"/>
                <w:color w:val="000000" w:themeColor="text1"/>
                <w:sz w:val="20"/>
                <w:szCs w:val="20"/>
              </w:rPr>
              <w:t xml:space="preserve"> CDX registrations, as estimated based on 25% of the count for firms submitting the Form U.</w:t>
            </w:r>
          </w:p>
        </w:tc>
      </w:tr>
    </w:tbl>
    <w:p w:rsidR="00623CBF" w:rsidRPr="00623CBF" w:rsidP="00DC05D5" w14:paraId="3DA40999" w14:textId="77777777">
      <w:pPr>
        <w:pStyle w:val="BodyText"/>
        <w:spacing w:after="200" w:line="276" w:lineRule="auto"/>
        <w:rPr>
          <w:u w:val="single"/>
        </w:rPr>
      </w:pPr>
    </w:p>
    <w:p w:rsidR="00A80AB3" w:rsidRPr="005833BE" w:rsidP="00DC05D5" w14:paraId="343C35DA" w14:textId="4BB0A9DA">
      <w:pPr>
        <w:pStyle w:val="BodyText"/>
        <w:spacing w:after="200" w:line="276" w:lineRule="auto"/>
        <w:rPr>
          <w:u w:val="single"/>
        </w:rPr>
      </w:pPr>
      <w:r w:rsidRPr="005833BE">
        <w:rPr>
          <w:u w:val="single"/>
        </w:rPr>
        <w:t>Data elements</w:t>
      </w:r>
    </w:p>
    <w:p w:rsidR="002311B4" w:rsidP="002311B4" w14:paraId="2CEE0287" w14:textId="77777777">
      <w:pPr>
        <w:pStyle w:val="BodyText"/>
        <w:spacing w:after="200" w:line="276" w:lineRule="auto"/>
      </w:pPr>
      <w:r w:rsidRPr="009533EA">
        <w:t xml:space="preserve">The CDR data elements are related to, or indicative of three components of exposure. These components are: (1) the number of ecosystems or size of human populations potentially exposed, (2) the potential human or environmental exposure concentrations, and (3) the frequency and duration of potential exposures. The data enhances EPA’s ability to evaluate each of these components of exposure. Respondents are required to submit certain “known or reasonably ascertainable” manufacturing, processing, and use exposure-related information.  </w:t>
      </w:r>
    </w:p>
    <w:p w:rsidR="00A80AB3" w:rsidRPr="009533EA" w:rsidP="002311B4" w14:paraId="24B9032C" w14:textId="49B12BE6">
      <w:pPr>
        <w:pStyle w:val="BodyText"/>
        <w:spacing w:after="200" w:line="276" w:lineRule="auto"/>
      </w:pPr>
      <w:r w:rsidRPr="009533EA">
        <w:t xml:space="preserve">Using e-CDRweb, individuals report the data elements as follows: </w:t>
      </w:r>
    </w:p>
    <w:p w:rsidR="00A80AB3" w:rsidRPr="009533EA" w:rsidP="00DC05D5" w14:paraId="7B663060" w14:textId="77777777">
      <w:pPr>
        <w:numPr>
          <w:ilvl w:val="0"/>
          <w:numId w:val="19"/>
        </w:numPr>
        <w:rPr>
          <w:rFonts w:eastAsia="Times New Roman" w:cs="Times New Roman"/>
          <w:i/>
          <w:color w:val="000000"/>
        </w:rPr>
      </w:pPr>
      <w:r w:rsidRPr="009533EA">
        <w:rPr>
          <w:rFonts w:eastAsia="Times New Roman" w:cs="Times New Roman"/>
          <w:i/>
          <w:color w:val="000000"/>
        </w:rPr>
        <w:t>Authorized company official’s e-mail address</w:t>
      </w:r>
      <w:r w:rsidRPr="009533EA">
        <w:rPr>
          <w:rFonts w:eastAsia="Times New Roman" w:cs="Times New Roman"/>
          <w:color w:val="000000"/>
        </w:rPr>
        <w:t>. The e-mail address of the company official authorized to sign and submit the CDR Form U.</w:t>
      </w:r>
    </w:p>
    <w:p w:rsidR="00A80AB3" w:rsidRPr="009533EA" w:rsidP="00DC05D5" w14:paraId="29327A15" w14:textId="04583A15">
      <w:pPr>
        <w:numPr>
          <w:ilvl w:val="0"/>
          <w:numId w:val="19"/>
        </w:numPr>
        <w:rPr>
          <w:rFonts w:eastAsia="Times New Roman" w:cs="Times New Roman"/>
          <w:i/>
          <w:color w:val="000000"/>
        </w:rPr>
      </w:pPr>
      <w:r>
        <w:rPr>
          <w:rFonts w:eastAsia="Times New Roman" w:cs="Times New Roman"/>
          <w:i/>
          <w:color w:val="000000"/>
        </w:rPr>
        <w:t>P</w:t>
      </w:r>
      <w:r w:rsidRPr="009533EA">
        <w:rPr>
          <w:rFonts w:eastAsia="Times New Roman" w:cs="Times New Roman"/>
          <w:i/>
          <w:color w:val="000000"/>
        </w:rPr>
        <w:t>arent company name and address</w:t>
      </w:r>
      <w:r w:rsidRPr="009533EA">
        <w:rPr>
          <w:rFonts w:eastAsia="Times New Roman" w:cs="Times New Roman"/>
          <w:color w:val="000000"/>
        </w:rPr>
        <w:t>. The name, Dun &amp; Bradstreet number, and mailing address of the U. S. parent company</w:t>
      </w:r>
      <w:r>
        <w:rPr>
          <w:rFonts w:eastAsia="Times New Roman" w:cs="Times New Roman"/>
          <w:color w:val="000000"/>
        </w:rPr>
        <w:t xml:space="preserve"> and, if applicable, the foreign parent company</w:t>
      </w:r>
      <w:r w:rsidRPr="009533EA">
        <w:rPr>
          <w:rFonts w:eastAsia="Times New Roman" w:cs="Times New Roman"/>
          <w:color w:val="000000"/>
        </w:rPr>
        <w:t xml:space="preserve">.  </w:t>
      </w:r>
    </w:p>
    <w:p w:rsidR="00A80AB3" w:rsidRPr="009533EA" w:rsidP="00DC05D5" w14:paraId="71D861A2" w14:textId="497AE7D7">
      <w:pPr>
        <w:numPr>
          <w:ilvl w:val="0"/>
          <w:numId w:val="19"/>
        </w:numPr>
        <w:rPr>
          <w:rFonts w:eastAsia="Times New Roman" w:cs="Times New Roman"/>
          <w:i/>
          <w:color w:val="000000"/>
        </w:rPr>
      </w:pPr>
      <w:r w:rsidRPr="009533EA">
        <w:rPr>
          <w:rFonts w:eastAsia="Times New Roman" w:cs="Times New Roman"/>
          <w:i/>
          <w:color w:val="000000"/>
        </w:rPr>
        <w:t xml:space="preserve">Manufacturing site. </w:t>
      </w:r>
      <w:r w:rsidRPr="009533EA">
        <w:rPr>
          <w:rFonts w:eastAsia="Times New Roman" w:cs="Times New Roman"/>
          <w:color w:val="000000"/>
        </w:rPr>
        <w:t>The site name</w:t>
      </w:r>
      <w:r>
        <w:rPr>
          <w:rFonts w:eastAsia="Times New Roman" w:cs="Times New Roman"/>
          <w:color w:val="000000"/>
        </w:rPr>
        <w:t>;</w:t>
      </w:r>
      <w:r w:rsidRPr="009533EA">
        <w:rPr>
          <w:rFonts w:eastAsia="Times New Roman" w:cs="Times New Roman"/>
          <w:color w:val="000000"/>
        </w:rPr>
        <w:t xml:space="preserve"> Dun &amp; Bradstreet number </w:t>
      </w:r>
      <w:r>
        <w:rPr>
          <w:rFonts w:eastAsia="Times New Roman" w:cs="Times New Roman"/>
          <w:color w:val="000000"/>
        </w:rPr>
        <w:t xml:space="preserve">and the </w:t>
      </w:r>
      <w:r w:rsidRPr="009533EA">
        <w:rPr>
          <w:rFonts w:eastAsia="Times New Roman" w:cs="Times New Roman"/>
          <w:color w:val="000000"/>
        </w:rPr>
        <w:t>physical address of the manufacturing site</w:t>
      </w:r>
      <w:r w:rsidR="008F25AA">
        <w:rPr>
          <w:rFonts w:eastAsia="Times New Roman" w:cs="Times New Roman"/>
          <w:color w:val="000000"/>
        </w:rPr>
        <w:t>; the NAICS code associate</w:t>
      </w:r>
      <w:r w:rsidR="00F96DD7">
        <w:rPr>
          <w:rFonts w:eastAsia="Times New Roman" w:cs="Times New Roman"/>
          <w:color w:val="000000"/>
        </w:rPr>
        <w:t>d with the site</w:t>
      </w:r>
      <w:r w:rsidR="00FF2D22">
        <w:rPr>
          <w:rFonts w:eastAsia="Times New Roman" w:cs="Times New Roman"/>
          <w:color w:val="000000"/>
        </w:rPr>
        <w:t xml:space="preserve"> and </w:t>
      </w:r>
      <w:r w:rsidR="00C63C57">
        <w:rPr>
          <w:rFonts w:eastAsia="Times New Roman" w:cs="Times New Roman"/>
          <w:color w:val="000000"/>
        </w:rPr>
        <w:t>an indication if the NAICS is associated with a volume that is domestically manufactured, imported, or both</w:t>
      </w:r>
      <w:r w:rsidR="00F96DD7">
        <w:rPr>
          <w:rFonts w:eastAsia="Times New Roman" w:cs="Times New Roman"/>
          <w:color w:val="000000"/>
        </w:rPr>
        <w:t>.  Sites are able to provide up to three NAICS code</w:t>
      </w:r>
      <w:r w:rsidR="00E43602">
        <w:rPr>
          <w:rFonts w:eastAsia="Times New Roman" w:cs="Times New Roman"/>
          <w:color w:val="000000"/>
        </w:rPr>
        <w:t>s</w:t>
      </w:r>
      <w:r w:rsidR="00FF2D22">
        <w:rPr>
          <w:rFonts w:eastAsia="Times New Roman" w:cs="Times New Roman"/>
          <w:color w:val="000000"/>
        </w:rPr>
        <w:t>.</w:t>
      </w:r>
    </w:p>
    <w:p w:rsidR="00A80AB3" w:rsidRPr="009533EA" w:rsidP="00DC05D5" w14:paraId="0248B764" w14:textId="77777777">
      <w:pPr>
        <w:numPr>
          <w:ilvl w:val="0"/>
          <w:numId w:val="19"/>
        </w:numPr>
        <w:rPr>
          <w:rFonts w:eastAsia="Times New Roman" w:cs="Times New Roman"/>
          <w:i/>
          <w:color w:val="000000"/>
        </w:rPr>
      </w:pPr>
      <w:r w:rsidRPr="009533EA">
        <w:rPr>
          <w:rFonts w:eastAsia="Times New Roman" w:cs="Times New Roman"/>
          <w:i/>
          <w:color w:val="000000"/>
        </w:rPr>
        <w:t>Technical Contact Information.</w:t>
      </w:r>
      <w:r w:rsidRPr="009533EA">
        <w:rPr>
          <w:rFonts w:eastAsia="Times New Roman" w:cs="Times New Roman"/>
          <w:color w:val="000000"/>
        </w:rPr>
        <w:t xml:space="preserve">  The individual name, the company name, and address of the technical contact. Sites are able to provide one contact for the site or one for each chemical.</w:t>
      </w:r>
    </w:p>
    <w:p w:rsidR="00A80AB3" w:rsidRPr="009533EA" w:rsidP="00DC05D5" w14:paraId="12A09B70" w14:textId="1BEAF98F">
      <w:pPr>
        <w:numPr>
          <w:ilvl w:val="0"/>
          <w:numId w:val="19"/>
        </w:numPr>
        <w:rPr>
          <w:rFonts w:eastAsia="Times New Roman" w:cs="Times New Roman"/>
          <w:i/>
          <w:color w:val="000000"/>
        </w:rPr>
      </w:pPr>
      <w:r w:rsidRPr="009533EA">
        <w:rPr>
          <w:rFonts w:eastAsia="Times New Roman" w:cs="Times New Roman"/>
          <w:i/>
          <w:color w:val="000000"/>
        </w:rPr>
        <w:t>Manufacturing information.</w:t>
      </w:r>
      <w:r w:rsidRPr="009533EA">
        <w:rPr>
          <w:rFonts w:eastAsia="Times New Roman" w:cs="Times New Roman"/>
        </w:rPr>
        <w:t xml:space="preserve"> The production volume for each of the years since the last principal reporting year. For the principal reporting year only: the volume of the reported chemical substance used at the reporting site; whether an imported chemical substance is physically at the reporting site; the </w:t>
      </w:r>
      <w:r w:rsidRPr="009533EA">
        <w:rPr>
          <w:rFonts w:eastAsia="Times New Roman" w:cs="Times New Roman"/>
        </w:rPr>
        <w:t>production volume directly exported and not domestically processed or used; the number of workers likely to be exposed at the site; the maximum concentration, measured by percentage of weight; whether the manufactured (including imported) chemical substance is being recycled, reused, reprocessed, or remanufactured</w:t>
      </w:r>
      <w:r w:rsidR="00035558">
        <w:rPr>
          <w:rFonts w:eastAsia="Times New Roman" w:cs="Times New Roman"/>
        </w:rPr>
        <w:t>,</w:t>
      </w:r>
      <w:r w:rsidRPr="009533EA">
        <w:rPr>
          <w:rFonts w:eastAsia="Times New Roman" w:cs="Times New Roman"/>
        </w:rPr>
        <w:t xml:space="preserve"> the physical form(s) of the chemical substance</w:t>
      </w:r>
      <w:r>
        <w:rPr>
          <w:rFonts w:eastAsia="Times New Roman" w:cs="Times New Roman"/>
        </w:rPr>
        <w:t>,</w:t>
      </w:r>
      <w:r w:rsidRPr="009533EA">
        <w:rPr>
          <w:rFonts w:eastAsia="Times New Roman" w:cs="Times New Roman"/>
        </w:rPr>
        <w:t xml:space="preserve"> and the associated percent production volume of each physical form.  </w:t>
      </w:r>
    </w:p>
    <w:p w:rsidR="00A80AB3" w:rsidRPr="009533EA" w:rsidP="00DC05D5" w14:paraId="2CB9DBEE" w14:textId="77777777">
      <w:pPr>
        <w:numPr>
          <w:ilvl w:val="0"/>
          <w:numId w:val="21"/>
        </w:numPr>
        <w:rPr>
          <w:rFonts w:eastAsia="Times New Roman" w:cs="Times New Roman"/>
        </w:rPr>
      </w:pPr>
      <w:r w:rsidRPr="009533EA">
        <w:rPr>
          <w:rFonts w:eastAsia="Times New Roman" w:cs="Times New Roman"/>
          <w:i/>
        </w:rPr>
        <w:t>Processing and use information.</w:t>
      </w:r>
      <w:r w:rsidRPr="009533EA">
        <w:rPr>
          <w:rFonts w:eastAsia="Times New Roman" w:cs="Times New Roman"/>
        </w:rPr>
        <w:t xml:space="preserve"> Respondents are to report this information for all reported chemical </w:t>
      </w:r>
      <w:r w:rsidRPr="009533EA">
        <w:rPr>
          <w:rFonts w:eastAsia="Times New Roman" w:cs="Times New Roman"/>
        </w:rPr>
        <w:t>substances, unless</w:t>
      </w:r>
      <w:r w:rsidRPr="009533EA">
        <w:rPr>
          <w:rFonts w:eastAsia="Times New Roman" w:cs="Times New Roman"/>
        </w:rPr>
        <w:t xml:space="preserve"> the chemical substance is specifically partially exempted.</w:t>
      </w:r>
    </w:p>
    <w:p w:rsidR="00A80AB3" w:rsidRPr="009533EA" w:rsidP="00DC05D5" w14:paraId="68DB036B" w14:textId="7182DF6C">
      <w:pPr>
        <w:numPr>
          <w:ilvl w:val="0"/>
          <w:numId w:val="22"/>
        </w:numPr>
        <w:ind w:left="1440"/>
        <w:rPr>
          <w:rFonts w:eastAsia="Times New Roman" w:cs="Times New Roman"/>
        </w:rPr>
      </w:pPr>
      <w:r w:rsidRPr="009533EA">
        <w:rPr>
          <w:rFonts w:eastAsia="Times New Roman" w:cs="Times New Roman"/>
          <w:i/>
        </w:rPr>
        <w:t xml:space="preserve">Industrial processing and use data. </w:t>
      </w:r>
      <w:r w:rsidRPr="009533EA">
        <w:rPr>
          <w:rFonts w:eastAsia="Times New Roman" w:cs="Times New Roman"/>
        </w:rPr>
        <w:t>Submitters must report their type(s) of industrial process or use, sector(s), function category(</w:t>
      </w:r>
      <w:r w:rsidRPr="009533EA">
        <w:rPr>
          <w:rFonts w:eastAsia="Times New Roman" w:cs="Times New Roman"/>
        </w:rPr>
        <w:t>ies</w:t>
      </w:r>
      <w:r w:rsidRPr="009533EA">
        <w:rPr>
          <w:rFonts w:eastAsia="Times New Roman" w:cs="Times New Roman"/>
        </w:rPr>
        <w:t xml:space="preserve">), percentage(s) of production volume, number(s) of sites, and number(s) of workers reasonably likely to be exposed.  </w:t>
      </w:r>
    </w:p>
    <w:p w:rsidR="00A80AB3" w:rsidRPr="009533EA" w:rsidP="00DC05D5" w14:paraId="0401E2E4" w14:textId="5CD17B01">
      <w:pPr>
        <w:numPr>
          <w:ilvl w:val="0"/>
          <w:numId w:val="22"/>
        </w:numPr>
        <w:ind w:left="1440"/>
        <w:rPr>
          <w:rFonts w:eastAsia="Times New Roman" w:cs="Times New Roman"/>
        </w:rPr>
      </w:pPr>
      <w:r w:rsidRPr="009533EA">
        <w:rPr>
          <w:rFonts w:eastAsia="Times New Roman" w:cs="Times New Roman"/>
          <w:i/>
        </w:rPr>
        <w:t>Consumer and commercial use data</w:t>
      </w:r>
      <w:r w:rsidRPr="009533EA">
        <w:rPr>
          <w:rFonts w:eastAsia="Times New Roman" w:cs="Times New Roman"/>
        </w:rPr>
        <w:t>. Submitters must indicate the product category(</w:t>
      </w:r>
      <w:r w:rsidRPr="009533EA">
        <w:rPr>
          <w:rFonts w:eastAsia="Times New Roman" w:cs="Times New Roman"/>
        </w:rPr>
        <w:t>ies</w:t>
      </w:r>
      <w:r w:rsidRPr="009533EA">
        <w:rPr>
          <w:rFonts w:eastAsia="Times New Roman" w:cs="Times New Roman"/>
        </w:rPr>
        <w:t>); whether the use is consumer, commercial, or both; whether the chemical is used in products intended for children; and for each product category: the</w:t>
      </w:r>
      <w:r w:rsidR="00166195">
        <w:rPr>
          <w:rFonts w:eastAsia="Times New Roman" w:cs="Times New Roman"/>
        </w:rPr>
        <w:t xml:space="preserve"> function</w:t>
      </w:r>
      <w:r w:rsidR="000E0920">
        <w:rPr>
          <w:rFonts w:eastAsia="Times New Roman" w:cs="Times New Roman"/>
        </w:rPr>
        <w:t xml:space="preserve"> of the chemical; the</w:t>
      </w:r>
      <w:r w:rsidRPr="009533EA">
        <w:rPr>
          <w:rFonts w:eastAsia="Times New Roman" w:cs="Times New Roman"/>
        </w:rPr>
        <w:t xml:space="preserve"> percent production volume, the maximum concentration, and number of commercial workers reasonably likely to be exposed to the chemical.</w:t>
      </w:r>
    </w:p>
    <w:p w:rsidR="00A80AB3" w:rsidRPr="009533EA" w:rsidP="00DC05D5" w14:paraId="1875CDDB" w14:textId="77777777">
      <w:pPr>
        <w:numPr>
          <w:ilvl w:val="0"/>
          <w:numId w:val="19"/>
        </w:numPr>
        <w:rPr>
          <w:rFonts w:eastAsia="Times New Roman" w:cs="Times New Roman"/>
        </w:rPr>
      </w:pPr>
      <w:r w:rsidRPr="009533EA">
        <w:rPr>
          <w:rFonts w:eastAsia="Times New Roman" w:cs="Times New Roman"/>
          <w:i/>
        </w:rPr>
        <w:t>CBI substantiation</w:t>
      </w:r>
      <w:r w:rsidRPr="009533EA">
        <w:rPr>
          <w:rFonts w:eastAsia="Times New Roman" w:cs="Times New Roman"/>
        </w:rPr>
        <w:t xml:space="preserve">. All of the data elements described in the Manufacturing Information section and Processing and Use Information section may be claimed CBI. Substantiation of the CBI claim must accompany the claim unless the claim is for production volume.  </w:t>
      </w:r>
    </w:p>
    <w:p w:rsidR="004B060F" w:rsidRPr="005833BE" w:rsidP="00DC05D5" w14:paraId="71FCD2BB" w14:textId="47B8EBEE">
      <w:pPr>
        <w:pStyle w:val="BodyText"/>
        <w:spacing w:after="200" w:line="276" w:lineRule="auto"/>
        <w:rPr>
          <w:iCs/>
        </w:rPr>
      </w:pPr>
      <w:r w:rsidRPr="004B060F">
        <w:rPr>
          <w:i/>
        </w:rPr>
        <w:t xml:space="preserve">Special considerations for Co-Manufactured Chemicals when reported jointly by the Contracting and Producing Companies:  </w:t>
      </w:r>
      <w:r w:rsidRPr="005833BE">
        <w:rPr>
          <w:iCs/>
        </w:rPr>
        <w:t>In certain circumstances, manufacturers may choose to report their co-manufactured chemical jointly, such that each party (i.e., the contracting company and the producing company) provides certain information directly to EPA. This is primarily done when one or both parties consider some of its information as confidential. These special considerations do not apply when co-manufacturers chose to share their information with each other, resulting in the producing company report all information to EPA.</w:t>
      </w:r>
    </w:p>
    <w:p w:rsidR="004B060F" w:rsidRPr="005833BE" w:rsidP="00DC05D5" w14:paraId="0B2D4BDF" w14:textId="77777777">
      <w:pPr>
        <w:pStyle w:val="BodyText"/>
        <w:spacing w:after="200" w:line="276" w:lineRule="auto"/>
        <w:rPr>
          <w:iCs/>
        </w:rPr>
      </w:pPr>
      <w:r w:rsidRPr="005833BE">
        <w:rPr>
          <w:iCs/>
        </w:rPr>
        <w:t xml:space="preserve">In the case of a jointly-reported co-manufactured chemical, the contracting company initiates the co-manufacture report by providing the chemical identity and the identity of the producing company and name (actual name, trade name, or other alias) used to identify the chemical substance in communications with the producing company. Using e-CDRweb (the electronic reporting tool), the contracting company then contacts the </w:t>
      </w:r>
      <w:r w:rsidRPr="005833BE">
        <w:rPr>
          <w:iCs/>
        </w:rPr>
        <w:t>producing company to notify them of the need to report the manufacturing-related information directly to EPA as part of the producing company’s Form U. Because signatures are required by each party of a co-manufactured chemical submission, each party must register with CDX, complete their own company information sections on Form U, and submit their respective portions of the same report electronically to EPA. The contracting company will not be able to access the information provided by the producing company and vice versa. EPA combines information provided separately by the contracting and producing companies, thereby providing a complete picture of the CDR data for the subject chemical substance without breaching confidentiality.</w:t>
      </w:r>
    </w:p>
    <w:p w:rsidR="004B060F" w:rsidRPr="005833BE" w:rsidP="00DC05D5" w14:paraId="63C45ED6" w14:textId="37549E53">
      <w:pPr>
        <w:pStyle w:val="BodyText"/>
        <w:spacing w:after="200" w:line="276" w:lineRule="auto"/>
        <w:rPr>
          <w:iCs/>
        </w:rPr>
      </w:pPr>
      <w:r w:rsidRPr="005833BE">
        <w:rPr>
          <w:iCs/>
        </w:rPr>
        <w:t>EPA collects certain data to enable the joint submission and to combine information from the two parties</w:t>
      </w:r>
      <w:r w:rsidR="00C078C5">
        <w:rPr>
          <w:iCs/>
        </w:rPr>
        <w:t>:</w:t>
      </w:r>
      <w:r w:rsidRPr="005833BE">
        <w:rPr>
          <w:iCs/>
        </w:rPr>
        <w:t xml:space="preserve"> </w:t>
      </w:r>
    </w:p>
    <w:p w:rsidR="004B060F" w:rsidRPr="005833BE" w:rsidP="00DC05D5" w14:paraId="7F7713C0" w14:textId="5634D567">
      <w:pPr>
        <w:pStyle w:val="BodyText"/>
        <w:numPr>
          <w:ilvl w:val="0"/>
          <w:numId w:val="27"/>
        </w:numPr>
        <w:spacing w:after="200" w:line="276" w:lineRule="auto"/>
        <w:rPr>
          <w:iCs/>
        </w:rPr>
      </w:pPr>
      <w:r w:rsidRPr="004B060F">
        <w:rPr>
          <w:i/>
        </w:rPr>
        <w:t xml:space="preserve">Joint submission information (contracting company): </w:t>
      </w:r>
      <w:r w:rsidRPr="005833BE">
        <w:rPr>
          <w:iCs/>
        </w:rPr>
        <w:t xml:space="preserve">The contracting provides a trade name or other designation in place of the specific chemical identification and the producing company contact information (name, address, email address). </w:t>
      </w:r>
    </w:p>
    <w:p w:rsidR="004B060F" w:rsidRPr="005833BE" w:rsidP="00DC05D5" w14:paraId="163DAF0E" w14:textId="444AAA86">
      <w:pPr>
        <w:pStyle w:val="BodyText"/>
        <w:numPr>
          <w:ilvl w:val="0"/>
          <w:numId w:val="27"/>
        </w:numPr>
        <w:spacing w:after="200" w:line="276" w:lineRule="auto"/>
        <w:rPr>
          <w:iCs/>
        </w:rPr>
      </w:pPr>
      <w:r w:rsidRPr="004B060F">
        <w:rPr>
          <w:i/>
        </w:rPr>
        <w:t xml:space="preserve">Producing company identification information: </w:t>
      </w:r>
      <w:r w:rsidRPr="005833BE">
        <w:rPr>
          <w:iCs/>
        </w:rPr>
        <w:t>These data identify the producing company’s name and the complete mailing address of the company.</w:t>
      </w:r>
    </w:p>
    <w:p w:rsidR="004B060F" w:rsidRPr="004B060F" w:rsidP="00DC05D5" w14:paraId="57715AC4" w14:textId="77777777">
      <w:pPr>
        <w:pStyle w:val="BodyText"/>
        <w:numPr>
          <w:ilvl w:val="0"/>
          <w:numId w:val="27"/>
        </w:numPr>
        <w:spacing w:after="200" w:line="276" w:lineRule="auto"/>
        <w:rPr>
          <w:i/>
        </w:rPr>
      </w:pPr>
      <w:r w:rsidRPr="004B060F">
        <w:rPr>
          <w:i/>
        </w:rPr>
        <w:t xml:space="preserve">Technical contact information (producing company): </w:t>
      </w:r>
      <w:r w:rsidRPr="005833BE">
        <w:rPr>
          <w:iCs/>
        </w:rPr>
        <w:t>The company’s technical contact information provides EPA with the name and complete mailing address of the person who will be able to answer questions that EPA may have about the reported chemical substance.</w:t>
      </w:r>
    </w:p>
    <w:p w:rsidR="004B060F" w:rsidRPr="005833BE" w:rsidP="00DC05D5" w14:paraId="32B3F143" w14:textId="1BF3DE11">
      <w:pPr>
        <w:pStyle w:val="BodyText"/>
        <w:spacing w:after="200" w:line="276" w:lineRule="auto"/>
      </w:pPr>
      <w:r w:rsidRPr="005833BE">
        <w:t>For the most part, the contracting company provides the chemical identity and processing and use information for the co-manufactured chemical, and the producing company provides the manufacturing-related data. For selected data, the information is provided by both companies due to differing knowledge bases among different co-manufacturers. In addition, for other data elements the terminology may be changed from what is used for a non-co-manufactured chemical; however, the intent of the information is unchanged. Specifically:</w:t>
      </w:r>
    </w:p>
    <w:p w:rsidR="004B060F" w:rsidRPr="005833BE" w:rsidP="00DC05D5" w14:paraId="3C3B6BEF" w14:textId="6AE58573">
      <w:pPr>
        <w:pStyle w:val="BodyText"/>
        <w:numPr>
          <w:ilvl w:val="0"/>
          <w:numId w:val="28"/>
        </w:numPr>
        <w:spacing w:after="200" w:line="276" w:lineRule="auto"/>
      </w:pPr>
      <w:r w:rsidRPr="004B060F">
        <w:rPr>
          <w:i/>
        </w:rPr>
        <w:t>Production volume</w:t>
      </w:r>
    </w:p>
    <w:p w:rsidR="004B060F" w:rsidRPr="005833BE" w:rsidP="00DC05D5" w14:paraId="4EA88C6F" w14:textId="118E9FC2">
      <w:pPr>
        <w:pStyle w:val="BodyText"/>
        <w:numPr>
          <w:ilvl w:val="0"/>
          <w:numId w:val="28"/>
        </w:numPr>
        <w:spacing w:after="200" w:line="276" w:lineRule="auto"/>
      </w:pPr>
      <w:r w:rsidRPr="004B060F">
        <w:rPr>
          <w:i/>
        </w:rPr>
        <w:t>Contracted volume directly exported from producing site</w:t>
      </w:r>
    </w:p>
    <w:p w:rsidR="004B5873" w:rsidRPr="00793E5D" w:rsidP="00DC05D5" w14:paraId="554B16F0" w14:textId="752184CC">
      <w:pPr>
        <w:pStyle w:val="BodyText"/>
        <w:numPr>
          <w:ilvl w:val="0"/>
          <w:numId w:val="28"/>
        </w:numPr>
        <w:spacing w:after="200" w:line="276" w:lineRule="auto"/>
        <w:rPr>
          <w:i/>
        </w:rPr>
      </w:pPr>
      <w:r w:rsidRPr="00793E5D">
        <w:rPr>
          <w:i/>
        </w:rPr>
        <w:t>Contracted volume never physically at site</w:t>
      </w:r>
    </w:p>
    <w:p w:rsidR="00A80AB3" w:rsidRPr="009533EA" w:rsidP="00DC05D5" w14:paraId="5B8B782F" w14:textId="2E441084">
      <w:pPr>
        <w:pStyle w:val="BodyText"/>
        <w:spacing w:after="200" w:line="276" w:lineRule="auto"/>
      </w:pPr>
      <w:r w:rsidRPr="009533EA">
        <w:rPr>
          <w:i/>
        </w:rPr>
        <w:t xml:space="preserve">Joint Submissions when Chemical Identity is Unknown. </w:t>
      </w:r>
      <w:r w:rsidRPr="009533EA">
        <w:t xml:space="preserve">Joint submissions are allowed only in those instances where a supplier will not disclose to the submitter the specific </w:t>
      </w:r>
      <w:r w:rsidRPr="009533EA">
        <w:t xml:space="preserve">chemical name of the imported TSCA Inventory chemical substance or of a reactant used to manufacture the TSCA Inventory substance. </w:t>
      </w:r>
      <w:r w:rsidRPr="009533EA">
        <w:rPr>
          <w:color w:val="000000"/>
        </w:rPr>
        <w:t xml:space="preserve">This may happen, for example, when a company is importing a mixture under a trade name, and the foreign supplier does not want to reveal the components in the mixture. </w:t>
      </w:r>
      <w:r w:rsidRPr="009533EA">
        <w:t xml:space="preserve">In addition to signing the certification statement and completing </w:t>
      </w:r>
      <w:r w:rsidR="001D605F">
        <w:t>the above data elements</w:t>
      </w:r>
      <w:r w:rsidRPr="009533EA">
        <w:t xml:space="preserve">, primary respondents will report on </w:t>
      </w:r>
      <w:r w:rsidR="00005276">
        <w:t xml:space="preserve">additional </w:t>
      </w:r>
      <w:r w:rsidRPr="009533EA">
        <w:t>data as follows:</w:t>
      </w:r>
      <w:r w:rsidRPr="009533EA">
        <w:t xml:space="preserve"> </w:t>
      </w:r>
    </w:p>
    <w:p w:rsidR="00A80AB3" w:rsidRPr="009533EA" w:rsidP="00DC05D5" w14:paraId="108E7D37" w14:textId="77777777">
      <w:pPr>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s>
        <w:rPr>
          <w:rFonts w:eastAsia="Times New Roman" w:cs="Times New Roman"/>
          <w:szCs w:val="20"/>
        </w:rPr>
      </w:pPr>
      <w:r w:rsidRPr="009533EA">
        <w:rPr>
          <w:rFonts w:eastAsia="Times New Roman" w:cs="Times New Roman"/>
          <w:i/>
          <w:szCs w:val="20"/>
        </w:rPr>
        <w:t xml:space="preserve">Joint submission information. </w:t>
      </w:r>
      <w:r w:rsidRPr="009533EA">
        <w:rPr>
          <w:rFonts w:eastAsia="Times New Roman" w:cs="Times New Roman"/>
          <w:szCs w:val="20"/>
        </w:rPr>
        <w:t xml:space="preserve">Trade name of the chemical substance being reported, secondary respondent name, and complete mailing address (city, state/province, zip code, and country (if applicable)). </w:t>
      </w:r>
    </w:p>
    <w:p w:rsidR="00A80AB3" w:rsidRPr="009533EA" w:rsidP="00DC05D5" w14:paraId="059D0A2B" w14:textId="65BD33B7">
      <w:pPr>
        <w:pStyle w:val="BodyText"/>
        <w:spacing w:after="200" w:line="276" w:lineRule="auto"/>
      </w:pPr>
      <w:r w:rsidRPr="009533EA">
        <w:t xml:space="preserve">Secondary submitters register with CDX as secondary authorized submitter or a secondary support registrant. The secondary submitter will provide the primary company’s information and the trade product name, supplied to them by the primary submitter to initiate </w:t>
      </w:r>
      <w:r w:rsidR="00E5797B">
        <w:t>a Secondary</w:t>
      </w:r>
      <w:r w:rsidRPr="009533EA">
        <w:t xml:space="preserve"> Form U. The secondary submitter reports the following data elements: </w:t>
      </w:r>
    </w:p>
    <w:p w:rsidR="00A80AB3" w:rsidRPr="009533EA" w:rsidP="00DC05D5" w14:paraId="749BBCFB" w14:textId="77777777">
      <w:pPr>
        <w:numPr>
          <w:ilvl w:val="0"/>
          <w:numId w:val="20"/>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Certification.</w:t>
      </w:r>
      <w:r w:rsidRPr="009533EA">
        <w:rPr>
          <w:rFonts w:eastAsia="Times New Roman" w:cs="Times New Roman"/>
          <w:szCs w:val="20"/>
        </w:rPr>
        <w:t xml:space="preserve"> The company official must certify by signature and date that to the best of his/her knowledge and belief: 1) all information entered on Form U has been completed in compliance with the regulatory requirements; and 2) any confidentiality claims are true and correct as to that information for which they have been asserted. </w:t>
      </w:r>
    </w:p>
    <w:p w:rsidR="00A80AB3" w:rsidRPr="009533EA" w:rsidP="00DC05D5" w14:paraId="47A67D57" w14:textId="77777777">
      <w:pPr>
        <w:numPr>
          <w:ilvl w:val="0"/>
          <w:numId w:val="20"/>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 xml:space="preserve">Secondary company information. </w:t>
      </w:r>
      <w:r w:rsidRPr="009533EA">
        <w:rPr>
          <w:rFonts w:eastAsia="Times New Roman" w:cs="Times New Roman"/>
          <w:szCs w:val="20"/>
        </w:rPr>
        <w:t xml:space="preserve">The secondary company name and complete mailing address (city, state, zip code, and country (if applicable)). </w:t>
      </w:r>
    </w:p>
    <w:p w:rsidR="00A80AB3" w:rsidRPr="009533EA" w:rsidP="00DC05D5" w14:paraId="37B1C02F" w14:textId="77777777">
      <w:pPr>
        <w:numPr>
          <w:ilvl w:val="0"/>
          <w:numId w:val="20"/>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Secondary technical contact information.</w:t>
      </w:r>
      <w:r w:rsidRPr="009533EA">
        <w:rPr>
          <w:rFonts w:eastAsia="Times New Roman" w:cs="Times New Roman"/>
          <w:szCs w:val="20"/>
        </w:rPr>
        <w:t xml:space="preserve"> The technical </w:t>
      </w:r>
      <w:r w:rsidRPr="009533EA">
        <w:rPr>
          <w:rFonts w:eastAsia="Times New Roman" w:cs="Times New Roman"/>
          <w:szCs w:val="20"/>
        </w:rPr>
        <w:t>contact</w:t>
      </w:r>
      <w:r w:rsidRPr="009533EA">
        <w:rPr>
          <w:rFonts w:eastAsia="Times New Roman" w:cs="Times New Roman"/>
          <w:szCs w:val="20"/>
        </w:rPr>
        <w:t xml:space="preserve"> name, phone number, complete mailing address (city/town, state/province, zip code, and country (if applicable)), and e-mail address.</w:t>
      </w:r>
    </w:p>
    <w:p w:rsidR="00A80AB3" w:rsidRPr="009533EA" w:rsidP="00DC05D5" w14:paraId="1B7A4C35" w14:textId="77777777">
      <w:pPr>
        <w:numPr>
          <w:ilvl w:val="0"/>
          <w:numId w:val="20"/>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Primary company information sent to secondary company.</w:t>
      </w:r>
      <w:r w:rsidRPr="009533EA">
        <w:rPr>
          <w:rFonts w:eastAsia="Times New Roman" w:cs="Times New Roman"/>
          <w:szCs w:val="20"/>
        </w:rPr>
        <w:t xml:space="preserve"> Trade name and the Unique Identifier for Joint Submissions number provided by the primary submitter and sent to the secondary submitter. </w:t>
      </w:r>
    </w:p>
    <w:p w:rsidR="00A80AB3" w:rsidRPr="009533EA" w:rsidP="00DC05D5" w14:paraId="14C8A499" w14:textId="189D28B3">
      <w:pPr>
        <w:numPr>
          <w:ilvl w:val="0"/>
          <w:numId w:val="20"/>
        </w:numPr>
        <w:tabs>
          <w:tab w:val="left" w:pos="0"/>
          <w:tab w:val="num" w:pos="720"/>
          <w:tab w:val="left" w:pos="1080"/>
          <w:tab w:val="left" w:pos="2160"/>
          <w:tab w:val="left" w:pos="2880"/>
          <w:tab w:val="left" w:pos="3600"/>
          <w:tab w:val="left" w:pos="4320"/>
          <w:tab w:val="left" w:pos="5040"/>
          <w:tab w:val="left" w:pos="5760"/>
          <w:tab w:val="left" w:pos="6480"/>
          <w:tab w:val="left" w:pos="7200"/>
          <w:tab w:val="left" w:pos="7920"/>
        </w:tabs>
        <w:ind w:left="720" w:firstLine="0"/>
        <w:rPr>
          <w:rFonts w:eastAsia="Times New Roman" w:cs="Times New Roman"/>
          <w:szCs w:val="20"/>
        </w:rPr>
      </w:pPr>
      <w:r w:rsidRPr="009533EA">
        <w:rPr>
          <w:rFonts w:eastAsia="Times New Roman" w:cs="Times New Roman"/>
          <w:i/>
          <w:szCs w:val="20"/>
        </w:rPr>
        <w:t>Trade product information.</w:t>
      </w:r>
      <w:r w:rsidRPr="009533EA">
        <w:rPr>
          <w:rFonts w:eastAsia="Times New Roman" w:cs="Times New Roman"/>
          <w:szCs w:val="20"/>
        </w:rPr>
        <w:t xml:space="preserve"> The trade product name; the chemi</w:t>
      </w:r>
      <w:r>
        <w:rPr>
          <w:rFonts w:eastAsia="Times New Roman" w:cs="Times New Roman"/>
          <w:szCs w:val="20"/>
        </w:rPr>
        <w:t>cal name, CAS Registry Number,</w:t>
      </w:r>
      <w:r w:rsidRPr="009533EA">
        <w:rPr>
          <w:rFonts w:eastAsia="Times New Roman" w:cs="Times New Roman"/>
          <w:szCs w:val="20"/>
        </w:rPr>
        <w:t xml:space="preserve"> and percentage of each component of the product</w:t>
      </w:r>
      <w:r w:rsidR="00B7576D">
        <w:rPr>
          <w:rFonts w:eastAsia="Times New Roman" w:cs="Times New Roman"/>
          <w:szCs w:val="20"/>
        </w:rPr>
        <w:t xml:space="preserve"> and the component’s function</w:t>
      </w:r>
      <w:r w:rsidRPr="009533EA">
        <w:rPr>
          <w:rFonts w:eastAsia="Times New Roman" w:cs="Times New Roman"/>
          <w:szCs w:val="20"/>
        </w:rPr>
        <w:t xml:space="preserve">. </w:t>
      </w:r>
    </w:p>
    <w:p w:rsidR="00150A8B" w:rsidRPr="005833BE" w:rsidP="00DC05D5" w14:paraId="24AB0229" w14:textId="6F96F8CC">
      <w:pPr>
        <w:rPr>
          <w:u w:val="single"/>
        </w:rPr>
      </w:pPr>
      <w:r w:rsidRPr="005833BE">
        <w:rPr>
          <w:u w:val="single"/>
        </w:rPr>
        <w:t>Instructions, User Guides, Frequent Questions,</w:t>
      </w:r>
      <w:r w:rsidRPr="005833BE">
        <w:rPr>
          <w:u w:val="single"/>
        </w:rPr>
        <w:t xml:space="preserve"> and </w:t>
      </w:r>
      <w:r w:rsidRPr="005833BE">
        <w:rPr>
          <w:u w:val="single"/>
        </w:rPr>
        <w:t>Other Guidance Documents</w:t>
      </w:r>
    </w:p>
    <w:p w:rsidR="00A05072" w:rsidP="00DC05D5" w14:paraId="2B46AF56" w14:textId="4ABF5FA1">
      <w:r>
        <w:t>EPA provides a variety</w:t>
      </w:r>
      <w:r w:rsidR="00023B78">
        <w:t xml:space="preserve"> of guidance </w:t>
      </w:r>
      <w:r w:rsidR="00601A14">
        <w:t>materials</w:t>
      </w:r>
      <w:r w:rsidR="009C61B8">
        <w:t xml:space="preserve">, including </w:t>
      </w:r>
      <w:r w:rsidRPr="005833BE" w:rsidR="009C61B8">
        <w:rPr>
          <w:i/>
          <w:iCs/>
        </w:rPr>
        <w:t>Instructions for Reporting</w:t>
      </w:r>
      <w:r w:rsidR="00FD5968">
        <w:t>,</w:t>
      </w:r>
      <w:r>
        <w:t xml:space="preserve"> </w:t>
      </w:r>
      <w:r w:rsidRPr="005833BE" w:rsidR="00FD5968">
        <w:rPr>
          <w:i/>
          <w:iCs/>
        </w:rPr>
        <w:t>Frequent Questions</w:t>
      </w:r>
      <w:r w:rsidR="00FD5968">
        <w:t xml:space="preserve">, and </w:t>
      </w:r>
      <w:r w:rsidR="00A376A7">
        <w:t xml:space="preserve">other </w:t>
      </w:r>
      <w:r w:rsidR="00FD5968">
        <w:t>topic-specific guidance</w:t>
      </w:r>
      <w:r w:rsidR="00FE6439">
        <w:t xml:space="preserve">, that help </w:t>
      </w:r>
      <w:r w:rsidR="00001C0C">
        <w:t xml:space="preserve">the </w:t>
      </w:r>
      <w:r w:rsidR="00E81781">
        <w:t>submitter understand their reporting obligations</w:t>
      </w:r>
      <w:r w:rsidR="00FD5968">
        <w:t>. Here is a list of the documents</w:t>
      </w:r>
      <w:r>
        <w:t xml:space="preserve"> from the 2020 </w:t>
      </w:r>
      <w:r>
        <w:t>CDR. These documents will be updated, as needed</w:t>
      </w:r>
      <w:r w:rsidR="009B4308">
        <w:t>,</w:t>
      </w:r>
      <w:r>
        <w:t xml:space="preserve"> for </w:t>
      </w:r>
      <w:r w:rsidR="00A923AB">
        <w:t xml:space="preserve">the next CDR submission </w:t>
      </w:r>
      <w:r w:rsidR="00B10300">
        <w:t xml:space="preserve">period in </w:t>
      </w:r>
      <w:r>
        <w:t>2024</w:t>
      </w:r>
      <w:r w:rsidR="00B10300">
        <w:t>.</w:t>
      </w:r>
    </w:p>
    <w:p w:rsidR="009659F9" w:rsidRPr="00DC05D5" w:rsidP="00DC05D5" w14:paraId="6D7C0B4D" w14:textId="77777777">
      <w:pPr>
        <w:numPr>
          <w:ilvl w:val="0"/>
          <w:numId w:val="24"/>
        </w:numPr>
        <w:shd w:val="clear" w:color="auto" w:fill="FFFFFF"/>
        <w:rPr>
          <w:rFonts w:cs="Arial"/>
          <w:color w:val="212121"/>
          <w:szCs w:val="24"/>
        </w:rPr>
      </w:pPr>
      <w:hyperlink r:id="rId14" w:history="1">
        <w:r w:rsidRPr="00DC05D5">
          <w:rPr>
            <w:rStyle w:val="Hyperlink"/>
            <w:rFonts w:cs="Arial"/>
            <w:color w:val="0071BC"/>
            <w:szCs w:val="24"/>
          </w:rPr>
          <w:t>Instructions for the 2020 TSCA Chemical Data Reporting</w:t>
        </w:r>
      </w:hyperlink>
      <w:r w:rsidRPr="00DC05D5">
        <w:rPr>
          <w:rFonts w:cs="Arial"/>
          <w:color w:val="212121"/>
          <w:szCs w:val="24"/>
        </w:rPr>
        <w:t> </w:t>
      </w:r>
    </w:p>
    <w:p w:rsidR="009659F9" w:rsidRPr="00DC05D5" w:rsidP="00DC05D5" w14:paraId="4ACA86B4" w14:textId="57494659">
      <w:pPr>
        <w:numPr>
          <w:ilvl w:val="0"/>
          <w:numId w:val="24"/>
        </w:numPr>
        <w:shd w:val="clear" w:color="auto" w:fill="FFFFFF"/>
        <w:rPr>
          <w:rFonts w:cs="Arial"/>
          <w:color w:val="212121"/>
          <w:szCs w:val="24"/>
        </w:rPr>
      </w:pPr>
      <w:hyperlink r:id="rId15" w:history="1">
        <w:r w:rsidRPr="00DC05D5">
          <w:rPr>
            <w:rStyle w:val="Hyperlink"/>
            <w:rFonts w:cs="Arial"/>
            <w:color w:val="0071BC"/>
            <w:szCs w:val="24"/>
          </w:rPr>
          <w:t>EPA CDR Sample Form U Printouts</w:t>
        </w:r>
      </w:hyperlink>
    </w:p>
    <w:p w:rsidR="009659F9" w:rsidRPr="00DC05D5" w:rsidP="00DC05D5" w14:paraId="569E7970" w14:textId="5B816FB3">
      <w:pPr>
        <w:numPr>
          <w:ilvl w:val="0"/>
          <w:numId w:val="24"/>
        </w:numPr>
        <w:shd w:val="clear" w:color="auto" w:fill="FFFFFF"/>
        <w:rPr>
          <w:rFonts w:cs="Arial"/>
          <w:color w:val="212121"/>
          <w:szCs w:val="24"/>
        </w:rPr>
      </w:pPr>
      <w:hyperlink r:id="rId16" w:history="1">
        <w:r w:rsidRPr="00DC05D5">
          <w:rPr>
            <w:rStyle w:val="Hyperlink"/>
            <w:rFonts w:cs="Arial"/>
            <w:color w:val="0071BC"/>
            <w:szCs w:val="24"/>
          </w:rPr>
          <w:t>Summary of regulatory changes for the 2020 CDR submission period</w:t>
        </w:r>
      </w:hyperlink>
    </w:p>
    <w:p w:rsidR="009659F9" w:rsidRPr="00DC05D5" w:rsidP="00DC05D5" w14:paraId="18A5938F" w14:textId="77777777">
      <w:pPr>
        <w:numPr>
          <w:ilvl w:val="0"/>
          <w:numId w:val="24"/>
        </w:numPr>
        <w:shd w:val="clear" w:color="auto" w:fill="FFFFFF"/>
        <w:rPr>
          <w:rFonts w:cs="Arial"/>
          <w:color w:val="212121"/>
          <w:szCs w:val="24"/>
        </w:rPr>
      </w:pPr>
      <w:hyperlink r:id="rId17" w:history="1">
        <w:r w:rsidRPr="00DC05D5">
          <w:rPr>
            <w:rStyle w:val="Hyperlink"/>
            <w:rFonts w:cs="Arial"/>
            <w:color w:val="0071BC"/>
            <w:szCs w:val="24"/>
          </w:rPr>
          <w:t>Case Studies for the 2020 Chemical Data Reporting</w:t>
        </w:r>
      </w:hyperlink>
    </w:p>
    <w:p w:rsidR="009659F9" w:rsidRPr="00DC05D5" w:rsidP="00DC05D5" w14:paraId="231A8E92" w14:textId="77777777">
      <w:pPr>
        <w:numPr>
          <w:ilvl w:val="0"/>
          <w:numId w:val="24"/>
        </w:numPr>
        <w:shd w:val="clear" w:color="auto" w:fill="FFFFFF"/>
        <w:rPr>
          <w:rFonts w:cs="Arial"/>
          <w:color w:val="212121"/>
          <w:szCs w:val="24"/>
        </w:rPr>
      </w:pPr>
      <w:hyperlink r:id="rId18" w:history="1">
        <w:r w:rsidRPr="00DC05D5">
          <w:rPr>
            <w:rStyle w:val="Hyperlink"/>
            <w:rFonts w:cs="Arial"/>
            <w:color w:val="0071BC"/>
            <w:szCs w:val="24"/>
          </w:rPr>
          <w:t>Byproducts, Impurities, and Recycling Scenarios</w:t>
        </w:r>
      </w:hyperlink>
    </w:p>
    <w:p w:rsidR="009659F9" w:rsidRPr="00DC05D5" w:rsidP="00DC05D5" w14:paraId="4CDC44AA" w14:textId="32C745D4">
      <w:pPr>
        <w:numPr>
          <w:ilvl w:val="0"/>
          <w:numId w:val="24"/>
        </w:numPr>
        <w:shd w:val="clear" w:color="auto" w:fill="FFFFFF"/>
        <w:rPr>
          <w:rFonts w:cs="Arial"/>
          <w:color w:val="212121"/>
          <w:szCs w:val="24"/>
        </w:rPr>
      </w:pPr>
      <w:hyperlink r:id="rId19" w:history="1">
        <w:r w:rsidRPr="00DC05D5">
          <w:rPr>
            <w:rStyle w:val="Hyperlink"/>
            <w:rFonts w:cs="Arial"/>
            <w:color w:val="0071BC"/>
            <w:szCs w:val="24"/>
          </w:rPr>
          <w:t>Frequent Questions</w:t>
        </w:r>
      </w:hyperlink>
    </w:p>
    <w:p w:rsidR="009659F9" w:rsidRPr="00DC05D5" w:rsidP="00DC05D5" w14:paraId="5C8FBE5B" w14:textId="77777777">
      <w:pPr>
        <w:numPr>
          <w:ilvl w:val="0"/>
          <w:numId w:val="24"/>
        </w:numPr>
        <w:shd w:val="clear" w:color="auto" w:fill="FFFFFF"/>
        <w:rPr>
          <w:rFonts w:cs="Arial"/>
          <w:color w:val="212121"/>
          <w:szCs w:val="24"/>
        </w:rPr>
      </w:pPr>
      <w:hyperlink r:id="rId20" w:history="1">
        <w:r w:rsidRPr="00DC05D5">
          <w:rPr>
            <w:rStyle w:val="Hyperlink"/>
            <w:rFonts w:cs="Arial"/>
            <w:color w:val="0071BC"/>
            <w:szCs w:val="24"/>
          </w:rPr>
          <w:t>Reporting Thresholds for 2020</w:t>
        </w:r>
      </w:hyperlink>
    </w:p>
    <w:p w:rsidR="009659F9" w:rsidRPr="00DC05D5" w:rsidP="00DC05D5" w14:paraId="118686F2" w14:textId="77777777">
      <w:pPr>
        <w:numPr>
          <w:ilvl w:val="0"/>
          <w:numId w:val="24"/>
        </w:numPr>
        <w:shd w:val="clear" w:color="auto" w:fill="FFFFFF"/>
        <w:rPr>
          <w:rFonts w:cs="Arial"/>
          <w:color w:val="212121"/>
          <w:szCs w:val="24"/>
        </w:rPr>
      </w:pPr>
      <w:hyperlink r:id="rId21" w:history="1">
        <w:r w:rsidRPr="00DC05D5">
          <w:rPr>
            <w:rStyle w:val="Hyperlink"/>
            <w:rFonts w:cs="Arial"/>
            <w:color w:val="0071BC"/>
            <w:szCs w:val="24"/>
          </w:rPr>
          <w:t>Chemical Substances that are the Subject of Certain TSCA Actions</w:t>
        </w:r>
      </w:hyperlink>
    </w:p>
    <w:p w:rsidR="009659F9" w:rsidRPr="00DC05D5" w:rsidP="00DC05D5" w14:paraId="70F3BC3E" w14:textId="77777777">
      <w:pPr>
        <w:numPr>
          <w:ilvl w:val="0"/>
          <w:numId w:val="24"/>
        </w:numPr>
        <w:shd w:val="clear" w:color="auto" w:fill="FFFFFF"/>
        <w:rPr>
          <w:rFonts w:cs="Arial"/>
          <w:color w:val="212121"/>
          <w:szCs w:val="24"/>
        </w:rPr>
      </w:pPr>
      <w:hyperlink r:id="rId22" w:history="1">
        <w:r w:rsidRPr="00DC05D5">
          <w:rPr>
            <w:rStyle w:val="Hyperlink"/>
            <w:rFonts w:cs="Arial"/>
            <w:color w:val="0071BC"/>
            <w:szCs w:val="24"/>
          </w:rPr>
          <w:t>Help with Chemical Data Reporting: How to Search for Chemicals Subject to Certain TSCA Actions</w:t>
        </w:r>
      </w:hyperlink>
    </w:p>
    <w:p w:rsidR="009659F9" w:rsidRPr="00DC05D5" w:rsidP="00DC05D5" w14:paraId="5189778E" w14:textId="77777777">
      <w:pPr>
        <w:numPr>
          <w:ilvl w:val="0"/>
          <w:numId w:val="24"/>
        </w:numPr>
        <w:shd w:val="clear" w:color="auto" w:fill="FFFFFF"/>
        <w:rPr>
          <w:rFonts w:cs="Arial"/>
          <w:color w:val="212121"/>
          <w:szCs w:val="24"/>
        </w:rPr>
      </w:pPr>
      <w:hyperlink r:id="rId23" w:history="1">
        <w:r w:rsidRPr="00DC05D5">
          <w:rPr>
            <w:rStyle w:val="Hyperlink"/>
            <w:rFonts w:cs="Arial"/>
            <w:color w:val="0071BC"/>
            <w:szCs w:val="24"/>
          </w:rPr>
          <w:t>Reporting After Changes to Company Ownership or Legal Identity</w:t>
        </w:r>
      </w:hyperlink>
    </w:p>
    <w:p w:rsidR="009659F9" w:rsidRPr="00DC05D5" w:rsidP="00DC05D5" w14:paraId="21BC651E" w14:textId="77777777">
      <w:pPr>
        <w:numPr>
          <w:ilvl w:val="0"/>
          <w:numId w:val="24"/>
        </w:numPr>
        <w:shd w:val="clear" w:color="auto" w:fill="FFFFFF"/>
        <w:rPr>
          <w:rFonts w:cs="Arial"/>
          <w:color w:val="212121"/>
          <w:szCs w:val="24"/>
        </w:rPr>
      </w:pPr>
      <w:hyperlink r:id="rId24" w:history="1">
        <w:r w:rsidRPr="00DC05D5">
          <w:rPr>
            <w:rStyle w:val="Hyperlink"/>
            <w:rFonts w:cs="Arial"/>
            <w:color w:val="0071BC"/>
            <w:szCs w:val="24"/>
          </w:rPr>
          <w:t>Importers</w:t>
        </w:r>
      </w:hyperlink>
    </w:p>
    <w:p w:rsidR="009659F9" w:rsidRPr="00DC05D5" w:rsidP="00DC05D5" w14:paraId="53800444" w14:textId="77777777">
      <w:pPr>
        <w:numPr>
          <w:ilvl w:val="0"/>
          <w:numId w:val="24"/>
        </w:numPr>
        <w:shd w:val="clear" w:color="auto" w:fill="FFFFFF"/>
        <w:rPr>
          <w:rFonts w:cs="Arial"/>
          <w:color w:val="212121"/>
          <w:szCs w:val="24"/>
        </w:rPr>
      </w:pPr>
      <w:hyperlink r:id="rId25" w:history="1">
        <w:r w:rsidRPr="00DC05D5">
          <w:rPr>
            <w:rStyle w:val="Hyperlink"/>
            <w:rFonts w:cs="Arial"/>
            <w:color w:val="0071BC"/>
            <w:szCs w:val="24"/>
          </w:rPr>
          <w:t>Imported Articles</w:t>
        </w:r>
      </w:hyperlink>
    </w:p>
    <w:p w:rsidR="009659F9" w:rsidRPr="00DC05D5" w:rsidP="00DC05D5" w14:paraId="713092C5" w14:textId="77777777">
      <w:pPr>
        <w:numPr>
          <w:ilvl w:val="0"/>
          <w:numId w:val="24"/>
        </w:numPr>
        <w:shd w:val="clear" w:color="auto" w:fill="FFFFFF"/>
        <w:rPr>
          <w:rFonts w:cs="Arial"/>
          <w:color w:val="212121"/>
          <w:szCs w:val="24"/>
        </w:rPr>
      </w:pPr>
      <w:hyperlink r:id="rId26" w:history="1">
        <w:r w:rsidRPr="00DC05D5">
          <w:rPr>
            <w:rStyle w:val="Hyperlink"/>
            <w:rFonts w:cs="Arial"/>
            <w:color w:val="0071BC"/>
            <w:szCs w:val="24"/>
          </w:rPr>
          <w:t>Co-Manufactured Chemicals</w:t>
        </w:r>
      </w:hyperlink>
    </w:p>
    <w:p w:rsidR="009659F9" w:rsidRPr="00DC05D5" w:rsidP="00DC05D5" w14:paraId="6F7B893F" w14:textId="77777777">
      <w:pPr>
        <w:numPr>
          <w:ilvl w:val="0"/>
          <w:numId w:val="24"/>
        </w:numPr>
        <w:shd w:val="clear" w:color="auto" w:fill="FFFFFF"/>
        <w:rPr>
          <w:rFonts w:cs="Arial"/>
          <w:color w:val="212121"/>
          <w:szCs w:val="24"/>
        </w:rPr>
      </w:pPr>
      <w:hyperlink r:id="rId27" w:history="1">
        <w:r w:rsidRPr="00DC05D5">
          <w:rPr>
            <w:rStyle w:val="Hyperlink"/>
            <w:rFonts w:cs="Arial"/>
            <w:color w:val="0071BC"/>
            <w:szCs w:val="24"/>
          </w:rPr>
          <w:t>Non-Isolated Intermediates</w:t>
        </w:r>
      </w:hyperlink>
    </w:p>
    <w:p w:rsidR="009659F9" w:rsidRPr="00DC05D5" w:rsidP="00DC05D5" w14:paraId="714D357D" w14:textId="77777777">
      <w:pPr>
        <w:numPr>
          <w:ilvl w:val="0"/>
          <w:numId w:val="24"/>
        </w:numPr>
        <w:shd w:val="clear" w:color="auto" w:fill="FFFFFF"/>
        <w:rPr>
          <w:rFonts w:cs="Arial"/>
          <w:color w:val="212121"/>
          <w:szCs w:val="24"/>
        </w:rPr>
      </w:pPr>
      <w:hyperlink r:id="rId28" w:history="1">
        <w:r w:rsidRPr="00DC05D5">
          <w:rPr>
            <w:rStyle w:val="Hyperlink"/>
            <w:rFonts w:cs="Arial"/>
            <w:color w:val="0071BC"/>
            <w:szCs w:val="24"/>
          </w:rPr>
          <w:t>Kraft Pulp and Paper Process</w:t>
        </w:r>
      </w:hyperlink>
    </w:p>
    <w:p w:rsidR="009659F9" w:rsidRPr="00DC05D5" w:rsidP="00DC05D5" w14:paraId="3A09E323" w14:textId="77777777">
      <w:pPr>
        <w:numPr>
          <w:ilvl w:val="0"/>
          <w:numId w:val="24"/>
        </w:numPr>
        <w:shd w:val="clear" w:color="auto" w:fill="FFFFFF"/>
        <w:rPr>
          <w:rFonts w:cs="Arial"/>
          <w:color w:val="212121"/>
          <w:szCs w:val="24"/>
        </w:rPr>
      </w:pPr>
      <w:hyperlink r:id="rId29" w:history="1">
        <w:r w:rsidRPr="00DC05D5">
          <w:rPr>
            <w:rStyle w:val="Hyperlink"/>
            <w:rFonts w:cs="Arial"/>
            <w:color w:val="0071BC"/>
            <w:szCs w:val="24"/>
          </w:rPr>
          <w:t>Byproducts Reporting for the Printed Circuit Board Industry</w:t>
        </w:r>
      </w:hyperlink>
    </w:p>
    <w:p w:rsidR="009659F9" w:rsidRPr="00DC05D5" w:rsidP="00DC05D5" w14:paraId="285B90C1" w14:textId="77777777">
      <w:pPr>
        <w:numPr>
          <w:ilvl w:val="0"/>
          <w:numId w:val="24"/>
        </w:numPr>
        <w:shd w:val="clear" w:color="auto" w:fill="FFFFFF"/>
        <w:rPr>
          <w:rFonts w:cs="Arial"/>
          <w:color w:val="212121"/>
          <w:szCs w:val="24"/>
        </w:rPr>
      </w:pPr>
      <w:hyperlink r:id="rId30" w:history="1">
        <w:r w:rsidRPr="00DC05D5">
          <w:rPr>
            <w:rStyle w:val="Hyperlink"/>
            <w:rFonts w:cs="Arial"/>
            <w:color w:val="0071BC"/>
            <w:szCs w:val="24"/>
          </w:rPr>
          <w:t>Reporting for Electricity Generating Sites</w:t>
        </w:r>
      </w:hyperlink>
    </w:p>
    <w:p w:rsidR="009659F9" w:rsidRPr="00DC05D5" w:rsidP="00DC05D5" w14:paraId="5BCD0A30" w14:textId="77777777">
      <w:pPr>
        <w:numPr>
          <w:ilvl w:val="0"/>
          <w:numId w:val="24"/>
        </w:numPr>
        <w:shd w:val="clear" w:color="auto" w:fill="FFFFFF"/>
        <w:rPr>
          <w:rStyle w:val="Hyperlink"/>
          <w:rFonts w:cs="Arial"/>
          <w:color w:val="212121"/>
          <w:szCs w:val="24"/>
          <w:u w:val="none"/>
        </w:rPr>
      </w:pPr>
      <w:hyperlink r:id="rId31" w:history="1">
        <w:r w:rsidRPr="00DC05D5">
          <w:rPr>
            <w:rStyle w:val="Hyperlink"/>
            <w:rFonts w:cs="Arial"/>
            <w:color w:val="0071BC"/>
            <w:szCs w:val="24"/>
          </w:rPr>
          <w:t>Reporting Manufactured Chemical Substances from Metal Mining and Related Activities</w:t>
        </w:r>
      </w:hyperlink>
    </w:p>
    <w:p w:rsidR="00D40F25" w:rsidRPr="006F1C05" w:rsidP="00DC05D5" w14:paraId="5BAFBB6B" w14:textId="22B96546">
      <w:pPr>
        <w:numPr>
          <w:ilvl w:val="0"/>
          <w:numId w:val="24"/>
        </w:numPr>
        <w:shd w:val="clear" w:color="auto" w:fill="FFFFFF"/>
        <w:rPr>
          <w:rStyle w:val="Hyperlink"/>
          <w:color w:val="0071BC"/>
          <w:szCs w:val="24"/>
        </w:rPr>
      </w:pPr>
      <w:hyperlink r:id="rId32" w:history="1">
        <w:r w:rsidRPr="00DC05D5">
          <w:rPr>
            <w:rStyle w:val="Hyperlink"/>
            <w:rFonts w:cs="Arial"/>
            <w:color w:val="0071BC"/>
            <w:szCs w:val="24"/>
          </w:rPr>
          <w:t>Preparing and Submitting a Petition</w:t>
        </w:r>
      </w:hyperlink>
    </w:p>
    <w:p w:rsidR="00623CBF" w:rsidP="006F1C05" w14:paraId="1035D9B9" w14:textId="14336B2F">
      <w:r>
        <w:t xml:space="preserve">Respondent burden and costs are generated by companies compiling and preparing the required information to be reported to EPA every 4 years. In addition to reporting every 4 years, sometimes companies need to update or correct information previously reported. Therefore, even in off reporting years, company efforts relating to activities described in this ICR are not zero. </w:t>
      </w:r>
      <w:r w:rsidRPr="00310459">
        <w:t xml:space="preserve">The 3 years covered by this ICR begins </w:t>
      </w:r>
      <w:r w:rsidRPr="00E2548A" w:rsidR="007270EE">
        <w:t>following the</w:t>
      </w:r>
      <w:r w:rsidRPr="00310459">
        <w:t xml:space="preserve"> </w:t>
      </w:r>
      <w:r w:rsidRPr="00310459">
        <w:t>previous ICR</w:t>
      </w:r>
      <w:r w:rsidRPr="00E2548A" w:rsidR="007270EE">
        <w:t>’s</w:t>
      </w:r>
      <w:r w:rsidRPr="00310459">
        <w:t xml:space="preserve"> expiration date of </w:t>
      </w:r>
      <w:r w:rsidRPr="00E2548A" w:rsidR="007270EE">
        <w:t>July 30, 2023</w:t>
      </w:r>
      <w:r w:rsidRPr="00310459">
        <w:t xml:space="preserve"> and </w:t>
      </w:r>
      <w:r w:rsidRPr="00E2548A" w:rsidR="007270EE">
        <w:t xml:space="preserve">continues </w:t>
      </w:r>
      <w:r w:rsidRPr="00310459">
        <w:t xml:space="preserve">through </w:t>
      </w:r>
      <w:r w:rsidRPr="00E2548A" w:rsidR="00243860">
        <w:t xml:space="preserve">June 30, </w:t>
      </w:r>
      <w:r w:rsidRPr="00310459" w:rsidR="00243860">
        <w:t>202</w:t>
      </w:r>
      <w:r w:rsidRPr="00E2548A" w:rsidR="00243860">
        <w:t xml:space="preserve">6. </w:t>
      </w:r>
      <w:r w:rsidRPr="008E6FA6">
        <w:t>The</w:t>
      </w:r>
      <w:r>
        <w:t xml:space="preserve"> burden and costs </w:t>
      </w:r>
      <w:r w:rsidR="00243860">
        <w:t xml:space="preserve">estimates draw partially from both the </w:t>
      </w:r>
      <w:r>
        <w:t>2024 CDR reporting cycle and the 2028 reporting cycle</w:t>
      </w:r>
      <w:r w:rsidR="0072775A">
        <w:t xml:space="preserve">. The full burden </w:t>
      </w:r>
      <w:r w:rsidR="00892B44">
        <w:t xml:space="preserve">and </w:t>
      </w:r>
      <w:r w:rsidR="0072775A">
        <w:t xml:space="preserve">cost for each reporting cycle is provided in Table </w:t>
      </w:r>
      <w:r w:rsidR="00FF1F2F">
        <w:t>3</w:t>
      </w:r>
      <w:r w:rsidR="0072775A">
        <w:t xml:space="preserve">. The fractional portions of those burdens and costs covered by this ICR are provided in Table </w:t>
      </w:r>
      <w:r w:rsidR="00FF1F2F">
        <w:t>4</w:t>
      </w:r>
      <w:r w:rsidR="0072775A">
        <w:t>.</w:t>
      </w:r>
    </w:p>
    <w:p w:rsidR="0072775A" w:rsidP="00DC05D5" w14:paraId="597EE572" w14:textId="5575F463">
      <w:pPr>
        <w:keepNext/>
        <w:keepLines/>
        <w:spacing w:after="0" w:line="240" w:lineRule="auto"/>
        <w:rPr>
          <w:b/>
          <w:bCs/>
        </w:rPr>
      </w:pPr>
      <w:r>
        <w:rPr>
          <w:b/>
          <w:bCs/>
        </w:rPr>
        <w:t xml:space="preserve">Table </w:t>
      </w:r>
      <w:r w:rsidR="00FF1F2F">
        <w:rPr>
          <w:b/>
          <w:bCs/>
        </w:rPr>
        <w:t>3</w:t>
      </w:r>
      <w:r>
        <w:rPr>
          <w:b/>
          <w:bCs/>
        </w:rPr>
        <w:t>. Respondent Total Burden and Cost for Four Year Reporting Cycles</w:t>
      </w:r>
    </w:p>
    <w:tbl>
      <w:tblPr>
        <w:tblW w:w="10370" w:type="dxa"/>
        <w:jc w:val="center"/>
        <w:tblLook w:val="04A0"/>
      </w:tblPr>
      <w:tblGrid>
        <w:gridCol w:w="4241"/>
        <w:gridCol w:w="1270"/>
        <w:gridCol w:w="1540"/>
        <w:gridCol w:w="1255"/>
        <w:gridCol w:w="946"/>
        <w:gridCol w:w="1220"/>
      </w:tblGrid>
      <w:tr w14:paraId="584EC82B" w14:textId="77777777" w:rsidTr="006707EC">
        <w:tblPrEx>
          <w:tblW w:w="10370" w:type="dxa"/>
          <w:jc w:val="center"/>
          <w:tblLook w:val="04A0"/>
        </w:tblPrEx>
        <w:trPr>
          <w:trHeight w:val="302"/>
          <w:jc w:val="center"/>
        </w:trPr>
        <w:tc>
          <w:tcPr>
            <w:tcW w:w="42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72775A" w:rsidRPr="0072775A" w:rsidP="006F1C05" w14:paraId="00844B42" w14:textId="77777777">
            <w:pPr>
              <w:keepNext/>
              <w:keepLines/>
              <w:spacing w:after="0" w:line="240" w:lineRule="auto"/>
              <w:ind w:firstLine="2000" w:firstLineChars="1000"/>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 </w:t>
            </w:r>
          </w:p>
        </w:tc>
        <w:tc>
          <w:tcPr>
            <w:tcW w:w="2810" w:type="dxa"/>
            <w:gridSpan w:val="2"/>
            <w:tcBorders>
              <w:top w:val="single" w:sz="4" w:space="0" w:color="auto"/>
              <w:left w:val="nil"/>
              <w:bottom w:val="single" w:sz="4" w:space="0" w:color="auto"/>
              <w:right w:val="single" w:sz="4" w:space="0" w:color="auto"/>
            </w:tcBorders>
            <w:shd w:val="clear" w:color="000000" w:fill="D9D9D9"/>
            <w:noWrap/>
            <w:vAlign w:val="bottom"/>
            <w:hideMark/>
          </w:tcPr>
          <w:p w:rsidR="0072775A" w:rsidRPr="0072775A" w:rsidP="006F1C05" w14:paraId="6E47DC72"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Average Unit Burden and Cost</w:t>
            </w:r>
            <w:r w:rsidRPr="0072775A">
              <w:rPr>
                <w:rFonts w:ascii="Arial Narrow" w:eastAsia="Times New Roman" w:hAnsi="Arial Narrow" w:cs="Calibri"/>
                <w:b/>
                <w:bCs/>
                <w:color w:val="000000"/>
                <w:sz w:val="20"/>
                <w:szCs w:val="20"/>
                <w:vertAlign w:val="superscript"/>
              </w:rPr>
              <w:t>1</w:t>
            </w:r>
          </w:p>
        </w:tc>
        <w:tc>
          <w:tcPr>
            <w:tcW w:w="1232" w:type="dxa"/>
            <w:tcBorders>
              <w:top w:val="single" w:sz="4" w:space="0" w:color="auto"/>
              <w:left w:val="nil"/>
              <w:bottom w:val="single" w:sz="4" w:space="0" w:color="auto"/>
              <w:right w:val="single" w:sz="4" w:space="0" w:color="auto"/>
            </w:tcBorders>
            <w:shd w:val="clear" w:color="000000" w:fill="D9D9D9"/>
            <w:noWrap/>
            <w:vAlign w:val="bottom"/>
            <w:hideMark/>
          </w:tcPr>
          <w:p w:rsidR="0072775A" w:rsidRPr="0072775A" w:rsidP="006F1C05" w14:paraId="55E0E777"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Universe</w:t>
            </w:r>
          </w:p>
        </w:tc>
        <w:tc>
          <w:tcPr>
            <w:tcW w:w="2085" w:type="dxa"/>
            <w:gridSpan w:val="2"/>
            <w:tcBorders>
              <w:top w:val="single" w:sz="4" w:space="0" w:color="auto"/>
              <w:left w:val="nil"/>
              <w:bottom w:val="single" w:sz="4" w:space="0" w:color="auto"/>
              <w:right w:val="single" w:sz="4" w:space="0" w:color="auto"/>
            </w:tcBorders>
            <w:shd w:val="clear" w:color="000000" w:fill="D9D9D9"/>
            <w:vAlign w:val="bottom"/>
            <w:hideMark/>
          </w:tcPr>
          <w:p w:rsidR="0072775A" w:rsidRPr="0072775A" w:rsidP="006F1C05" w14:paraId="301CB4BF"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Total Burden and Cost</w:t>
            </w:r>
          </w:p>
        </w:tc>
      </w:tr>
      <w:tr w14:paraId="0A0FD624" w14:textId="77777777" w:rsidTr="006707EC">
        <w:tblPrEx>
          <w:tblW w:w="10370" w:type="dxa"/>
          <w:jc w:val="center"/>
          <w:tblLook w:val="04A0"/>
        </w:tblPrEx>
        <w:trPr>
          <w:trHeight w:val="292"/>
          <w:jc w:val="center"/>
        </w:trPr>
        <w:tc>
          <w:tcPr>
            <w:tcW w:w="10370" w:type="dxa"/>
            <w:gridSpan w:val="6"/>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72775A" w:rsidRPr="0072775A" w:rsidP="006F1C05" w14:paraId="61621015"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Form U Submitters</w:t>
            </w:r>
          </w:p>
        </w:tc>
      </w:tr>
      <w:tr w14:paraId="1AB8385B" w14:textId="77777777" w:rsidTr="006707EC">
        <w:tblPrEx>
          <w:tblW w:w="10370" w:type="dxa"/>
          <w:jc w:val="center"/>
          <w:tblLook w:val="04A0"/>
        </w:tblPrEx>
        <w:trPr>
          <w:trHeight w:val="893"/>
          <w:jc w:val="center"/>
        </w:trPr>
        <w:tc>
          <w:tcPr>
            <w:tcW w:w="4241" w:type="dxa"/>
            <w:tcBorders>
              <w:top w:val="nil"/>
              <w:left w:val="single" w:sz="4" w:space="0" w:color="auto"/>
              <w:bottom w:val="single" w:sz="4" w:space="0" w:color="auto"/>
              <w:right w:val="single" w:sz="4" w:space="0" w:color="auto"/>
            </w:tcBorders>
            <w:shd w:val="clear" w:color="000000" w:fill="D9D9D9"/>
            <w:vAlign w:val="bottom"/>
            <w:hideMark/>
          </w:tcPr>
          <w:p w:rsidR="0072775A" w:rsidRPr="0072775A" w:rsidP="006F1C05" w14:paraId="1C96D4C2" w14:textId="77777777">
            <w:pPr>
              <w:keepNext/>
              <w:keepLines/>
              <w:spacing w:after="0" w:line="240" w:lineRule="auto"/>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IC: Prepare and Submit Report, and Maintain Reports</w:t>
            </w:r>
          </w:p>
        </w:tc>
        <w:tc>
          <w:tcPr>
            <w:tcW w:w="1270" w:type="dxa"/>
            <w:tcBorders>
              <w:top w:val="nil"/>
              <w:left w:val="nil"/>
              <w:bottom w:val="single" w:sz="4" w:space="0" w:color="auto"/>
              <w:right w:val="single" w:sz="4" w:space="0" w:color="auto"/>
            </w:tcBorders>
            <w:shd w:val="clear" w:color="000000" w:fill="D9D9D9"/>
            <w:vAlign w:val="bottom"/>
            <w:hideMark/>
          </w:tcPr>
          <w:p w:rsidR="0072775A" w:rsidRPr="0072775A" w:rsidP="006F1C05" w14:paraId="616CDA5C"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Unit Burden per Average Site (hours)</w:t>
            </w:r>
          </w:p>
        </w:tc>
        <w:tc>
          <w:tcPr>
            <w:tcW w:w="1540" w:type="dxa"/>
            <w:tcBorders>
              <w:top w:val="nil"/>
              <w:left w:val="nil"/>
              <w:bottom w:val="single" w:sz="4" w:space="0" w:color="auto"/>
              <w:right w:val="single" w:sz="4" w:space="0" w:color="auto"/>
            </w:tcBorders>
            <w:shd w:val="clear" w:color="000000" w:fill="D9D9D9"/>
            <w:vAlign w:val="bottom"/>
            <w:hideMark/>
          </w:tcPr>
          <w:p w:rsidR="0072775A" w:rsidRPr="0072775A" w:rsidP="006F1C05" w14:paraId="2801EAFE"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Unit Cost per Average Site (2020$)</w:t>
            </w:r>
          </w:p>
        </w:tc>
        <w:tc>
          <w:tcPr>
            <w:tcW w:w="1232" w:type="dxa"/>
            <w:tcBorders>
              <w:top w:val="nil"/>
              <w:left w:val="nil"/>
              <w:bottom w:val="single" w:sz="4" w:space="0" w:color="auto"/>
              <w:right w:val="single" w:sz="4" w:space="0" w:color="auto"/>
            </w:tcBorders>
            <w:shd w:val="clear" w:color="000000" w:fill="D9D9D9"/>
            <w:vAlign w:val="bottom"/>
            <w:hideMark/>
          </w:tcPr>
          <w:p w:rsidR="0072775A" w:rsidRPr="0072775A" w:rsidP="006F1C05" w14:paraId="6CA0D781"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Respondents (Number of Sites)</w:t>
            </w:r>
          </w:p>
        </w:tc>
        <w:tc>
          <w:tcPr>
            <w:tcW w:w="910" w:type="dxa"/>
            <w:tcBorders>
              <w:top w:val="nil"/>
              <w:left w:val="nil"/>
              <w:bottom w:val="single" w:sz="4" w:space="0" w:color="auto"/>
              <w:right w:val="single" w:sz="4" w:space="0" w:color="auto"/>
            </w:tcBorders>
            <w:shd w:val="clear" w:color="000000" w:fill="D9D9D9"/>
            <w:vAlign w:val="bottom"/>
            <w:hideMark/>
          </w:tcPr>
          <w:p w:rsidR="0072775A" w:rsidRPr="0072775A" w:rsidP="006F1C05" w14:paraId="717869C5"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Total Burden (hours)</w:t>
            </w:r>
          </w:p>
        </w:tc>
        <w:tc>
          <w:tcPr>
            <w:tcW w:w="1174" w:type="dxa"/>
            <w:tcBorders>
              <w:top w:val="nil"/>
              <w:left w:val="nil"/>
              <w:bottom w:val="single" w:sz="4" w:space="0" w:color="auto"/>
              <w:right w:val="single" w:sz="4" w:space="0" w:color="auto"/>
            </w:tcBorders>
            <w:shd w:val="clear" w:color="000000" w:fill="D9D9D9"/>
            <w:vAlign w:val="bottom"/>
            <w:hideMark/>
          </w:tcPr>
          <w:p w:rsidR="0072775A" w:rsidRPr="0072775A" w:rsidP="006F1C05" w14:paraId="337E98C9"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Total Cost (2020$)</w:t>
            </w:r>
          </w:p>
        </w:tc>
      </w:tr>
      <w:tr w14:paraId="202AB2AD" w14:textId="77777777" w:rsidTr="006707EC">
        <w:tblPrEx>
          <w:tblW w:w="10370" w:type="dxa"/>
          <w:jc w:val="center"/>
          <w:tblLook w:val="04A0"/>
        </w:tblPrEx>
        <w:trPr>
          <w:trHeight w:val="292"/>
          <w:jc w:val="center"/>
        </w:trPr>
        <w:tc>
          <w:tcPr>
            <w:tcW w:w="10370" w:type="dxa"/>
            <w:gridSpan w:val="6"/>
            <w:tcBorders>
              <w:top w:val="single" w:sz="4" w:space="0" w:color="auto"/>
              <w:left w:val="single" w:sz="4" w:space="0" w:color="auto"/>
              <w:bottom w:val="single" w:sz="4" w:space="0" w:color="auto"/>
              <w:right w:val="single" w:sz="4" w:space="0" w:color="000000"/>
            </w:tcBorders>
            <w:shd w:val="clear" w:color="000000" w:fill="F2F2F2"/>
            <w:vAlign w:val="bottom"/>
            <w:hideMark/>
          </w:tcPr>
          <w:p w:rsidR="0072775A" w:rsidRPr="0072775A" w:rsidP="006F1C05" w14:paraId="2856ACAA" w14:textId="77777777">
            <w:pPr>
              <w:keepNext/>
              <w:keepLines/>
              <w:spacing w:after="0" w:line="240" w:lineRule="auto"/>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2024 Cycle (Second Cycle)</w:t>
            </w:r>
          </w:p>
        </w:tc>
      </w:tr>
      <w:tr w14:paraId="5360AFA3" w14:textId="77777777" w:rsidTr="006707EC">
        <w:tblPrEx>
          <w:tblW w:w="10370" w:type="dxa"/>
          <w:jc w:val="center"/>
          <w:tblLook w:val="04A0"/>
        </w:tblPrEx>
        <w:trPr>
          <w:trHeight w:val="292"/>
          <w:jc w:val="center"/>
        </w:trPr>
        <w:tc>
          <w:tcPr>
            <w:tcW w:w="42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775A" w:rsidRPr="0072775A" w:rsidP="006F1C05" w14:paraId="2115642D"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Rule Familiarization</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4CB0D735"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3.952</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373CE352"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$334.32</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35E99D2D"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5E3F9FC3"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21,578</w:t>
            </w:r>
          </w:p>
        </w:tc>
        <w:tc>
          <w:tcPr>
            <w:tcW w:w="1174"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49E0E291"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$1,825,387</w:t>
            </w:r>
          </w:p>
        </w:tc>
      </w:tr>
      <w:tr w14:paraId="55F66C19" w14:textId="77777777" w:rsidTr="006707EC">
        <w:tblPrEx>
          <w:tblW w:w="10370" w:type="dxa"/>
          <w:jc w:val="center"/>
          <w:tblLook w:val="04A0"/>
        </w:tblPrEx>
        <w:trPr>
          <w:trHeight w:val="292"/>
          <w:jc w:val="center"/>
        </w:trPr>
        <w:tc>
          <w:tcPr>
            <w:tcW w:w="4241" w:type="dxa"/>
            <w:tcBorders>
              <w:top w:val="nil"/>
              <w:left w:val="single" w:sz="4" w:space="0" w:color="auto"/>
              <w:bottom w:val="single" w:sz="4" w:space="0" w:color="auto"/>
              <w:right w:val="single" w:sz="4" w:space="0" w:color="auto"/>
            </w:tcBorders>
            <w:shd w:val="clear" w:color="auto" w:fill="auto"/>
            <w:vAlign w:val="bottom"/>
            <w:hideMark/>
          </w:tcPr>
          <w:p w:rsidR="0072775A" w:rsidRPr="0072775A" w:rsidP="006F1C05" w14:paraId="3F3EEDAF"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Compliance Determination</w:t>
            </w:r>
          </w:p>
        </w:tc>
        <w:tc>
          <w:tcPr>
            <w:tcW w:w="1270" w:type="dxa"/>
            <w:tcBorders>
              <w:top w:val="nil"/>
              <w:left w:val="nil"/>
              <w:bottom w:val="single" w:sz="4" w:space="0" w:color="auto"/>
              <w:right w:val="single" w:sz="4" w:space="0" w:color="auto"/>
            </w:tcBorders>
            <w:shd w:val="clear" w:color="auto" w:fill="auto"/>
            <w:vAlign w:val="bottom"/>
            <w:hideMark/>
          </w:tcPr>
          <w:p w:rsidR="0072775A" w:rsidRPr="0072775A" w:rsidP="006F1C05" w14:paraId="6C313ADF"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7.404</w:t>
            </w:r>
          </w:p>
        </w:tc>
        <w:tc>
          <w:tcPr>
            <w:tcW w:w="1540" w:type="dxa"/>
            <w:tcBorders>
              <w:top w:val="nil"/>
              <w:left w:val="nil"/>
              <w:bottom w:val="single" w:sz="4" w:space="0" w:color="auto"/>
              <w:right w:val="single" w:sz="4" w:space="0" w:color="auto"/>
            </w:tcBorders>
            <w:shd w:val="clear" w:color="auto" w:fill="auto"/>
            <w:vAlign w:val="bottom"/>
            <w:hideMark/>
          </w:tcPr>
          <w:p w:rsidR="0072775A" w:rsidRPr="0072775A" w:rsidP="006F1C05" w14:paraId="37AC7738"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$627.99</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6E668312"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6DBF40AC"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40,426</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5D20FF7E"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$3,428,825</w:t>
            </w:r>
          </w:p>
        </w:tc>
      </w:tr>
      <w:tr w14:paraId="28E3B943" w14:textId="77777777" w:rsidTr="006707EC">
        <w:tblPrEx>
          <w:tblW w:w="10370" w:type="dxa"/>
          <w:jc w:val="center"/>
          <w:tblLook w:val="04A0"/>
        </w:tblPrEx>
        <w:trPr>
          <w:trHeight w:val="292"/>
          <w:jc w:val="center"/>
        </w:trPr>
        <w:tc>
          <w:tcPr>
            <w:tcW w:w="4241" w:type="dxa"/>
            <w:tcBorders>
              <w:top w:val="nil"/>
              <w:left w:val="single" w:sz="4" w:space="0" w:color="auto"/>
              <w:bottom w:val="single" w:sz="4" w:space="0" w:color="auto"/>
              <w:right w:val="single" w:sz="4" w:space="0" w:color="auto"/>
            </w:tcBorders>
            <w:shd w:val="clear" w:color="auto" w:fill="auto"/>
            <w:vAlign w:val="bottom"/>
            <w:hideMark/>
          </w:tcPr>
          <w:p w:rsidR="0072775A" w:rsidRPr="0072775A" w:rsidP="006F1C05" w14:paraId="699DE76D"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Recordkeeping</w:t>
            </w:r>
          </w:p>
        </w:tc>
        <w:tc>
          <w:tcPr>
            <w:tcW w:w="1270" w:type="dxa"/>
            <w:tcBorders>
              <w:top w:val="nil"/>
              <w:left w:val="nil"/>
              <w:bottom w:val="single" w:sz="4" w:space="0" w:color="auto"/>
              <w:right w:val="single" w:sz="4" w:space="0" w:color="auto"/>
            </w:tcBorders>
            <w:shd w:val="clear" w:color="auto" w:fill="auto"/>
            <w:vAlign w:val="bottom"/>
            <w:hideMark/>
          </w:tcPr>
          <w:p w:rsidR="0072775A" w:rsidRPr="0072775A" w:rsidP="006F1C05" w14:paraId="69C43376"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3.000</w:t>
            </w:r>
          </w:p>
        </w:tc>
        <w:tc>
          <w:tcPr>
            <w:tcW w:w="1540" w:type="dxa"/>
            <w:tcBorders>
              <w:top w:val="nil"/>
              <w:left w:val="nil"/>
              <w:bottom w:val="single" w:sz="4" w:space="0" w:color="auto"/>
              <w:right w:val="single" w:sz="4" w:space="0" w:color="auto"/>
            </w:tcBorders>
            <w:shd w:val="clear" w:color="auto" w:fill="auto"/>
            <w:vAlign w:val="bottom"/>
            <w:hideMark/>
          </w:tcPr>
          <w:p w:rsidR="0072775A" w:rsidRPr="0072775A" w:rsidP="006F1C05" w14:paraId="26F7212B"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$219.09</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71C0264A"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7389E382"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16,380</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0BE9F189"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$1,196,231</w:t>
            </w:r>
          </w:p>
        </w:tc>
      </w:tr>
      <w:tr w14:paraId="11ABF2F5" w14:textId="77777777" w:rsidTr="006707EC">
        <w:tblPrEx>
          <w:tblW w:w="10370" w:type="dxa"/>
          <w:jc w:val="center"/>
          <w:tblLook w:val="04A0"/>
        </w:tblPrEx>
        <w:trPr>
          <w:trHeight w:val="893"/>
          <w:jc w:val="center"/>
        </w:trPr>
        <w:tc>
          <w:tcPr>
            <w:tcW w:w="4241" w:type="dxa"/>
            <w:tcBorders>
              <w:top w:val="nil"/>
              <w:left w:val="single" w:sz="4" w:space="0" w:color="auto"/>
              <w:bottom w:val="single" w:sz="4" w:space="0" w:color="auto"/>
              <w:right w:val="single" w:sz="4" w:space="0" w:color="auto"/>
            </w:tcBorders>
            <w:shd w:val="clear" w:color="auto" w:fill="auto"/>
            <w:vAlign w:val="bottom"/>
            <w:hideMark/>
          </w:tcPr>
          <w:p w:rsidR="0072775A" w:rsidRPr="0072775A" w:rsidP="006F1C05" w14:paraId="4347046D"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Average Multi-Chemical Form Completion besides Function Category Data Elements (7.38 chemicals)</w:t>
            </w:r>
          </w:p>
        </w:tc>
        <w:tc>
          <w:tcPr>
            <w:tcW w:w="1270" w:type="dxa"/>
            <w:tcBorders>
              <w:top w:val="nil"/>
              <w:left w:val="nil"/>
              <w:bottom w:val="single" w:sz="4" w:space="0" w:color="auto"/>
              <w:right w:val="single" w:sz="4" w:space="0" w:color="auto"/>
            </w:tcBorders>
            <w:shd w:val="clear" w:color="auto" w:fill="auto"/>
            <w:vAlign w:val="bottom"/>
            <w:hideMark/>
          </w:tcPr>
          <w:p w:rsidR="0072775A" w:rsidRPr="0072775A" w:rsidP="006F1C05" w14:paraId="16818F35"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454.541</w:t>
            </w:r>
          </w:p>
        </w:tc>
        <w:tc>
          <w:tcPr>
            <w:tcW w:w="1540" w:type="dxa"/>
            <w:tcBorders>
              <w:top w:val="nil"/>
              <w:left w:val="nil"/>
              <w:bottom w:val="single" w:sz="4" w:space="0" w:color="auto"/>
              <w:right w:val="single" w:sz="4" w:space="0" w:color="auto"/>
            </w:tcBorders>
            <w:shd w:val="clear" w:color="auto" w:fill="auto"/>
            <w:vAlign w:val="bottom"/>
            <w:hideMark/>
          </w:tcPr>
          <w:p w:rsidR="0072775A" w:rsidRPr="0072775A" w:rsidP="006F1C05" w14:paraId="035FB448"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$49,271.31</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0993E156"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0938560B"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2,481,794</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5149A781"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$269,021,353</w:t>
            </w:r>
          </w:p>
        </w:tc>
      </w:tr>
      <w:tr w14:paraId="52DA3842" w14:textId="77777777" w:rsidTr="006707EC">
        <w:tblPrEx>
          <w:tblW w:w="10370" w:type="dxa"/>
          <w:jc w:val="center"/>
          <w:tblLook w:val="04A0"/>
        </w:tblPrEx>
        <w:trPr>
          <w:trHeight w:val="605"/>
          <w:jc w:val="center"/>
        </w:trPr>
        <w:tc>
          <w:tcPr>
            <w:tcW w:w="4241" w:type="dxa"/>
            <w:tcBorders>
              <w:top w:val="nil"/>
              <w:left w:val="single" w:sz="4" w:space="0" w:color="auto"/>
              <w:bottom w:val="single" w:sz="4" w:space="0" w:color="auto"/>
              <w:right w:val="single" w:sz="4" w:space="0" w:color="auto"/>
            </w:tcBorders>
            <w:shd w:val="clear" w:color="auto" w:fill="auto"/>
            <w:vAlign w:val="center"/>
            <w:hideMark/>
          </w:tcPr>
          <w:p w:rsidR="0072775A" w:rsidRPr="0072775A" w:rsidP="006F1C05" w14:paraId="0C94547C"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Function Category Data Elements (7.38 chemicals per site)</w:t>
            </w:r>
          </w:p>
        </w:tc>
        <w:tc>
          <w:tcPr>
            <w:tcW w:w="1270" w:type="dxa"/>
            <w:tcBorders>
              <w:top w:val="nil"/>
              <w:left w:val="nil"/>
              <w:bottom w:val="single" w:sz="4" w:space="0" w:color="auto"/>
              <w:right w:val="single" w:sz="4" w:space="0" w:color="auto"/>
            </w:tcBorders>
            <w:shd w:val="clear" w:color="auto" w:fill="auto"/>
            <w:vAlign w:val="bottom"/>
            <w:hideMark/>
          </w:tcPr>
          <w:p w:rsidR="0072775A" w:rsidRPr="0072775A" w:rsidP="006F1C05" w14:paraId="3179C45B"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71.016</w:t>
            </w:r>
          </w:p>
        </w:tc>
        <w:tc>
          <w:tcPr>
            <w:tcW w:w="1540" w:type="dxa"/>
            <w:tcBorders>
              <w:top w:val="nil"/>
              <w:left w:val="nil"/>
              <w:bottom w:val="single" w:sz="4" w:space="0" w:color="auto"/>
              <w:right w:val="single" w:sz="4" w:space="0" w:color="auto"/>
            </w:tcBorders>
            <w:shd w:val="clear" w:color="auto" w:fill="auto"/>
            <w:vAlign w:val="bottom"/>
            <w:hideMark/>
          </w:tcPr>
          <w:p w:rsidR="0072775A" w:rsidRPr="0072775A" w:rsidP="006F1C05" w14:paraId="276EB073"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$7,744.25</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5C73FA00"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684AC41D"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387,747</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17527EE1"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$42,283,605</w:t>
            </w:r>
          </w:p>
        </w:tc>
      </w:tr>
      <w:tr w14:paraId="7547AEB0" w14:textId="77777777" w:rsidTr="006707EC">
        <w:tblPrEx>
          <w:tblW w:w="10370" w:type="dxa"/>
          <w:jc w:val="center"/>
          <w:tblLook w:val="04A0"/>
        </w:tblPrEx>
        <w:trPr>
          <w:trHeight w:val="292"/>
          <w:jc w:val="center"/>
        </w:trPr>
        <w:tc>
          <w:tcPr>
            <w:tcW w:w="4241" w:type="dxa"/>
            <w:tcBorders>
              <w:top w:val="nil"/>
              <w:left w:val="single" w:sz="4" w:space="0" w:color="auto"/>
              <w:bottom w:val="single" w:sz="4" w:space="0" w:color="auto"/>
              <w:right w:val="single" w:sz="4" w:space="0" w:color="auto"/>
            </w:tcBorders>
            <w:shd w:val="clear" w:color="auto" w:fill="auto"/>
            <w:vAlign w:val="bottom"/>
            <w:hideMark/>
          </w:tcPr>
          <w:p w:rsidR="0072775A" w:rsidRPr="0072775A" w:rsidP="006F1C05" w14:paraId="18AD1080" w14:textId="77777777">
            <w:pPr>
              <w:keepNext/>
              <w:keepLines/>
              <w:spacing w:after="0" w:line="240" w:lineRule="auto"/>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 xml:space="preserve">Total </w:t>
            </w:r>
          </w:p>
        </w:tc>
        <w:tc>
          <w:tcPr>
            <w:tcW w:w="1270" w:type="dxa"/>
            <w:tcBorders>
              <w:top w:val="nil"/>
              <w:left w:val="nil"/>
              <w:bottom w:val="single" w:sz="4" w:space="0" w:color="auto"/>
              <w:right w:val="single" w:sz="4" w:space="0" w:color="auto"/>
            </w:tcBorders>
            <w:shd w:val="clear" w:color="auto" w:fill="auto"/>
            <w:noWrap/>
            <w:vAlign w:val="center"/>
            <w:hideMark/>
          </w:tcPr>
          <w:p w:rsidR="00F645DA" w:rsidP="006F1C05" w14:paraId="69CB2407" w14:textId="77777777">
            <w:pPr>
              <w:keepNext/>
              <w:keepLines/>
              <w:spacing w:after="0" w:line="240" w:lineRule="auto"/>
              <w:jc w:val="right"/>
              <w:rPr>
                <w:rFonts w:ascii="Arial Narrow" w:eastAsia="Times New Roman" w:hAnsi="Arial Narrow" w:cs="Calibri"/>
                <w:b/>
                <w:bCs/>
                <w:color w:val="000000"/>
                <w:sz w:val="20"/>
                <w:szCs w:val="20"/>
              </w:rPr>
            </w:pPr>
          </w:p>
          <w:p w:rsidR="0072775A" w:rsidRPr="0072775A" w:rsidP="006F1C05" w14:paraId="425EADC8" w14:textId="79AFD6AA">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539.913</w:t>
            </w:r>
          </w:p>
        </w:tc>
        <w:tc>
          <w:tcPr>
            <w:tcW w:w="1540" w:type="dxa"/>
            <w:tcBorders>
              <w:top w:val="nil"/>
              <w:left w:val="nil"/>
              <w:bottom w:val="single" w:sz="4" w:space="0" w:color="auto"/>
              <w:right w:val="single" w:sz="4" w:space="0" w:color="auto"/>
            </w:tcBorders>
            <w:shd w:val="clear" w:color="auto" w:fill="auto"/>
            <w:noWrap/>
            <w:vAlign w:val="center"/>
            <w:hideMark/>
          </w:tcPr>
          <w:p w:rsidR="00F645DA" w:rsidP="006F1C05" w14:paraId="27DA3855" w14:textId="77777777">
            <w:pPr>
              <w:keepNext/>
              <w:keepLines/>
              <w:spacing w:after="0" w:line="240" w:lineRule="auto"/>
              <w:jc w:val="right"/>
              <w:rPr>
                <w:rFonts w:ascii="Arial Narrow" w:eastAsia="Times New Roman" w:hAnsi="Arial Narrow" w:cs="Calibri"/>
                <w:b/>
                <w:bCs/>
                <w:color w:val="000000"/>
                <w:sz w:val="20"/>
                <w:szCs w:val="20"/>
              </w:rPr>
            </w:pPr>
          </w:p>
          <w:p w:rsidR="0072775A" w:rsidRPr="0072775A" w:rsidP="006F1C05" w14:paraId="453D9CBC" w14:textId="5320AEAE">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$58,196.96</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67B2B249" w14:textId="77777777">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4D6E7A21" w14:textId="77777777">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2,947,925</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22501523" w14:textId="77777777">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$317,755,401</w:t>
            </w:r>
          </w:p>
        </w:tc>
      </w:tr>
      <w:tr w14:paraId="2033194C" w14:textId="77777777" w:rsidTr="006707EC">
        <w:tblPrEx>
          <w:tblW w:w="10370" w:type="dxa"/>
          <w:jc w:val="center"/>
          <w:tblLook w:val="04A0"/>
        </w:tblPrEx>
        <w:trPr>
          <w:trHeight w:val="292"/>
          <w:jc w:val="center"/>
        </w:trPr>
        <w:tc>
          <w:tcPr>
            <w:tcW w:w="10370" w:type="dxa"/>
            <w:gridSpan w:val="6"/>
            <w:tcBorders>
              <w:top w:val="single" w:sz="4" w:space="0" w:color="auto"/>
              <w:left w:val="single" w:sz="4" w:space="0" w:color="auto"/>
              <w:bottom w:val="single" w:sz="4" w:space="0" w:color="auto"/>
              <w:right w:val="single" w:sz="4" w:space="0" w:color="000000"/>
            </w:tcBorders>
            <w:shd w:val="clear" w:color="000000" w:fill="F2F2F2"/>
            <w:vAlign w:val="bottom"/>
            <w:hideMark/>
          </w:tcPr>
          <w:p w:rsidR="0072775A" w:rsidRPr="0072775A" w:rsidP="006F1C05" w14:paraId="5A058102" w14:textId="77777777">
            <w:pPr>
              <w:keepNext/>
              <w:keepLines/>
              <w:spacing w:after="0" w:line="240" w:lineRule="auto"/>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2028 Cycle (Future Cycle)</w:t>
            </w:r>
          </w:p>
        </w:tc>
      </w:tr>
      <w:tr w14:paraId="457B1B00" w14:textId="77777777" w:rsidTr="006707EC">
        <w:tblPrEx>
          <w:tblW w:w="10370" w:type="dxa"/>
          <w:jc w:val="center"/>
          <w:tblLook w:val="04A0"/>
        </w:tblPrEx>
        <w:trPr>
          <w:trHeight w:val="292"/>
          <w:jc w:val="center"/>
        </w:trPr>
        <w:tc>
          <w:tcPr>
            <w:tcW w:w="42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72775A" w:rsidRPr="0072775A" w:rsidP="006F1C05" w14:paraId="635E3DD7"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Rule Familiarization</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31775B04"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3.952</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4AEB703C"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$334.32</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453D8816"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649A891C"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21,578</w:t>
            </w:r>
          </w:p>
        </w:tc>
        <w:tc>
          <w:tcPr>
            <w:tcW w:w="1174" w:type="dxa"/>
            <w:tcBorders>
              <w:top w:val="single" w:sz="4" w:space="0" w:color="auto"/>
              <w:left w:val="nil"/>
              <w:bottom w:val="single" w:sz="4" w:space="0" w:color="auto"/>
              <w:right w:val="single" w:sz="4" w:space="0" w:color="auto"/>
            </w:tcBorders>
            <w:shd w:val="clear" w:color="auto" w:fill="auto"/>
            <w:vAlign w:val="bottom"/>
            <w:hideMark/>
          </w:tcPr>
          <w:p w:rsidR="0072775A" w:rsidRPr="0072775A" w:rsidP="006F1C05" w14:paraId="178ADE33"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$1,825,387</w:t>
            </w:r>
          </w:p>
        </w:tc>
      </w:tr>
      <w:tr w14:paraId="26E80BEF" w14:textId="77777777" w:rsidTr="006707EC">
        <w:tblPrEx>
          <w:tblW w:w="10370" w:type="dxa"/>
          <w:jc w:val="center"/>
          <w:tblLook w:val="04A0"/>
        </w:tblPrEx>
        <w:trPr>
          <w:trHeight w:val="292"/>
          <w:jc w:val="center"/>
        </w:trPr>
        <w:tc>
          <w:tcPr>
            <w:tcW w:w="4241" w:type="dxa"/>
            <w:tcBorders>
              <w:top w:val="nil"/>
              <w:left w:val="single" w:sz="4" w:space="0" w:color="auto"/>
              <w:bottom w:val="single" w:sz="4" w:space="0" w:color="auto"/>
              <w:right w:val="single" w:sz="4" w:space="0" w:color="auto"/>
            </w:tcBorders>
            <w:shd w:val="clear" w:color="auto" w:fill="auto"/>
            <w:vAlign w:val="bottom"/>
            <w:hideMark/>
          </w:tcPr>
          <w:p w:rsidR="0072775A" w:rsidRPr="0072775A" w:rsidP="006F1C05" w14:paraId="1EC7ABFD"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Compliance Determination</w:t>
            </w:r>
          </w:p>
        </w:tc>
        <w:tc>
          <w:tcPr>
            <w:tcW w:w="1270" w:type="dxa"/>
            <w:tcBorders>
              <w:top w:val="nil"/>
              <w:left w:val="nil"/>
              <w:bottom w:val="single" w:sz="4" w:space="0" w:color="auto"/>
              <w:right w:val="single" w:sz="4" w:space="0" w:color="auto"/>
            </w:tcBorders>
            <w:shd w:val="clear" w:color="auto" w:fill="auto"/>
            <w:vAlign w:val="bottom"/>
            <w:hideMark/>
          </w:tcPr>
          <w:p w:rsidR="0072775A" w:rsidRPr="0072775A" w:rsidP="006F1C05" w14:paraId="6D1DCC58"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7.404</w:t>
            </w:r>
          </w:p>
        </w:tc>
        <w:tc>
          <w:tcPr>
            <w:tcW w:w="1540" w:type="dxa"/>
            <w:tcBorders>
              <w:top w:val="nil"/>
              <w:left w:val="nil"/>
              <w:bottom w:val="single" w:sz="4" w:space="0" w:color="auto"/>
              <w:right w:val="single" w:sz="4" w:space="0" w:color="auto"/>
            </w:tcBorders>
            <w:shd w:val="clear" w:color="auto" w:fill="auto"/>
            <w:vAlign w:val="bottom"/>
            <w:hideMark/>
          </w:tcPr>
          <w:p w:rsidR="0072775A" w:rsidRPr="0072775A" w:rsidP="006F1C05" w14:paraId="2B353818"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$627.99</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33B5A864"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5B09DC98"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40,426</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24608C03"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$3,428,825</w:t>
            </w:r>
          </w:p>
        </w:tc>
      </w:tr>
      <w:tr w14:paraId="4BEA91B0" w14:textId="77777777" w:rsidTr="006707EC">
        <w:tblPrEx>
          <w:tblW w:w="10370" w:type="dxa"/>
          <w:jc w:val="center"/>
          <w:tblLook w:val="04A0"/>
        </w:tblPrEx>
        <w:trPr>
          <w:trHeight w:val="292"/>
          <w:jc w:val="center"/>
        </w:trPr>
        <w:tc>
          <w:tcPr>
            <w:tcW w:w="4241" w:type="dxa"/>
            <w:tcBorders>
              <w:top w:val="nil"/>
              <w:left w:val="single" w:sz="4" w:space="0" w:color="auto"/>
              <w:bottom w:val="single" w:sz="4" w:space="0" w:color="auto"/>
              <w:right w:val="single" w:sz="4" w:space="0" w:color="auto"/>
            </w:tcBorders>
            <w:shd w:val="clear" w:color="auto" w:fill="auto"/>
            <w:vAlign w:val="bottom"/>
            <w:hideMark/>
          </w:tcPr>
          <w:p w:rsidR="0072775A" w:rsidRPr="0072775A" w:rsidP="006F1C05" w14:paraId="2F1E962F"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Recordkeeping</w:t>
            </w:r>
          </w:p>
        </w:tc>
        <w:tc>
          <w:tcPr>
            <w:tcW w:w="1270" w:type="dxa"/>
            <w:tcBorders>
              <w:top w:val="nil"/>
              <w:left w:val="nil"/>
              <w:bottom w:val="single" w:sz="4" w:space="0" w:color="auto"/>
              <w:right w:val="single" w:sz="4" w:space="0" w:color="auto"/>
            </w:tcBorders>
            <w:shd w:val="clear" w:color="auto" w:fill="auto"/>
            <w:vAlign w:val="bottom"/>
            <w:hideMark/>
          </w:tcPr>
          <w:p w:rsidR="0072775A" w:rsidRPr="0072775A" w:rsidP="006F1C05" w14:paraId="4374520E"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3.000</w:t>
            </w:r>
          </w:p>
        </w:tc>
        <w:tc>
          <w:tcPr>
            <w:tcW w:w="1540" w:type="dxa"/>
            <w:tcBorders>
              <w:top w:val="nil"/>
              <w:left w:val="nil"/>
              <w:bottom w:val="single" w:sz="4" w:space="0" w:color="auto"/>
              <w:right w:val="single" w:sz="4" w:space="0" w:color="auto"/>
            </w:tcBorders>
            <w:shd w:val="clear" w:color="auto" w:fill="auto"/>
            <w:vAlign w:val="bottom"/>
            <w:hideMark/>
          </w:tcPr>
          <w:p w:rsidR="0072775A" w:rsidRPr="0072775A" w:rsidP="006F1C05" w14:paraId="607CB9C7"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$219.09</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2BEFE734"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2D857C8D"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16,380</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7507EBB6"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$1,196,231</w:t>
            </w:r>
          </w:p>
        </w:tc>
      </w:tr>
      <w:tr w14:paraId="69D9C074" w14:textId="77777777" w:rsidTr="006707EC">
        <w:tblPrEx>
          <w:tblW w:w="10370" w:type="dxa"/>
          <w:jc w:val="center"/>
          <w:tblLook w:val="04A0"/>
        </w:tblPrEx>
        <w:trPr>
          <w:trHeight w:val="893"/>
          <w:jc w:val="center"/>
        </w:trPr>
        <w:tc>
          <w:tcPr>
            <w:tcW w:w="4241" w:type="dxa"/>
            <w:tcBorders>
              <w:top w:val="nil"/>
              <w:left w:val="single" w:sz="4" w:space="0" w:color="auto"/>
              <w:bottom w:val="single" w:sz="4" w:space="0" w:color="auto"/>
              <w:right w:val="single" w:sz="4" w:space="0" w:color="auto"/>
            </w:tcBorders>
            <w:shd w:val="clear" w:color="auto" w:fill="auto"/>
            <w:vAlign w:val="bottom"/>
            <w:hideMark/>
          </w:tcPr>
          <w:p w:rsidR="0072775A" w:rsidRPr="0072775A" w:rsidP="006F1C05" w14:paraId="00E3EE6C"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Average Multi-Chemical Form Completion besides Function Category Data Elements (7.38 chemicals)</w:t>
            </w:r>
          </w:p>
        </w:tc>
        <w:tc>
          <w:tcPr>
            <w:tcW w:w="1270" w:type="dxa"/>
            <w:tcBorders>
              <w:top w:val="nil"/>
              <w:left w:val="nil"/>
              <w:bottom w:val="single" w:sz="4" w:space="0" w:color="auto"/>
              <w:right w:val="single" w:sz="4" w:space="0" w:color="auto"/>
            </w:tcBorders>
            <w:shd w:val="clear" w:color="auto" w:fill="auto"/>
            <w:vAlign w:val="bottom"/>
            <w:hideMark/>
          </w:tcPr>
          <w:p w:rsidR="0072775A" w:rsidRPr="0072775A" w:rsidP="006F1C05" w14:paraId="433E64C6"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454.541</w:t>
            </w:r>
          </w:p>
        </w:tc>
        <w:tc>
          <w:tcPr>
            <w:tcW w:w="1540" w:type="dxa"/>
            <w:tcBorders>
              <w:top w:val="nil"/>
              <w:left w:val="nil"/>
              <w:bottom w:val="single" w:sz="4" w:space="0" w:color="auto"/>
              <w:right w:val="single" w:sz="4" w:space="0" w:color="auto"/>
            </w:tcBorders>
            <w:shd w:val="clear" w:color="auto" w:fill="auto"/>
            <w:vAlign w:val="bottom"/>
            <w:hideMark/>
          </w:tcPr>
          <w:p w:rsidR="0072775A" w:rsidRPr="0072775A" w:rsidP="006F1C05" w14:paraId="4BACDAF8"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$49,271.31</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415935A2"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166B6404"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2,481,794</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30E8B0F7"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$269,021,353</w:t>
            </w:r>
          </w:p>
        </w:tc>
      </w:tr>
      <w:tr w14:paraId="1A86E2D8" w14:textId="77777777" w:rsidTr="006707EC">
        <w:tblPrEx>
          <w:tblW w:w="10370" w:type="dxa"/>
          <w:jc w:val="center"/>
          <w:tblLook w:val="04A0"/>
        </w:tblPrEx>
        <w:trPr>
          <w:trHeight w:val="605"/>
          <w:jc w:val="center"/>
        </w:trPr>
        <w:tc>
          <w:tcPr>
            <w:tcW w:w="4241" w:type="dxa"/>
            <w:tcBorders>
              <w:top w:val="nil"/>
              <w:left w:val="single" w:sz="4" w:space="0" w:color="auto"/>
              <w:bottom w:val="single" w:sz="4" w:space="0" w:color="auto"/>
              <w:right w:val="single" w:sz="4" w:space="0" w:color="auto"/>
            </w:tcBorders>
            <w:shd w:val="clear" w:color="auto" w:fill="auto"/>
            <w:vAlign w:val="center"/>
            <w:hideMark/>
          </w:tcPr>
          <w:p w:rsidR="0072775A" w:rsidRPr="0072775A" w:rsidP="006F1C05" w14:paraId="61B92257"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Function Category Data Elements (7.38 chemicals per site)</w:t>
            </w:r>
          </w:p>
        </w:tc>
        <w:tc>
          <w:tcPr>
            <w:tcW w:w="1270" w:type="dxa"/>
            <w:tcBorders>
              <w:top w:val="nil"/>
              <w:left w:val="nil"/>
              <w:bottom w:val="single" w:sz="4" w:space="0" w:color="auto"/>
              <w:right w:val="single" w:sz="4" w:space="0" w:color="auto"/>
            </w:tcBorders>
            <w:shd w:val="clear" w:color="auto" w:fill="auto"/>
            <w:vAlign w:val="bottom"/>
            <w:hideMark/>
          </w:tcPr>
          <w:p w:rsidR="0072775A" w:rsidRPr="0072775A" w:rsidP="006F1C05" w14:paraId="16675BA5"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59.767</w:t>
            </w:r>
          </w:p>
        </w:tc>
        <w:tc>
          <w:tcPr>
            <w:tcW w:w="1540" w:type="dxa"/>
            <w:tcBorders>
              <w:top w:val="nil"/>
              <w:left w:val="nil"/>
              <w:bottom w:val="single" w:sz="4" w:space="0" w:color="auto"/>
              <w:right w:val="single" w:sz="4" w:space="0" w:color="auto"/>
            </w:tcBorders>
            <w:shd w:val="clear" w:color="auto" w:fill="auto"/>
            <w:vAlign w:val="bottom"/>
            <w:hideMark/>
          </w:tcPr>
          <w:p w:rsidR="0072775A" w:rsidRPr="0072775A" w:rsidP="006F1C05" w14:paraId="16337BF8"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$6,517.55</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5027A751"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1C4AC08B"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326,328</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7AC96078"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$35,585,823</w:t>
            </w:r>
          </w:p>
        </w:tc>
      </w:tr>
      <w:tr w14:paraId="41AD47F0" w14:textId="77777777" w:rsidTr="006707EC">
        <w:tblPrEx>
          <w:tblW w:w="10370" w:type="dxa"/>
          <w:jc w:val="center"/>
          <w:tblLook w:val="04A0"/>
        </w:tblPrEx>
        <w:trPr>
          <w:trHeight w:val="292"/>
          <w:jc w:val="center"/>
        </w:trPr>
        <w:tc>
          <w:tcPr>
            <w:tcW w:w="4241" w:type="dxa"/>
            <w:tcBorders>
              <w:top w:val="nil"/>
              <w:left w:val="single" w:sz="4" w:space="0" w:color="auto"/>
              <w:bottom w:val="single" w:sz="4" w:space="0" w:color="auto"/>
              <w:right w:val="single" w:sz="4" w:space="0" w:color="auto"/>
            </w:tcBorders>
            <w:shd w:val="clear" w:color="auto" w:fill="auto"/>
            <w:vAlign w:val="bottom"/>
            <w:hideMark/>
          </w:tcPr>
          <w:p w:rsidR="0072775A" w:rsidRPr="0072775A" w:rsidP="006F1C05" w14:paraId="43B926B3" w14:textId="77777777">
            <w:pPr>
              <w:keepNext/>
              <w:keepLines/>
              <w:spacing w:after="0" w:line="240" w:lineRule="auto"/>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 xml:space="preserve">Total </w:t>
            </w:r>
          </w:p>
        </w:tc>
        <w:tc>
          <w:tcPr>
            <w:tcW w:w="1270" w:type="dxa"/>
            <w:tcBorders>
              <w:top w:val="nil"/>
              <w:left w:val="nil"/>
              <w:bottom w:val="single" w:sz="4" w:space="0" w:color="auto"/>
              <w:right w:val="single" w:sz="4" w:space="0" w:color="auto"/>
            </w:tcBorders>
            <w:shd w:val="clear" w:color="auto" w:fill="auto"/>
            <w:noWrap/>
            <w:vAlign w:val="center"/>
            <w:hideMark/>
          </w:tcPr>
          <w:p w:rsidR="00F645DA" w:rsidP="006F1C05" w14:paraId="6CAD8095" w14:textId="77777777">
            <w:pPr>
              <w:keepNext/>
              <w:keepLines/>
              <w:spacing w:after="0" w:line="240" w:lineRule="auto"/>
              <w:jc w:val="right"/>
              <w:rPr>
                <w:rFonts w:ascii="Arial Narrow" w:eastAsia="Times New Roman" w:hAnsi="Arial Narrow" w:cs="Calibri"/>
                <w:b/>
                <w:bCs/>
                <w:color w:val="000000"/>
                <w:sz w:val="20"/>
                <w:szCs w:val="20"/>
              </w:rPr>
            </w:pPr>
          </w:p>
          <w:p w:rsidR="0072775A" w:rsidRPr="0072775A" w:rsidP="006F1C05" w14:paraId="310E7DA4" w14:textId="539A975C">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528.664</w:t>
            </w:r>
          </w:p>
        </w:tc>
        <w:tc>
          <w:tcPr>
            <w:tcW w:w="1540" w:type="dxa"/>
            <w:tcBorders>
              <w:top w:val="nil"/>
              <w:left w:val="nil"/>
              <w:bottom w:val="single" w:sz="4" w:space="0" w:color="auto"/>
              <w:right w:val="single" w:sz="4" w:space="0" w:color="auto"/>
            </w:tcBorders>
            <w:shd w:val="clear" w:color="auto" w:fill="auto"/>
            <w:noWrap/>
            <w:vAlign w:val="center"/>
            <w:hideMark/>
          </w:tcPr>
          <w:p w:rsidR="00F645DA" w:rsidP="006F1C05" w14:paraId="6816F3F9" w14:textId="77777777">
            <w:pPr>
              <w:keepNext/>
              <w:keepLines/>
              <w:spacing w:after="0" w:line="240" w:lineRule="auto"/>
              <w:jc w:val="right"/>
              <w:rPr>
                <w:rFonts w:ascii="Arial Narrow" w:eastAsia="Times New Roman" w:hAnsi="Arial Narrow" w:cs="Calibri"/>
                <w:b/>
                <w:bCs/>
                <w:color w:val="000000"/>
                <w:sz w:val="20"/>
                <w:szCs w:val="20"/>
              </w:rPr>
            </w:pPr>
          </w:p>
          <w:p w:rsidR="0072775A" w:rsidRPr="0072775A" w:rsidP="006F1C05" w14:paraId="13F6C38A" w14:textId="31320C84">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$56,970.26</w:t>
            </w:r>
          </w:p>
        </w:tc>
        <w:tc>
          <w:tcPr>
            <w:tcW w:w="1232" w:type="dxa"/>
            <w:tcBorders>
              <w:top w:val="nil"/>
              <w:left w:val="nil"/>
              <w:bottom w:val="single" w:sz="4" w:space="0" w:color="auto"/>
              <w:right w:val="single" w:sz="4" w:space="0" w:color="auto"/>
            </w:tcBorders>
            <w:shd w:val="clear" w:color="auto" w:fill="auto"/>
            <w:vAlign w:val="bottom"/>
            <w:hideMark/>
          </w:tcPr>
          <w:p w:rsidR="0072775A" w:rsidRPr="0072775A" w:rsidP="006F1C05" w14:paraId="7CB83921" w14:textId="77777777">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 xml:space="preserve">              5,460 </w:t>
            </w:r>
          </w:p>
        </w:tc>
        <w:tc>
          <w:tcPr>
            <w:tcW w:w="910" w:type="dxa"/>
            <w:tcBorders>
              <w:top w:val="nil"/>
              <w:left w:val="nil"/>
              <w:bottom w:val="single" w:sz="4" w:space="0" w:color="auto"/>
              <w:right w:val="single" w:sz="4" w:space="0" w:color="auto"/>
            </w:tcBorders>
            <w:shd w:val="clear" w:color="auto" w:fill="auto"/>
            <w:vAlign w:val="bottom"/>
            <w:hideMark/>
          </w:tcPr>
          <w:p w:rsidR="0072775A" w:rsidRPr="0072775A" w:rsidP="006F1C05" w14:paraId="4274A970" w14:textId="77777777">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2,886,506</w:t>
            </w:r>
          </w:p>
        </w:tc>
        <w:tc>
          <w:tcPr>
            <w:tcW w:w="1174" w:type="dxa"/>
            <w:tcBorders>
              <w:top w:val="nil"/>
              <w:left w:val="nil"/>
              <w:bottom w:val="single" w:sz="4" w:space="0" w:color="auto"/>
              <w:right w:val="single" w:sz="4" w:space="0" w:color="auto"/>
            </w:tcBorders>
            <w:shd w:val="clear" w:color="auto" w:fill="auto"/>
            <w:vAlign w:val="bottom"/>
            <w:hideMark/>
          </w:tcPr>
          <w:p w:rsidR="0072775A" w:rsidRPr="0072775A" w:rsidP="006F1C05" w14:paraId="109510AC" w14:textId="77777777">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$311,057,619</w:t>
            </w:r>
          </w:p>
        </w:tc>
      </w:tr>
      <w:tr w14:paraId="319B11FA" w14:textId="77777777" w:rsidTr="006707EC">
        <w:tblPrEx>
          <w:tblW w:w="10370" w:type="dxa"/>
          <w:jc w:val="center"/>
          <w:tblLook w:val="04A0"/>
        </w:tblPrEx>
        <w:trPr>
          <w:trHeight w:val="302"/>
          <w:jc w:val="center"/>
        </w:trPr>
        <w:tc>
          <w:tcPr>
            <w:tcW w:w="10370" w:type="dxa"/>
            <w:gridSpan w:val="6"/>
            <w:tcBorders>
              <w:top w:val="single" w:sz="4" w:space="0" w:color="auto"/>
              <w:left w:val="single" w:sz="4" w:space="0" w:color="auto"/>
              <w:bottom w:val="nil"/>
              <w:right w:val="single" w:sz="4" w:space="0" w:color="000000"/>
            </w:tcBorders>
            <w:shd w:val="clear" w:color="auto" w:fill="auto"/>
            <w:hideMark/>
          </w:tcPr>
          <w:p w:rsidR="0072775A" w:rsidRPr="0072775A" w:rsidP="006F1C05" w14:paraId="2FAD9788"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Table Footnotes:</w:t>
            </w:r>
          </w:p>
        </w:tc>
      </w:tr>
      <w:tr w14:paraId="05850747" w14:textId="77777777" w:rsidTr="006707EC">
        <w:tblPrEx>
          <w:tblW w:w="10370" w:type="dxa"/>
          <w:jc w:val="center"/>
          <w:tblLook w:val="04A0"/>
        </w:tblPrEx>
        <w:trPr>
          <w:trHeight w:val="581"/>
          <w:jc w:val="center"/>
        </w:trPr>
        <w:tc>
          <w:tcPr>
            <w:tcW w:w="10370" w:type="dxa"/>
            <w:gridSpan w:val="6"/>
            <w:tcBorders>
              <w:top w:val="nil"/>
              <w:left w:val="single" w:sz="4" w:space="0" w:color="auto"/>
              <w:bottom w:val="single" w:sz="4" w:space="0" w:color="auto"/>
              <w:right w:val="single" w:sz="4" w:space="0" w:color="000000"/>
            </w:tcBorders>
            <w:shd w:val="clear" w:color="auto" w:fill="auto"/>
            <w:noWrap/>
            <w:hideMark/>
          </w:tcPr>
          <w:p w:rsidR="0072775A" w:rsidRPr="0072775A" w:rsidP="006F1C05" w14:paraId="0E58F393" w14:textId="30FDAFCB">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vertAlign w:val="superscript"/>
              </w:rPr>
              <w:t>1</w:t>
            </w:r>
            <w:r w:rsidRPr="0072775A">
              <w:rPr>
                <w:rFonts w:ascii="Arial Narrow" w:eastAsia="Times New Roman" w:hAnsi="Arial Narrow" w:cs="Calibri"/>
                <w:color w:val="000000"/>
                <w:sz w:val="20"/>
                <w:szCs w:val="20"/>
              </w:rPr>
              <w:t>Overall unit burden is based on about 15% new reporting sites except for the Function Category Data Elements in the second cycle, where the overall unit burden is based on 90% new reporting sites</w:t>
            </w:r>
            <w:r>
              <w:rPr>
                <w:rFonts w:ascii="Arial Narrow" w:eastAsia="Times New Roman" w:hAnsi="Arial Narrow" w:cs="Calibri"/>
                <w:color w:val="000000"/>
                <w:sz w:val="20"/>
                <w:szCs w:val="20"/>
              </w:rPr>
              <w:t>.</w:t>
            </w:r>
          </w:p>
        </w:tc>
      </w:tr>
    </w:tbl>
    <w:p w:rsidR="0072775A" w:rsidP="006F1C05" w14:paraId="6AFAC563" w14:textId="337959E6">
      <w:pPr>
        <w:rPr>
          <w:b/>
          <w:bCs/>
        </w:rPr>
      </w:pPr>
    </w:p>
    <w:p w:rsidR="0072775A" w:rsidRPr="0013520A" w:rsidP="006F1C05" w14:paraId="517A89EC" w14:textId="1912C4AD">
      <w:pPr>
        <w:keepNext/>
        <w:keepLines/>
        <w:rPr>
          <w:b/>
          <w:bCs/>
        </w:rPr>
      </w:pPr>
      <w:r>
        <w:rPr>
          <w:b/>
          <w:bCs/>
        </w:rPr>
        <w:t xml:space="preserve">Table </w:t>
      </w:r>
      <w:r w:rsidR="00FF1F2F">
        <w:rPr>
          <w:b/>
          <w:bCs/>
        </w:rPr>
        <w:t>4</w:t>
      </w:r>
      <w:r>
        <w:rPr>
          <w:b/>
          <w:bCs/>
        </w:rPr>
        <w:t xml:space="preserve">. Respondent Annual </w:t>
      </w:r>
      <w:r w:rsidR="000B05DE">
        <w:rPr>
          <w:b/>
          <w:bCs/>
        </w:rPr>
        <w:t xml:space="preserve">and Total </w:t>
      </w:r>
      <w:r>
        <w:rPr>
          <w:b/>
          <w:bCs/>
        </w:rPr>
        <w:t>Burden and Cost for 3 Year ICR Period</w:t>
      </w:r>
    </w:p>
    <w:tbl>
      <w:tblPr>
        <w:tblW w:w="5538" w:type="pct"/>
        <w:jc w:val="center"/>
        <w:tblLayout w:type="fixed"/>
        <w:tblLook w:val="04A0"/>
      </w:tblPr>
      <w:tblGrid>
        <w:gridCol w:w="1716"/>
        <w:gridCol w:w="523"/>
        <w:gridCol w:w="541"/>
        <w:gridCol w:w="541"/>
        <w:gridCol w:w="545"/>
        <w:gridCol w:w="539"/>
        <w:gridCol w:w="541"/>
        <w:gridCol w:w="539"/>
        <w:gridCol w:w="543"/>
        <w:gridCol w:w="812"/>
        <w:gridCol w:w="1172"/>
        <w:gridCol w:w="1081"/>
        <w:gridCol w:w="1263"/>
      </w:tblGrid>
      <w:tr w14:paraId="40ED7348" w14:textId="77777777" w:rsidTr="00E2548A">
        <w:tblPrEx>
          <w:tblW w:w="5538" w:type="pct"/>
          <w:jc w:val="center"/>
          <w:tblLayout w:type="fixed"/>
          <w:tblLook w:val="04A0"/>
        </w:tblPrEx>
        <w:trPr>
          <w:trHeight w:val="253"/>
          <w:jc w:val="center"/>
        </w:trPr>
        <w:tc>
          <w:tcPr>
            <w:tcW w:w="829" w:type="pct"/>
            <w:vMerge w:val="restart"/>
            <w:tcBorders>
              <w:top w:val="single" w:sz="4" w:space="0" w:color="auto"/>
              <w:left w:val="single" w:sz="4" w:space="0" w:color="auto"/>
              <w:bottom w:val="nil"/>
              <w:right w:val="single" w:sz="4" w:space="0" w:color="auto"/>
            </w:tcBorders>
            <w:shd w:val="clear" w:color="000000" w:fill="BFBFBF"/>
            <w:vAlign w:val="bottom"/>
            <w:hideMark/>
          </w:tcPr>
          <w:p w:rsidR="0072775A" w:rsidRPr="0072775A" w:rsidP="006F1C05" w14:paraId="5C1529E9"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Burden Category</w:t>
            </w:r>
          </w:p>
        </w:tc>
        <w:tc>
          <w:tcPr>
            <w:tcW w:w="2080" w:type="pct"/>
            <w:gridSpan w:val="8"/>
            <w:tcBorders>
              <w:top w:val="single" w:sz="4" w:space="0" w:color="auto"/>
              <w:left w:val="nil"/>
              <w:bottom w:val="single" w:sz="4" w:space="0" w:color="auto"/>
              <w:right w:val="single" w:sz="4" w:space="0" w:color="000000"/>
            </w:tcBorders>
            <w:shd w:val="clear" w:color="000000" w:fill="BFBFBF"/>
            <w:noWrap/>
            <w:vAlign w:val="bottom"/>
            <w:hideMark/>
          </w:tcPr>
          <w:p w:rsidR="0072775A" w:rsidRPr="0072775A" w:rsidP="006F1C05" w14:paraId="32F5C79B"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CDR Reporting Cycle Burden (hours)</w:t>
            </w:r>
            <w:r w:rsidRPr="0072775A">
              <w:rPr>
                <w:rFonts w:ascii="Arial Narrow" w:eastAsia="Times New Roman" w:hAnsi="Arial Narrow" w:cs="Calibri"/>
                <w:b/>
                <w:bCs/>
                <w:color w:val="000000"/>
                <w:sz w:val="20"/>
                <w:szCs w:val="20"/>
                <w:vertAlign w:val="superscript"/>
              </w:rPr>
              <w:t>1</w:t>
            </w:r>
          </w:p>
        </w:tc>
        <w:tc>
          <w:tcPr>
            <w:tcW w:w="2091" w:type="pct"/>
            <w:gridSpan w:val="4"/>
            <w:tcBorders>
              <w:top w:val="single" w:sz="4" w:space="0" w:color="auto"/>
              <w:left w:val="single" w:sz="4" w:space="0" w:color="auto"/>
              <w:bottom w:val="single" w:sz="4" w:space="0" w:color="auto"/>
              <w:right w:val="single" w:sz="4" w:space="0" w:color="000000"/>
            </w:tcBorders>
            <w:shd w:val="clear" w:color="000000" w:fill="BFBFBF"/>
            <w:vAlign w:val="bottom"/>
            <w:hideMark/>
          </w:tcPr>
          <w:p w:rsidR="0072775A" w:rsidRPr="0072775A" w:rsidP="006F1C05" w14:paraId="19F757BB" w14:textId="695F2CE2">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ICR Renewal Period (</w:t>
            </w:r>
            <w:r w:rsidR="00F35387">
              <w:rPr>
                <w:rFonts w:ascii="Arial Narrow" w:eastAsia="Times New Roman" w:hAnsi="Arial Narrow" w:cs="Calibri"/>
                <w:b/>
                <w:bCs/>
                <w:color w:val="000000"/>
                <w:sz w:val="20"/>
                <w:szCs w:val="20"/>
              </w:rPr>
              <w:t>July</w:t>
            </w:r>
            <w:r w:rsidRPr="0072775A" w:rsidR="00F35387">
              <w:rPr>
                <w:rFonts w:ascii="Arial Narrow" w:eastAsia="Times New Roman" w:hAnsi="Arial Narrow" w:cs="Calibri"/>
                <w:b/>
                <w:bCs/>
                <w:color w:val="000000"/>
                <w:sz w:val="20"/>
                <w:szCs w:val="20"/>
              </w:rPr>
              <w:t xml:space="preserve"> '2</w:t>
            </w:r>
            <w:r w:rsidR="000F3F2B">
              <w:rPr>
                <w:rFonts w:ascii="Arial Narrow" w:eastAsia="Times New Roman" w:hAnsi="Arial Narrow" w:cs="Calibri"/>
                <w:b/>
                <w:bCs/>
                <w:color w:val="000000"/>
                <w:sz w:val="20"/>
                <w:szCs w:val="20"/>
              </w:rPr>
              <w:t>3</w:t>
            </w:r>
            <w:r w:rsidRPr="0072775A" w:rsidR="00F35387">
              <w:rPr>
                <w:rFonts w:ascii="Arial Narrow" w:eastAsia="Times New Roman" w:hAnsi="Arial Narrow" w:cs="Calibri"/>
                <w:b/>
                <w:bCs/>
                <w:color w:val="000000"/>
                <w:sz w:val="20"/>
                <w:szCs w:val="20"/>
              </w:rPr>
              <w:t xml:space="preserve"> </w:t>
            </w:r>
            <w:r w:rsidRPr="0072775A">
              <w:rPr>
                <w:rFonts w:ascii="Arial Narrow" w:eastAsia="Times New Roman" w:hAnsi="Arial Narrow" w:cs="Calibri"/>
                <w:b/>
                <w:bCs/>
                <w:color w:val="000000"/>
                <w:sz w:val="20"/>
                <w:szCs w:val="20"/>
              </w:rPr>
              <w:t xml:space="preserve">- </w:t>
            </w:r>
            <w:r w:rsidR="00F35387">
              <w:rPr>
                <w:rFonts w:ascii="Arial Narrow" w:eastAsia="Times New Roman" w:hAnsi="Arial Narrow" w:cs="Calibri"/>
                <w:b/>
                <w:bCs/>
                <w:color w:val="000000"/>
                <w:sz w:val="20"/>
                <w:szCs w:val="20"/>
              </w:rPr>
              <w:t>June</w:t>
            </w:r>
            <w:r w:rsidRPr="0072775A" w:rsidR="00F35387">
              <w:rPr>
                <w:rFonts w:ascii="Arial Narrow" w:eastAsia="Times New Roman" w:hAnsi="Arial Narrow" w:cs="Calibri"/>
                <w:b/>
                <w:bCs/>
                <w:color w:val="000000"/>
                <w:sz w:val="20"/>
                <w:szCs w:val="20"/>
              </w:rPr>
              <w:t xml:space="preserve"> '2</w:t>
            </w:r>
            <w:r w:rsidR="00243860">
              <w:rPr>
                <w:rFonts w:ascii="Arial Narrow" w:eastAsia="Times New Roman" w:hAnsi="Arial Narrow" w:cs="Calibri"/>
                <w:b/>
                <w:bCs/>
                <w:color w:val="000000"/>
                <w:sz w:val="20"/>
                <w:szCs w:val="20"/>
              </w:rPr>
              <w:t>6</w:t>
            </w:r>
            <w:r w:rsidRPr="0072775A">
              <w:rPr>
                <w:rFonts w:ascii="Arial Narrow" w:eastAsia="Times New Roman" w:hAnsi="Arial Narrow" w:cs="Calibri"/>
                <w:b/>
                <w:bCs/>
                <w:color w:val="000000"/>
                <w:sz w:val="20"/>
                <w:szCs w:val="20"/>
              </w:rPr>
              <w:t>)</w:t>
            </w:r>
            <w:r w:rsidRPr="0072775A">
              <w:rPr>
                <w:rFonts w:ascii="Arial Narrow" w:eastAsia="Times New Roman" w:hAnsi="Arial Narrow" w:cs="Calibri"/>
                <w:b/>
                <w:bCs/>
                <w:color w:val="000000"/>
                <w:sz w:val="20"/>
                <w:szCs w:val="20"/>
                <w:vertAlign w:val="superscript"/>
              </w:rPr>
              <w:t>2</w:t>
            </w:r>
          </w:p>
        </w:tc>
      </w:tr>
      <w:tr w14:paraId="0FEE8A26" w14:textId="77777777" w:rsidTr="00E2548A">
        <w:tblPrEx>
          <w:tblW w:w="5538" w:type="pct"/>
          <w:jc w:val="center"/>
          <w:tblLayout w:type="fixed"/>
          <w:tblLook w:val="04A0"/>
        </w:tblPrEx>
        <w:trPr>
          <w:trHeight w:val="253"/>
          <w:jc w:val="center"/>
        </w:trPr>
        <w:tc>
          <w:tcPr>
            <w:tcW w:w="829" w:type="pct"/>
            <w:vMerge/>
            <w:tcBorders>
              <w:top w:val="single" w:sz="4" w:space="0" w:color="auto"/>
              <w:left w:val="single" w:sz="4" w:space="0" w:color="auto"/>
              <w:bottom w:val="nil"/>
              <w:right w:val="single" w:sz="4" w:space="0" w:color="auto"/>
            </w:tcBorders>
            <w:vAlign w:val="center"/>
            <w:hideMark/>
          </w:tcPr>
          <w:p w:rsidR="007270EE" w:rsidRPr="0072775A" w:rsidP="006F1C05" w14:paraId="706C5C88" w14:textId="77777777">
            <w:pPr>
              <w:keepNext/>
              <w:keepLines/>
              <w:spacing w:after="0" w:line="240" w:lineRule="auto"/>
              <w:rPr>
                <w:rFonts w:ascii="Arial Narrow" w:eastAsia="Times New Roman" w:hAnsi="Arial Narrow" w:cs="Calibri"/>
                <w:b/>
                <w:bCs/>
                <w:color w:val="000000"/>
                <w:sz w:val="20"/>
                <w:szCs w:val="20"/>
              </w:rPr>
            </w:pPr>
          </w:p>
        </w:tc>
        <w:tc>
          <w:tcPr>
            <w:tcW w:w="1038" w:type="pct"/>
            <w:gridSpan w:val="4"/>
            <w:tcBorders>
              <w:top w:val="single" w:sz="4" w:space="0" w:color="auto"/>
              <w:left w:val="nil"/>
              <w:bottom w:val="single" w:sz="4" w:space="0" w:color="auto"/>
              <w:right w:val="single" w:sz="4" w:space="0" w:color="000000"/>
            </w:tcBorders>
            <w:shd w:val="clear" w:color="000000" w:fill="BFBFBF"/>
            <w:vAlign w:val="bottom"/>
            <w:hideMark/>
          </w:tcPr>
          <w:p w:rsidR="007270EE" w:rsidRPr="0072775A" w:rsidP="006F1C05" w14:paraId="0826C346"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Second Reporting Cycle (2024 Cycle)</w:t>
            </w:r>
          </w:p>
        </w:tc>
        <w:tc>
          <w:tcPr>
            <w:tcW w:w="1043" w:type="pct"/>
            <w:gridSpan w:val="4"/>
            <w:tcBorders>
              <w:top w:val="single" w:sz="4" w:space="0" w:color="auto"/>
              <w:left w:val="nil"/>
              <w:bottom w:val="single" w:sz="4" w:space="0" w:color="auto"/>
              <w:right w:val="single" w:sz="4" w:space="0" w:color="000000"/>
            </w:tcBorders>
            <w:shd w:val="clear" w:color="000000" w:fill="BFBFBF"/>
            <w:vAlign w:val="bottom"/>
            <w:hideMark/>
          </w:tcPr>
          <w:p w:rsidR="007270EE" w:rsidRPr="0072775A" w:rsidP="006F1C05" w14:paraId="521DFD44"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Future Reporting Cycle (2028 Cycle)</w:t>
            </w:r>
          </w:p>
        </w:tc>
        <w:tc>
          <w:tcPr>
            <w:tcW w:w="392" w:type="pct"/>
            <w:vMerge w:val="restart"/>
            <w:tcBorders>
              <w:top w:val="nil"/>
              <w:left w:val="single" w:sz="4" w:space="0" w:color="auto"/>
              <w:right w:val="nil"/>
            </w:tcBorders>
            <w:shd w:val="clear" w:color="auto" w:fill="BFBFBF" w:themeFill="background1" w:themeFillShade="BF"/>
            <w:vAlign w:val="bottom"/>
            <w:hideMark/>
          </w:tcPr>
          <w:p w:rsidR="007270EE" w:rsidRPr="0072775A" w:rsidP="006F1C05" w14:paraId="6389F351" w14:textId="77777777">
            <w:pPr>
              <w:keepNext/>
              <w:keepLines/>
              <w:spacing w:after="0" w:line="240" w:lineRule="auto"/>
              <w:jc w:val="center"/>
              <w:rPr>
                <w:rFonts w:ascii="Arial Narrow" w:eastAsia="Times New Roman" w:hAnsi="Arial Narrow" w:cs="Calibri"/>
                <w:b/>
                <w:bCs/>
                <w:color w:val="000000"/>
                <w:sz w:val="20"/>
                <w:szCs w:val="20"/>
              </w:rPr>
            </w:pPr>
            <w:r w:rsidRPr="00E2548A">
              <w:rPr>
                <w:rFonts w:ascii="Arial Narrow" w:eastAsia="Times New Roman" w:hAnsi="Arial Narrow" w:cs="Calibri"/>
                <w:b/>
                <w:bCs/>
                <w:color w:val="000000"/>
                <w:sz w:val="18"/>
                <w:szCs w:val="18"/>
              </w:rPr>
              <w:t>Annual Average Burden (hours)</w:t>
            </w:r>
          </w:p>
        </w:tc>
        <w:tc>
          <w:tcPr>
            <w:tcW w:w="566" w:type="pct"/>
            <w:vMerge w:val="restart"/>
            <w:tcBorders>
              <w:top w:val="nil"/>
              <w:left w:val="single" w:sz="4" w:space="0" w:color="auto"/>
              <w:right w:val="nil"/>
            </w:tcBorders>
            <w:shd w:val="clear" w:color="000000" w:fill="BFBFBF"/>
            <w:vAlign w:val="bottom"/>
            <w:hideMark/>
          </w:tcPr>
          <w:p w:rsidR="007270EE" w:rsidRPr="0072775A" w:rsidP="006F1C05" w14:paraId="3E484D8E"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Annual Average Cost (2020$)</w:t>
            </w:r>
          </w:p>
        </w:tc>
        <w:tc>
          <w:tcPr>
            <w:tcW w:w="522" w:type="pct"/>
            <w:vMerge w:val="restart"/>
            <w:tcBorders>
              <w:top w:val="nil"/>
              <w:left w:val="single" w:sz="4" w:space="0" w:color="auto"/>
              <w:right w:val="nil"/>
            </w:tcBorders>
            <w:shd w:val="clear" w:color="000000" w:fill="BFBFBF"/>
            <w:vAlign w:val="bottom"/>
            <w:hideMark/>
          </w:tcPr>
          <w:p w:rsidR="007270EE" w:rsidRPr="0072775A" w:rsidP="006F1C05" w14:paraId="76D42656"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Total Burden (hours)</w:t>
            </w:r>
          </w:p>
        </w:tc>
        <w:tc>
          <w:tcPr>
            <w:tcW w:w="611" w:type="pct"/>
            <w:vMerge w:val="restart"/>
            <w:tcBorders>
              <w:top w:val="nil"/>
              <w:left w:val="single" w:sz="4" w:space="0" w:color="auto"/>
              <w:right w:val="single" w:sz="4" w:space="0" w:color="auto"/>
            </w:tcBorders>
            <w:shd w:val="clear" w:color="000000" w:fill="BFBFBF"/>
            <w:vAlign w:val="bottom"/>
            <w:hideMark/>
          </w:tcPr>
          <w:p w:rsidR="007270EE" w:rsidRPr="0072775A" w:rsidP="006F1C05" w14:paraId="43CFA4B5" w14:textId="77777777">
            <w:pPr>
              <w:keepNext/>
              <w:keepLines/>
              <w:spacing w:after="0" w:line="240" w:lineRule="auto"/>
              <w:jc w:val="center"/>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Total Cost (2020$)</w:t>
            </w:r>
          </w:p>
        </w:tc>
      </w:tr>
      <w:tr w14:paraId="4E9049CD" w14:textId="77777777" w:rsidTr="00E2548A">
        <w:tblPrEx>
          <w:tblW w:w="5538" w:type="pct"/>
          <w:jc w:val="center"/>
          <w:tblLayout w:type="fixed"/>
          <w:tblLook w:val="04A0"/>
        </w:tblPrEx>
        <w:trPr>
          <w:trHeight w:val="253"/>
          <w:jc w:val="center"/>
        </w:trPr>
        <w:tc>
          <w:tcPr>
            <w:tcW w:w="829" w:type="pct"/>
            <w:vMerge/>
            <w:tcBorders>
              <w:top w:val="single" w:sz="4" w:space="0" w:color="auto"/>
              <w:left w:val="single" w:sz="4" w:space="0" w:color="auto"/>
              <w:bottom w:val="nil"/>
              <w:right w:val="single" w:sz="4" w:space="0" w:color="auto"/>
            </w:tcBorders>
            <w:vAlign w:val="center"/>
            <w:hideMark/>
          </w:tcPr>
          <w:p w:rsidR="007270EE" w:rsidRPr="0072775A" w:rsidP="006F1C05" w14:paraId="4D3697D7" w14:textId="77777777">
            <w:pPr>
              <w:keepNext/>
              <w:keepLines/>
              <w:spacing w:after="0" w:line="240" w:lineRule="auto"/>
              <w:rPr>
                <w:rFonts w:ascii="Arial Narrow" w:eastAsia="Times New Roman" w:hAnsi="Arial Narrow" w:cs="Calibri"/>
                <w:b/>
                <w:bCs/>
                <w:color w:val="000000"/>
                <w:sz w:val="20"/>
                <w:szCs w:val="20"/>
              </w:rPr>
            </w:pPr>
          </w:p>
        </w:tc>
        <w:tc>
          <w:tcPr>
            <w:tcW w:w="253" w:type="pct"/>
            <w:tcBorders>
              <w:top w:val="single" w:sz="4" w:space="0" w:color="auto"/>
              <w:left w:val="single" w:sz="4" w:space="0" w:color="auto"/>
              <w:bottom w:val="single" w:sz="4" w:space="0" w:color="auto"/>
              <w:right w:val="single" w:sz="4" w:space="0" w:color="auto"/>
            </w:tcBorders>
            <w:shd w:val="clear" w:color="000000" w:fill="BFBFBF"/>
            <w:vAlign w:val="bottom"/>
            <w:hideMark/>
          </w:tcPr>
          <w:p w:rsidR="007270EE" w:rsidRPr="00E2548A" w:rsidP="006F1C05" w14:paraId="426BEA3F" w14:textId="77777777">
            <w:pPr>
              <w:keepNext/>
              <w:keepLines/>
              <w:spacing w:after="0" w:line="240" w:lineRule="auto"/>
              <w:jc w:val="center"/>
              <w:rPr>
                <w:rFonts w:ascii="Arial Narrow" w:eastAsia="Times New Roman" w:hAnsi="Arial Narrow" w:cs="Calibri"/>
                <w:b/>
                <w:bCs/>
                <w:color w:val="000000"/>
                <w:sz w:val="16"/>
                <w:szCs w:val="16"/>
              </w:rPr>
            </w:pPr>
            <w:r w:rsidRPr="00E2548A">
              <w:rPr>
                <w:rFonts w:ascii="Arial Narrow" w:eastAsia="Times New Roman" w:hAnsi="Arial Narrow" w:cs="Calibri"/>
                <w:b/>
                <w:bCs/>
                <w:color w:val="000000"/>
                <w:sz w:val="16"/>
                <w:szCs w:val="16"/>
              </w:rPr>
              <w:t>2021</w:t>
            </w:r>
          </w:p>
        </w:tc>
        <w:tc>
          <w:tcPr>
            <w:tcW w:w="261" w:type="pct"/>
            <w:tcBorders>
              <w:top w:val="single" w:sz="4" w:space="0" w:color="auto"/>
              <w:left w:val="nil"/>
              <w:bottom w:val="single" w:sz="4" w:space="0" w:color="auto"/>
              <w:right w:val="single" w:sz="4" w:space="0" w:color="auto"/>
            </w:tcBorders>
            <w:shd w:val="clear" w:color="000000" w:fill="BFBFBF"/>
            <w:vAlign w:val="bottom"/>
            <w:hideMark/>
          </w:tcPr>
          <w:p w:rsidR="007270EE" w:rsidRPr="00E2548A" w:rsidP="006F1C05" w14:paraId="4106563E" w14:textId="77777777">
            <w:pPr>
              <w:keepNext/>
              <w:keepLines/>
              <w:spacing w:after="0" w:line="240" w:lineRule="auto"/>
              <w:jc w:val="center"/>
              <w:rPr>
                <w:rFonts w:ascii="Arial Narrow" w:eastAsia="Times New Roman" w:hAnsi="Arial Narrow" w:cs="Calibri"/>
                <w:b/>
                <w:bCs/>
                <w:color w:val="000000"/>
                <w:sz w:val="16"/>
                <w:szCs w:val="16"/>
              </w:rPr>
            </w:pPr>
            <w:r w:rsidRPr="00E2548A">
              <w:rPr>
                <w:rFonts w:ascii="Arial Narrow" w:eastAsia="Times New Roman" w:hAnsi="Arial Narrow" w:cs="Calibri"/>
                <w:b/>
                <w:bCs/>
                <w:color w:val="000000"/>
                <w:sz w:val="16"/>
                <w:szCs w:val="16"/>
              </w:rPr>
              <w:t>2022</w:t>
            </w:r>
          </w:p>
        </w:tc>
        <w:tc>
          <w:tcPr>
            <w:tcW w:w="261" w:type="pct"/>
            <w:tcBorders>
              <w:top w:val="single" w:sz="4" w:space="0" w:color="auto"/>
              <w:left w:val="nil"/>
              <w:bottom w:val="single" w:sz="4" w:space="0" w:color="auto"/>
              <w:right w:val="single" w:sz="4" w:space="0" w:color="auto"/>
            </w:tcBorders>
            <w:shd w:val="clear" w:color="000000" w:fill="BFBFBF"/>
            <w:vAlign w:val="bottom"/>
            <w:hideMark/>
          </w:tcPr>
          <w:p w:rsidR="007270EE" w:rsidRPr="00E2548A" w:rsidP="006F1C05" w14:paraId="2B275CD2" w14:textId="77777777">
            <w:pPr>
              <w:keepNext/>
              <w:keepLines/>
              <w:spacing w:after="0" w:line="240" w:lineRule="auto"/>
              <w:jc w:val="center"/>
              <w:rPr>
                <w:rFonts w:ascii="Arial Narrow" w:eastAsia="Times New Roman" w:hAnsi="Arial Narrow" w:cs="Calibri"/>
                <w:b/>
                <w:bCs/>
                <w:color w:val="000000"/>
                <w:sz w:val="16"/>
                <w:szCs w:val="16"/>
              </w:rPr>
            </w:pPr>
            <w:r w:rsidRPr="00E2548A">
              <w:rPr>
                <w:rFonts w:ascii="Arial Narrow" w:eastAsia="Times New Roman" w:hAnsi="Arial Narrow" w:cs="Calibri"/>
                <w:b/>
                <w:bCs/>
                <w:color w:val="000000"/>
                <w:sz w:val="16"/>
                <w:szCs w:val="16"/>
              </w:rPr>
              <w:t>2023</w:t>
            </w:r>
          </w:p>
        </w:tc>
        <w:tc>
          <w:tcPr>
            <w:tcW w:w="263" w:type="pct"/>
            <w:tcBorders>
              <w:top w:val="single" w:sz="4" w:space="0" w:color="auto"/>
              <w:left w:val="nil"/>
              <w:bottom w:val="single" w:sz="4" w:space="0" w:color="auto"/>
              <w:right w:val="single" w:sz="4" w:space="0" w:color="auto"/>
            </w:tcBorders>
            <w:shd w:val="clear" w:color="000000" w:fill="BFBFBF"/>
            <w:vAlign w:val="bottom"/>
            <w:hideMark/>
          </w:tcPr>
          <w:p w:rsidR="007270EE" w:rsidRPr="00E2548A" w:rsidP="006F1C05" w14:paraId="2020A508" w14:textId="77777777">
            <w:pPr>
              <w:keepNext/>
              <w:keepLines/>
              <w:spacing w:after="0" w:line="240" w:lineRule="auto"/>
              <w:jc w:val="center"/>
              <w:rPr>
                <w:rFonts w:ascii="Arial Narrow" w:eastAsia="Times New Roman" w:hAnsi="Arial Narrow" w:cs="Calibri"/>
                <w:b/>
                <w:bCs/>
                <w:color w:val="000000"/>
                <w:sz w:val="16"/>
                <w:szCs w:val="16"/>
              </w:rPr>
            </w:pPr>
            <w:r w:rsidRPr="00E2548A">
              <w:rPr>
                <w:rFonts w:ascii="Arial Narrow" w:eastAsia="Times New Roman" w:hAnsi="Arial Narrow" w:cs="Calibri"/>
                <w:b/>
                <w:bCs/>
                <w:color w:val="000000"/>
                <w:sz w:val="16"/>
                <w:szCs w:val="16"/>
              </w:rPr>
              <w:t>2024</w:t>
            </w:r>
          </w:p>
        </w:tc>
        <w:tc>
          <w:tcPr>
            <w:tcW w:w="260" w:type="pct"/>
            <w:tcBorders>
              <w:top w:val="single" w:sz="4" w:space="0" w:color="auto"/>
              <w:left w:val="nil"/>
              <w:bottom w:val="single" w:sz="4" w:space="0" w:color="auto"/>
              <w:right w:val="single" w:sz="4" w:space="0" w:color="auto"/>
            </w:tcBorders>
            <w:shd w:val="clear" w:color="000000" w:fill="BFBFBF"/>
            <w:vAlign w:val="bottom"/>
            <w:hideMark/>
          </w:tcPr>
          <w:p w:rsidR="007270EE" w:rsidRPr="00E2548A" w:rsidP="006F1C05" w14:paraId="1F67D4FD" w14:textId="77777777">
            <w:pPr>
              <w:keepNext/>
              <w:keepLines/>
              <w:spacing w:after="0" w:line="240" w:lineRule="auto"/>
              <w:jc w:val="center"/>
              <w:rPr>
                <w:rFonts w:ascii="Arial Narrow" w:eastAsia="Times New Roman" w:hAnsi="Arial Narrow" w:cs="Calibri"/>
                <w:b/>
                <w:bCs/>
                <w:color w:val="000000"/>
                <w:sz w:val="16"/>
                <w:szCs w:val="16"/>
              </w:rPr>
            </w:pPr>
            <w:r w:rsidRPr="00E2548A">
              <w:rPr>
                <w:rFonts w:ascii="Arial Narrow" w:eastAsia="Times New Roman" w:hAnsi="Arial Narrow" w:cs="Calibri"/>
                <w:b/>
                <w:bCs/>
                <w:color w:val="000000"/>
                <w:sz w:val="16"/>
                <w:szCs w:val="16"/>
              </w:rPr>
              <w:t>2025</w:t>
            </w:r>
          </w:p>
        </w:tc>
        <w:tc>
          <w:tcPr>
            <w:tcW w:w="261" w:type="pct"/>
            <w:tcBorders>
              <w:top w:val="single" w:sz="4" w:space="0" w:color="auto"/>
              <w:left w:val="nil"/>
              <w:bottom w:val="single" w:sz="4" w:space="0" w:color="auto"/>
              <w:right w:val="single" w:sz="4" w:space="0" w:color="auto"/>
            </w:tcBorders>
            <w:shd w:val="clear" w:color="000000" w:fill="BFBFBF"/>
            <w:vAlign w:val="bottom"/>
            <w:hideMark/>
          </w:tcPr>
          <w:p w:rsidR="007270EE" w:rsidRPr="00E2548A" w:rsidP="006F1C05" w14:paraId="6D62A069" w14:textId="77777777">
            <w:pPr>
              <w:keepNext/>
              <w:keepLines/>
              <w:spacing w:after="0" w:line="240" w:lineRule="auto"/>
              <w:jc w:val="center"/>
              <w:rPr>
                <w:rFonts w:ascii="Arial Narrow" w:eastAsia="Times New Roman" w:hAnsi="Arial Narrow" w:cs="Calibri"/>
                <w:b/>
                <w:bCs/>
                <w:color w:val="000000"/>
                <w:sz w:val="16"/>
                <w:szCs w:val="16"/>
              </w:rPr>
            </w:pPr>
            <w:r w:rsidRPr="00E2548A">
              <w:rPr>
                <w:rFonts w:ascii="Arial Narrow" w:eastAsia="Times New Roman" w:hAnsi="Arial Narrow" w:cs="Calibri"/>
                <w:b/>
                <w:bCs/>
                <w:color w:val="000000"/>
                <w:sz w:val="16"/>
                <w:szCs w:val="16"/>
              </w:rPr>
              <w:t>2026</w:t>
            </w:r>
          </w:p>
        </w:tc>
        <w:tc>
          <w:tcPr>
            <w:tcW w:w="260" w:type="pct"/>
            <w:tcBorders>
              <w:top w:val="single" w:sz="4" w:space="0" w:color="auto"/>
              <w:left w:val="nil"/>
              <w:bottom w:val="single" w:sz="4" w:space="0" w:color="auto"/>
              <w:right w:val="single" w:sz="4" w:space="0" w:color="auto"/>
            </w:tcBorders>
            <w:shd w:val="clear" w:color="000000" w:fill="BFBFBF"/>
            <w:vAlign w:val="bottom"/>
            <w:hideMark/>
          </w:tcPr>
          <w:p w:rsidR="007270EE" w:rsidRPr="00E2548A" w:rsidP="006F1C05" w14:paraId="7BB0C651" w14:textId="77777777">
            <w:pPr>
              <w:keepNext/>
              <w:keepLines/>
              <w:spacing w:after="0" w:line="240" w:lineRule="auto"/>
              <w:jc w:val="center"/>
              <w:rPr>
                <w:rFonts w:ascii="Arial Narrow" w:eastAsia="Times New Roman" w:hAnsi="Arial Narrow" w:cs="Calibri"/>
                <w:b/>
                <w:bCs/>
                <w:color w:val="000000"/>
                <w:sz w:val="16"/>
                <w:szCs w:val="16"/>
              </w:rPr>
            </w:pPr>
            <w:r w:rsidRPr="00E2548A">
              <w:rPr>
                <w:rFonts w:ascii="Arial Narrow" w:eastAsia="Times New Roman" w:hAnsi="Arial Narrow" w:cs="Calibri"/>
                <w:b/>
                <w:bCs/>
                <w:color w:val="000000"/>
                <w:sz w:val="16"/>
                <w:szCs w:val="16"/>
              </w:rPr>
              <w:t>2027</w:t>
            </w:r>
          </w:p>
        </w:tc>
        <w:tc>
          <w:tcPr>
            <w:tcW w:w="261" w:type="pct"/>
            <w:tcBorders>
              <w:top w:val="single" w:sz="4" w:space="0" w:color="auto"/>
              <w:left w:val="nil"/>
              <w:bottom w:val="single" w:sz="4" w:space="0" w:color="auto"/>
              <w:right w:val="single" w:sz="4" w:space="0" w:color="auto"/>
            </w:tcBorders>
            <w:shd w:val="clear" w:color="000000" w:fill="BFBFBF"/>
            <w:vAlign w:val="bottom"/>
            <w:hideMark/>
          </w:tcPr>
          <w:p w:rsidR="007270EE" w:rsidRPr="00E2548A" w:rsidP="006F1C05" w14:paraId="47B4FA1A" w14:textId="77777777">
            <w:pPr>
              <w:keepNext/>
              <w:keepLines/>
              <w:spacing w:after="0" w:line="240" w:lineRule="auto"/>
              <w:jc w:val="center"/>
              <w:rPr>
                <w:rFonts w:ascii="Arial Narrow" w:eastAsia="Times New Roman" w:hAnsi="Arial Narrow" w:cs="Calibri"/>
                <w:b/>
                <w:bCs/>
                <w:color w:val="000000"/>
                <w:sz w:val="16"/>
                <w:szCs w:val="16"/>
              </w:rPr>
            </w:pPr>
            <w:r w:rsidRPr="00E2548A">
              <w:rPr>
                <w:rFonts w:ascii="Arial Narrow" w:eastAsia="Times New Roman" w:hAnsi="Arial Narrow" w:cs="Calibri"/>
                <w:b/>
                <w:bCs/>
                <w:color w:val="000000"/>
                <w:sz w:val="16"/>
                <w:szCs w:val="16"/>
              </w:rPr>
              <w:t>2028</w:t>
            </w:r>
          </w:p>
        </w:tc>
        <w:tc>
          <w:tcPr>
            <w:tcW w:w="392" w:type="pct"/>
            <w:vMerge/>
            <w:tcBorders>
              <w:left w:val="single" w:sz="4" w:space="0" w:color="auto"/>
              <w:bottom w:val="single" w:sz="4" w:space="0" w:color="000000"/>
              <w:right w:val="nil"/>
            </w:tcBorders>
            <w:shd w:val="clear" w:color="auto" w:fill="BFBFBF" w:themeFill="background1" w:themeFillShade="BF"/>
            <w:vAlign w:val="center"/>
            <w:hideMark/>
          </w:tcPr>
          <w:p w:rsidR="007270EE" w:rsidRPr="0072775A" w:rsidP="006F1C05" w14:paraId="04EB87D9" w14:textId="77777777">
            <w:pPr>
              <w:keepNext/>
              <w:keepLines/>
              <w:spacing w:after="0" w:line="240" w:lineRule="auto"/>
              <w:rPr>
                <w:rFonts w:ascii="Arial Narrow" w:eastAsia="Times New Roman" w:hAnsi="Arial Narrow" w:cs="Calibri"/>
                <w:b/>
                <w:bCs/>
                <w:color w:val="000000"/>
                <w:sz w:val="20"/>
                <w:szCs w:val="20"/>
              </w:rPr>
            </w:pPr>
          </w:p>
        </w:tc>
        <w:tc>
          <w:tcPr>
            <w:tcW w:w="566" w:type="pct"/>
            <w:vMerge/>
            <w:tcBorders>
              <w:left w:val="single" w:sz="4" w:space="0" w:color="auto"/>
              <w:bottom w:val="single" w:sz="4" w:space="0" w:color="000000"/>
              <w:right w:val="nil"/>
            </w:tcBorders>
            <w:vAlign w:val="center"/>
            <w:hideMark/>
          </w:tcPr>
          <w:p w:rsidR="007270EE" w:rsidRPr="0072775A" w:rsidP="006F1C05" w14:paraId="5AC73F7C" w14:textId="77777777">
            <w:pPr>
              <w:keepNext/>
              <w:keepLines/>
              <w:spacing w:after="0" w:line="240" w:lineRule="auto"/>
              <w:rPr>
                <w:rFonts w:ascii="Arial Narrow" w:eastAsia="Times New Roman" w:hAnsi="Arial Narrow" w:cs="Calibri"/>
                <w:b/>
                <w:bCs/>
                <w:color w:val="000000"/>
                <w:sz w:val="20"/>
                <w:szCs w:val="20"/>
              </w:rPr>
            </w:pPr>
          </w:p>
        </w:tc>
        <w:tc>
          <w:tcPr>
            <w:tcW w:w="522" w:type="pct"/>
            <w:vMerge/>
            <w:tcBorders>
              <w:left w:val="single" w:sz="4" w:space="0" w:color="auto"/>
              <w:bottom w:val="single" w:sz="4" w:space="0" w:color="000000"/>
              <w:right w:val="nil"/>
            </w:tcBorders>
            <w:vAlign w:val="center"/>
            <w:hideMark/>
          </w:tcPr>
          <w:p w:rsidR="007270EE" w:rsidRPr="0072775A" w:rsidP="006F1C05" w14:paraId="28DB65F8" w14:textId="77777777">
            <w:pPr>
              <w:keepNext/>
              <w:keepLines/>
              <w:spacing w:after="0" w:line="240" w:lineRule="auto"/>
              <w:rPr>
                <w:rFonts w:ascii="Arial Narrow" w:eastAsia="Times New Roman" w:hAnsi="Arial Narrow" w:cs="Calibri"/>
                <w:b/>
                <w:bCs/>
                <w:color w:val="000000"/>
                <w:sz w:val="20"/>
                <w:szCs w:val="20"/>
              </w:rPr>
            </w:pPr>
          </w:p>
        </w:tc>
        <w:tc>
          <w:tcPr>
            <w:tcW w:w="611" w:type="pct"/>
            <w:vMerge/>
            <w:tcBorders>
              <w:left w:val="single" w:sz="4" w:space="0" w:color="auto"/>
              <w:bottom w:val="single" w:sz="4" w:space="0" w:color="000000"/>
              <w:right w:val="single" w:sz="4" w:space="0" w:color="auto"/>
            </w:tcBorders>
            <w:vAlign w:val="center"/>
            <w:hideMark/>
          </w:tcPr>
          <w:p w:rsidR="007270EE" w:rsidRPr="0072775A" w:rsidP="006F1C05" w14:paraId="03E3A07B" w14:textId="77777777">
            <w:pPr>
              <w:keepNext/>
              <w:keepLines/>
              <w:spacing w:after="0" w:line="240" w:lineRule="auto"/>
              <w:rPr>
                <w:rFonts w:ascii="Arial Narrow" w:eastAsia="Times New Roman" w:hAnsi="Arial Narrow" w:cs="Calibri"/>
                <w:b/>
                <w:bCs/>
                <w:color w:val="000000"/>
                <w:sz w:val="20"/>
                <w:szCs w:val="20"/>
              </w:rPr>
            </w:pPr>
          </w:p>
        </w:tc>
      </w:tr>
      <w:tr w14:paraId="1F95F4EA" w14:textId="77777777" w:rsidTr="00E2548A">
        <w:tblPrEx>
          <w:tblW w:w="5538" w:type="pct"/>
          <w:jc w:val="center"/>
          <w:tblLayout w:type="fixed"/>
          <w:tblLook w:val="04A0"/>
        </w:tblPrEx>
        <w:trPr>
          <w:trHeight w:val="245"/>
          <w:jc w:val="center"/>
        </w:trPr>
        <w:tc>
          <w:tcPr>
            <w:tcW w:w="5000" w:type="pct"/>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rsidR="0072775A" w:rsidRPr="0072775A" w:rsidP="006F1C05" w14:paraId="106C2361" w14:textId="77777777">
            <w:pPr>
              <w:keepNext/>
              <w:keepLines/>
              <w:spacing w:after="0" w:line="240" w:lineRule="auto"/>
              <w:rPr>
                <w:rFonts w:ascii="Arial Narrow" w:eastAsia="Times New Roman" w:hAnsi="Arial Narrow" w:cs="Calibri"/>
                <w:i/>
                <w:iCs/>
                <w:color w:val="000000"/>
                <w:sz w:val="20"/>
                <w:szCs w:val="20"/>
              </w:rPr>
            </w:pPr>
            <w:r w:rsidRPr="0072775A">
              <w:rPr>
                <w:rFonts w:ascii="Arial Narrow" w:eastAsia="Times New Roman" w:hAnsi="Arial Narrow" w:cs="Calibri"/>
                <w:i/>
                <w:iCs/>
                <w:color w:val="000000"/>
                <w:sz w:val="20"/>
                <w:szCs w:val="20"/>
              </w:rPr>
              <w:t>Reporter Burden</w:t>
            </w:r>
          </w:p>
        </w:tc>
      </w:tr>
      <w:tr w14:paraId="3A68CF48" w14:textId="77777777" w:rsidTr="00E2548A">
        <w:tblPrEx>
          <w:tblW w:w="5538" w:type="pct"/>
          <w:jc w:val="center"/>
          <w:tblLayout w:type="fixed"/>
          <w:tblLook w:val="04A0"/>
        </w:tblPrEx>
        <w:trPr>
          <w:trHeight w:val="245"/>
          <w:jc w:val="center"/>
        </w:trPr>
        <w:tc>
          <w:tcPr>
            <w:tcW w:w="829" w:type="pct"/>
            <w:tcBorders>
              <w:top w:val="nil"/>
              <w:left w:val="single" w:sz="4" w:space="0" w:color="auto"/>
              <w:bottom w:val="single" w:sz="4" w:space="0" w:color="auto"/>
              <w:right w:val="single" w:sz="4" w:space="0" w:color="auto"/>
            </w:tcBorders>
            <w:shd w:val="clear" w:color="auto" w:fill="auto"/>
            <w:hideMark/>
          </w:tcPr>
          <w:p w:rsidR="0072775A" w:rsidRPr="0072775A" w:rsidP="006F1C05" w14:paraId="56E18315"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CDX Registration and eSignature</w:t>
            </w:r>
          </w:p>
        </w:tc>
        <w:tc>
          <w:tcPr>
            <w:tcW w:w="103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775A" w:rsidRPr="0072775A" w:rsidP="00E2548A" w14:paraId="246EA0CF"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723</w:t>
            </w:r>
          </w:p>
        </w:tc>
        <w:tc>
          <w:tcPr>
            <w:tcW w:w="1043"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2775A" w:rsidRPr="0072775A" w:rsidP="00E2548A" w14:paraId="431BF96B"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723</w:t>
            </w:r>
          </w:p>
        </w:tc>
        <w:tc>
          <w:tcPr>
            <w:tcW w:w="392" w:type="pct"/>
            <w:tcBorders>
              <w:top w:val="nil"/>
              <w:left w:val="single" w:sz="4" w:space="0" w:color="auto"/>
              <w:bottom w:val="single" w:sz="4" w:space="0" w:color="auto"/>
              <w:right w:val="single" w:sz="4" w:space="0" w:color="auto"/>
            </w:tcBorders>
            <w:shd w:val="clear" w:color="auto" w:fill="auto"/>
            <w:vAlign w:val="bottom"/>
            <w:hideMark/>
          </w:tcPr>
          <w:p w:rsidR="0072775A" w:rsidRPr="0072775A" w:rsidP="007270EE" w14:paraId="233C5E02"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181 </w:t>
            </w:r>
          </w:p>
        </w:tc>
        <w:tc>
          <w:tcPr>
            <w:tcW w:w="566" w:type="pct"/>
            <w:tcBorders>
              <w:top w:val="nil"/>
              <w:left w:val="nil"/>
              <w:bottom w:val="single" w:sz="4" w:space="0" w:color="auto"/>
              <w:right w:val="single" w:sz="4" w:space="0" w:color="auto"/>
            </w:tcBorders>
            <w:shd w:val="clear" w:color="auto" w:fill="auto"/>
            <w:vAlign w:val="bottom"/>
            <w:hideMark/>
          </w:tcPr>
          <w:p w:rsidR="0072775A" w:rsidRPr="0072775A" w:rsidP="007270EE" w14:paraId="5DEF27ED"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$14,558</w:t>
            </w:r>
          </w:p>
        </w:tc>
        <w:tc>
          <w:tcPr>
            <w:tcW w:w="522" w:type="pct"/>
            <w:tcBorders>
              <w:top w:val="nil"/>
              <w:left w:val="nil"/>
              <w:bottom w:val="single" w:sz="4" w:space="0" w:color="auto"/>
              <w:right w:val="single" w:sz="4" w:space="0" w:color="auto"/>
            </w:tcBorders>
            <w:shd w:val="clear" w:color="auto" w:fill="auto"/>
            <w:noWrap/>
            <w:vAlign w:val="bottom"/>
            <w:hideMark/>
          </w:tcPr>
          <w:p w:rsidR="0072775A" w:rsidRPr="0072775A" w:rsidP="007270EE" w14:paraId="3ADB8797"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543 </w:t>
            </w:r>
          </w:p>
        </w:tc>
        <w:tc>
          <w:tcPr>
            <w:tcW w:w="611" w:type="pct"/>
            <w:tcBorders>
              <w:top w:val="nil"/>
              <w:left w:val="nil"/>
              <w:bottom w:val="single" w:sz="4" w:space="0" w:color="auto"/>
              <w:right w:val="single" w:sz="4" w:space="0" w:color="auto"/>
            </w:tcBorders>
            <w:shd w:val="clear" w:color="auto" w:fill="auto"/>
            <w:noWrap/>
            <w:vAlign w:val="bottom"/>
            <w:hideMark/>
          </w:tcPr>
          <w:p w:rsidR="0072775A" w:rsidRPr="0072775A" w:rsidP="007270EE" w14:paraId="12ED7331"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$43,674</w:t>
            </w:r>
          </w:p>
        </w:tc>
      </w:tr>
      <w:tr w14:paraId="03DA535F" w14:textId="77777777" w:rsidTr="00E2548A">
        <w:tblPrEx>
          <w:tblW w:w="5538" w:type="pct"/>
          <w:jc w:val="center"/>
          <w:tblLayout w:type="fixed"/>
          <w:tblLook w:val="04A0"/>
        </w:tblPrEx>
        <w:trPr>
          <w:trHeight w:val="520"/>
          <w:jc w:val="center"/>
        </w:trPr>
        <w:tc>
          <w:tcPr>
            <w:tcW w:w="829" w:type="pct"/>
            <w:tcBorders>
              <w:top w:val="nil"/>
              <w:left w:val="single" w:sz="4" w:space="0" w:color="auto"/>
              <w:bottom w:val="single" w:sz="4" w:space="0" w:color="auto"/>
              <w:right w:val="single" w:sz="4" w:space="0" w:color="auto"/>
            </w:tcBorders>
            <w:shd w:val="clear" w:color="000000" w:fill="FFFFFF"/>
            <w:vAlign w:val="center"/>
            <w:hideMark/>
          </w:tcPr>
          <w:p w:rsidR="0072775A" w:rsidRPr="0072775A" w:rsidP="006F1C05" w14:paraId="61E4C4A3"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Form U Submission: Prepare and Submit Report, and Maintain Records</w:t>
            </w:r>
            <w:r w:rsidRPr="0072775A">
              <w:rPr>
                <w:rFonts w:ascii="Arial Narrow" w:eastAsia="Times New Roman" w:hAnsi="Arial Narrow" w:cs="Calibri"/>
                <w:color w:val="000000"/>
                <w:sz w:val="20"/>
                <w:szCs w:val="20"/>
                <w:vertAlign w:val="superscript"/>
              </w:rPr>
              <w:t>3</w:t>
            </w:r>
          </w:p>
        </w:tc>
        <w:tc>
          <w:tcPr>
            <w:tcW w:w="103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775A" w:rsidRPr="0072775A" w:rsidP="00E2548A" w14:paraId="205885FF"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2,947,925</w:t>
            </w:r>
          </w:p>
        </w:tc>
        <w:tc>
          <w:tcPr>
            <w:tcW w:w="1043"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2775A" w:rsidRPr="0072775A" w:rsidP="00E2548A" w14:paraId="7F1946DF" w14:textId="7777777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2,886,506</w:t>
            </w:r>
          </w:p>
        </w:tc>
        <w:tc>
          <w:tcPr>
            <w:tcW w:w="392" w:type="pct"/>
            <w:tcBorders>
              <w:top w:val="nil"/>
              <w:left w:val="single" w:sz="4" w:space="0" w:color="auto"/>
              <w:bottom w:val="single" w:sz="4" w:space="0" w:color="auto"/>
              <w:right w:val="single" w:sz="4" w:space="0" w:color="auto"/>
            </w:tcBorders>
            <w:shd w:val="clear" w:color="auto" w:fill="auto"/>
            <w:vAlign w:val="bottom"/>
            <w:hideMark/>
          </w:tcPr>
          <w:p w:rsidR="0072775A" w:rsidRPr="0072775A" w:rsidP="007270EE" w14:paraId="07C0E4E8" w14:textId="0349C33B">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w:t>
            </w:r>
            <w:r w:rsidR="000F3F2B">
              <w:rPr>
                <w:rFonts w:ascii="Arial Narrow" w:eastAsia="Times New Roman" w:hAnsi="Arial Narrow" w:cs="Calibri"/>
                <w:color w:val="000000"/>
                <w:sz w:val="20"/>
                <w:szCs w:val="20"/>
              </w:rPr>
              <w:t>729,304</w:t>
            </w:r>
            <w:r w:rsidRPr="0072775A">
              <w:rPr>
                <w:rFonts w:ascii="Arial Narrow" w:eastAsia="Times New Roman" w:hAnsi="Arial Narrow" w:cs="Calibri"/>
                <w:color w:val="000000"/>
                <w:sz w:val="20"/>
                <w:szCs w:val="20"/>
              </w:rPr>
              <w:t xml:space="preserve"> </w:t>
            </w:r>
          </w:p>
        </w:tc>
        <w:tc>
          <w:tcPr>
            <w:tcW w:w="566" w:type="pct"/>
            <w:tcBorders>
              <w:top w:val="nil"/>
              <w:left w:val="nil"/>
              <w:bottom w:val="single" w:sz="4" w:space="0" w:color="auto"/>
              <w:right w:val="single" w:sz="4" w:space="0" w:color="auto"/>
            </w:tcBorders>
            <w:shd w:val="clear" w:color="auto" w:fill="auto"/>
            <w:vAlign w:val="bottom"/>
            <w:hideMark/>
          </w:tcPr>
          <w:p w:rsidR="0072775A" w:rsidRPr="0072775A" w:rsidP="007270EE" w14:paraId="0E1A508E" w14:textId="3FD35BD7">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w:t>
            </w:r>
            <w:r w:rsidR="00933D80">
              <w:rPr>
                <w:rFonts w:ascii="Arial Narrow" w:eastAsia="Times New Roman" w:hAnsi="Arial Narrow" w:cs="Calibri"/>
                <w:color w:val="000000"/>
                <w:sz w:val="20"/>
                <w:szCs w:val="20"/>
              </w:rPr>
              <w:t>78,601,628</w:t>
            </w:r>
          </w:p>
        </w:tc>
        <w:tc>
          <w:tcPr>
            <w:tcW w:w="522" w:type="pct"/>
            <w:tcBorders>
              <w:top w:val="nil"/>
              <w:left w:val="nil"/>
              <w:bottom w:val="single" w:sz="4" w:space="0" w:color="auto"/>
              <w:right w:val="single" w:sz="4" w:space="0" w:color="auto"/>
            </w:tcBorders>
            <w:shd w:val="clear" w:color="auto" w:fill="auto"/>
            <w:noWrap/>
            <w:vAlign w:val="bottom"/>
            <w:hideMark/>
          </w:tcPr>
          <w:p w:rsidR="0072775A" w:rsidRPr="0072775A" w:rsidP="007270EE" w14:paraId="22911AE0" w14:textId="2A7723CC">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 xml:space="preserve">        2,</w:t>
            </w:r>
            <w:r w:rsidR="00933D80">
              <w:rPr>
                <w:rFonts w:ascii="Arial Narrow" w:eastAsia="Times New Roman" w:hAnsi="Arial Narrow" w:cs="Calibri"/>
                <w:color w:val="000000"/>
                <w:sz w:val="20"/>
                <w:szCs w:val="20"/>
              </w:rPr>
              <w:t>187,912</w:t>
            </w:r>
            <w:r w:rsidRPr="0072775A">
              <w:rPr>
                <w:rFonts w:ascii="Arial Narrow" w:eastAsia="Times New Roman" w:hAnsi="Arial Narrow" w:cs="Calibri"/>
                <w:color w:val="000000"/>
                <w:sz w:val="20"/>
                <w:szCs w:val="20"/>
              </w:rPr>
              <w:t xml:space="preserve"> </w:t>
            </w:r>
          </w:p>
        </w:tc>
        <w:tc>
          <w:tcPr>
            <w:tcW w:w="611" w:type="pct"/>
            <w:tcBorders>
              <w:top w:val="nil"/>
              <w:left w:val="nil"/>
              <w:bottom w:val="single" w:sz="4" w:space="0" w:color="auto"/>
              <w:right w:val="single" w:sz="4" w:space="0" w:color="auto"/>
            </w:tcBorders>
            <w:shd w:val="clear" w:color="auto" w:fill="auto"/>
            <w:noWrap/>
            <w:vAlign w:val="bottom"/>
            <w:hideMark/>
          </w:tcPr>
          <w:p w:rsidR="0072775A" w:rsidRPr="0072775A" w:rsidP="007270EE" w14:paraId="33C0BB33" w14:textId="51244506">
            <w:pPr>
              <w:keepNext/>
              <w:keepLines/>
              <w:spacing w:after="0" w:line="240" w:lineRule="auto"/>
              <w:jc w:val="right"/>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$23</w:t>
            </w:r>
            <w:r w:rsidR="003B777A">
              <w:rPr>
                <w:rFonts w:ascii="Arial Narrow" w:eastAsia="Times New Roman" w:hAnsi="Arial Narrow" w:cs="Calibri"/>
                <w:color w:val="000000"/>
                <w:sz w:val="20"/>
                <w:szCs w:val="20"/>
              </w:rPr>
              <w:t>5,804,883</w:t>
            </w:r>
          </w:p>
        </w:tc>
      </w:tr>
      <w:tr w14:paraId="087360B3" w14:textId="77777777" w:rsidTr="00E2548A">
        <w:tblPrEx>
          <w:tblW w:w="5538" w:type="pct"/>
          <w:jc w:val="center"/>
          <w:tblLayout w:type="fixed"/>
          <w:tblLook w:val="04A0"/>
        </w:tblPrEx>
        <w:trPr>
          <w:trHeight w:val="245"/>
          <w:jc w:val="center"/>
        </w:trPr>
        <w:tc>
          <w:tcPr>
            <w:tcW w:w="829" w:type="pct"/>
            <w:tcBorders>
              <w:top w:val="nil"/>
              <w:left w:val="single" w:sz="4" w:space="0" w:color="auto"/>
              <w:bottom w:val="single" w:sz="4" w:space="0" w:color="auto"/>
              <w:right w:val="single" w:sz="4" w:space="0" w:color="auto"/>
            </w:tcBorders>
            <w:shd w:val="clear" w:color="auto" w:fill="auto"/>
            <w:vAlign w:val="center"/>
            <w:hideMark/>
          </w:tcPr>
          <w:p w:rsidR="0072775A" w:rsidRPr="0072775A" w:rsidP="006F1C05" w14:paraId="69BD0DB2" w14:textId="77777777">
            <w:pPr>
              <w:keepNext/>
              <w:keepLines/>
              <w:spacing w:after="0" w:line="240" w:lineRule="auto"/>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Reporter Burden, Total</w:t>
            </w:r>
          </w:p>
        </w:tc>
        <w:tc>
          <w:tcPr>
            <w:tcW w:w="1038" w:type="pct"/>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2775A" w:rsidRPr="0072775A" w:rsidP="00E2548A" w14:paraId="14C3499F" w14:textId="7778D476">
            <w:pPr>
              <w:keepNext/>
              <w:keepLines/>
              <w:spacing w:after="0" w:line="240" w:lineRule="auto"/>
              <w:jc w:val="right"/>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2,948,646</w:t>
            </w:r>
          </w:p>
        </w:tc>
        <w:tc>
          <w:tcPr>
            <w:tcW w:w="1043" w:type="pct"/>
            <w:gridSpan w:val="4"/>
            <w:tcBorders>
              <w:top w:val="single" w:sz="4" w:space="0" w:color="auto"/>
              <w:left w:val="nil"/>
              <w:bottom w:val="single" w:sz="4" w:space="0" w:color="auto"/>
              <w:right w:val="single" w:sz="4" w:space="0" w:color="000000"/>
            </w:tcBorders>
            <w:shd w:val="clear" w:color="auto" w:fill="auto"/>
            <w:noWrap/>
            <w:vAlign w:val="bottom"/>
            <w:hideMark/>
          </w:tcPr>
          <w:p w:rsidR="0072775A" w:rsidRPr="0072775A" w:rsidP="00E2548A" w14:paraId="22EC1814" w14:textId="77777777">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2,887,229</w:t>
            </w:r>
          </w:p>
        </w:tc>
        <w:tc>
          <w:tcPr>
            <w:tcW w:w="392" w:type="pct"/>
            <w:tcBorders>
              <w:top w:val="nil"/>
              <w:left w:val="single" w:sz="4" w:space="0" w:color="auto"/>
              <w:bottom w:val="single" w:sz="4" w:space="0" w:color="auto"/>
              <w:right w:val="single" w:sz="4" w:space="0" w:color="auto"/>
            </w:tcBorders>
            <w:shd w:val="clear" w:color="auto" w:fill="auto"/>
            <w:vAlign w:val="bottom"/>
            <w:hideMark/>
          </w:tcPr>
          <w:p w:rsidR="0072775A" w:rsidRPr="0072775A" w:rsidP="007270EE" w14:paraId="56647D66" w14:textId="121989A1">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 xml:space="preserve">              735,4</w:t>
            </w:r>
            <w:r w:rsidR="00C55FFC">
              <w:rPr>
                <w:rFonts w:ascii="Arial Narrow" w:eastAsia="Times New Roman" w:hAnsi="Arial Narrow" w:cs="Calibri"/>
                <w:b/>
                <w:bCs/>
                <w:color w:val="000000"/>
                <w:sz w:val="20"/>
                <w:szCs w:val="20"/>
              </w:rPr>
              <w:t>85</w:t>
            </w:r>
          </w:p>
        </w:tc>
        <w:tc>
          <w:tcPr>
            <w:tcW w:w="566" w:type="pct"/>
            <w:tcBorders>
              <w:top w:val="nil"/>
              <w:left w:val="nil"/>
              <w:bottom w:val="single" w:sz="4" w:space="0" w:color="auto"/>
              <w:right w:val="single" w:sz="4" w:space="0" w:color="auto"/>
            </w:tcBorders>
            <w:shd w:val="clear" w:color="auto" w:fill="auto"/>
            <w:vAlign w:val="bottom"/>
            <w:hideMark/>
          </w:tcPr>
          <w:p w:rsidR="0072775A" w:rsidRPr="0072775A" w:rsidP="007270EE" w14:paraId="682B8C7E" w14:textId="7036FE2C">
            <w:pPr>
              <w:keepNext/>
              <w:keepLines/>
              <w:spacing w:after="0" w:line="240" w:lineRule="auto"/>
              <w:jc w:val="right"/>
              <w:rPr>
                <w:rFonts w:ascii="Arial Narrow" w:eastAsia="Times New Roman" w:hAnsi="Arial Narrow" w:cs="Calibri"/>
                <w:b/>
                <w:bCs/>
                <w:color w:val="000000"/>
                <w:sz w:val="20"/>
                <w:szCs w:val="20"/>
              </w:rPr>
            </w:pPr>
            <w:r>
              <w:rPr>
                <w:rFonts w:ascii="Arial Narrow" w:eastAsia="Times New Roman" w:hAnsi="Arial Narrow" w:cs="Calibri"/>
                <w:b/>
                <w:bCs/>
                <w:color w:val="000000"/>
                <w:sz w:val="20"/>
                <w:szCs w:val="20"/>
              </w:rPr>
              <w:t>$78,616,186</w:t>
            </w:r>
          </w:p>
        </w:tc>
        <w:tc>
          <w:tcPr>
            <w:tcW w:w="522" w:type="pct"/>
            <w:tcBorders>
              <w:top w:val="nil"/>
              <w:left w:val="nil"/>
              <w:bottom w:val="single" w:sz="4" w:space="0" w:color="auto"/>
              <w:right w:val="single" w:sz="4" w:space="0" w:color="auto"/>
            </w:tcBorders>
            <w:shd w:val="clear" w:color="auto" w:fill="auto"/>
            <w:noWrap/>
            <w:vAlign w:val="bottom"/>
            <w:hideMark/>
          </w:tcPr>
          <w:p w:rsidR="0072775A" w:rsidRPr="0072775A" w:rsidP="007270EE" w14:paraId="69B9A0D4" w14:textId="08C1DA25">
            <w:pPr>
              <w:keepNext/>
              <w:keepLines/>
              <w:spacing w:after="0" w:line="240" w:lineRule="auto"/>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$2,</w:t>
            </w:r>
            <w:r w:rsidR="00933D80">
              <w:rPr>
                <w:rFonts w:ascii="Arial Narrow" w:eastAsia="Times New Roman" w:hAnsi="Arial Narrow" w:cs="Calibri"/>
                <w:b/>
                <w:bCs/>
                <w:color w:val="000000"/>
                <w:sz w:val="20"/>
                <w:szCs w:val="20"/>
              </w:rPr>
              <w:t>188,455</w:t>
            </w:r>
          </w:p>
        </w:tc>
        <w:tc>
          <w:tcPr>
            <w:tcW w:w="611" w:type="pct"/>
            <w:tcBorders>
              <w:top w:val="nil"/>
              <w:left w:val="nil"/>
              <w:bottom w:val="single" w:sz="4" w:space="0" w:color="auto"/>
              <w:right w:val="single" w:sz="4" w:space="0" w:color="auto"/>
            </w:tcBorders>
            <w:shd w:val="clear" w:color="auto" w:fill="auto"/>
            <w:noWrap/>
            <w:vAlign w:val="bottom"/>
            <w:hideMark/>
          </w:tcPr>
          <w:p w:rsidR="0072775A" w:rsidRPr="0072775A" w:rsidP="00E2548A" w14:paraId="115BC3CE" w14:textId="0FDA702C">
            <w:pPr>
              <w:keepNext/>
              <w:keepLines/>
              <w:spacing w:after="0" w:line="240" w:lineRule="auto"/>
              <w:ind w:left="-389"/>
              <w:jc w:val="right"/>
              <w:rPr>
                <w:rFonts w:ascii="Arial Narrow" w:eastAsia="Times New Roman" w:hAnsi="Arial Narrow" w:cs="Calibri"/>
                <w:b/>
                <w:bCs/>
                <w:color w:val="000000"/>
                <w:sz w:val="20"/>
                <w:szCs w:val="20"/>
              </w:rPr>
            </w:pPr>
            <w:r w:rsidRPr="0072775A">
              <w:rPr>
                <w:rFonts w:ascii="Arial Narrow" w:eastAsia="Times New Roman" w:hAnsi="Arial Narrow" w:cs="Calibri"/>
                <w:b/>
                <w:bCs/>
                <w:color w:val="000000"/>
                <w:sz w:val="20"/>
                <w:szCs w:val="20"/>
              </w:rPr>
              <w:t>$23</w:t>
            </w:r>
            <w:r w:rsidR="003B777A">
              <w:rPr>
                <w:rFonts w:ascii="Arial Narrow" w:eastAsia="Times New Roman" w:hAnsi="Arial Narrow" w:cs="Calibri"/>
                <w:b/>
                <w:bCs/>
                <w:color w:val="000000"/>
                <w:sz w:val="20"/>
                <w:szCs w:val="20"/>
              </w:rPr>
              <w:t>5,848,557</w:t>
            </w:r>
          </w:p>
        </w:tc>
      </w:tr>
      <w:tr w14:paraId="4640BB43" w14:textId="77777777" w:rsidTr="00E2548A">
        <w:tblPrEx>
          <w:tblW w:w="5538" w:type="pct"/>
          <w:jc w:val="center"/>
          <w:tblLayout w:type="fixed"/>
          <w:tblLook w:val="04A0"/>
        </w:tblPrEx>
        <w:trPr>
          <w:trHeight w:val="253"/>
          <w:jc w:val="center"/>
        </w:trPr>
        <w:tc>
          <w:tcPr>
            <w:tcW w:w="5000" w:type="pct"/>
            <w:gridSpan w:val="13"/>
            <w:tcBorders>
              <w:top w:val="single" w:sz="4" w:space="0" w:color="auto"/>
              <w:left w:val="single" w:sz="4" w:space="0" w:color="auto"/>
              <w:bottom w:val="nil"/>
              <w:right w:val="single" w:sz="4" w:space="0" w:color="000000"/>
            </w:tcBorders>
            <w:shd w:val="clear" w:color="auto" w:fill="auto"/>
            <w:hideMark/>
          </w:tcPr>
          <w:p w:rsidR="0072775A" w:rsidRPr="0072775A" w:rsidP="006F1C05" w14:paraId="4D51629B" w14:textId="77777777">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rPr>
              <w:t>Table Footnotes:</w:t>
            </w:r>
          </w:p>
        </w:tc>
      </w:tr>
      <w:tr w14:paraId="4FFB25D3" w14:textId="77777777" w:rsidTr="00E2548A">
        <w:tblPrEx>
          <w:tblW w:w="5538" w:type="pct"/>
          <w:jc w:val="center"/>
          <w:tblLayout w:type="fixed"/>
          <w:tblLook w:val="04A0"/>
        </w:tblPrEx>
        <w:trPr>
          <w:trHeight w:val="686"/>
          <w:jc w:val="center"/>
        </w:trPr>
        <w:tc>
          <w:tcPr>
            <w:tcW w:w="5000" w:type="pct"/>
            <w:gridSpan w:val="13"/>
            <w:tcBorders>
              <w:top w:val="nil"/>
              <w:left w:val="single" w:sz="4" w:space="0" w:color="auto"/>
              <w:bottom w:val="nil"/>
              <w:right w:val="single" w:sz="4" w:space="0" w:color="000000"/>
            </w:tcBorders>
            <w:shd w:val="clear" w:color="auto" w:fill="auto"/>
            <w:noWrap/>
            <w:hideMark/>
          </w:tcPr>
          <w:p w:rsidR="0072775A" w:rsidRPr="0072775A" w:rsidP="006F1C05" w14:paraId="4DABB993" w14:textId="2A5E6A54">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vertAlign w:val="superscript"/>
              </w:rPr>
              <w:t>1</w:t>
            </w:r>
            <w:r w:rsidRPr="0072775A">
              <w:rPr>
                <w:rFonts w:ascii="Arial Narrow" w:eastAsia="Times New Roman" w:hAnsi="Arial Narrow" w:cs="Calibri"/>
                <w:color w:val="000000"/>
                <w:sz w:val="20"/>
                <w:szCs w:val="20"/>
              </w:rPr>
              <w:t>EPA assumes that reporting activities for a CDR cycle begin on the first day of the calendar year following the previous cycle, at which point reporters have complete information for the first reporting year of the cycle. Because the CDR cycle is four years, EPA assumes that reporting activities for a CDR cycle end on the last day of the calendar year of the cycle. For example, reporting activities for the 2024 cycle begin on January 1, 2021 and end on December 31, 2024.</w:t>
            </w:r>
          </w:p>
        </w:tc>
      </w:tr>
      <w:tr w14:paraId="7A90450F" w14:textId="77777777" w:rsidTr="00E2548A">
        <w:tblPrEx>
          <w:tblW w:w="5538" w:type="pct"/>
          <w:jc w:val="center"/>
          <w:tblLayout w:type="fixed"/>
          <w:tblLook w:val="04A0"/>
        </w:tblPrEx>
        <w:trPr>
          <w:trHeight w:val="660"/>
          <w:jc w:val="center"/>
        </w:trPr>
        <w:tc>
          <w:tcPr>
            <w:tcW w:w="5000" w:type="pct"/>
            <w:gridSpan w:val="13"/>
            <w:tcBorders>
              <w:top w:val="nil"/>
              <w:left w:val="single" w:sz="4" w:space="0" w:color="auto"/>
              <w:bottom w:val="nil"/>
              <w:right w:val="single" w:sz="4" w:space="0" w:color="000000"/>
            </w:tcBorders>
            <w:shd w:val="clear" w:color="auto" w:fill="auto"/>
            <w:noWrap/>
            <w:hideMark/>
          </w:tcPr>
          <w:p w:rsidR="0072775A" w:rsidRPr="0072775A" w:rsidP="006F1C05" w14:paraId="68DCD2CF" w14:textId="5E1E3924">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vertAlign w:val="superscript"/>
              </w:rPr>
              <w:t>2</w:t>
            </w:r>
            <w:r w:rsidRPr="0072775A">
              <w:rPr>
                <w:rFonts w:ascii="Arial Narrow" w:eastAsia="Times New Roman" w:hAnsi="Arial Narrow" w:cs="Calibri"/>
                <w:color w:val="000000"/>
                <w:sz w:val="20"/>
                <w:szCs w:val="20"/>
              </w:rPr>
              <w:t xml:space="preserve">ICR Renewal Period burden and cost are calculated as a prorated sum of Second Cycle and Future Cycle burden and cost. The ICR renewal period is comprised of </w:t>
            </w:r>
            <w:r w:rsidRPr="0072775A" w:rsidR="000F3F2B">
              <w:rPr>
                <w:rFonts w:ascii="Arial Narrow" w:eastAsia="Times New Roman" w:hAnsi="Arial Narrow" w:cs="Calibri"/>
                <w:color w:val="000000"/>
                <w:sz w:val="20"/>
                <w:szCs w:val="20"/>
              </w:rPr>
              <w:t>3</w:t>
            </w:r>
            <w:r w:rsidR="000F3F2B">
              <w:rPr>
                <w:rFonts w:ascii="Arial Narrow" w:eastAsia="Times New Roman" w:hAnsi="Arial Narrow" w:cs="Calibri"/>
                <w:color w:val="000000"/>
                <w:sz w:val="20"/>
                <w:szCs w:val="20"/>
              </w:rPr>
              <w:t xml:space="preserve">6 </w:t>
            </w:r>
            <w:r w:rsidRPr="0072775A">
              <w:rPr>
                <w:rFonts w:ascii="Arial Narrow" w:eastAsia="Times New Roman" w:hAnsi="Arial Narrow" w:cs="Calibri"/>
                <w:color w:val="000000"/>
                <w:sz w:val="20"/>
                <w:szCs w:val="20"/>
              </w:rPr>
              <w:t>months (</w:t>
            </w:r>
            <w:r w:rsidR="000F3F2B">
              <w:rPr>
                <w:rFonts w:ascii="Arial Narrow" w:eastAsia="Times New Roman" w:hAnsi="Arial Narrow" w:cs="Calibri"/>
                <w:color w:val="000000"/>
                <w:sz w:val="20"/>
                <w:szCs w:val="20"/>
              </w:rPr>
              <w:t>July 2023</w:t>
            </w:r>
            <w:r w:rsidRPr="0072775A">
              <w:rPr>
                <w:rFonts w:ascii="Arial Narrow" w:eastAsia="Times New Roman" w:hAnsi="Arial Narrow" w:cs="Calibri"/>
                <w:color w:val="000000"/>
                <w:sz w:val="20"/>
                <w:szCs w:val="20"/>
              </w:rPr>
              <w:t xml:space="preserve"> through </w:t>
            </w:r>
            <w:r w:rsidR="000F3F2B">
              <w:rPr>
                <w:rFonts w:ascii="Arial Narrow" w:eastAsia="Times New Roman" w:hAnsi="Arial Narrow" w:cs="Calibri"/>
                <w:color w:val="000000"/>
                <w:sz w:val="20"/>
                <w:szCs w:val="20"/>
              </w:rPr>
              <w:t>June 202</w:t>
            </w:r>
            <w:r w:rsidR="00243860">
              <w:rPr>
                <w:rFonts w:ascii="Arial Narrow" w:eastAsia="Times New Roman" w:hAnsi="Arial Narrow" w:cs="Calibri"/>
                <w:color w:val="000000"/>
                <w:sz w:val="20"/>
                <w:szCs w:val="20"/>
              </w:rPr>
              <w:t>6</w:t>
            </w:r>
            <w:r w:rsidRPr="0072775A">
              <w:rPr>
                <w:rFonts w:ascii="Arial Narrow" w:eastAsia="Times New Roman" w:hAnsi="Arial Narrow" w:cs="Calibri"/>
                <w:color w:val="000000"/>
                <w:sz w:val="20"/>
                <w:szCs w:val="20"/>
              </w:rPr>
              <w:t>)</w:t>
            </w:r>
            <w:r w:rsidR="00243860">
              <w:rPr>
                <w:rFonts w:ascii="Arial Narrow" w:eastAsia="Times New Roman" w:hAnsi="Arial Narrow" w:cs="Calibri"/>
                <w:color w:val="000000"/>
                <w:sz w:val="20"/>
                <w:szCs w:val="20"/>
              </w:rPr>
              <w:t xml:space="preserve"> with </w:t>
            </w:r>
            <w:r w:rsidR="000F3F2B">
              <w:rPr>
                <w:rFonts w:ascii="Arial Narrow" w:eastAsia="Times New Roman" w:hAnsi="Arial Narrow" w:cs="Calibri"/>
                <w:color w:val="000000"/>
                <w:sz w:val="20"/>
                <w:szCs w:val="20"/>
              </w:rPr>
              <w:t xml:space="preserve">18 months in </w:t>
            </w:r>
            <w:r w:rsidRPr="0072775A">
              <w:rPr>
                <w:rFonts w:ascii="Arial Narrow" w:eastAsia="Times New Roman" w:hAnsi="Arial Narrow" w:cs="Calibri"/>
                <w:color w:val="000000"/>
                <w:sz w:val="20"/>
                <w:szCs w:val="20"/>
              </w:rPr>
              <w:t xml:space="preserve">the second four-year reporting cycle and </w:t>
            </w:r>
            <w:r w:rsidR="000F3F2B">
              <w:rPr>
                <w:rFonts w:ascii="Arial Narrow" w:eastAsia="Times New Roman" w:hAnsi="Arial Narrow" w:cs="Calibri"/>
                <w:color w:val="000000"/>
                <w:sz w:val="20"/>
                <w:szCs w:val="20"/>
              </w:rPr>
              <w:t>18</w:t>
            </w:r>
            <w:r w:rsidRPr="0072775A" w:rsidR="000F3F2B">
              <w:rPr>
                <w:rFonts w:ascii="Arial Narrow" w:eastAsia="Times New Roman" w:hAnsi="Arial Narrow" w:cs="Calibri"/>
                <w:color w:val="000000"/>
                <w:sz w:val="20"/>
                <w:szCs w:val="20"/>
              </w:rPr>
              <w:t xml:space="preserve"> </w:t>
            </w:r>
            <w:r w:rsidRPr="0072775A">
              <w:rPr>
                <w:rFonts w:ascii="Arial Narrow" w:eastAsia="Times New Roman" w:hAnsi="Arial Narrow" w:cs="Calibri"/>
                <w:color w:val="000000"/>
                <w:sz w:val="20"/>
                <w:szCs w:val="20"/>
              </w:rPr>
              <w:t xml:space="preserve">months </w:t>
            </w:r>
            <w:r w:rsidR="000F3F2B">
              <w:rPr>
                <w:rFonts w:ascii="Arial Narrow" w:eastAsia="Times New Roman" w:hAnsi="Arial Narrow" w:cs="Calibri"/>
                <w:color w:val="000000"/>
                <w:sz w:val="20"/>
                <w:szCs w:val="20"/>
              </w:rPr>
              <w:t>in</w:t>
            </w:r>
            <w:r w:rsidRPr="0072775A">
              <w:rPr>
                <w:rFonts w:ascii="Arial Narrow" w:eastAsia="Times New Roman" w:hAnsi="Arial Narrow" w:cs="Calibri"/>
                <w:color w:val="000000"/>
                <w:sz w:val="20"/>
                <w:szCs w:val="20"/>
              </w:rPr>
              <w:t xml:space="preserve"> the subsequent future four-year reporting cycle. </w:t>
            </w:r>
          </w:p>
        </w:tc>
      </w:tr>
      <w:tr w14:paraId="77C904A1" w14:textId="77777777" w:rsidTr="00E2548A">
        <w:tblPrEx>
          <w:tblW w:w="5538" w:type="pct"/>
          <w:jc w:val="center"/>
          <w:tblLayout w:type="fixed"/>
          <w:tblLook w:val="04A0"/>
        </w:tblPrEx>
        <w:trPr>
          <w:trHeight w:val="253"/>
          <w:jc w:val="center"/>
        </w:trPr>
        <w:tc>
          <w:tcPr>
            <w:tcW w:w="5000" w:type="pct"/>
            <w:gridSpan w:val="13"/>
            <w:tcBorders>
              <w:top w:val="nil"/>
              <w:left w:val="single" w:sz="4" w:space="0" w:color="auto"/>
              <w:bottom w:val="single" w:sz="4" w:space="0" w:color="auto"/>
              <w:right w:val="single" w:sz="4" w:space="0" w:color="000000"/>
            </w:tcBorders>
            <w:shd w:val="clear" w:color="auto" w:fill="auto"/>
            <w:noWrap/>
            <w:hideMark/>
          </w:tcPr>
          <w:p w:rsidR="0072775A" w:rsidRPr="0072775A" w:rsidP="006F1C05" w14:paraId="6AA5DAD5" w14:textId="06F4E8C4">
            <w:pPr>
              <w:keepNext/>
              <w:keepLines/>
              <w:spacing w:after="0" w:line="240" w:lineRule="auto"/>
              <w:rPr>
                <w:rFonts w:ascii="Arial Narrow" w:eastAsia="Times New Roman" w:hAnsi="Arial Narrow" w:cs="Calibri"/>
                <w:color w:val="000000"/>
                <w:sz w:val="20"/>
                <w:szCs w:val="20"/>
              </w:rPr>
            </w:pPr>
            <w:r w:rsidRPr="0072775A">
              <w:rPr>
                <w:rFonts w:ascii="Arial Narrow" w:eastAsia="Times New Roman" w:hAnsi="Arial Narrow" w:cs="Calibri"/>
                <w:color w:val="000000"/>
                <w:sz w:val="20"/>
                <w:szCs w:val="20"/>
                <w:vertAlign w:val="superscript"/>
              </w:rPr>
              <w:t>3</w:t>
            </w:r>
            <w:r w:rsidRPr="0072775A">
              <w:rPr>
                <w:rFonts w:ascii="Arial Narrow" w:eastAsia="Times New Roman" w:hAnsi="Arial Narrow" w:cs="Calibri"/>
                <w:color w:val="000000"/>
                <w:sz w:val="20"/>
                <w:szCs w:val="20"/>
              </w:rPr>
              <w:t>Includes rule familiarization (new reporters), compliance determination, form completion, and recordkeeping.</w:t>
            </w:r>
          </w:p>
        </w:tc>
      </w:tr>
    </w:tbl>
    <w:p w:rsidR="00300A44" w:rsidRPr="00300A44" w:rsidP="00300A44" w14:paraId="45BEDADD" w14:textId="77777777"/>
    <w:p w:rsidR="007F3A69" w:rsidP="007F3A69" w14:paraId="13966A39" w14:textId="77777777">
      <w:pPr>
        <w:pStyle w:val="Heading2"/>
        <w:ind w:left="360"/>
      </w:pPr>
      <w:bookmarkStart w:id="6" w:name="_Toc49148207"/>
      <w:r>
        <w:t>Provide an estimate for the total annual cost burden to respondents or recordkeepers resulting from the collection of information.</w:t>
      </w:r>
      <w:r>
        <w:t xml:space="preserve"> (Do not include the cost of any hour burden already reflected on the burden worksheet).</w:t>
      </w:r>
    </w:p>
    <w:p w:rsidR="007F3A69" w:rsidP="002F7FE7" w14:paraId="0C75D53E" w14:textId="77777777">
      <w:pPr>
        <w:pStyle w:val="Heading3"/>
        <w:numPr>
          <w:ilvl w:val="0"/>
          <w:numId w:val="6"/>
        </w:numPr>
      </w:pPr>
      <w:r>
        <w:t xml:space="preserve">The cost estimate should be split into two components: (a) a total capital and start-up cost component (annualized over its expected useful life) and (b) a total operation and maintenance and purchase of services component. The estimates should </w:t>
      </w:r>
      <w:r>
        <w:t>take into account</w:t>
      </w:r>
      <w: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7F3A69" w:rsidP="007F3A69" w14:paraId="1F825868" w14:textId="77777777">
      <w:pPr>
        <w:pStyle w:val="Heading3"/>
      </w:pPr>
      <w: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w:t>
      </w:r>
      <w:r>
        <w:t>economic or regulatory impact analysis associated with the rulemaking containing the information collection, as appropriate.</w:t>
      </w:r>
    </w:p>
    <w:p w:rsidR="007F3A69" w:rsidP="007F3A69" w14:paraId="6686600D" w14:textId="4AECD07A">
      <w:pPr>
        <w:pStyle w:val="Heading3"/>
      </w:pPr>
      <w: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8619C1" w:rsidP="00DE7930" w14:paraId="02AED13A" w14:textId="34438F3A">
      <w:r>
        <w:t>There are no operation and ma</w:t>
      </w:r>
      <w:r w:rsidR="00770D59">
        <w:t>inten</w:t>
      </w:r>
      <w:r w:rsidR="002B14BB">
        <w:t>ance</w:t>
      </w:r>
      <w:r>
        <w:t xml:space="preserve"> costs associated with this collection</w:t>
      </w:r>
      <w:r w:rsidR="00C13147">
        <w:t>.</w:t>
      </w:r>
      <w:r>
        <w:t xml:space="preserve"> </w:t>
      </w:r>
    </w:p>
    <w:bookmarkEnd w:id="6"/>
    <w:p w:rsidR="003D09E2" w:rsidP="002059F4" w14:paraId="391F5A09" w14:textId="22CC9166">
      <w:pPr>
        <w:pStyle w:val="Heading2"/>
        <w:ind w:left="360"/>
      </w:pPr>
      <w:r w:rsidRPr="00A640A9">
        <w:t>Provide estimates of annualized cost to the Federal government.</w:t>
      </w:r>
      <w:r w:rsidR="007F3A69">
        <w:t xml:space="preserve"> </w:t>
      </w:r>
      <w:r w:rsidRPr="00CB6A40" w:rsidR="007F3A69">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787B1C" w:rsidRPr="00787B1C" w:rsidP="00DC05D5" w14:paraId="7900E20A" w14:textId="45CF70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t xml:space="preserve">The activities routinely conducted by EPA related to the processing, analysis and </w:t>
      </w:r>
      <w:r w:rsidRPr="00787B1C">
        <w:rPr>
          <w:rFonts w:cs="Arial"/>
        </w:rPr>
        <w:t>storage of the information collected under this rule include the following:</w:t>
      </w:r>
    </w:p>
    <w:p w:rsidR="00787B1C" w:rsidRPr="00787B1C" w:rsidP="00DC05D5" w14:paraId="31EC8408" w14:textId="77777777">
      <w:pPr>
        <w:pStyle w:val="a"/>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787B1C">
        <w:rPr>
          <w:rFonts w:ascii="Arial" w:hAnsi="Arial" w:cs="Arial"/>
        </w:rPr>
        <w:t xml:space="preserve">Review and verify forms as they are </w:t>
      </w:r>
      <w:r w:rsidRPr="00787B1C">
        <w:rPr>
          <w:rFonts w:ascii="Arial" w:hAnsi="Arial" w:cs="Arial"/>
        </w:rPr>
        <w:t>received;</w:t>
      </w:r>
    </w:p>
    <w:p w:rsidR="00787B1C" w:rsidRPr="00787B1C" w:rsidP="00DC05D5" w14:paraId="5991FE0C" w14:textId="5C56B699">
      <w:pPr>
        <w:pStyle w:val="a"/>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787B1C">
        <w:rPr>
          <w:rFonts w:ascii="Arial" w:hAnsi="Arial" w:cs="Arial"/>
        </w:rPr>
        <w:t xml:space="preserve">Answer submitter questions and provide any necessary </w:t>
      </w:r>
      <w:r w:rsidRPr="00787B1C">
        <w:rPr>
          <w:rFonts w:ascii="Arial" w:hAnsi="Arial" w:cs="Arial"/>
        </w:rPr>
        <w:t>assistance;</w:t>
      </w:r>
    </w:p>
    <w:p w:rsidR="00787B1C" w:rsidRPr="00787B1C" w:rsidP="00DC05D5" w14:paraId="50CBF5B7" w14:textId="182549A1">
      <w:pPr>
        <w:pStyle w:val="a"/>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787B1C">
        <w:rPr>
          <w:rFonts w:ascii="Arial" w:hAnsi="Arial" w:cs="Arial"/>
        </w:rPr>
        <w:t xml:space="preserve">Process submissions for inclusion in </w:t>
      </w:r>
      <w:r w:rsidR="008A252E">
        <w:rPr>
          <w:rFonts w:ascii="Arial" w:hAnsi="Arial" w:cs="Arial"/>
        </w:rPr>
        <w:t>CDR</w:t>
      </w:r>
      <w:r w:rsidRPr="00787B1C">
        <w:rPr>
          <w:rFonts w:ascii="Arial" w:hAnsi="Arial" w:cs="Arial"/>
        </w:rPr>
        <w:t xml:space="preserve"> </w:t>
      </w:r>
      <w:r w:rsidRPr="00787B1C">
        <w:rPr>
          <w:rFonts w:ascii="Arial" w:hAnsi="Arial" w:cs="Arial"/>
        </w:rPr>
        <w:t>database;</w:t>
      </w:r>
    </w:p>
    <w:p w:rsidR="00787B1C" w:rsidRPr="009428C2" w:rsidP="00DC05D5" w14:paraId="414E3008" w14:textId="77777777">
      <w:pPr>
        <w:pStyle w:val="a"/>
        <w:widowControl/>
        <w:numPr>
          <w:ilvl w:val="0"/>
          <w:numId w:val="8"/>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9428C2">
        <w:rPr>
          <w:rFonts w:ascii="Arial" w:hAnsi="Arial" w:cs="Arial"/>
        </w:rPr>
        <w:t>Maintain the database; and</w:t>
      </w:r>
    </w:p>
    <w:p w:rsidR="0002347E" w:rsidRPr="008A252E" w:rsidP="00DC05D5" w14:paraId="1F1BD0ED" w14:textId="69866EB1">
      <w:pPr>
        <w:pStyle w:val="a"/>
        <w:widowControl/>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pPr>
      <w:r w:rsidRPr="0002347E">
        <w:rPr>
          <w:rFonts w:ascii="Arial" w:hAnsi="Arial" w:cs="Arial"/>
        </w:rPr>
        <w:t>Distribute the data.</w:t>
      </w:r>
      <w:r w:rsidRPr="0002347E">
        <w:rPr>
          <w:rFonts w:ascii="Arial" w:hAnsi="Arial" w:cs="Arial"/>
        </w:rPr>
        <w:t xml:space="preserve"> </w:t>
      </w:r>
    </w:p>
    <w:p w:rsidR="00787B1C" w:rsidRPr="0002347E" w:rsidP="00DC05D5" w14:paraId="7394C3D5" w14:textId="434DEDC6">
      <w:pPr>
        <w:pStyle w:val="a"/>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02347E">
        <w:rPr>
          <w:rFonts w:ascii="Arial" w:hAnsi="Arial" w:cs="Arial"/>
        </w:rPr>
        <w:t>This section describes the Agency tasks required for efficiently processing submissions under CDR. The tasks for which the Agency is responsible are presented under four main categories: database systems development, guidance document development, Form U processing, and additional tasks. The task descriptions presented below generally do not change from collection to collection.</w:t>
      </w:r>
    </w:p>
    <w:p w:rsidR="00787B1C" w:rsidRPr="00787B1C" w:rsidP="00DC05D5" w14:paraId="63E649B2" w14:textId="009523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cs="Arial"/>
        </w:rPr>
      </w:pPr>
      <w:r>
        <w:t>CDR</w:t>
      </w:r>
      <w:r w:rsidRPr="00787B1C">
        <w:rPr>
          <w:rFonts w:cs="Arial"/>
        </w:rPr>
        <w:t xml:space="preserve"> data is stored in a database managed by the Agency. The </w:t>
      </w:r>
      <w:r>
        <w:rPr>
          <w:rFonts w:cs="Arial"/>
        </w:rPr>
        <w:t>CDR</w:t>
      </w:r>
      <w:r w:rsidRPr="00787B1C">
        <w:rPr>
          <w:rFonts w:cs="Arial"/>
        </w:rPr>
        <w:t xml:space="preserve"> database is also available for quick screening and other direct uses. The Agency makes publicly available as much information as possible, within the confines of protecting CBI.</w:t>
      </w:r>
    </w:p>
    <w:p w:rsidR="00787B1C" w:rsidRPr="00787B1C" w:rsidP="00DC05D5" w14:paraId="459D714A" w14:textId="64A2B59C">
      <w:pPr>
        <w:pStyle w:val="a"/>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787B1C">
        <w:rPr>
          <w:rFonts w:ascii="Arial" w:hAnsi="Arial" w:cs="Arial"/>
          <w:u w:val="single"/>
        </w:rPr>
        <w:t>Database Systems Development and Maintenance</w:t>
      </w:r>
      <w:r w:rsidRPr="00787B1C">
        <w:rPr>
          <w:rFonts w:ascii="Arial" w:hAnsi="Arial" w:cs="Arial"/>
        </w:rPr>
        <w:t xml:space="preserve"> -- The Agency is responsible for having adequate information systems in place to support the database that serves as the primary data storage medium for </w:t>
      </w:r>
      <w:r w:rsidR="008A252E">
        <w:rPr>
          <w:rFonts w:ascii="Arial" w:hAnsi="Arial" w:cs="Arial"/>
        </w:rPr>
        <w:t xml:space="preserve">CDR </w:t>
      </w:r>
      <w:r w:rsidRPr="00787B1C">
        <w:rPr>
          <w:rFonts w:ascii="Arial" w:hAnsi="Arial" w:cs="Arial"/>
        </w:rPr>
        <w:t xml:space="preserve">collections. File servers with appropriate backup are used to contain the </w:t>
      </w:r>
      <w:r w:rsidR="008A252E">
        <w:rPr>
          <w:rFonts w:ascii="Arial" w:hAnsi="Arial" w:cs="Arial"/>
        </w:rPr>
        <w:t>CDR</w:t>
      </w:r>
      <w:r w:rsidRPr="00787B1C">
        <w:rPr>
          <w:rFonts w:ascii="Arial" w:hAnsi="Arial" w:cs="Arial"/>
        </w:rPr>
        <w:t xml:space="preserve"> databases. In addition,</w:t>
      </w:r>
      <w:r w:rsidR="00067F35">
        <w:rPr>
          <w:rFonts w:ascii="Arial" w:hAnsi="Arial" w:cs="Arial"/>
        </w:rPr>
        <w:t xml:space="preserve"> </w:t>
      </w:r>
      <w:r w:rsidR="008A252E">
        <w:rPr>
          <w:rFonts w:ascii="Arial" w:hAnsi="Arial" w:cs="Arial"/>
        </w:rPr>
        <w:t>CDR</w:t>
      </w:r>
      <w:r w:rsidRPr="00787B1C">
        <w:rPr>
          <w:rFonts w:ascii="Arial" w:hAnsi="Arial" w:cs="Arial"/>
        </w:rPr>
        <w:t xml:space="preserve"> </w:t>
      </w:r>
      <w:r w:rsidRPr="00787B1C">
        <w:rPr>
          <w:rFonts w:ascii="Arial" w:hAnsi="Arial" w:cs="Arial"/>
        </w:rPr>
        <w:t>data are tracked via the correspondence tracking system utilized by the Confidential Business Information Tracking System (CBITS) located within the Confidential Business Information Center (CBIC).</w:t>
      </w:r>
      <w:r>
        <w:rPr>
          <w:rFonts w:ascii="Arial" w:hAnsi="Arial" w:cs="Arial"/>
        </w:rPr>
        <w:t xml:space="preserve"> </w:t>
      </w:r>
    </w:p>
    <w:p w:rsidR="00787B1C" w:rsidRPr="00787B1C" w:rsidP="00DC05D5" w14:paraId="3229CF0A" w14:textId="5B2FA704">
      <w:pPr>
        <w:pStyle w:val="a"/>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787B1C">
        <w:rPr>
          <w:rFonts w:ascii="Arial" w:hAnsi="Arial" w:cs="Arial"/>
          <w:u w:val="single"/>
        </w:rPr>
        <w:t>Guidance Document Development</w:t>
      </w:r>
      <w:r w:rsidRPr="00787B1C">
        <w:rPr>
          <w:rFonts w:ascii="Arial" w:hAnsi="Arial" w:cs="Arial"/>
        </w:rPr>
        <w:t xml:space="preserve"> -- The Agency is responsible for developing</w:t>
      </w:r>
      <w:r w:rsidR="00DC6B69">
        <w:rPr>
          <w:rFonts w:ascii="Arial" w:hAnsi="Arial" w:cs="Arial"/>
        </w:rPr>
        <w:t xml:space="preserve"> and maintaining</w:t>
      </w:r>
      <w:r w:rsidRPr="00787B1C">
        <w:rPr>
          <w:rFonts w:ascii="Arial" w:hAnsi="Arial" w:cs="Arial"/>
        </w:rPr>
        <w:t xml:space="preserve"> guidance to assist submitters in complying with </w:t>
      </w:r>
      <w:r>
        <w:rPr>
          <w:rFonts w:ascii="Arial" w:hAnsi="Arial" w:cs="Arial"/>
        </w:rPr>
        <w:t>CDR</w:t>
      </w:r>
      <w:r w:rsidRPr="00787B1C">
        <w:rPr>
          <w:rFonts w:ascii="Arial" w:hAnsi="Arial" w:cs="Arial"/>
        </w:rPr>
        <w:t xml:space="preserve"> requirements. The guidance documents usually are developed by a contractor with oversight by Agency personnel.</w:t>
      </w:r>
    </w:p>
    <w:p w:rsidR="00787B1C" w:rsidRPr="0002347E" w:rsidP="00DC05D5" w14:paraId="3F96EDA2" w14:textId="412459EB">
      <w:pPr>
        <w:pStyle w:val="a"/>
        <w:widowControl/>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02347E">
        <w:rPr>
          <w:rFonts w:ascii="Arial" w:hAnsi="Arial" w:cs="Arial"/>
          <w:u w:val="single"/>
        </w:rPr>
        <w:t>Form U Processing</w:t>
      </w:r>
      <w:r w:rsidRPr="0002347E">
        <w:rPr>
          <w:rFonts w:ascii="Arial" w:hAnsi="Arial" w:cs="Arial"/>
        </w:rPr>
        <w:t xml:space="preserve"> -- The Agency is responsible for processing CDR Form U submissions. This includes developing standard operating procedures and documentation for all stages in the CDR document life cycle, document receipt and tracking, data input, quality control, file and database maintenance, information security, CBI aggregation policy, data dissemination, and staff training. </w:t>
      </w:r>
    </w:p>
    <w:p w:rsidR="008A252E" w:rsidP="00DC05D5" w14:paraId="4E92C3A9" w14:textId="77777777">
      <w:pPr>
        <w:pStyle w:val="a"/>
        <w:widowControl/>
        <w:numPr>
          <w:ilvl w:val="0"/>
          <w:numId w:val="9"/>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787B1C">
        <w:rPr>
          <w:rFonts w:ascii="Arial" w:hAnsi="Arial" w:cs="Arial"/>
          <w:u w:val="single"/>
        </w:rPr>
        <w:t>Additional Activities</w:t>
      </w:r>
      <w:r w:rsidRPr="00787B1C">
        <w:rPr>
          <w:rFonts w:ascii="Arial" w:hAnsi="Arial" w:cs="Arial"/>
        </w:rPr>
        <w:t xml:space="preserve"> -- The Agency develops various supporting documents associated with the reporting tool and makes them available on the Internet. In addition, the Agency is responsible for providing the TSCA Hotline with standardized responses for frequently asked questions; preparing mailings, mailing lists, and labels; and developing outgoing information materials.</w:t>
      </w:r>
    </w:p>
    <w:p w:rsidR="0002347E" w:rsidRPr="008A252E" w:rsidP="00DC05D5" w14:paraId="234B74E2" w14:textId="53CB77B9">
      <w:pPr>
        <w:pStyle w:val="a"/>
        <w:widowControl/>
        <w:tabs>
          <w:tab w:val="left" w:pos="0"/>
          <w:tab w:val="left" w:pos="1440"/>
          <w:tab w:val="left" w:pos="2160"/>
          <w:tab w:val="left" w:pos="2880"/>
          <w:tab w:val="left" w:pos="3600"/>
          <w:tab w:val="left" w:pos="4320"/>
          <w:tab w:val="left" w:pos="5040"/>
          <w:tab w:val="left" w:pos="5760"/>
          <w:tab w:val="left" w:pos="6480"/>
          <w:tab w:val="left" w:pos="7200"/>
          <w:tab w:val="left" w:pos="7920"/>
        </w:tabs>
        <w:spacing w:after="200" w:line="276" w:lineRule="auto"/>
        <w:rPr>
          <w:rFonts w:ascii="Arial" w:hAnsi="Arial" w:cs="Arial"/>
        </w:rPr>
      </w:pPr>
      <w:r w:rsidRPr="008A252E">
        <w:rPr>
          <w:rFonts w:ascii="Arial" w:hAnsi="Arial" w:cs="Arial"/>
        </w:rPr>
        <w:t>Of the tasks listed above, Agency personnel are responsible for 1) quality control of data entry; and 2) data processing, systems development, and contract oversight and management. Contractors perform the other activities, as described below.</w:t>
      </w:r>
    </w:p>
    <w:p w:rsidR="0002347E" w:rsidP="00DC05D5" w14:paraId="6877F56C" w14:textId="76A049F0">
      <w:pPr>
        <w:tabs>
          <w:tab w:val="left" w:pos="720"/>
        </w:tabs>
      </w:pPr>
      <w:r>
        <w:t xml:space="preserve">Table </w:t>
      </w:r>
      <w:r w:rsidR="00FF1F2F">
        <w:t>5</w:t>
      </w:r>
      <w:r>
        <w:t xml:space="preserve"> </w:t>
      </w:r>
      <w:r w:rsidR="00A2520F">
        <w:t>provides</w:t>
      </w:r>
      <w:r w:rsidRPr="007924E4">
        <w:t xml:space="preserve"> the </w:t>
      </w:r>
      <w:r>
        <w:t xml:space="preserve">burden and </w:t>
      </w:r>
      <w:r w:rsidRPr="007924E4">
        <w:t>cost per report for all EPA staff activities</w:t>
      </w:r>
      <w:r>
        <w:t xml:space="preserve"> </w:t>
      </w:r>
      <w:r w:rsidR="00A2520F">
        <w:t>anticipated during this ICR period</w:t>
      </w:r>
      <w:r w:rsidRPr="007924E4">
        <w:t xml:space="preserve">. The activities performed by the GS-13 level staff member, including systems development, and contract oversight and management, are fixed costs and are not dependent on the number of reports submitted to EPA. </w:t>
      </w:r>
      <w:r w:rsidR="00A2520F">
        <w:t>However, there are burden and costs which vary based on the number of CDR respondents or chemical reports. For this reason, Agency burden and cost are split into two categories, fixed and variable.</w:t>
      </w:r>
      <w:r w:rsidRPr="007924E4">
        <w:t xml:space="preserve"> </w:t>
      </w:r>
    </w:p>
    <w:p w:rsidR="00A2520F" w:rsidP="00FF1F2F" w14:paraId="26712F63" w14:textId="2FCF8B5A">
      <w:pPr>
        <w:keepNext/>
        <w:keepLines/>
        <w:tabs>
          <w:tab w:val="left" w:pos="720"/>
        </w:tabs>
        <w:rPr>
          <w:b/>
          <w:bCs/>
        </w:rPr>
      </w:pPr>
      <w:r>
        <w:rPr>
          <w:b/>
          <w:bCs/>
        </w:rPr>
        <w:t xml:space="preserve">Table </w:t>
      </w:r>
      <w:r w:rsidR="00FF1F2F">
        <w:rPr>
          <w:b/>
          <w:bCs/>
        </w:rPr>
        <w:t>5</w:t>
      </w:r>
      <w:r>
        <w:rPr>
          <w:b/>
          <w:bCs/>
        </w:rPr>
        <w:t xml:space="preserve">. </w:t>
      </w:r>
      <w:r w:rsidR="00CA621D">
        <w:rPr>
          <w:b/>
          <w:bCs/>
        </w:rPr>
        <w:t xml:space="preserve">Annual </w:t>
      </w:r>
      <w:r>
        <w:rPr>
          <w:b/>
          <w:bCs/>
        </w:rPr>
        <w:t>Agency Burden and Cost</w:t>
      </w:r>
    </w:p>
    <w:tbl>
      <w:tblPr>
        <w:tblW w:w="10635" w:type="dxa"/>
        <w:jc w:val="center"/>
        <w:tblLook w:val="04A0"/>
      </w:tblPr>
      <w:tblGrid>
        <w:gridCol w:w="2816"/>
        <w:gridCol w:w="1119"/>
        <w:gridCol w:w="1766"/>
        <w:gridCol w:w="1381"/>
        <w:gridCol w:w="1209"/>
        <w:gridCol w:w="1136"/>
        <w:gridCol w:w="1208"/>
      </w:tblGrid>
      <w:tr w14:paraId="750765D2" w14:textId="77777777" w:rsidTr="00DC05D5">
        <w:tblPrEx>
          <w:tblW w:w="10635" w:type="dxa"/>
          <w:jc w:val="center"/>
          <w:tblLook w:val="04A0"/>
        </w:tblPrEx>
        <w:trPr>
          <w:trHeight w:val="301"/>
          <w:jc w:val="center"/>
        </w:trPr>
        <w:tc>
          <w:tcPr>
            <w:tcW w:w="2816"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CA621D" w:rsidRPr="00CA621D" w:rsidP="00FF1F2F" w14:paraId="2350BA17" w14:textId="77777777">
            <w:pPr>
              <w:keepNext/>
              <w:keepLines/>
              <w:spacing w:after="0" w:line="240" w:lineRule="auto"/>
              <w:jc w:val="center"/>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Activity</w:t>
            </w:r>
          </w:p>
        </w:tc>
        <w:tc>
          <w:tcPr>
            <w:tcW w:w="1119"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CA621D" w:rsidRPr="00CA621D" w:rsidP="00FF1F2F" w14:paraId="6AFFD2BA" w14:textId="77777777">
            <w:pPr>
              <w:keepNext/>
              <w:keepLines/>
              <w:spacing w:after="0" w:line="240" w:lineRule="auto"/>
              <w:jc w:val="center"/>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Staff</w:t>
            </w:r>
          </w:p>
        </w:tc>
        <w:tc>
          <w:tcPr>
            <w:tcW w:w="1766" w:type="dxa"/>
            <w:vMerge w:val="restart"/>
            <w:tcBorders>
              <w:top w:val="single" w:sz="4" w:space="0" w:color="auto"/>
              <w:left w:val="single" w:sz="4" w:space="0" w:color="auto"/>
              <w:bottom w:val="single" w:sz="4" w:space="0" w:color="000000"/>
              <w:right w:val="single" w:sz="4" w:space="0" w:color="auto"/>
            </w:tcBorders>
            <w:shd w:val="clear" w:color="000000" w:fill="D9D9D9"/>
            <w:vAlign w:val="bottom"/>
            <w:hideMark/>
          </w:tcPr>
          <w:p w:rsidR="00CA621D" w:rsidRPr="00CA621D" w:rsidP="00FF1F2F" w14:paraId="7344299F" w14:textId="77777777">
            <w:pPr>
              <w:keepNext/>
              <w:keepLines/>
              <w:spacing w:after="0" w:line="240" w:lineRule="auto"/>
              <w:jc w:val="center"/>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Affected Universe</w:t>
            </w:r>
          </w:p>
        </w:tc>
        <w:tc>
          <w:tcPr>
            <w:tcW w:w="2588"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CA621D" w:rsidRPr="00CA621D" w:rsidP="00FF1F2F" w14:paraId="18FDA2F0" w14:textId="77777777">
            <w:pPr>
              <w:keepNext/>
              <w:keepLines/>
              <w:spacing w:after="0" w:line="240" w:lineRule="auto"/>
              <w:jc w:val="center"/>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Unit Burden and Cost</w:t>
            </w:r>
          </w:p>
        </w:tc>
        <w:tc>
          <w:tcPr>
            <w:tcW w:w="2343" w:type="dxa"/>
            <w:gridSpan w:val="2"/>
            <w:tcBorders>
              <w:top w:val="single" w:sz="4" w:space="0" w:color="auto"/>
              <w:left w:val="single" w:sz="4" w:space="0" w:color="auto"/>
              <w:bottom w:val="single" w:sz="4" w:space="0" w:color="auto"/>
              <w:right w:val="single" w:sz="4" w:space="0" w:color="000000"/>
            </w:tcBorders>
            <w:shd w:val="clear" w:color="000000" w:fill="D9D9D9"/>
            <w:vAlign w:val="bottom"/>
            <w:hideMark/>
          </w:tcPr>
          <w:p w:rsidR="00CA621D" w:rsidRPr="00CA621D" w:rsidP="00FF1F2F" w14:paraId="55609380" w14:textId="77777777">
            <w:pPr>
              <w:keepNext/>
              <w:keepLines/>
              <w:spacing w:after="0" w:line="240" w:lineRule="auto"/>
              <w:jc w:val="center"/>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Total Burden and Cost</w:t>
            </w:r>
          </w:p>
        </w:tc>
      </w:tr>
      <w:tr w14:paraId="70E6F1F7" w14:textId="77777777" w:rsidTr="00DC05D5">
        <w:tblPrEx>
          <w:tblW w:w="10635" w:type="dxa"/>
          <w:jc w:val="center"/>
          <w:tblLook w:val="04A0"/>
        </w:tblPrEx>
        <w:trPr>
          <w:trHeight w:val="602"/>
          <w:jc w:val="center"/>
        </w:trPr>
        <w:tc>
          <w:tcPr>
            <w:tcW w:w="2816" w:type="dxa"/>
            <w:vMerge/>
            <w:tcBorders>
              <w:top w:val="single" w:sz="4" w:space="0" w:color="auto"/>
              <w:left w:val="single" w:sz="4" w:space="0" w:color="auto"/>
              <w:bottom w:val="single" w:sz="4" w:space="0" w:color="000000"/>
              <w:right w:val="single" w:sz="4" w:space="0" w:color="auto"/>
            </w:tcBorders>
            <w:vAlign w:val="center"/>
            <w:hideMark/>
          </w:tcPr>
          <w:p w:rsidR="00CA621D" w:rsidRPr="00CA621D" w:rsidP="00FF1F2F" w14:paraId="37DA1EB4" w14:textId="77777777">
            <w:pPr>
              <w:keepNext/>
              <w:keepLines/>
              <w:spacing w:after="0" w:line="240" w:lineRule="auto"/>
              <w:rPr>
                <w:rFonts w:ascii="Arial Narrow" w:eastAsia="Times New Roman" w:hAnsi="Arial Narrow" w:cs="Calibri"/>
                <w:b/>
                <w:bCs/>
                <w:color w:val="000000"/>
                <w:sz w:val="20"/>
                <w:szCs w:val="20"/>
              </w:rPr>
            </w:pPr>
          </w:p>
        </w:tc>
        <w:tc>
          <w:tcPr>
            <w:tcW w:w="1119" w:type="dxa"/>
            <w:vMerge/>
            <w:tcBorders>
              <w:top w:val="single" w:sz="4" w:space="0" w:color="auto"/>
              <w:left w:val="single" w:sz="4" w:space="0" w:color="auto"/>
              <w:bottom w:val="single" w:sz="4" w:space="0" w:color="000000"/>
              <w:right w:val="single" w:sz="4" w:space="0" w:color="auto"/>
            </w:tcBorders>
            <w:vAlign w:val="center"/>
            <w:hideMark/>
          </w:tcPr>
          <w:p w:rsidR="00CA621D" w:rsidRPr="00CA621D" w:rsidP="00FF1F2F" w14:paraId="45D8AB25" w14:textId="77777777">
            <w:pPr>
              <w:keepNext/>
              <w:keepLines/>
              <w:spacing w:after="0" w:line="240" w:lineRule="auto"/>
              <w:rPr>
                <w:rFonts w:ascii="Arial Narrow" w:eastAsia="Times New Roman" w:hAnsi="Arial Narrow" w:cs="Calibri"/>
                <w:b/>
                <w:bCs/>
                <w:color w:val="000000"/>
                <w:sz w:val="20"/>
                <w:szCs w:val="20"/>
              </w:rPr>
            </w:pPr>
          </w:p>
        </w:tc>
        <w:tc>
          <w:tcPr>
            <w:tcW w:w="1766" w:type="dxa"/>
            <w:vMerge/>
            <w:tcBorders>
              <w:top w:val="single" w:sz="4" w:space="0" w:color="auto"/>
              <w:left w:val="single" w:sz="4" w:space="0" w:color="auto"/>
              <w:bottom w:val="single" w:sz="4" w:space="0" w:color="000000"/>
              <w:right w:val="single" w:sz="4" w:space="0" w:color="auto"/>
            </w:tcBorders>
            <w:vAlign w:val="center"/>
            <w:hideMark/>
          </w:tcPr>
          <w:p w:rsidR="00CA621D" w:rsidRPr="00CA621D" w:rsidP="00FF1F2F" w14:paraId="242A766C" w14:textId="77777777">
            <w:pPr>
              <w:keepNext/>
              <w:keepLines/>
              <w:spacing w:after="0" w:line="240" w:lineRule="auto"/>
              <w:rPr>
                <w:rFonts w:ascii="Arial Narrow" w:eastAsia="Times New Roman" w:hAnsi="Arial Narrow" w:cs="Calibri"/>
                <w:b/>
                <w:bCs/>
                <w:color w:val="000000"/>
                <w:sz w:val="20"/>
                <w:szCs w:val="20"/>
              </w:rPr>
            </w:pPr>
          </w:p>
        </w:tc>
        <w:tc>
          <w:tcPr>
            <w:tcW w:w="1381"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CA621D" w:rsidRPr="00CA621D" w:rsidP="00FF1F2F" w14:paraId="0C0DC7C2" w14:textId="77777777">
            <w:pPr>
              <w:keepNext/>
              <w:keepLines/>
              <w:spacing w:after="0" w:line="240" w:lineRule="auto"/>
              <w:jc w:val="center"/>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Burden per Activity (hours)</w:t>
            </w:r>
          </w:p>
        </w:tc>
        <w:tc>
          <w:tcPr>
            <w:tcW w:w="1206" w:type="dxa"/>
            <w:tcBorders>
              <w:top w:val="single" w:sz="4" w:space="0" w:color="auto"/>
              <w:left w:val="nil"/>
              <w:bottom w:val="single" w:sz="4" w:space="0" w:color="auto"/>
              <w:right w:val="single" w:sz="4" w:space="0" w:color="auto"/>
            </w:tcBorders>
            <w:shd w:val="clear" w:color="000000" w:fill="D9D9D9"/>
            <w:vAlign w:val="bottom"/>
            <w:hideMark/>
          </w:tcPr>
          <w:p w:rsidR="00CA621D" w:rsidRPr="00CA621D" w:rsidP="00FF1F2F" w14:paraId="07B50BA3" w14:textId="77777777">
            <w:pPr>
              <w:keepNext/>
              <w:keepLines/>
              <w:spacing w:after="0" w:line="240" w:lineRule="auto"/>
              <w:jc w:val="center"/>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Cost per Activity (2020$)</w:t>
            </w:r>
          </w:p>
        </w:tc>
        <w:tc>
          <w:tcPr>
            <w:tcW w:w="1136" w:type="dxa"/>
            <w:tcBorders>
              <w:top w:val="single" w:sz="4" w:space="0" w:color="auto"/>
              <w:left w:val="nil"/>
              <w:bottom w:val="single" w:sz="4" w:space="0" w:color="auto"/>
              <w:right w:val="single" w:sz="4" w:space="0" w:color="auto"/>
            </w:tcBorders>
            <w:shd w:val="clear" w:color="000000" w:fill="D9D9D9"/>
            <w:vAlign w:val="bottom"/>
            <w:hideMark/>
          </w:tcPr>
          <w:p w:rsidR="00CA621D" w:rsidRPr="00CA621D" w:rsidP="00FF1F2F" w14:paraId="478C1B7F" w14:textId="77777777">
            <w:pPr>
              <w:keepNext/>
              <w:keepLines/>
              <w:spacing w:after="0" w:line="240" w:lineRule="auto"/>
              <w:jc w:val="center"/>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Total Burden (hours)</w:t>
            </w:r>
          </w:p>
        </w:tc>
        <w:tc>
          <w:tcPr>
            <w:tcW w:w="1206" w:type="dxa"/>
            <w:tcBorders>
              <w:top w:val="single" w:sz="4" w:space="0" w:color="auto"/>
              <w:left w:val="nil"/>
              <w:bottom w:val="single" w:sz="4" w:space="0" w:color="auto"/>
              <w:right w:val="single" w:sz="4" w:space="0" w:color="auto"/>
            </w:tcBorders>
            <w:shd w:val="clear" w:color="000000" w:fill="D9D9D9"/>
            <w:vAlign w:val="bottom"/>
            <w:hideMark/>
          </w:tcPr>
          <w:p w:rsidR="00CA621D" w:rsidRPr="00CA621D" w:rsidP="00FF1F2F" w14:paraId="6507A237" w14:textId="77777777">
            <w:pPr>
              <w:keepNext/>
              <w:keepLines/>
              <w:spacing w:after="0" w:line="240" w:lineRule="auto"/>
              <w:jc w:val="center"/>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Total Cost (2020$)</w:t>
            </w:r>
            <w:r w:rsidRPr="00CA621D">
              <w:rPr>
                <w:rFonts w:ascii="Arial Narrow" w:eastAsia="Times New Roman" w:hAnsi="Arial Narrow" w:cs="Calibri"/>
                <w:b/>
                <w:bCs/>
                <w:color w:val="000000"/>
                <w:sz w:val="20"/>
                <w:szCs w:val="20"/>
                <w:vertAlign w:val="superscript"/>
              </w:rPr>
              <w:t>1</w:t>
            </w:r>
          </w:p>
        </w:tc>
      </w:tr>
      <w:tr w14:paraId="5DEB4889" w14:textId="77777777" w:rsidTr="006707EC">
        <w:tblPrEx>
          <w:tblW w:w="10635" w:type="dxa"/>
          <w:jc w:val="center"/>
          <w:tblLook w:val="04A0"/>
        </w:tblPrEx>
        <w:trPr>
          <w:trHeight w:val="291"/>
          <w:jc w:val="center"/>
        </w:trPr>
        <w:tc>
          <w:tcPr>
            <w:tcW w:w="10635" w:type="dxa"/>
            <w:gridSpan w:val="7"/>
            <w:tcBorders>
              <w:top w:val="single" w:sz="4" w:space="0" w:color="auto"/>
              <w:left w:val="single" w:sz="4" w:space="0" w:color="auto"/>
              <w:bottom w:val="single" w:sz="4" w:space="0" w:color="auto"/>
              <w:right w:val="single" w:sz="4" w:space="0" w:color="auto"/>
            </w:tcBorders>
            <w:shd w:val="clear" w:color="000000" w:fill="F3F3F3"/>
            <w:vAlign w:val="center"/>
            <w:hideMark/>
          </w:tcPr>
          <w:p w:rsidR="00CA621D" w:rsidRPr="00CA621D" w:rsidP="00FF1F2F" w14:paraId="66DD96B3" w14:textId="77777777">
            <w:pPr>
              <w:keepNext/>
              <w:keepLines/>
              <w:spacing w:after="0" w:line="240" w:lineRule="auto"/>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Variable Burdens and Costs</w:t>
            </w:r>
          </w:p>
        </w:tc>
      </w:tr>
      <w:tr w14:paraId="63FD990F" w14:textId="77777777" w:rsidTr="006707EC">
        <w:tblPrEx>
          <w:tblW w:w="10635" w:type="dxa"/>
          <w:jc w:val="center"/>
          <w:tblLook w:val="04A0"/>
        </w:tblPrEx>
        <w:trPr>
          <w:trHeight w:val="512"/>
          <w:jc w:val="center"/>
        </w:trPr>
        <w:tc>
          <w:tcPr>
            <w:tcW w:w="2816" w:type="dxa"/>
            <w:tcBorders>
              <w:top w:val="nil"/>
              <w:left w:val="single" w:sz="4" w:space="0" w:color="auto"/>
              <w:bottom w:val="single" w:sz="4" w:space="0" w:color="auto"/>
              <w:right w:val="single" w:sz="4" w:space="0" w:color="auto"/>
            </w:tcBorders>
            <w:shd w:val="clear" w:color="000000" w:fill="FFFFFF"/>
            <w:vAlign w:val="center"/>
            <w:hideMark/>
          </w:tcPr>
          <w:p w:rsidR="00CA621D" w:rsidRPr="00CA621D" w:rsidP="00FF1F2F" w14:paraId="264AA51C"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Submission Receipt and Tracking; Data Review</w:t>
            </w:r>
          </w:p>
        </w:tc>
        <w:tc>
          <w:tcPr>
            <w:tcW w:w="1119" w:type="dxa"/>
            <w:tcBorders>
              <w:top w:val="nil"/>
              <w:left w:val="nil"/>
              <w:bottom w:val="single" w:sz="4" w:space="0" w:color="auto"/>
              <w:right w:val="single" w:sz="4" w:space="0" w:color="auto"/>
            </w:tcBorders>
            <w:shd w:val="clear" w:color="000000" w:fill="FFFFFF"/>
            <w:vAlign w:val="center"/>
            <w:hideMark/>
          </w:tcPr>
          <w:p w:rsidR="00CA621D" w:rsidRPr="00CA621D" w:rsidP="00FF1F2F" w14:paraId="18ACE7E2"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Contractor</w:t>
            </w:r>
          </w:p>
        </w:tc>
        <w:tc>
          <w:tcPr>
            <w:tcW w:w="1766" w:type="dxa"/>
            <w:tcBorders>
              <w:top w:val="nil"/>
              <w:left w:val="nil"/>
              <w:bottom w:val="single" w:sz="4" w:space="0" w:color="auto"/>
              <w:right w:val="single" w:sz="4" w:space="0" w:color="auto"/>
            </w:tcBorders>
            <w:shd w:val="clear" w:color="000000" w:fill="FFFFFF"/>
            <w:vAlign w:val="center"/>
            <w:hideMark/>
          </w:tcPr>
          <w:p w:rsidR="00CA621D" w:rsidRPr="00CA621D" w:rsidP="00FF1F2F" w14:paraId="3C48923B"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5,460 Sites</w:t>
            </w:r>
          </w:p>
        </w:tc>
        <w:tc>
          <w:tcPr>
            <w:tcW w:w="1381" w:type="dxa"/>
            <w:tcBorders>
              <w:top w:val="nil"/>
              <w:left w:val="nil"/>
              <w:bottom w:val="single" w:sz="4" w:space="0" w:color="auto"/>
              <w:right w:val="single" w:sz="4" w:space="0" w:color="auto"/>
            </w:tcBorders>
            <w:shd w:val="clear" w:color="000000" w:fill="FFFFFF"/>
            <w:vAlign w:val="center"/>
            <w:hideMark/>
          </w:tcPr>
          <w:p w:rsidR="00CA621D" w:rsidRPr="00CA621D" w:rsidP="00FF1F2F" w14:paraId="471EC610"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000000" w:fill="FFFFFF"/>
            <w:vAlign w:val="center"/>
            <w:hideMark/>
          </w:tcPr>
          <w:p w:rsidR="00CA621D" w:rsidRPr="00CA621D" w:rsidP="00FF1F2F" w14:paraId="02A12B7C"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136" w:type="dxa"/>
            <w:tcBorders>
              <w:top w:val="nil"/>
              <w:left w:val="nil"/>
              <w:bottom w:val="single" w:sz="4" w:space="0" w:color="auto"/>
              <w:right w:val="single" w:sz="4" w:space="0" w:color="auto"/>
            </w:tcBorders>
            <w:shd w:val="clear" w:color="000000" w:fill="FFFFFF"/>
            <w:vAlign w:val="center"/>
            <w:hideMark/>
          </w:tcPr>
          <w:p w:rsidR="00CA621D" w:rsidRPr="00CA621D" w:rsidP="00FF1F2F" w14:paraId="7C0DD516"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000000" w:fill="FFFFFF"/>
            <w:vAlign w:val="center"/>
            <w:hideMark/>
          </w:tcPr>
          <w:p w:rsidR="00CA621D" w:rsidRPr="00CA621D" w:rsidP="00FF1F2F" w14:paraId="39B4B12B"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$25,900 </w:t>
            </w:r>
          </w:p>
        </w:tc>
      </w:tr>
      <w:tr w14:paraId="57186504" w14:textId="77777777" w:rsidTr="006707EC">
        <w:tblPrEx>
          <w:tblW w:w="10635" w:type="dxa"/>
          <w:jc w:val="center"/>
          <w:tblLook w:val="04A0"/>
        </w:tblPrEx>
        <w:trPr>
          <w:trHeight w:val="291"/>
          <w:jc w:val="center"/>
        </w:trPr>
        <w:tc>
          <w:tcPr>
            <w:tcW w:w="2816" w:type="dxa"/>
            <w:tcBorders>
              <w:top w:val="nil"/>
              <w:left w:val="single" w:sz="4" w:space="0" w:color="auto"/>
              <w:bottom w:val="single" w:sz="4" w:space="0" w:color="auto"/>
              <w:right w:val="single" w:sz="4" w:space="0" w:color="auto"/>
            </w:tcBorders>
            <w:shd w:val="clear" w:color="000000" w:fill="FFFFFF"/>
            <w:vAlign w:val="center"/>
            <w:hideMark/>
          </w:tcPr>
          <w:p w:rsidR="00CA621D" w:rsidRPr="00CA621D" w:rsidP="00FF1F2F" w14:paraId="12E5B782"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Quality Control, except CDX Registration</w:t>
            </w:r>
          </w:p>
        </w:tc>
        <w:tc>
          <w:tcPr>
            <w:tcW w:w="1119" w:type="dxa"/>
            <w:tcBorders>
              <w:top w:val="nil"/>
              <w:left w:val="nil"/>
              <w:bottom w:val="single" w:sz="4" w:space="0" w:color="auto"/>
              <w:right w:val="single" w:sz="4" w:space="0" w:color="auto"/>
            </w:tcBorders>
            <w:shd w:val="clear" w:color="000000" w:fill="FFFFFF"/>
            <w:vAlign w:val="center"/>
            <w:hideMark/>
          </w:tcPr>
          <w:p w:rsidR="00CA621D" w:rsidRPr="00CA621D" w:rsidP="00FF1F2F" w14:paraId="11BDAEA7"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EPA Staff </w:t>
            </w:r>
          </w:p>
        </w:tc>
        <w:tc>
          <w:tcPr>
            <w:tcW w:w="1766" w:type="dxa"/>
            <w:tcBorders>
              <w:top w:val="nil"/>
              <w:left w:val="nil"/>
              <w:bottom w:val="single" w:sz="4" w:space="0" w:color="auto"/>
              <w:right w:val="single" w:sz="4" w:space="0" w:color="auto"/>
            </w:tcBorders>
            <w:shd w:val="clear" w:color="000000" w:fill="FFFFFF"/>
            <w:vAlign w:val="center"/>
            <w:hideMark/>
          </w:tcPr>
          <w:p w:rsidR="00CA621D" w:rsidRPr="00CA621D" w:rsidP="00FF1F2F" w14:paraId="34E1E787"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40,286 Reports</w:t>
            </w:r>
          </w:p>
        </w:tc>
        <w:tc>
          <w:tcPr>
            <w:tcW w:w="1381" w:type="dxa"/>
            <w:tcBorders>
              <w:top w:val="nil"/>
              <w:left w:val="nil"/>
              <w:bottom w:val="single" w:sz="4" w:space="0" w:color="auto"/>
              <w:right w:val="single" w:sz="4" w:space="0" w:color="auto"/>
            </w:tcBorders>
            <w:shd w:val="clear" w:color="000000" w:fill="FFFFFF"/>
            <w:vAlign w:val="center"/>
            <w:hideMark/>
          </w:tcPr>
          <w:p w:rsidR="00CA621D" w:rsidRPr="00CA621D" w:rsidP="00FF1F2F" w14:paraId="597BFBFC"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0.005</w:t>
            </w:r>
          </w:p>
        </w:tc>
        <w:tc>
          <w:tcPr>
            <w:tcW w:w="1206" w:type="dxa"/>
            <w:tcBorders>
              <w:top w:val="nil"/>
              <w:left w:val="nil"/>
              <w:bottom w:val="single" w:sz="4" w:space="0" w:color="auto"/>
              <w:right w:val="single" w:sz="4" w:space="0" w:color="auto"/>
            </w:tcBorders>
            <w:shd w:val="clear" w:color="000000" w:fill="FFFFFF"/>
            <w:vAlign w:val="center"/>
            <w:hideMark/>
          </w:tcPr>
          <w:p w:rsidR="00CA621D" w:rsidRPr="00CA621D" w:rsidP="00FF1F2F" w14:paraId="047ED981"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$0.51 </w:t>
            </w:r>
          </w:p>
        </w:tc>
        <w:tc>
          <w:tcPr>
            <w:tcW w:w="1136" w:type="dxa"/>
            <w:tcBorders>
              <w:top w:val="nil"/>
              <w:left w:val="nil"/>
              <w:bottom w:val="single" w:sz="4" w:space="0" w:color="auto"/>
              <w:right w:val="single" w:sz="4" w:space="0" w:color="auto"/>
            </w:tcBorders>
            <w:shd w:val="clear" w:color="000000" w:fill="FFFFFF"/>
            <w:vAlign w:val="center"/>
            <w:hideMark/>
          </w:tcPr>
          <w:p w:rsidR="00CA621D" w:rsidRPr="00CA621D" w:rsidP="00FF1F2F" w14:paraId="116ACD02"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188</w:t>
            </w:r>
          </w:p>
        </w:tc>
        <w:tc>
          <w:tcPr>
            <w:tcW w:w="1206" w:type="dxa"/>
            <w:tcBorders>
              <w:top w:val="nil"/>
              <w:left w:val="nil"/>
              <w:bottom w:val="single" w:sz="4" w:space="0" w:color="auto"/>
              <w:right w:val="single" w:sz="4" w:space="0" w:color="auto"/>
            </w:tcBorders>
            <w:shd w:val="clear" w:color="000000" w:fill="FFFFFF"/>
            <w:vAlign w:val="center"/>
            <w:hideMark/>
          </w:tcPr>
          <w:p w:rsidR="00CA621D" w:rsidRPr="00CA621D" w:rsidP="00FF1F2F" w14:paraId="49478078"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$20,614 </w:t>
            </w:r>
          </w:p>
        </w:tc>
      </w:tr>
      <w:tr w14:paraId="2C82BD0E" w14:textId="77777777" w:rsidTr="006707EC">
        <w:tblPrEx>
          <w:tblW w:w="10635" w:type="dxa"/>
          <w:jc w:val="center"/>
          <w:tblLook w:val="04A0"/>
        </w:tblPrEx>
        <w:trPr>
          <w:trHeight w:val="632"/>
          <w:jc w:val="center"/>
        </w:trPr>
        <w:tc>
          <w:tcPr>
            <w:tcW w:w="2816" w:type="dxa"/>
            <w:tcBorders>
              <w:top w:val="nil"/>
              <w:left w:val="single" w:sz="4" w:space="0" w:color="auto"/>
              <w:bottom w:val="single" w:sz="4" w:space="0" w:color="auto"/>
              <w:right w:val="single" w:sz="4" w:space="0" w:color="auto"/>
            </w:tcBorders>
            <w:shd w:val="clear" w:color="000000" w:fill="FFFFFF"/>
            <w:vAlign w:val="center"/>
            <w:hideMark/>
          </w:tcPr>
          <w:p w:rsidR="00CA621D" w:rsidRPr="00CA621D" w:rsidP="00FF1F2F" w14:paraId="5DE83A18"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Quality Control</w:t>
            </w:r>
          </w:p>
        </w:tc>
        <w:tc>
          <w:tcPr>
            <w:tcW w:w="1119" w:type="dxa"/>
            <w:tcBorders>
              <w:top w:val="nil"/>
              <w:left w:val="nil"/>
              <w:bottom w:val="single" w:sz="4" w:space="0" w:color="auto"/>
              <w:right w:val="single" w:sz="4" w:space="0" w:color="auto"/>
            </w:tcBorders>
            <w:shd w:val="clear" w:color="000000" w:fill="FFFFFF"/>
            <w:vAlign w:val="center"/>
            <w:hideMark/>
          </w:tcPr>
          <w:p w:rsidR="00CA621D" w:rsidRPr="00CA621D" w:rsidP="00FF1F2F" w14:paraId="31099D49"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Contractor</w:t>
            </w:r>
          </w:p>
        </w:tc>
        <w:tc>
          <w:tcPr>
            <w:tcW w:w="1766" w:type="dxa"/>
            <w:tcBorders>
              <w:top w:val="nil"/>
              <w:left w:val="nil"/>
              <w:bottom w:val="single" w:sz="4" w:space="0" w:color="auto"/>
              <w:right w:val="single" w:sz="4" w:space="0" w:color="auto"/>
            </w:tcBorders>
            <w:shd w:val="clear" w:color="000000" w:fill="FFFFFF"/>
            <w:vAlign w:val="center"/>
            <w:hideMark/>
          </w:tcPr>
          <w:p w:rsidR="00CA621D" w:rsidRPr="00CA621D" w:rsidP="00FF1F2F" w14:paraId="58E3C8F1"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381" w:type="dxa"/>
            <w:tcBorders>
              <w:top w:val="nil"/>
              <w:left w:val="nil"/>
              <w:bottom w:val="single" w:sz="4" w:space="0" w:color="auto"/>
              <w:right w:val="single" w:sz="4" w:space="0" w:color="auto"/>
            </w:tcBorders>
            <w:shd w:val="clear" w:color="000000" w:fill="FFFFFF"/>
            <w:vAlign w:val="center"/>
            <w:hideMark/>
          </w:tcPr>
          <w:p w:rsidR="00CA621D" w:rsidRPr="00CA621D" w:rsidP="00FF1F2F" w14:paraId="35A0B412"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000000" w:fill="FFFFFF"/>
            <w:vAlign w:val="center"/>
            <w:hideMark/>
          </w:tcPr>
          <w:p w:rsidR="00CA621D" w:rsidRPr="00CA621D" w:rsidP="00FF1F2F" w14:paraId="7128ED4E"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136" w:type="dxa"/>
            <w:tcBorders>
              <w:top w:val="nil"/>
              <w:left w:val="nil"/>
              <w:bottom w:val="single" w:sz="4" w:space="0" w:color="auto"/>
              <w:right w:val="single" w:sz="4" w:space="0" w:color="auto"/>
            </w:tcBorders>
            <w:shd w:val="clear" w:color="000000" w:fill="FFFFFF"/>
            <w:vAlign w:val="center"/>
            <w:hideMark/>
          </w:tcPr>
          <w:p w:rsidR="00CA621D" w:rsidRPr="00CA621D" w:rsidP="00FF1F2F" w14:paraId="4A24B036"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000000" w:fill="FFFFFF"/>
            <w:vAlign w:val="center"/>
            <w:hideMark/>
          </w:tcPr>
          <w:p w:rsidR="00CA621D" w:rsidRPr="00CA621D" w:rsidP="00FF1F2F" w14:paraId="7C88F097"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$25,000 </w:t>
            </w:r>
          </w:p>
        </w:tc>
      </w:tr>
      <w:tr w14:paraId="63083AD6" w14:textId="77777777" w:rsidTr="006707EC">
        <w:tblPrEx>
          <w:tblW w:w="10635" w:type="dxa"/>
          <w:jc w:val="center"/>
          <w:tblLook w:val="04A0"/>
        </w:tblPrEx>
        <w:trPr>
          <w:trHeight w:val="542"/>
          <w:jc w:val="center"/>
        </w:trPr>
        <w:tc>
          <w:tcPr>
            <w:tcW w:w="2816" w:type="dxa"/>
            <w:tcBorders>
              <w:top w:val="nil"/>
              <w:left w:val="single" w:sz="4" w:space="0" w:color="auto"/>
              <w:bottom w:val="single" w:sz="4" w:space="0" w:color="auto"/>
              <w:right w:val="single" w:sz="4" w:space="0" w:color="auto"/>
            </w:tcBorders>
            <w:shd w:val="clear" w:color="000000" w:fill="FFFFFF"/>
            <w:vAlign w:val="center"/>
            <w:hideMark/>
          </w:tcPr>
          <w:p w:rsidR="00CA621D" w:rsidRPr="00CA621D" w:rsidP="00FF1F2F" w14:paraId="2E9B80A7"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Quality Control, CDX Registration</w:t>
            </w:r>
          </w:p>
        </w:tc>
        <w:tc>
          <w:tcPr>
            <w:tcW w:w="1119" w:type="dxa"/>
            <w:tcBorders>
              <w:top w:val="nil"/>
              <w:left w:val="nil"/>
              <w:bottom w:val="single" w:sz="4" w:space="0" w:color="auto"/>
              <w:right w:val="single" w:sz="4" w:space="0" w:color="auto"/>
            </w:tcBorders>
            <w:shd w:val="clear" w:color="000000" w:fill="FFFFFF"/>
            <w:vAlign w:val="center"/>
            <w:hideMark/>
          </w:tcPr>
          <w:p w:rsidR="00CA621D" w:rsidRPr="00CA621D" w:rsidP="00FF1F2F" w14:paraId="1EA353D9"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EPA Staff</w:t>
            </w:r>
          </w:p>
        </w:tc>
        <w:tc>
          <w:tcPr>
            <w:tcW w:w="1766" w:type="dxa"/>
            <w:tcBorders>
              <w:top w:val="nil"/>
              <w:left w:val="nil"/>
              <w:bottom w:val="single" w:sz="4" w:space="0" w:color="auto"/>
              <w:right w:val="single" w:sz="4" w:space="0" w:color="auto"/>
            </w:tcBorders>
            <w:shd w:val="clear" w:color="000000" w:fill="FFFFFF"/>
            <w:vAlign w:val="center"/>
            <w:hideMark/>
          </w:tcPr>
          <w:p w:rsidR="00CA621D" w:rsidRPr="00CA621D" w:rsidP="00FF1F2F" w14:paraId="7AD462C0"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1,365 CDX Registrations</w:t>
            </w:r>
          </w:p>
        </w:tc>
        <w:tc>
          <w:tcPr>
            <w:tcW w:w="1381" w:type="dxa"/>
            <w:tcBorders>
              <w:top w:val="nil"/>
              <w:left w:val="nil"/>
              <w:bottom w:val="single" w:sz="4" w:space="0" w:color="auto"/>
              <w:right w:val="single" w:sz="4" w:space="0" w:color="auto"/>
            </w:tcBorders>
            <w:shd w:val="clear" w:color="000000" w:fill="FFFFFF"/>
            <w:vAlign w:val="center"/>
            <w:hideMark/>
          </w:tcPr>
          <w:p w:rsidR="00CA621D" w:rsidRPr="00CA621D" w:rsidP="00FF1F2F" w14:paraId="40DD656C"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0.0081</w:t>
            </w:r>
          </w:p>
        </w:tc>
        <w:tc>
          <w:tcPr>
            <w:tcW w:w="1206" w:type="dxa"/>
            <w:tcBorders>
              <w:top w:val="nil"/>
              <w:left w:val="nil"/>
              <w:bottom w:val="single" w:sz="4" w:space="0" w:color="auto"/>
              <w:right w:val="single" w:sz="4" w:space="0" w:color="auto"/>
            </w:tcBorders>
            <w:shd w:val="clear" w:color="000000" w:fill="FFFFFF"/>
            <w:vAlign w:val="center"/>
            <w:hideMark/>
          </w:tcPr>
          <w:p w:rsidR="00CA621D" w:rsidRPr="00CA621D" w:rsidP="00FF1F2F" w14:paraId="0888BBE0"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$0.89 </w:t>
            </w:r>
          </w:p>
        </w:tc>
        <w:tc>
          <w:tcPr>
            <w:tcW w:w="1136" w:type="dxa"/>
            <w:tcBorders>
              <w:top w:val="nil"/>
              <w:left w:val="nil"/>
              <w:bottom w:val="single" w:sz="4" w:space="0" w:color="auto"/>
              <w:right w:val="single" w:sz="4" w:space="0" w:color="auto"/>
            </w:tcBorders>
            <w:shd w:val="clear" w:color="000000" w:fill="FFFFFF"/>
            <w:vAlign w:val="center"/>
            <w:hideMark/>
          </w:tcPr>
          <w:p w:rsidR="00CA621D" w:rsidRPr="00CA621D" w:rsidP="00FF1F2F" w14:paraId="009C3979"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11</w:t>
            </w:r>
          </w:p>
        </w:tc>
        <w:tc>
          <w:tcPr>
            <w:tcW w:w="1206" w:type="dxa"/>
            <w:tcBorders>
              <w:top w:val="nil"/>
              <w:left w:val="nil"/>
              <w:bottom w:val="single" w:sz="4" w:space="0" w:color="auto"/>
              <w:right w:val="single" w:sz="4" w:space="0" w:color="auto"/>
            </w:tcBorders>
            <w:shd w:val="clear" w:color="000000" w:fill="FFFFFF"/>
            <w:vAlign w:val="center"/>
            <w:hideMark/>
          </w:tcPr>
          <w:p w:rsidR="00CA621D" w:rsidRPr="00CA621D" w:rsidP="00FF1F2F" w14:paraId="04559A2C"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$1,215 </w:t>
            </w:r>
          </w:p>
        </w:tc>
      </w:tr>
      <w:tr w14:paraId="510ED752" w14:textId="77777777" w:rsidTr="006707EC">
        <w:tblPrEx>
          <w:tblW w:w="10635" w:type="dxa"/>
          <w:jc w:val="center"/>
          <w:tblLook w:val="04A0"/>
        </w:tblPrEx>
        <w:trPr>
          <w:trHeight w:val="291"/>
          <w:jc w:val="center"/>
        </w:trPr>
        <w:tc>
          <w:tcPr>
            <w:tcW w:w="82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621D" w:rsidRPr="00CA621D" w:rsidP="00FF1F2F" w14:paraId="4DC61990" w14:textId="77777777">
            <w:pPr>
              <w:keepNext/>
              <w:keepLines/>
              <w:spacing w:after="0" w:line="240" w:lineRule="auto"/>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Total Variable Burden and Cost</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43CF8087" w14:textId="77777777">
            <w:pPr>
              <w:keepNext/>
              <w:keepLines/>
              <w:spacing w:after="0" w:line="240" w:lineRule="auto"/>
              <w:jc w:val="right"/>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199</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0A82A55F" w14:textId="77777777">
            <w:pPr>
              <w:keepNext/>
              <w:keepLines/>
              <w:spacing w:after="0" w:line="240" w:lineRule="auto"/>
              <w:jc w:val="right"/>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 xml:space="preserve">$72,729 </w:t>
            </w:r>
          </w:p>
        </w:tc>
      </w:tr>
      <w:tr w14:paraId="32E5A0A0" w14:textId="77777777" w:rsidTr="006707EC">
        <w:tblPrEx>
          <w:tblW w:w="10635" w:type="dxa"/>
          <w:jc w:val="center"/>
          <w:tblLook w:val="04A0"/>
        </w:tblPrEx>
        <w:trPr>
          <w:trHeight w:val="291"/>
          <w:jc w:val="center"/>
        </w:trPr>
        <w:tc>
          <w:tcPr>
            <w:tcW w:w="10635" w:type="dxa"/>
            <w:gridSpan w:val="7"/>
            <w:tcBorders>
              <w:top w:val="single" w:sz="4" w:space="0" w:color="auto"/>
              <w:left w:val="single" w:sz="4" w:space="0" w:color="auto"/>
              <w:bottom w:val="single" w:sz="4" w:space="0" w:color="auto"/>
              <w:right w:val="single" w:sz="4" w:space="0" w:color="auto"/>
            </w:tcBorders>
            <w:shd w:val="clear" w:color="000000" w:fill="F3F3F3"/>
            <w:vAlign w:val="center"/>
            <w:hideMark/>
          </w:tcPr>
          <w:p w:rsidR="00CA621D" w:rsidRPr="00CA621D" w:rsidP="00FF1F2F" w14:paraId="41674C44" w14:textId="77777777">
            <w:pPr>
              <w:keepNext/>
              <w:keepLines/>
              <w:spacing w:after="0" w:line="240" w:lineRule="auto"/>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Printing and Publishing Forms and Materials</w:t>
            </w:r>
          </w:p>
        </w:tc>
      </w:tr>
      <w:tr w14:paraId="2A16DC40" w14:textId="77777777" w:rsidTr="006707EC">
        <w:tblPrEx>
          <w:tblW w:w="10635" w:type="dxa"/>
          <w:jc w:val="center"/>
          <w:tblLook w:val="04A0"/>
        </w:tblPrEx>
        <w:trPr>
          <w:trHeight w:val="602"/>
          <w:jc w:val="center"/>
        </w:trPr>
        <w:tc>
          <w:tcPr>
            <w:tcW w:w="2816" w:type="dxa"/>
            <w:tcBorders>
              <w:top w:val="nil"/>
              <w:left w:val="single" w:sz="4" w:space="0" w:color="auto"/>
              <w:bottom w:val="single" w:sz="4" w:space="0" w:color="auto"/>
              <w:right w:val="single" w:sz="4" w:space="0" w:color="auto"/>
            </w:tcBorders>
            <w:shd w:val="clear" w:color="auto" w:fill="auto"/>
            <w:vAlign w:val="center"/>
            <w:hideMark/>
          </w:tcPr>
          <w:p w:rsidR="00CA621D" w:rsidRPr="00CA621D" w:rsidP="00FF1F2F" w14:paraId="2E4FDE63"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Data Processing, Systems Development; Contract Oversight and Management</w:t>
            </w:r>
          </w:p>
        </w:tc>
        <w:tc>
          <w:tcPr>
            <w:tcW w:w="1119" w:type="dxa"/>
            <w:tcBorders>
              <w:top w:val="nil"/>
              <w:left w:val="nil"/>
              <w:bottom w:val="single" w:sz="4" w:space="0" w:color="auto"/>
              <w:right w:val="single" w:sz="4" w:space="0" w:color="auto"/>
            </w:tcBorders>
            <w:shd w:val="clear" w:color="auto" w:fill="auto"/>
            <w:vAlign w:val="center"/>
            <w:hideMark/>
          </w:tcPr>
          <w:p w:rsidR="00CA621D" w:rsidRPr="00CA621D" w:rsidP="00FF1F2F" w14:paraId="491341A6"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EPA Staff</w:t>
            </w:r>
          </w:p>
        </w:tc>
        <w:tc>
          <w:tcPr>
            <w:tcW w:w="1766" w:type="dxa"/>
            <w:tcBorders>
              <w:top w:val="nil"/>
              <w:left w:val="nil"/>
              <w:bottom w:val="single" w:sz="4" w:space="0" w:color="auto"/>
              <w:right w:val="single" w:sz="4" w:space="0" w:color="auto"/>
            </w:tcBorders>
            <w:shd w:val="clear" w:color="auto" w:fill="auto"/>
            <w:vAlign w:val="center"/>
            <w:hideMark/>
          </w:tcPr>
          <w:p w:rsidR="00CA621D" w:rsidRPr="00CA621D" w:rsidP="00FF1F2F" w14:paraId="02CA544D"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381" w:type="dxa"/>
            <w:tcBorders>
              <w:top w:val="nil"/>
              <w:left w:val="nil"/>
              <w:bottom w:val="single" w:sz="4" w:space="0" w:color="auto"/>
              <w:right w:val="single" w:sz="4" w:space="0" w:color="auto"/>
            </w:tcBorders>
            <w:shd w:val="clear" w:color="auto" w:fill="auto"/>
            <w:vAlign w:val="center"/>
            <w:hideMark/>
          </w:tcPr>
          <w:p w:rsidR="00CA621D" w:rsidRPr="00CA621D" w:rsidP="00FF1F2F" w14:paraId="2710BD08"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48309215"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0A6106A0"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2,080</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4747D72E"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$228,070 </w:t>
            </w:r>
          </w:p>
        </w:tc>
      </w:tr>
      <w:tr w14:paraId="5010BEB1" w14:textId="77777777" w:rsidTr="006707EC">
        <w:tblPrEx>
          <w:tblW w:w="10635" w:type="dxa"/>
          <w:jc w:val="center"/>
          <w:tblLook w:val="04A0"/>
        </w:tblPrEx>
        <w:trPr>
          <w:trHeight w:val="783"/>
          <w:jc w:val="center"/>
        </w:trPr>
        <w:tc>
          <w:tcPr>
            <w:tcW w:w="2816" w:type="dxa"/>
            <w:tcBorders>
              <w:top w:val="nil"/>
              <w:left w:val="single" w:sz="4" w:space="0" w:color="auto"/>
              <w:bottom w:val="single" w:sz="4" w:space="0" w:color="auto"/>
              <w:right w:val="single" w:sz="4" w:space="0" w:color="auto"/>
            </w:tcBorders>
            <w:shd w:val="clear" w:color="auto" w:fill="auto"/>
            <w:vAlign w:val="center"/>
            <w:hideMark/>
          </w:tcPr>
          <w:p w:rsidR="00CA621D" w:rsidRPr="00CA621D" w:rsidP="00FF1F2F" w14:paraId="4A0C433D"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Development and maintenance of the electronic data collection tool (incl. electronic guidance)</w:t>
            </w:r>
          </w:p>
        </w:tc>
        <w:tc>
          <w:tcPr>
            <w:tcW w:w="1119" w:type="dxa"/>
            <w:tcBorders>
              <w:top w:val="nil"/>
              <w:left w:val="nil"/>
              <w:bottom w:val="single" w:sz="4" w:space="0" w:color="auto"/>
              <w:right w:val="single" w:sz="4" w:space="0" w:color="auto"/>
            </w:tcBorders>
            <w:shd w:val="clear" w:color="auto" w:fill="auto"/>
            <w:vAlign w:val="center"/>
            <w:hideMark/>
          </w:tcPr>
          <w:p w:rsidR="00CA621D" w:rsidRPr="00CA621D" w:rsidP="00FF1F2F" w14:paraId="537C59A5"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Contractor</w:t>
            </w:r>
          </w:p>
        </w:tc>
        <w:tc>
          <w:tcPr>
            <w:tcW w:w="1766" w:type="dxa"/>
            <w:tcBorders>
              <w:top w:val="nil"/>
              <w:left w:val="nil"/>
              <w:bottom w:val="single" w:sz="4" w:space="0" w:color="auto"/>
              <w:right w:val="single" w:sz="4" w:space="0" w:color="auto"/>
            </w:tcBorders>
            <w:shd w:val="clear" w:color="auto" w:fill="auto"/>
            <w:vAlign w:val="center"/>
            <w:hideMark/>
          </w:tcPr>
          <w:p w:rsidR="00CA621D" w:rsidRPr="00CA621D" w:rsidP="00FF1F2F" w14:paraId="6487EAA7"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381" w:type="dxa"/>
            <w:tcBorders>
              <w:top w:val="nil"/>
              <w:left w:val="nil"/>
              <w:bottom w:val="single" w:sz="4" w:space="0" w:color="auto"/>
              <w:right w:val="single" w:sz="4" w:space="0" w:color="auto"/>
            </w:tcBorders>
            <w:shd w:val="clear" w:color="auto" w:fill="auto"/>
            <w:vAlign w:val="center"/>
            <w:hideMark/>
          </w:tcPr>
          <w:p w:rsidR="00CA621D" w:rsidRPr="00CA621D" w:rsidP="00FF1F2F" w14:paraId="4D41EF18"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757E512B"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09FCDC94"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44A6DA47"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$162,000 </w:t>
            </w:r>
          </w:p>
        </w:tc>
      </w:tr>
      <w:tr w14:paraId="2AFC56AC" w14:textId="77777777" w:rsidTr="006707EC">
        <w:tblPrEx>
          <w:tblW w:w="10635" w:type="dxa"/>
          <w:jc w:val="center"/>
          <w:tblLook w:val="04A0"/>
        </w:tblPrEx>
        <w:trPr>
          <w:trHeight w:val="572"/>
          <w:jc w:val="center"/>
        </w:trPr>
        <w:tc>
          <w:tcPr>
            <w:tcW w:w="2816" w:type="dxa"/>
            <w:tcBorders>
              <w:top w:val="nil"/>
              <w:left w:val="single" w:sz="4" w:space="0" w:color="auto"/>
              <w:bottom w:val="single" w:sz="4" w:space="0" w:color="auto"/>
              <w:right w:val="single" w:sz="4" w:space="0" w:color="auto"/>
            </w:tcBorders>
            <w:shd w:val="clear" w:color="auto" w:fill="auto"/>
            <w:vAlign w:val="center"/>
            <w:hideMark/>
          </w:tcPr>
          <w:p w:rsidR="00CA621D" w:rsidRPr="00CA621D" w:rsidP="00FF1F2F" w14:paraId="2D707188"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Back Up Systems Operations and Maintenance</w:t>
            </w:r>
          </w:p>
        </w:tc>
        <w:tc>
          <w:tcPr>
            <w:tcW w:w="1119" w:type="dxa"/>
            <w:tcBorders>
              <w:top w:val="nil"/>
              <w:left w:val="nil"/>
              <w:bottom w:val="single" w:sz="4" w:space="0" w:color="auto"/>
              <w:right w:val="single" w:sz="4" w:space="0" w:color="auto"/>
            </w:tcBorders>
            <w:shd w:val="clear" w:color="auto" w:fill="auto"/>
            <w:vAlign w:val="center"/>
            <w:hideMark/>
          </w:tcPr>
          <w:p w:rsidR="00CA621D" w:rsidRPr="00CA621D" w:rsidP="00FF1F2F" w14:paraId="4DC03118"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Contractor</w:t>
            </w:r>
          </w:p>
        </w:tc>
        <w:tc>
          <w:tcPr>
            <w:tcW w:w="1766" w:type="dxa"/>
            <w:tcBorders>
              <w:top w:val="nil"/>
              <w:left w:val="nil"/>
              <w:bottom w:val="single" w:sz="4" w:space="0" w:color="auto"/>
              <w:right w:val="single" w:sz="4" w:space="0" w:color="auto"/>
            </w:tcBorders>
            <w:shd w:val="clear" w:color="auto" w:fill="auto"/>
            <w:vAlign w:val="center"/>
            <w:hideMark/>
          </w:tcPr>
          <w:p w:rsidR="00CA621D" w:rsidRPr="00CA621D" w:rsidP="00FF1F2F" w14:paraId="61283285"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381" w:type="dxa"/>
            <w:tcBorders>
              <w:top w:val="nil"/>
              <w:left w:val="nil"/>
              <w:bottom w:val="single" w:sz="4" w:space="0" w:color="auto"/>
              <w:right w:val="single" w:sz="4" w:space="0" w:color="auto"/>
            </w:tcBorders>
            <w:shd w:val="clear" w:color="auto" w:fill="auto"/>
            <w:vAlign w:val="center"/>
            <w:hideMark/>
          </w:tcPr>
          <w:p w:rsidR="00CA621D" w:rsidRPr="00CA621D" w:rsidP="00FF1F2F" w14:paraId="5E26F91F"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18300E2E"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069CAE1E"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43D0593D"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$161,000 </w:t>
            </w:r>
          </w:p>
        </w:tc>
      </w:tr>
      <w:tr w14:paraId="618AF384" w14:textId="77777777" w:rsidTr="006707EC">
        <w:tblPrEx>
          <w:tblW w:w="10635" w:type="dxa"/>
          <w:jc w:val="center"/>
          <w:tblLook w:val="04A0"/>
        </w:tblPrEx>
        <w:trPr>
          <w:trHeight w:val="291"/>
          <w:jc w:val="center"/>
        </w:trPr>
        <w:tc>
          <w:tcPr>
            <w:tcW w:w="2816" w:type="dxa"/>
            <w:tcBorders>
              <w:top w:val="nil"/>
              <w:left w:val="single" w:sz="4" w:space="0" w:color="auto"/>
              <w:bottom w:val="single" w:sz="4" w:space="0" w:color="auto"/>
              <w:right w:val="single" w:sz="4" w:space="0" w:color="auto"/>
            </w:tcBorders>
            <w:shd w:val="clear" w:color="auto" w:fill="auto"/>
            <w:vAlign w:val="center"/>
            <w:hideMark/>
          </w:tcPr>
          <w:p w:rsidR="00CA621D" w:rsidRPr="00CA621D" w:rsidP="00FF1F2F" w14:paraId="2D95D256"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Publishing Forms and Materials</w:t>
            </w:r>
          </w:p>
        </w:tc>
        <w:tc>
          <w:tcPr>
            <w:tcW w:w="1119" w:type="dxa"/>
            <w:tcBorders>
              <w:top w:val="nil"/>
              <w:left w:val="nil"/>
              <w:bottom w:val="single" w:sz="4" w:space="0" w:color="auto"/>
              <w:right w:val="single" w:sz="4" w:space="0" w:color="auto"/>
            </w:tcBorders>
            <w:shd w:val="clear" w:color="auto" w:fill="auto"/>
            <w:vAlign w:val="center"/>
            <w:hideMark/>
          </w:tcPr>
          <w:p w:rsidR="00CA621D" w:rsidRPr="00CA621D" w:rsidP="00FF1F2F" w14:paraId="67B2FC84"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Contractor</w:t>
            </w:r>
          </w:p>
        </w:tc>
        <w:tc>
          <w:tcPr>
            <w:tcW w:w="1766" w:type="dxa"/>
            <w:tcBorders>
              <w:top w:val="nil"/>
              <w:left w:val="nil"/>
              <w:bottom w:val="single" w:sz="4" w:space="0" w:color="auto"/>
              <w:right w:val="single" w:sz="4" w:space="0" w:color="auto"/>
            </w:tcBorders>
            <w:shd w:val="clear" w:color="auto" w:fill="auto"/>
            <w:vAlign w:val="center"/>
            <w:hideMark/>
          </w:tcPr>
          <w:p w:rsidR="00CA621D" w:rsidRPr="00CA621D" w:rsidP="00FF1F2F" w14:paraId="588E3489"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381" w:type="dxa"/>
            <w:tcBorders>
              <w:top w:val="nil"/>
              <w:left w:val="nil"/>
              <w:bottom w:val="single" w:sz="4" w:space="0" w:color="auto"/>
              <w:right w:val="single" w:sz="4" w:space="0" w:color="auto"/>
            </w:tcBorders>
            <w:shd w:val="clear" w:color="auto" w:fill="auto"/>
            <w:vAlign w:val="center"/>
            <w:hideMark/>
          </w:tcPr>
          <w:p w:rsidR="00CA621D" w:rsidRPr="00CA621D" w:rsidP="00FF1F2F" w14:paraId="62824AC7"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3B7B9A6C"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0FDFEAD1"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1C4015A4"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$8,333 </w:t>
            </w:r>
          </w:p>
        </w:tc>
      </w:tr>
      <w:tr w14:paraId="56DC4630" w14:textId="77777777" w:rsidTr="006707EC">
        <w:tblPrEx>
          <w:tblW w:w="10635" w:type="dxa"/>
          <w:jc w:val="center"/>
          <w:tblLook w:val="04A0"/>
        </w:tblPrEx>
        <w:trPr>
          <w:trHeight w:val="291"/>
          <w:jc w:val="center"/>
        </w:trPr>
        <w:tc>
          <w:tcPr>
            <w:tcW w:w="2816" w:type="dxa"/>
            <w:tcBorders>
              <w:top w:val="nil"/>
              <w:left w:val="single" w:sz="4" w:space="0" w:color="auto"/>
              <w:bottom w:val="single" w:sz="4" w:space="0" w:color="auto"/>
              <w:right w:val="single" w:sz="4" w:space="0" w:color="auto"/>
            </w:tcBorders>
            <w:shd w:val="clear" w:color="auto" w:fill="auto"/>
            <w:vAlign w:val="center"/>
            <w:hideMark/>
          </w:tcPr>
          <w:p w:rsidR="00CA621D" w:rsidRPr="00CA621D" w:rsidP="00FF1F2F" w14:paraId="2AACFEF9"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Managing the TSCA Hotline</w:t>
            </w:r>
          </w:p>
        </w:tc>
        <w:tc>
          <w:tcPr>
            <w:tcW w:w="1119" w:type="dxa"/>
            <w:tcBorders>
              <w:top w:val="nil"/>
              <w:left w:val="nil"/>
              <w:bottom w:val="single" w:sz="4" w:space="0" w:color="auto"/>
              <w:right w:val="single" w:sz="4" w:space="0" w:color="auto"/>
            </w:tcBorders>
            <w:shd w:val="clear" w:color="auto" w:fill="auto"/>
            <w:vAlign w:val="center"/>
            <w:hideMark/>
          </w:tcPr>
          <w:p w:rsidR="00CA621D" w:rsidRPr="00CA621D" w:rsidP="00FF1F2F" w14:paraId="49BE5F23"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Contractor</w:t>
            </w:r>
          </w:p>
        </w:tc>
        <w:tc>
          <w:tcPr>
            <w:tcW w:w="1766" w:type="dxa"/>
            <w:tcBorders>
              <w:top w:val="nil"/>
              <w:left w:val="nil"/>
              <w:bottom w:val="single" w:sz="4" w:space="0" w:color="auto"/>
              <w:right w:val="single" w:sz="4" w:space="0" w:color="auto"/>
            </w:tcBorders>
            <w:shd w:val="clear" w:color="auto" w:fill="auto"/>
            <w:vAlign w:val="center"/>
            <w:hideMark/>
          </w:tcPr>
          <w:p w:rsidR="00CA621D" w:rsidRPr="00CA621D" w:rsidP="00FF1F2F" w14:paraId="2754A2E6"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381" w:type="dxa"/>
            <w:tcBorders>
              <w:top w:val="nil"/>
              <w:left w:val="nil"/>
              <w:bottom w:val="single" w:sz="4" w:space="0" w:color="auto"/>
              <w:right w:val="single" w:sz="4" w:space="0" w:color="auto"/>
            </w:tcBorders>
            <w:shd w:val="clear" w:color="auto" w:fill="auto"/>
            <w:vAlign w:val="center"/>
            <w:hideMark/>
          </w:tcPr>
          <w:p w:rsidR="00CA621D" w:rsidRPr="00CA621D" w:rsidP="00FF1F2F" w14:paraId="74FA1B95"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3A010EA7"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559BE952"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5952C1A9"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$56,520 </w:t>
            </w:r>
          </w:p>
        </w:tc>
      </w:tr>
      <w:tr w14:paraId="6D0F59D5" w14:textId="77777777" w:rsidTr="006707EC">
        <w:tblPrEx>
          <w:tblW w:w="10635" w:type="dxa"/>
          <w:jc w:val="center"/>
          <w:tblLook w:val="04A0"/>
        </w:tblPrEx>
        <w:trPr>
          <w:trHeight w:val="522"/>
          <w:jc w:val="center"/>
        </w:trPr>
        <w:tc>
          <w:tcPr>
            <w:tcW w:w="2816" w:type="dxa"/>
            <w:tcBorders>
              <w:top w:val="nil"/>
              <w:left w:val="single" w:sz="4" w:space="0" w:color="auto"/>
              <w:bottom w:val="single" w:sz="4" w:space="0" w:color="auto"/>
              <w:right w:val="single" w:sz="4" w:space="0" w:color="auto"/>
            </w:tcBorders>
            <w:shd w:val="clear" w:color="auto" w:fill="auto"/>
            <w:vAlign w:val="center"/>
            <w:hideMark/>
          </w:tcPr>
          <w:p w:rsidR="00CA621D" w:rsidRPr="00CA621D" w:rsidP="00FF1F2F" w14:paraId="5B7D7873"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Development of Reporting Instructions, webinars, group communications</w:t>
            </w:r>
          </w:p>
        </w:tc>
        <w:tc>
          <w:tcPr>
            <w:tcW w:w="1119" w:type="dxa"/>
            <w:tcBorders>
              <w:top w:val="nil"/>
              <w:left w:val="nil"/>
              <w:bottom w:val="single" w:sz="4" w:space="0" w:color="auto"/>
              <w:right w:val="single" w:sz="4" w:space="0" w:color="auto"/>
            </w:tcBorders>
            <w:shd w:val="clear" w:color="auto" w:fill="auto"/>
            <w:vAlign w:val="center"/>
            <w:hideMark/>
          </w:tcPr>
          <w:p w:rsidR="00CA621D" w:rsidRPr="00CA621D" w:rsidP="00FF1F2F" w14:paraId="7782CBE2"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EPA Staff</w:t>
            </w:r>
          </w:p>
        </w:tc>
        <w:tc>
          <w:tcPr>
            <w:tcW w:w="1766" w:type="dxa"/>
            <w:tcBorders>
              <w:top w:val="nil"/>
              <w:left w:val="nil"/>
              <w:bottom w:val="single" w:sz="4" w:space="0" w:color="auto"/>
              <w:right w:val="single" w:sz="4" w:space="0" w:color="auto"/>
            </w:tcBorders>
            <w:shd w:val="clear" w:color="auto" w:fill="auto"/>
            <w:vAlign w:val="center"/>
            <w:hideMark/>
          </w:tcPr>
          <w:p w:rsidR="00CA621D" w:rsidRPr="00CA621D" w:rsidP="00FF1F2F" w14:paraId="6FD4A3D2"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381" w:type="dxa"/>
            <w:tcBorders>
              <w:top w:val="nil"/>
              <w:left w:val="nil"/>
              <w:bottom w:val="single" w:sz="4" w:space="0" w:color="auto"/>
              <w:right w:val="single" w:sz="4" w:space="0" w:color="auto"/>
            </w:tcBorders>
            <w:shd w:val="clear" w:color="auto" w:fill="auto"/>
            <w:vAlign w:val="center"/>
            <w:hideMark/>
          </w:tcPr>
          <w:p w:rsidR="00CA621D" w:rsidRPr="00CA621D" w:rsidP="00FF1F2F" w14:paraId="4B9D9FE8"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790C616B"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6B02336A"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               1,179 </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4E7B58ED"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$129,276 </w:t>
            </w:r>
          </w:p>
        </w:tc>
      </w:tr>
      <w:tr w14:paraId="4B6C0CFC" w14:textId="77777777" w:rsidTr="006707EC">
        <w:tblPrEx>
          <w:tblW w:w="10635" w:type="dxa"/>
          <w:jc w:val="center"/>
          <w:tblLook w:val="04A0"/>
        </w:tblPrEx>
        <w:trPr>
          <w:trHeight w:val="291"/>
          <w:jc w:val="center"/>
        </w:trPr>
        <w:tc>
          <w:tcPr>
            <w:tcW w:w="2816" w:type="dxa"/>
            <w:tcBorders>
              <w:top w:val="nil"/>
              <w:left w:val="single" w:sz="4" w:space="0" w:color="auto"/>
              <w:bottom w:val="single" w:sz="4" w:space="0" w:color="auto"/>
              <w:right w:val="single" w:sz="4" w:space="0" w:color="auto"/>
            </w:tcBorders>
            <w:shd w:val="clear" w:color="auto" w:fill="auto"/>
            <w:vAlign w:val="center"/>
            <w:hideMark/>
          </w:tcPr>
          <w:p w:rsidR="00CA621D" w:rsidRPr="00CA621D" w:rsidP="00FF1F2F" w14:paraId="00F62323"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Development of Reporting Instructions</w:t>
            </w:r>
          </w:p>
        </w:tc>
        <w:tc>
          <w:tcPr>
            <w:tcW w:w="1119" w:type="dxa"/>
            <w:tcBorders>
              <w:top w:val="nil"/>
              <w:left w:val="nil"/>
              <w:bottom w:val="single" w:sz="4" w:space="0" w:color="auto"/>
              <w:right w:val="single" w:sz="4" w:space="0" w:color="auto"/>
            </w:tcBorders>
            <w:shd w:val="clear" w:color="auto" w:fill="auto"/>
            <w:vAlign w:val="center"/>
            <w:hideMark/>
          </w:tcPr>
          <w:p w:rsidR="00CA621D" w:rsidRPr="00CA621D" w:rsidP="00FF1F2F" w14:paraId="7DAEB8C6"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Contractor</w:t>
            </w:r>
          </w:p>
        </w:tc>
        <w:tc>
          <w:tcPr>
            <w:tcW w:w="1766" w:type="dxa"/>
            <w:tcBorders>
              <w:top w:val="nil"/>
              <w:left w:val="nil"/>
              <w:bottom w:val="single" w:sz="4" w:space="0" w:color="auto"/>
              <w:right w:val="single" w:sz="4" w:space="0" w:color="auto"/>
            </w:tcBorders>
            <w:shd w:val="clear" w:color="auto" w:fill="auto"/>
            <w:vAlign w:val="center"/>
            <w:hideMark/>
          </w:tcPr>
          <w:p w:rsidR="00CA621D" w:rsidRPr="00CA621D" w:rsidP="00FF1F2F" w14:paraId="32F37393"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381" w:type="dxa"/>
            <w:tcBorders>
              <w:top w:val="nil"/>
              <w:left w:val="nil"/>
              <w:bottom w:val="single" w:sz="4" w:space="0" w:color="auto"/>
              <w:right w:val="single" w:sz="4" w:space="0" w:color="auto"/>
            </w:tcBorders>
            <w:shd w:val="clear" w:color="auto" w:fill="auto"/>
            <w:vAlign w:val="center"/>
            <w:hideMark/>
          </w:tcPr>
          <w:p w:rsidR="00CA621D" w:rsidRPr="00CA621D" w:rsidP="00FF1F2F" w14:paraId="40A5A625"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2DE3A7D1"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11A9D69E" w14:textId="77777777">
            <w:pPr>
              <w:keepNext/>
              <w:keepLines/>
              <w:spacing w:after="0" w:line="240" w:lineRule="auto"/>
              <w:jc w:val="center"/>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N/A</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3B9B2F22" w14:textId="77777777">
            <w:pPr>
              <w:keepNext/>
              <w:keepLines/>
              <w:spacing w:after="0" w:line="240" w:lineRule="auto"/>
              <w:jc w:val="right"/>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 xml:space="preserve">$5,000 </w:t>
            </w:r>
          </w:p>
        </w:tc>
      </w:tr>
      <w:tr w14:paraId="3192C114" w14:textId="77777777" w:rsidTr="006707EC">
        <w:tblPrEx>
          <w:tblW w:w="10635" w:type="dxa"/>
          <w:jc w:val="center"/>
          <w:tblLook w:val="04A0"/>
        </w:tblPrEx>
        <w:trPr>
          <w:trHeight w:val="291"/>
          <w:jc w:val="center"/>
        </w:trPr>
        <w:tc>
          <w:tcPr>
            <w:tcW w:w="82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621D" w:rsidRPr="00CA621D" w:rsidP="00FF1F2F" w14:paraId="0B3AED07" w14:textId="77777777">
            <w:pPr>
              <w:keepNext/>
              <w:keepLines/>
              <w:spacing w:after="0" w:line="240" w:lineRule="auto"/>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Total Fixed Burden and Cost</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6EA3D1F9" w14:textId="77777777">
            <w:pPr>
              <w:keepNext/>
              <w:keepLines/>
              <w:spacing w:after="0" w:line="240" w:lineRule="auto"/>
              <w:jc w:val="right"/>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3,259</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1DBB32A6" w14:textId="77777777">
            <w:pPr>
              <w:keepNext/>
              <w:keepLines/>
              <w:spacing w:after="0" w:line="240" w:lineRule="auto"/>
              <w:jc w:val="right"/>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 xml:space="preserve">$750,199 </w:t>
            </w:r>
          </w:p>
        </w:tc>
      </w:tr>
      <w:tr w14:paraId="2421BB38" w14:textId="77777777" w:rsidTr="006707EC">
        <w:tblPrEx>
          <w:tblW w:w="10635" w:type="dxa"/>
          <w:jc w:val="center"/>
          <w:tblLook w:val="04A0"/>
        </w:tblPrEx>
        <w:trPr>
          <w:trHeight w:val="291"/>
          <w:jc w:val="center"/>
        </w:trPr>
        <w:tc>
          <w:tcPr>
            <w:tcW w:w="8291"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A621D" w:rsidRPr="00CA621D" w:rsidP="00FF1F2F" w14:paraId="6605EDA3" w14:textId="77777777">
            <w:pPr>
              <w:keepNext/>
              <w:keepLines/>
              <w:spacing w:after="0" w:line="240" w:lineRule="auto"/>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Total Agency Burden and Cost</w:t>
            </w:r>
          </w:p>
        </w:tc>
        <w:tc>
          <w:tcPr>
            <w:tcW w:w="1136" w:type="dxa"/>
            <w:tcBorders>
              <w:top w:val="nil"/>
              <w:left w:val="nil"/>
              <w:bottom w:val="single" w:sz="4" w:space="0" w:color="auto"/>
              <w:right w:val="single" w:sz="4" w:space="0" w:color="auto"/>
            </w:tcBorders>
            <w:shd w:val="clear" w:color="auto" w:fill="auto"/>
            <w:vAlign w:val="center"/>
            <w:hideMark/>
          </w:tcPr>
          <w:p w:rsidR="00CA621D" w:rsidRPr="00CA621D" w:rsidP="00FF1F2F" w14:paraId="0C7A6A19" w14:textId="77777777">
            <w:pPr>
              <w:keepNext/>
              <w:keepLines/>
              <w:spacing w:after="0" w:line="240" w:lineRule="auto"/>
              <w:jc w:val="right"/>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3,458</w:t>
            </w:r>
          </w:p>
        </w:tc>
        <w:tc>
          <w:tcPr>
            <w:tcW w:w="1206" w:type="dxa"/>
            <w:tcBorders>
              <w:top w:val="nil"/>
              <w:left w:val="nil"/>
              <w:bottom w:val="single" w:sz="4" w:space="0" w:color="auto"/>
              <w:right w:val="single" w:sz="4" w:space="0" w:color="auto"/>
            </w:tcBorders>
            <w:shd w:val="clear" w:color="auto" w:fill="auto"/>
            <w:vAlign w:val="center"/>
            <w:hideMark/>
          </w:tcPr>
          <w:p w:rsidR="00CA621D" w:rsidRPr="00CA621D" w:rsidP="00FF1F2F" w14:paraId="4F44F96D" w14:textId="77777777">
            <w:pPr>
              <w:keepNext/>
              <w:keepLines/>
              <w:spacing w:after="0" w:line="240" w:lineRule="auto"/>
              <w:jc w:val="right"/>
              <w:rPr>
                <w:rFonts w:ascii="Arial Narrow" w:eastAsia="Times New Roman" w:hAnsi="Arial Narrow" w:cs="Calibri"/>
                <w:b/>
                <w:bCs/>
                <w:color w:val="000000"/>
                <w:sz w:val="20"/>
                <w:szCs w:val="20"/>
              </w:rPr>
            </w:pPr>
            <w:r w:rsidRPr="00CA621D">
              <w:rPr>
                <w:rFonts w:ascii="Arial Narrow" w:eastAsia="Times New Roman" w:hAnsi="Arial Narrow" w:cs="Calibri"/>
                <w:b/>
                <w:bCs/>
                <w:color w:val="000000"/>
                <w:sz w:val="20"/>
                <w:szCs w:val="20"/>
              </w:rPr>
              <w:t xml:space="preserve">$822,928 </w:t>
            </w:r>
          </w:p>
        </w:tc>
      </w:tr>
      <w:tr w14:paraId="5DD31792" w14:textId="77777777" w:rsidTr="006707EC">
        <w:tblPrEx>
          <w:tblW w:w="10635" w:type="dxa"/>
          <w:jc w:val="center"/>
          <w:tblLook w:val="04A0"/>
        </w:tblPrEx>
        <w:trPr>
          <w:trHeight w:val="753"/>
          <w:jc w:val="center"/>
        </w:trPr>
        <w:tc>
          <w:tcPr>
            <w:tcW w:w="1063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CA621D" w:rsidRPr="00CA621D" w:rsidP="00FF1F2F" w14:paraId="3D18070B" w14:textId="77777777">
            <w:pPr>
              <w:keepNext/>
              <w:keepLines/>
              <w:spacing w:after="0" w:line="240" w:lineRule="auto"/>
              <w:rPr>
                <w:rFonts w:ascii="Arial Narrow" w:eastAsia="Times New Roman" w:hAnsi="Arial Narrow" w:cs="Calibri"/>
                <w:color w:val="000000"/>
                <w:sz w:val="20"/>
                <w:szCs w:val="20"/>
              </w:rPr>
            </w:pPr>
            <w:r w:rsidRPr="00CA621D">
              <w:rPr>
                <w:rFonts w:ascii="Arial Narrow" w:eastAsia="Times New Roman" w:hAnsi="Arial Narrow" w:cs="Calibri"/>
                <w:color w:val="000000"/>
                <w:sz w:val="20"/>
                <w:szCs w:val="20"/>
              </w:rPr>
              <w:t>Table Footnotes</w:t>
            </w:r>
            <w:r w:rsidRPr="00CA621D">
              <w:rPr>
                <w:rFonts w:ascii="Arial Narrow" w:eastAsia="Times New Roman" w:hAnsi="Arial Narrow" w:cs="Calibri"/>
                <w:color w:val="000000"/>
                <w:sz w:val="20"/>
                <w:szCs w:val="20"/>
              </w:rPr>
              <w:br/>
            </w:r>
            <w:r w:rsidRPr="00CA621D">
              <w:rPr>
                <w:rFonts w:ascii="Arial Narrow" w:eastAsia="Times New Roman" w:hAnsi="Arial Narrow" w:cs="Calibri"/>
                <w:color w:val="000000"/>
                <w:sz w:val="20"/>
                <w:szCs w:val="20"/>
                <w:vertAlign w:val="superscript"/>
              </w:rPr>
              <w:t>1</w:t>
            </w:r>
            <w:r w:rsidRPr="00CA621D">
              <w:rPr>
                <w:rFonts w:ascii="Arial Narrow" w:eastAsia="Times New Roman" w:hAnsi="Arial Narrow" w:cs="Calibri"/>
                <w:color w:val="000000"/>
                <w:sz w:val="20"/>
                <w:szCs w:val="20"/>
              </w:rPr>
              <w:t xml:space="preserve"> Based on Labor rates (see Table A-1) for Program Staff GS13 Step 5</w:t>
            </w:r>
          </w:p>
        </w:tc>
      </w:tr>
    </w:tbl>
    <w:p w:rsidR="00A640C2" w:rsidRPr="00787B1C" w:rsidP="00787B1C" w14:paraId="7CDE8F9C" w14:textId="77777777">
      <w:pPr>
        <w:rPr>
          <w:lang w:bidi="en-US"/>
        </w:rPr>
      </w:pPr>
    </w:p>
    <w:p w:rsidR="00BD1BAB" w:rsidP="002059F4" w14:paraId="3AB88F5C" w14:textId="7A743962">
      <w:pPr>
        <w:pStyle w:val="Heading2"/>
        <w:ind w:left="360"/>
      </w:pPr>
      <w:r w:rsidRPr="00A640A9">
        <w:t xml:space="preserve">Explain the reasons for any program changes or adjustments reported in </w:t>
      </w:r>
      <w:r w:rsidR="007F3A69">
        <w:t>hour or cost burden</w:t>
      </w:r>
      <w:r w:rsidRPr="00A640A9">
        <w:t>.</w:t>
      </w:r>
    </w:p>
    <w:p w:rsidR="00121A9F" w:rsidP="00DC05D5" w14:paraId="729756C4" w14:textId="1A045CB1">
      <w:pPr>
        <w:pStyle w:val="BodyText"/>
        <w:spacing w:after="200" w:line="276" w:lineRule="auto"/>
      </w:pPr>
      <w:r w:rsidRPr="008A7FB7">
        <w:t xml:space="preserve">The </w:t>
      </w:r>
      <w:r>
        <w:t>respondent</w:t>
      </w:r>
      <w:r w:rsidRPr="008A7FB7">
        <w:t xml:space="preserve"> burden for this collection of information is estimated </w:t>
      </w:r>
      <w:r>
        <w:t>to average 135 hours per year for the average multi-chemical submission of 7.38 chemicals per site with 22% of reports consisting of partial reports and 15% of sites as new reporters. This estimate includes time spent on rule familiarization (for new reporters), compliance determination, form completion, and recordkeeping</w:t>
      </w:r>
      <w:r w:rsidRPr="00310459">
        <w:t xml:space="preserve">. In addition, for CDX activities the </w:t>
      </w:r>
      <w:r w:rsidRPr="00310459">
        <w:t>average per-response burden is estimated at 0.53 hours per registration for those respondents not already registered in CDX.</w:t>
      </w:r>
      <w:r>
        <w:t xml:space="preserve"> </w:t>
      </w:r>
    </w:p>
    <w:p w:rsidR="00486F2B" w:rsidP="00DC05D5" w14:paraId="7037A96E" w14:textId="08230789">
      <w:pPr>
        <w:pStyle w:val="BodyText"/>
        <w:spacing w:after="200" w:line="276" w:lineRule="auto"/>
      </w:pPr>
      <w:r w:rsidRPr="00C123B1">
        <w:t>There is a</w:t>
      </w:r>
      <w:r>
        <w:t>n increase</w:t>
      </w:r>
      <w:r w:rsidRPr="00C123B1">
        <w:t xml:space="preserve"> of </w:t>
      </w:r>
      <w:r w:rsidR="005D35CC">
        <w:t>10,1</w:t>
      </w:r>
      <w:r>
        <w:t>94</w:t>
      </w:r>
      <w:r w:rsidRPr="00C123B1">
        <w:t xml:space="preserve"> hours in the total estimated burden compared with that </w:t>
      </w:r>
      <w:r w:rsidR="005D35CC">
        <w:t xml:space="preserve">currently </w:t>
      </w:r>
      <w:r w:rsidRPr="00C123B1">
        <w:t>approved by OMB</w:t>
      </w:r>
      <w:r w:rsidR="005D35CC">
        <w:t xml:space="preserve">. </w:t>
      </w:r>
      <w:r w:rsidRPr="00C123B1">
        <w:t>This</w:t>
      </w:r>
      <w:r>
        <w:t xml:space="preserve"> increase </w:t>
      </w:r>
      <w:r w:rsidRPr="00C123B1">
        <w:t xml:space="preserve">reflects a combination of </w:t>
      </w:r>
      <w:r>
        <w:t>reporting requirement changes including changes to the information reported (+</w:t>
      </w:r>
      <w:r w:rsidR="005D35CC">
        <w:t>35,611</w:t>
      </w:r>
      <w:r>
        <w:t xml:space="preserve"> hours) and changes to the number of reporters (-25,</w:t>
      </w:r>
      <w:r w:rsidR="005D35CC">
        <w:t>417</w:t>
      </w:r>
      <w:r>
        <w:t xml:space="preserve"> hours) due to byproducts exemptions and a new small manufacturer definition</w:t>
      </w:r>
      <w:r w:rsidR="003E2EAF">
        <w:t>, which were included in two ICR addendum</w:t>
      </w:r>
      <w:r w:rsidR="007B640F">
        <w:t>s approved by OMB in 20</w:t>
      </w:r>
      <w:r w:rsidR="0095111B">
        <w:t>20</w:t>
      </w:r>
      <w:r w:rsidR="00122EA2">
        <w:t xml:space="preserve"> (</w:t>
      </w:r>
      <w:hyperlink r:id="rId33" w:history="1">
        <w:r w:rsidRPr="002764AF" w:rsidR="005D28B7">
          <w:rPr>
            <w:rStyle w:val="Hyperlink"/>
          </w:rPr>
          <w:t xml:space="preserve">one associated with the </w:t>
        </w:r>
        <w:r w:rsidRPr="00503769" w:rsidR="002764AF">
          <w:rPr>
            <w:rStyle w:val="Hyperlink"/>
          </w:rPr>
          <w:t>2020 CDR Revisions Rule</w:t>
        </w:r>
      </w:hyperlink>
      <w:r w:rsidRPr="001F1792" w:rsidR="001F1792">
        <w:t xml:space="preserve"> and the</w:t>
      </w:r>
      <w:r w:rsidR="005D28B7">
        <w:t xml:space="preserve"> </w:t>
      </w:r>
      <w:hyperlink r:id="rId34" w:history="1">
        <w:r w:rsidRPr="002764AF" w:rsidR="005D28B7">
          <w:rPr>
            <w:rStyle w:val="Hyperlink"/>
          </w:rPr>
          <w:t>other with the</w:t>
        </w:r>
        <w:r w:rsidRPr="002764AF" w:rsidR="001F1792">
          <w:rPr>
            <w:rStyle w:val="Hyperlink"/>
          </w:rPr>
          <w:t xml:space="preserve"> 2020 8(a) SMD Update Rule</w:t>
        </w:r>
      </w:hyperlink>
      <w:r w:rsidR="001F1792">
        <w:t>)</w:t>
      </w:r>
      <w:r>
        <w:t xml:space="preserve">. Refer </w:t>
      </w:r>
      <w:r w:rsidRPr="00037701">
        <w:t xml:space="preserve">to </w:t>
      </w:r>
      <w:r w:rsidRPr="00037701">
        <w:fldChar w:fldCharType="begin"/>
      </w:r>
      <w:r w:rsidRPr="00037701">
        <w:instrText xml:space="preserve"> REF _Ref47004765 \h  \* MERGEFORMAT </w:instrText>
      </w:r>
      <w:r w:rsidRPr="00037701">
        <w:fldChar w:fldCharType="separate"/>
      </w:r>
      <w:r w:rsidRPr="00037701">
        <w:t xml:space="preserve">Table </w:t>
      </w:r>
      <w:r w:rsidR="00FF1F2F">
        <w:rPr>
          <w:noProof/>
        </w:rPr>
        <w:t>6</w:t>
      </w:r>
      <w:r w:rsidRPr="00037701">
        <w:fldChar w:fldCharType="end"/>
      </w:r>
      <w:r>
        <w:t xml:space="preserve"> for further detail.</w:t>
      </w:r>
      <w:r w:rsidRPr="008A7FB7">
        <w:t xml:space="preserve"> </w:t>
      </w:r>
    </w:p>
    <w:p w:rsidR="002311B4" w:rsidP="00DC05D5" w14:paraId="0579CB75" w14:textId="2C7EEDDE">
      <w:pPr>
        <w:pStyle w:val="BodyText"/>
        <w:spacing w:after="200" w:line="276" w:lineRule="auto"/>
      </w:pPr>
      <w:r w:rsidRPr="00037701">
        <w:rPr>
          <w:b/>
          <w:bCs/>
        </w:rPr>
        <w:t xml:space="preserve">Table </w:t>
      </w:r>
      <w:r>
        <w:rPr>
          <w:b/>
          <w:bCs/>
        </w:rPr>
        <w:t>6</w:t>
      </w:r>
      <w:r w:rsidRPr="00AB2937">
        <w:rPr>
          <w:rFonts w:cs="Arial"/>
          <w:b/>
          <w:bCs/>
          <w:color w:val="000000"/>
          <w:szCs w:val="24"/>
        </w:rPr>
        <w:t>: Reasons for the Change in Annual Burden</w:t>
      </w:r>
    </w:p>
    <w:tbl>
      <w:tblPr>
        <w:tblW w:w="11515" w:type="dxa"/>
        <w:jc w:val="center"/>
        <w:tblLook w:val="04A0"/>
      </w:tblPr>
      <w:tblGrid>
        <w:gridCol w:w="3316"/>
        <w:gridCol w:w="1202"/>
        <w:gridCol w:w="1284"/>
        <w:gridCol w:w="818"/>
        <w:gridCol w:w="914"/>
        <w:gridCol w:w="1037"/>
        <w:gridCol w:w="1119"/>
        <w:gridCol w:w="810"/>
        <w:gridCol w:w="1015"/>
      </w:tblGrid>
      <w:tr w14:paraId="17A77360" w14:textId="77777777" w:rsidTr="00E2548A">
        <w:tblPrEx>
          <w:tblW w:w="11515" w:type="dxa"/>
          <w:jc w:val="center"/>
          <w:tblLook w:val="04A0"/>
        </w:tblPrEx>
        <w:trPr>
          <w:trHeight w:val="300"/>
          <w:jc w:val="center"/>
        </w:trPr>
        <w:tc>
          <w:tcPr>
            <w:tcW w:w="3316" w:type="dxa"/>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rsidR="0034275A" w:rsidRPr="00AB2937" w:rsidP="00DC05D5" w14:paraId="122C8A4E" w14:textId="77777777">
            <w:pPr>
              <w:keepNext/>
              <w:keepLines/>
              <w:spacing w:line="240" w:lineRule="auto"/>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Information Collection (IC)</w:t>
            </w:r>
          </w:p>
        </w:tc>
        <w:tc>
          <w:tcPr>
            <w:tcW w:w="2486"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rsidR="0034275A" w:rsidRPr="00AB2937" w:rsidP="00DC05D5" w14:paraId="51C27DF2"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Previous ICR</w:t>
            </w:r>
          </w:p>
        </w:tc>
        <w:tc>
          <w:tcPr>
            <w:tcW w:w="3888" w:type="dxa"/>
            <w:gridSpan w:val="4"/>
            <w:tcBorders>
              <w:top w:val="single" w:sz="4" w:space="0" w:color="auto"/>
              <w:left w:val="nil"/>
              <w:bottom w:val="single" w:sz="4" w:space="0" w:color="auto"/>
              <w:right w:val="single" w:sz="4" w:space="0" w:color="auto"/>
            </w:tcBorders>
            <w:shd w:val="clear" w:color="000000" w:fill="BFBFBF"/>
            <w:noWrap/>
            <w:vAlign w:val="bottom"/>
            <w:hideMark/>
          </w:tcPr>
          <w:p w:rsidR="0034275A" w:rsidRPr="00AB2937" w:rsidP="00DC05D5" w14:paraId="2D667BD1"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Changes</w:t>
            </w:r>
          </w:p>
        </w:tc>
        <w:tc>
          <w:tcPr>
            <w:tcW w:w="1825"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rsidR="0034275A" w:rsidRPr="00AB2937" w:rsidP="00DC05D5" w14:paraId="4FA8BEAB"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ICR Renewal</w:t>
            </w:r>
          </w:p>
        </w:tc>
      </w:tr>
      <w:tr w14:paraId="50592D31" w14:textId="77777777" w:rsidTr="00E2548A">
        <w:tblPrEx>
          <w:tblW w:w="11515" w:type="dxa"/>
          <w:jc w:val="center"/>
          <w:tblLook w:val="04A0"/>
        </w:tblPrEx>
        <w:trPr>
          <w:trHeight w:val="782"/>
          <w:jc w:val="center"/>
        </w:trPr>
        <w:tc>
          <w:tcPr>
            <w:tcW w:w="3316" w:type="dxa"/>
            <w:vMerge/>
            <w:tcBorders>
              <w:top w:val="single" w:sz="4" w:space="0" w:color="auto"/>
              <w:left w:val="single" w:sz="4" w:space="0" w:color="auto"/>
              <w:bottom w:val="single" w:sz="4" w:space="0" w:color="auto"/>
              <w:right w:val="single" w:sz="4" w:space="0" w:color="auto"/>
            </w:tcBorders>
            <w:vAlign w:val="center"/>
            <w:hideMark/>
          </w:tcPr>
          <w:p w:rsidR="0034275A" w:rsidRPr="00AB2937" w:rsidP="00DC05D5" w14:paraId="0E01E7C5" w14:textId="77777777">
            <w:pPr>
              <w:keepNext/>
              <w:keepLines/>
              <w:spacing w:line="240" w:lineRule="auto"/>
              <w:rPr>
                <w:rFonts w:ascii="Arial Narrow" w:eastAsia="Times New Roman" w:hAnsi="Arial Narrow" w:cs="Calibri"/>
                <w:b/>
                <w:bCs/>
                <w:color w:val="000000"/>
                <w:sz w:val="20"/>
                <w:szCs w:val="20"/>
              </w:rPr>
            </w:pPr>
          </w:p>
        </w:tc>
        <w:tc>
          <w:tcPr>
            <w:tcW w:w="2486" w:type="dxa"/>
            <w:gridSpan w:val="2"/>
            <w:vMerge/>
            <w:tcBorders>
              <w:top w:val="single" w:sz="4" w:space="0" w:color="auto"/>
              <w:left w:val="single" w:sz="4" w:space="0" w:color="auto"/>
              <w:bottom w:val="single" w:sz="4" w:space="0" w:color="auto"/>
              <w:right w:val="single" w:sz="4" w:space="0" w:color="auto"/>
            </w:tcBorders>
            <w:vAlign w:val="center"/>
            <w:hideMark/>
          </w:tcPr>
          <w:p w:rsidR="0034275A" w:rsidRPr="00AB2937" w:rsidP="00DC05D5" w14:paraId="7A252563" w14:textId="77777777">
            <w:pPr>
              <w:keepNext/>
              <w:keepLines/>
              <w:spacing w:line="240" w:lineRule="auto"/>
              <w:rPr>
                <w:rFonts w:ascii="Arial Narrow" w:eastAsia="Times New Roman" w:hAnsi="Arial Narrow" w:cs="Calibri"/>
                <w:b/>
                <w:bCs/>
                <w:color w:val="000000"/>
                <w:sz w:val="20"/>
                <w:szCs w:val="20"/>
              </w:rPr>
            </w:pPr>
          </w:p>
        </w:tc>
        <w:tc>
          <w:tcPr>
            <w:tcW w:w="1732" w:type="dxa"/>
            <w:gridSpan w:val="2"/>
            <w:tcBorders>
              <w:top w:val="single" w:sz="4" w:space="0" w:color="auto"/>
              <w:left w:val="nil"/>
              <w:bottom w:val="single" w:sz="4" w:space="0" w:color="auto"/>
              <w:right w:val="single" w:sz="4" w:space="0" w:color="auto"/>
            </w:tcBorders>
            <w:shd w:val="clear" w:color="000000" w:fill="BFBFBF"/>
            <w:vAlign w:val="bottom"/>
            <w:hideMark/>
          </w:tcPr>
          <w:p w:rsidR="0034275A" w:rsidRPr="00AB2937" w:rsidP="00DC05D5" w14:paraId="7E184956"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(1) Changes to the Counts of Reporters</w:t>
            </w:r>
            <w:r w:rsidRPr="00AB2937">
              <w:rPr>
                <w:rFonts w:ascii="Arial Narrow" w:eastAsia="Times New Roman" w:hAnsi="Arial Narrow" w:cs="Calibri"/>
                <w:b/>
                <w:bCs/>
                <w:color w:val="000000"/>
                <w:sz w:val="20"/>
                <w:szCs w:val="20"/>
                <w:vertAlign w:val="superscript"/>
              </w:rPr>
              <w:t>1</w:t>
            </w:r>
          </w:p>
        </w:tc>
        <w:tc>
          <w:tcPr>
            <w:tcW w:w="2156" w:type="dxa"/>
            <w:gridSpan w:val="2"/>
            <w:tcBorders>
              <w:top w:val="single" w:sz="4" w:space="0" w:color="auto"/>
              <w:left w:val="nil"/>
              <w:bottom w:val="single" w:sz="4" w:space="0" w:color="auto"/>
              <w:right w:val="single" w:sz="4" w:space="0" w:color="auto"/>
            </w:tcBorders>
            <w:shd w:val="clear" w:color="000000" w:fill="BFBFBF"/>
            <w:vAlign w:val="bottom"/>
            <w:hideMark/>
          </w:tcPr>
          <w:p w:rsidR="0034275A" w:rsidRPr="00AB2937" w:rsidP="00DC05D5" w14:paraId="04C26A8C"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(2) New and Modified Reporting Activities</w:t>
            </w:r>
            <w:r w:rsidRPr="00AB2937">
              <w:rPr>
                <w:rFonts w:ascii="Arial Narrow" w:eastAsia="Times New Roman" w:hAnsi="Arial Narrow" w:cs="Calibri"/>
                <w:b/>
                <w:bCs/>
                <w:color w:val="000000"/>
                <w:sz w:val="20"/>
                <w:szCs w:val="20"/>
                <w:vertAlign w:val="superscript"/>
              </w:rPr>
              <w:t>2</w:t>
            </w:r>
          </w:p>
        </w:tc>
        <w:tc>
          <w:tcPr>
            <w:tcW w:w="1825" w:type="dxa"/>
            <w:gridSpan w:val="2"/>
            <w:vMerge/>
            <w:tcBorders>
              <w:top w:val="single" w:sz="4" w:space="0" w:color="auto"/>
              <w:left w:val="single" w:sz="4" w:space="0" w:color="auto"/>
              <w:bottom w:val="single" w:sz="4" w:space="0" w:color="auto"/>
              <w:right w:val="single" w:sz="4" w:space="0" w:color="auto"/>
            </w:tcBorders>
            <w:vAlign w:val="center"/>
            <w:hideMark/>
          </w:tcPr>
          <w:p w:rsidR="0034275A" w:rsidRPr="00AB2937" w:rsidP="00DC05D5" w14:paraId="317E2B8A" w14:textId="77777777">
            <w:pPr>
              <w:keepNext/>
              <w:keepLines/>
              <w:spacing w:line="240" w:lineRule="auto"/>
              <w:rPr>
                <w:rFonts w:ascii="Arial Narrow" w:eastAsia="Times New Roman" w:hAnsi="Arial Narrow" w:cs="Calibri"/>
                <w:b/>
                <w:bCs/>
                <w:color w:val="000000"/>
                <w:sz w:val="20"/>
                <w:szCs w:val="20"/>
              </w:rPr>
            </w:pPr>
          </w:p>
        </w:tc>
      </w:tr>
      <w:tr w14:paraId="70592BAF" w14:textId="77777777" w:rsidTr="00E2548A">
        <w:tblPrEx>
          <w:tblW w:w="11515" w:type="dxa"/>
          <w:jc w:val="center"/>
          <w:tblLook w:val="04A0"/>
        </w:tblPrEx>
        <w:trPr>
          <w:trHeight w:val="300"/>
          <w:jc w:val="center"/>
        </w:trPr>
        <w:tc>
          <w:tcPr>
            <w:tcW w:w="3316" w:type="dxa"/>
            <w:vMerge/>
            <w:tcBorders>
              <w:top w:val="single" w:sz="4" w:space="0" w:color="auto"/>
              <w:left w:val="single" w:sz="4" w:space="0" w:color="auto"/>
              <w:bottom w:val="single" w:sz="4" w:space="0" w:color="auto"/>
              <w:right w:val="single" w:sz="4" w:space="0" w:color="auto"/>
            </w:tcBorders>
            <w:vAlign w:val="center"/>
            <w:hideMark/>
          </w:tcPr>
          <w:p w:rsidR="0034275A" w:rsidRPr="00AB2937" w:rsidP="00DC05D5" w14:paraId="08278566" w14:textId="77777777">
            <w:pPr>
              <w:keepNext/>
              <w:keepLines/>
              <w:spacing w:line="240" w:lineRule="auto"/>
              <w:rPr>
                <w:rFonts w:ascii="Arial Narrow" w:eastAsia="Times New Roman" w:hAnsi="Arial Narrow" w:cs="Calibri"/>
                <w:b/>
                <w:bCs/>
                <w:color w:val="000000"/>
                <w:sz w:val="20"/>
                <w:szCs w:val="20"/>
              </w:rPr>
            </w:pPr>
          </w:p>
        </w:tc>
        <w:tc>
          <w:tcPr>
            <w:tcW w:w="1202" w:type="dxa"/>
            <w:tcBorders>
              <w:top w:val="nil"/>
              <w:left w:val="nil"/>
              <w:bottom w:val="single" w:sz="4" w:space="0" w:color="auto"/>
              <w:right w:val="single" w:sz="4" w:space="0" w:color="auto"/>
            </w:tcBorders>
            <w:shd w:val="clear" w:color="000000" w:fill="BFBFBF"/>
            <w:noWrap/>
            <w:vAlign w:val="center"/>
            <w:hideMark/>
          </w:tcPr>
          <w:p w:rsidR="0034275A" w:rsidRPr="00AB2937" w:rsidP="00DC05D5" w14:paraId="6F35504D"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Unit</w:t>
            </w:r>
          </w:p>
        </w:tc>
        <w:tc>
          <w:tcPr>
            <w:tcW w:w="1284" w:type="dxa"/>
            <w:tcBorders>
              <w:top w:val="nil"/>
              <w:left w:val="nil"/>
              <w:bottom w:val="single" w:sz="4" w:space="0" w:color="auto"/>
              <w:right w:val="single" w:sz="4" w:space="0" w:color="auto"/>
            </w:tcBorders>
            <w:shd w:val="clear" w:color="000000" w:fill="BFBFBF"/>
            <w:noWrap/>
            <w:vAlign w:val="center"/>
            <w:hideMark/>
          </w:tcPr>
          <w:p w:rsidR="0034275A" w:rsidRPr="00AB2937" w:rsidP="00DC05D5" w14:paraId="6B56874A"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Total</w:t>
            </w:r>
          </w:p>
        </w:tc>
        <w:tc>
          <w:tcPr>
            <w:tcW w:w="818" w:type="dxa"/>
            <w:tcBorders>
              <w:top w:val="nil"/>
              <w:left w:val="nil"/>
              <w:bottom w:val="single" w:sz="4" w:space="0" w:color="auto"/>
              <w:right w:val="single" w:sz="4" w:space="0" w:color="auto"/>
            </w:tcBorders>
            <w:shd w:val="clear" w:color="000000" w:fill="BFBFBF"/>
            <w:noWrap/>
            <w:vAlign w:val="center"/>
            <w:hideMark/>
          </w:tcPr>
          <w:p w:rsidR="0034275A" w:rsidRPr="00AB2937" w:rsidP="00DC05D5" w14:paraId="719122AF"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Unit</w:t>
            </w:r>
          </w:p>
        </w:tc>
        <w:tc>
          <w:tcPr>
            <w:tcW w:w="914" w:type="dxa"/>
            <w:tcBorders>
              <w:top w:val="nil"/>
              <w:left w:val="nil"/>
              <w:bottom w:val="single" w:sz="4" w:space="0" w:color="auto"/>
              <w:right w:val="single" w:sz="4" w:space="0" w:color="auto"/>
            </w:tcBorders>
            <w:shd w:val="clear" w:color="000000" w:fill="BFBFBF"/>
            <w:noWrap/>
            <w:vAlign w:val="center"/>
            <w:hideMark/>
          </w:tcPr>
          <w:p w:rsidR="0034275A" w:rsidRPr="00AB2937" w:rsidP="00DC05D5" w14:paraId="67EC76B4"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Total</w:t>
            </w:r>
          </w:p>
        </w:tc>
        <w:tc>
          <w:tcPr>
            <w:tcW w:w="1037" w:type="dxa"/>
            <w:tcBorders>
              <w:top w:val="nil"/>
              <w:left w:val="nil"/>
              <w:bottom w:val="single" w:sz="4" w:space="0" w:color="auto"/>
              <w:right w:val="single" w:sz="4" w:space="0" w:color="auto"/>
            </w:tcBorders>
            <w:shd w:val="clear" w:color="000000" w:fill="BFBFBF"/>
            <w:noWrap/>
            <w:vAlign w:val="center"/>
            <w:hideMark/>
          </w:tcPr>
          <w:p w:rsidR="0034275A" w:rsidRPr="00AB2937" w:rsidP="00DC05D5" w14:paraId="7592BD37"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Unit</w:t>
            </w:r>
          </w:p>
        </w:tc>
        <w:tc>
          <w:tcPr>
            <w:tcW w:w="1119" w:type="dxa"/>
            <w:tcBorders>
              <w:top w:val="nil"/>
              <w:left w:val="nil"/>
              <w:bottom w:val="single" w:sz="4" w:space="0" w:color="auto"/>
              <w:right w:val="single" w:sz="4" w:space="0" w:color="auto"/>
            </w:tcBorders>
            <w:shd w:val="clear" w:color="000000" w:fill="BFBFBF"/>
            <w:noWrap/>
            <w:vAlign w:val="center"/>
            <w:hideMark/>
          </w:tcPr>
          <w:p w:rsidR="0034275A" w:rsidRPr="00AB2937" w:rsidP="00DC05D5" w14:paraId="1971E16A"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Total</w:t>
            </w:r>
          </w:p>
        </w:tc>
        <w:tc>
          <w:tcPr>
            <w:tcW w:w="810" w:type="dxa"/>
            <w:tcBorders>
              <w:top w:val="nil"/>
              <w:left w:val="nil"/>
              <w:bottom w:val="single" w:sz="4" w:space="0" w:color="auto"/>
              <w:right w:val="single" w:sz="4" w:space="0" w:color="auto"/>
            </w:tcBorders>
            <w:shd w:val="clear" w:color="000000" w:fill="BFBFBF"/>
            <w:noWrap/>
            <w:vAlign w:val="center"/>
            <w:hideMark/>
          </w:tcPr>
          <w:p w:rsidR="0034275A" w:rsidRPr="00AB2937" w:rsidP="00DC05D5" w14:paraId="40E171DB"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Unit</w:t>
            </w:r>
          </w:p>
        </w:tc>
        <w:tc>
          <w:tcPr>
            <w:tcW w:w="1015" w:type="dxa"/>
            <w:tcBorders>
              <w:top w:val="nil"/>
              <w:left w:val="nil"/>
              <w:bottom w:val="single" w:sz="4" w:space="0" w:color="auto"/>
              <w:right w:val="single" w:sz="4" w:space="0" w:color="auto"/>
            </w:tcBorders>
            <w:shd w:val="clear" w:color="000000" w:fill="BFBFBF"/>
            <w:noWrap/>
            <w:vAlign w:val="center"/>
            <w:hideMark/>
          </w:tcPr>
          <w:p w:rsidR="0034275A" w:rsidRPr="00AB2937" w:rsidP="00DC05D5" w14:paraId="23D9A9F0" w14:textId="77777777">
            <w:pPr>
              <w:keepNext/>
              <w:keepLines/>
              <w:spacing w:line="240" w:lineRule="auto"/>
              <w:jc w:val="center"/>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Total</w:t>
            </w:r>
          </w:p>
        </w:tc>
      </w:tr>
      <w:tr w14:paraId="69070E75" w14:textId="77777777" w:rsidTr="00E2548A">
        <w:tblPrEx>
          <w:tblW w:w="11515" w:type="dxa"/>
          <w:jc w:val="center"/>
          <w:tblLook w:val="04A0"/>
        </w:tblPrEx>
        <w:trPr>
          <w:trHeight w:val="300"/>
          <w:jc w:val="center"/>
        </w:trPr>
        <w:tc>
          <w:tcPr>
            <w:tcW w:w="115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4275A" w:rsidRPr="00AB2937" w:rsidP="00DC05D5" w14:paraId="27EDCE10" w14:textId="77777777">
            <w:pPr>
              <w:keepNext/>
              <w:keepLines/>
              <w:spacing w:line="240" w:lineRule="auto"/>
              <w:rPr>
                <w:rFonts w:ascii="Arial Narrow" w:eastAsia="Times New Roman" w:hAnsi="Arial Narrow" w:cs="Calibri"/>
                <w:i/>
                <w:iCs/>
                <w:color w:val="000000"/>
                <w:sz w:val="20"/>
                <w:szCs w:val="20"/>
              </w:rPr>
            </w:pPr>
            <w:r w:rsidRPr="00AB2937">
              <w:rPr>
                <w:rFonts w:ascii="Arial Narrow" w:eastAsia="Times New Roman" w:hAnsi="Arial Narrow" w:cs="Calibri"/>
                <w:i/>
                <w:iCs/>
                <w:color w:val="000000"/>
                <w:sz w:val="20"/>
                <w:szCs w:val="20"/>
              </w:rPr>
              <w:t>Reporter Burden</w:t>
            </w:r>
          </w:p>
        </w:tc>
      </w:tr>
      <w:tr w14:paraId="4040FF7B" w14:textId="77777777" w:rsidTr="00E2548A">
        <w:tblPrEx>
          <w:tblW w:w="11515" w:type="dxa"/>
          <w:jc w:val="center"/>
          <w:tblLook w:val="04A0"/>
        </w:tblPrEx>
        <w:trPr>
          <w:trHeight w:val="300"/>
          <w:jc w:val="center"/>
        </w:trPr>
        <w:tc>
          <w:tcPr>
            <w:tcW w:w="33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275A" w:rsidRPr="00AB2937" w:rsidP="00DC05D5" w14:paraId="4EC285C1" w14:textId="77777777">
            <w:pPr>
              <w:keepNext/>
              <w:keepLines/>
              <w:spacing w:line="240" w:lineRule="auto"/>
              <w:rPr>
                <w:rFonts w:ascii="Arial Narrow" w:eastAsia="Times New Roman" w:hAnsi="Arial Narrow" w:cs="Calibri"/>
                <w:color w:val="000000"/>
                <w:sz w:val="20"/>
                <w:szCs w:val="20"/>
              </w:rPr>
            </w:pPr>
            <w:r w:rsidRPr="00AB2937">
              <w:rPr>
                <w:rFonts w:ascii="Arial Narrow" w:eastAsia="Times New Roman" w:hAnsi="Arial Narrow" w:cs="Calibri"/>
                <w:color w:val="000000"/>
                <w:sz w:val="20"/>
                <w:szCs w:val="20"/>
              </w:rPr>
              <w:t>CDX Registration</w:t>
            </w:r>
          </w:p>
        </w:tc>
        <w:tc>
          <w:tcPr>
            <w:tcW w:w="1202" w:type="dxa"/>
            <w:tcBorders>
              <w:top w:val="single" w:sz="4" w:space="0" w:color="auto"/>
              <w:left w:val="nil"/>
              <w:bottom w:val="single" w:sz="4" w:space="0" w:color="auto"/>
              <w:right w:val="single" w:sz="4" w:space="0" w:color="auto"/>
            </w:tcBorders>
            <w:shd w:val="clear" w:color="auto" w:fill="auto"/>
            <w:noWrap/>
            <w:vAlign w:val="center"/>
            <w:hideMark/>
          </w:tcPr>
          <w:p w:rsidR="0034275A" w:rsidRPr="00AB2937" w:rsidP="00DC05D5" w14:paraId="1792227E"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0.133</w:t>
            </w:r>
          </w:p>
        </w:tc>
        <w:tc>
          <w:tcPr>
            <w:tcW w:w="1284" w:type="dxa"/>
            <w:tcBorders>
              <w:top w:val="single" w:sz="4" w:space="0" w:color="auto"/>
              <w:left w:val="nil"/>
              <w:bottom w:val="single" w:sz="4" w:space="0" w:color="auto"/>
              <w:right w:val="single" w:sz="4" w:space="0" w:color="auto"/>
            </w:tcBorders>
            <w:shd w:val="clear" w:color="auto" w:fill="auto"/>
            <w:noWrap/>
            <w:vAlign w:val="center"/>
            <w:hideMark/>
          </w:tcPr>
          <w:p w:rsidR="0034275A" w:rsidRPr="00AB2937" w:rsidP="00DC05D5" w14:paraId="5C420C65"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188</w:t>
            </w:r>
          </w:p>
        </w:tc>
        <w:tc>
          <w:tcPr>
            <w:tcW w:w="818" w:type="dxa"/>
            <w:tcBorders>
              <w:top w:val="single" w:sz="4" w:space="0" w:color="auto"/>
              <w:left w:val="nil"/>
              <w:bottom w:val="single" w:sz="4" w:space="0" w:color="auto"/>
              <w:right w:val="single" w:sz="4" w:space="0" w:color="auto"/>
            </w:tcBorders>
            <w:shd w:val="clear" w:color="auto" w:fill="auto"/>
            <w:noWrap/>
            <w:vAlign w:val="center"/>
            <w:hideMark/>
          </w:tcPr>
          <w:p w:rsidR="0034275A" w:rsidRPr="00AB2937" w:rsidP="00DC05D5" w14:paraId="6CE2699D"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 </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rsidR="0034275A" w:rsidRPr="00AB2937" w:rsidP="00DC05D5" w14:paraId="44FA8D98"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-7</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34275A" w:rsidRPr="00AB2937" w:rsidP="00DC05D5" w14:paraId="5B16C6E0"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0</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34275A" w:rsidRPr="00AB2937" w:rsidP="00DC05D5" w14:paraId="13D8643B"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0</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34275A" w:rsidRPr="00AB2937" w:rsidP="00DC05D5" w14:paraId="6F89F1A4"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0.133</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rsidR="0034275A" w:rsidRPr="00AB2937" w:rsidP="00DC05D5" w14:paraId="1A0801FD"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181</w:t>
            </w:r>
          </w:p>
        </w:tc>
      </w:tr>
      <w:tr w14:paraId="3E619ADC" w14:textId="77777777" w:rsidTr="00E2548A">
        <w:tblPrEx>
          <w:tblW w:w="11515" w:type="dxa"/>
          <w:jc w:val="center"/>
          <w:tblLook w:val="04A0"/>
        </w:tblPrEx>
        <w:trPr>
          <w:trHeight w:val="600"/>
          <w:jc w:val="center"/>
        </w:trPr>
        <w:tc>
          <w:tcPr>
            <w:tcW w:w="3316" w:type="dxa"/>
            <w:tcBorders>
              <w:top w:val="nil"/>
              <w:left w:val="single" w:sz="4" w:space="0" w:color="auto"/>
              <w:bottom w:val="single" w:sz="4" w:space="0" w:color="auto"/>
              <w:right w:val="single" w:sz="4" w:space="0" w:color="auto"/>
            </w:tcBorders>
            <w:shd w:val="clear" w:color="000000" w:fill="FFFFFF"/>
            <w:vAlign w:val="center"/>
            <w:hideMark/>
          </w:tcPr>
          <w:p w:rsidR="0034275A" w:rsidRPr="00AB2937" w:rsidP="00DC05D5" w14:paraId="1895F0D8" w14:textId="77777777">
            <w:pPr>
              <w:keepNext/>
              <w:keepLines/>
              <w:spacing w:line="240" w:lineRule="auto"/>
              <w:rPr>
                <w:rFonts w:ascii="Arial Narrow" w:eastAsia="Times New Roman" w:hAnsi="Arial Narrow" w:cs="Calibri"/>
                <w:color w:val="000000"/>
                <w:sz w:val="20"/>
                <w:szCs w:val="20"/>
              </w:rPr>
            </w:pPr>
            <w:r w:rsidRPr="00AB2937">
              <w:rPr>
                <w:rFonts w:ascii="Arial Narrow" w:eastAsia="Times New Roman" w:hAnsi="Arial Narrow" w:cs="Calibri"/>
                <w:color w:val="000000"/>
                <w:sz w:val="20"/>
                <w:szCs w:val="20"/>
              </w:rPr>
              <w:t>Form U Submission: Prepare and Submit Report, and Maintain Records</w:t>
            </w:r>
            <w:r w:rsidRPr="00AB2937">
              <w:rPr>
                <w:rFonts w:ascii="Arial Narrow" w:eastAsia="Times New Roman" w:hAnsi="Arial Narrow" w:cs="Calibri"/>
                <w:color w:val="000000"/>
                <w:sz w:val="20"/>
                <w:szCs w:val="20"/>
                <w:vertAlign w:val="superscript"/>
              </w:rPr>
              <w:t>3</w:t>
            </w:r>
          </w:p>
        </w:tc>
        <w:tc>
          <w:tcPr>
            <w:tcW w:w="1202" w:type="dxa"/>
            <w:tcBorders>
              <w:top w:val="nil"/>
              <w:left w:val="nil"/>
              <w:bottom w:val="single" w:sz="4" w:space="0" w:color="auto"/>
              <w:right w:val="single" w:sz="4" w:space="0" w:color="auto"/>
            </w:tcBorders>
            <w:shd w:val="clear" w:color="auto" w:fill="auto"/>
            <w:vAlign w:val="center"/>
            <w:hideMark/>
          </w:tcPr>
          <w:p w:rsidR="0034275A" w:rsidRPr="00AB2937" w:rsidP="00DC05D5" w14:paraId="4B455C2B" w14:textId="42E4D827">
            <w:pPr>
              <w:keepNext/>
              <w:keepLines/>
              <w:spacing w:line="240" w:lineRule="auto"/>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127.05</w:t>
            </w:r>
          </w:p>
        </w:tc>
        <w:tc>
          <w:tcPr>
            <w:tcW w:w="1284" w:type="dxa"/>
            <w:tcBorders>
              <w:top w:val="nil"/>
              <w:left w:val="nil"/>
              <w:bottom w:val="single" w:sz="4" w:space="0" w:color="auto"/>
              <w:right w:val="single" w:sz="4" w:space="0" w:color="auto"/>
            </w:tcBorders>
            <w:shd w:val="clear" w:color="auto" w:fill="auto"/>
            <w:vAlign w:val="center"/>
            <w:hideMark/>
          </w:tcPr>
          <w:p w:rsidR="0034275A" w:rsidRPr="00AB2937" w:rsidP="00DC05D5" w14:paraId="3EEDC552" w14:textId="604531A6">
            <w:pPr>
              <w:keepNext/>
              <w:keepLines/>
              <w:spacing w:line="240" w:lineRule="auto"/>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719,103</w:t>
            </w:r>
          </w:p>
        </w:tc>
        <w:tc>
          <w:tcPr>
            <w:tcW w:w="818" w:type="dxa"/>
            <w:tcBorders>
              <w:top w:val="nil"/>
              <w:left w:val="nil"/>
              <w:bottom w:val="single" w:sz="4" w:space="0" w:color="auto"/>
              <w:right w:val="single" w:sz="4" w:space="0" w:color="auto"/>
            </w:tcBorders>
            <w:shd w:val="clear" w:color="auto" w:fill="auto"/>
            <w:noWrap/>
            <w:vAlign w:val="center"/>
            <w:hideMark/>
          </w:tcPr>
          <w:p w:rsidR="0034275A" w:rsidRPr="00AB2937" w:rsidP="00DC05D5" w14:paraId="42B7C39D"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 </w:t>
            </w:r>
          </w:p>
        </w:tc>
        <w:tc>
          <w:tcPr>
            <w:tcW w:w="914" w:type="dxa"/>
            <w:tcBorders>
              <w:top w:val="nil"/>
              <w:left w:val="nil"/>
              <w:bottom w:val="single" w:sz="4" w:space="0" w:color="auto"/>
              <w:right w:val="single" w:sz="4" w:space="0" w:color="auto"/>
            </w:tcBorders>
            <w:shd w:val="clear" w:color="auto" w:fill="auto"/>
            <w:noWrap/>
            <w:vAlign w:val="center"/>
            <w:hideMark/>
          </w:tcPr>
          <w:p w:rsidR="0034275A" w:rsidRPr="00AB2937" w:rsidP="00DC05D5" w14:paraId="1ED83C4C" w14:textId="598E9335">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-25,</w:t>
            </w:r>
            <w:r w:rsidR="00EA5D23">
              <w:rPr>
                <w:rFonts w:ascii="Arial Narrow" w:eastAsia="Times New Roman" w:hAnsi="Arial Narrow" w:cs="Calibri"/>
                <w:color w:val="000000"/>
                <w:sz w:val="18"/>
                <w:szCs w:val="18"/>
              </w:rPr>
              <w:t>410</w:t>
            </w:r>
          </w:p>
        </w:tc>
        <w:tc>
          <w:tcPr>
            <w:tcW w:w="1037" w:type="dxa"/>
            <w:tcBorders>
              <w:top w:val="nil"/>
              <w:left w:val="nil"/>
              <w:bottom w:val="single" w:sz="4" w:space="0" w:color="auto"/>
              <w:right w:val="single" w:sz="4" w:space="0" w:color="auto"/>
            </w:tcBorders>
            <w:shd w:val="clear" w:color="auto" w:fill="auto"/>
            <w:noWrap/>
            <w:vAlign w:val="center"/>
            <w:hideMark/>
          </w:tcPr>
          <w:p w:rsidR="0034275A" w:rsidRPr="00AB2937" w:rsidP="00DC05D5" w14:paraId="688DF66A" w14:textId="4DB2334B">
            <w:pPr>
              <w:keepNext/>
              <w:keepLines/>
              <w:spacing w:line="240" w:lineRule="auto"/>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6.5216</w:t>
            </w:r>
          </w:p>
        </w:tc>
        <w:tc>
          <w:tcPr>
            <w:tcW w:w="1119" w:type="dxa"/>
            <w:tcBorders>
              <w:top w:val="nil"/>
              <w:left w:val="nil"/>
              <w:bottom w:val="single" w:sz="4" w:space="0" w:color="auto"/>
              <w:right w:val="single" w:sz="4" w:space="0" w:color="auto"/>
            </w:tcBorders>
            <w:shd w:val="clear" w:color="auto" w:fill="auto"/>
            <w:noWrap/>
            <w:vAlign w:val="center"/>
            <w:hideMark/>
          </w:tcPr>
          <w:p w:rsidR="0034275A" w:rsidRPr="00AB2937" w:rsidP="00DC05D5" w14:paraId="2933334D" w14:textId="48669252">
            <w:pPr>
              <w:keepNext/>
              <w:keepLines/>
              <w:spacing w:line="240" w:lineRule="auto"/>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35,611</w:t>
            </w:r>
          </w:p>
        </w:tc>
        <w:tc>
          <w:tcPr>
            <w:tcW w:w="810" w:type="dxa"/>
            <w:tcBorders>
              <w:top w:val="nil"/>
              <w:left w:val="nil"/>
              <w:bottom w:val="single" w:sz="4" w:space="0" w:color="auto"/>
              <w:right w:val="single" w:sz="4" w:space="0" w:color="auto"/>
            </w:tcBorders>
            <w:shd w:val="clear" w:color="auto" w:fill="auto"/>
            <w:noWrap/>
            <w:vAlign w:val="center"/>
            <w:hideMark/>
          </w:tcPr>
          <w:p w:rsidR="0034275A" w:rsidRPr="00AB2937" w:rsidP="00DC05D5" w14:paraId="2C43CEF1" w14:textId="77777777">
            <w:pPr>
              <w:keepNext/>
              <w:keepLines/>
              <w:spacing w:line="240" w:lineRule="auto"/>
              <w:jc w:val="right"/>
              <w:rPr>
                <w:rFonts w:ascii="Arial Narrow" w:eastAsia="Times New Roman" w:hAnsi="Arial Narrow" w:cs="Calibri"/>
                <w:color w:val="000000"/>
                <w:sz w:val="18"/>
                <w:szCs w:val="18"/>
              </w:rPr>
            </w:pPr>
            <w:r w:rsidRPr="00AB2937">
              <w:rPr>
                <w:rFonts w:ascii="Arial Narrow" w:eastAsia="Times New Roman" w:hAnsi="Arial Narrow" w:cs="Calibri"/>
                <w:color w:val="000000"/>
                <w:sz w:val="18"/>
                <w:szCs w:val="18"/>
              </w:rPr>
              <w:t>134.666</w:t>
            </w:r>
          </w:p>
        </w:tc>
        <w:tc>
          <w:tcPr>
            <w:tcW w:w="1015" w:type="dxa"/>
            <w:tcBorders>
              <w:top w:val="nil"/>
              <w:left w:val="nil"/>
              <w:bottom w:val="single" w:sz="4" w:space="0" w:color="auto"/>
              <w:right w:val="single" w:sz="4" w:space="0" w:color="auto"/>
            </w:tcBorders>
            <w:shd w:val="clear" w:color="auto" w:fill="auto"/>
            <w:vAlign w:val="center"/>
            <w:hideMark/>
          </w:tcPr>
          <w:p w:rsidR="0034275A" w:rsidRPr="00AB2937" w:rsidP="00DC05D5" w14:paraId="4066AF58" w14:textId="220837F8">
            <w:pPr>
              <w:keepNext/>
              <w:keepLines/>
              <w:spacing w:line="240" w:lineRule="auto"/>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729,304</w:t>
            </w:r>
          </w:p>
        </w:tc>
      </w:tr>
      <w:tr w14:paraId="7E35E450" w14:textId="77777777" w:rsidTr="00E2548A">
        <w:tblPrEx>
          <w:tblW w:w="11515" w:type="dxa"/>
          <w:jc w:val="center"/>
          <w:tblLook w:val="04A0"/>
        </w:tblPrEx>
        <w:trPr>
          <w:trHeight w:val="300"/>
          <w:jc w:val="center"/>
        </w:trPr>
        <w:tc>
          <w:tcPr>
            <w:tcW w:w="3316" w:type="dxa"/>
            <w:tcBorders>
              <w:top w:val="single" w:sz="4" w:space="0" w:color="auto"/>
              <w:left w:val="single" w:sz="4" w:space="0" w:color="auto"/>
              <w:bottom w:val="nil"/>
              <w:right w:val="single" w:sz="4" w:space="0" w:color="auto"/>
            </w:tcBorders>
            <w:shd w:val="clear" w:color="auto" w:fill="auto"/>
            <w:vAlign w:val="center"/>
            <w:hideMark/>
          </w:tcPr>
          <w:p w:rsidR="0034275A" w:rsidRPr="00AB2937" w:rsidP="00DC05D5" w14:paraId="417EC63C" w14:textId="77777777">
            <w:pPr>
              <w:keepNext/>
              <w:keepLines/>
              <w:spacing w:line="240" w:lineRule="auto"/>
              <w:rPr>
                <w:rFonts w:ascii="Arial Narrow" w:eastAsia="Times New Roman" w:hAnsi="Arial Narrow" w:cs="Calibri"/>
                <w:b/>
                <w:bCs/>
                <w:color w:val="000000"/>
                <w:sz w:val="20"/>
                <w:szCs w:val="20"/>
              </w:rPr>
            </w:pPr>
            <w:r w:rsidRPr="00AB2937">
              <w:rPr>
                <w:rFonts w:ascii="Arial Narrow" w:eastAsia="Times New Roman" w:hAnsi="Arial Narrow" w:cs="Calibri"/>
                <w:b/>
                <w:bCs/>
                <w:color w:val="000000"/>
                <w:sz w:val="20"/>
                <w:szCs w:val="20"/>
              </w:rPr>
              <w:t>Reporter Burden, Total</w:t>
            </w:r>
          </w:p>
        </w:tc>
        <w:tc>
          <w:tcPr>
            <w:tcW w:w="2486" w:type="dxa"/>
            <w:gridSpan w:val="2"/>
            <w:tcBorders>
              <w:top w:val="single" w:sz="4" w:space="0" w:color="auto"/>
              <w:left w:val="nil"/>
              <w:bottom w:val="nil"/>
              <w:right w:val="single" w:sz="4" w:space="0" w:color="auto"/>
            </w:tcBorders>
            <w:shd w:val="clear" w:color="auto" w:fill="auto"/>
            <w:vAlign w:val="center"/>
            <w:hideMark/>
          </w:tcPr>
          <w:p w:rsidR="0034275A" w:rsidRPr="00AB2937" w:rsidP="00DC05D5" w14:paraId="3787BD3F" w14:textId="3A045232">
            <w:pPr>
              <w:keepNext/>
              <w:keepLines/>
              <w:spacing w:line="240" w:lineRule="auto"/>
              <w:jc w:val="right"/>
              <w:rPr>
                <w:rFonts w:ascii="Arial Narrow" w:eastAsia="Times New Roman" w:hAnsi="Arial Narrow" w:cs="Calibri"/>
                <w:b/>
                <w:bCs/>
                <w:color w:val="000000"/>
                <w:sz w:val="18"/>
                <w:szCs w:val="18"/>
              </w:rPr>
            </w:pPr>
            <w:r w:rsidRPr="00AB2937">
              <w:rPr>
                <w:rFonts w:ascii="Arial Narrow" w:eastAsia="Times New Roman" w:hAnsi="Arial Narrow" w:cs="Calibri"/>
                <w:b/>
                <w:bCs/>
                <w:color w:val="000000"/>
                <w:sz w:val="18"/>
                <w:szCs w:val="18"/>
              </w:rPr>
              <w:t>7</w:t>
            </w:r>
            <w:r w:rsidR="00D60977">
              <w:rPr>
                <w:rFonts w:ascii="Arial Narrow" w:eastAsia="Times New Roman" w:hAnsi="Arial Narrow" w:cs="Calibri"/>
                <w:b/>
                <w:bCs/>
                <w:color w:val="000000"/>
                <w:sz w:val="18"/>
                <w:szCs w:val="18"/>
              </w:rPr>
              <w:t>19,291</w:t>
            </w:r>
          </w:p>
        </w:tc>
        <w:tc>
          <w:tcPr>
            <w:tcW w:w="1732" w:type="dxa"/>
            <w:gridSpan w:val="2"/>
            <w:tcBorders>
              <w:top w:val="single" w:sz="4" w:space="0" w:color="auto"/>
              <w:left w:val="nil"/>
              <w:bottom w:val="nil"/>
              <w:right w:val="single" w:sz="4" w:space="0" w:color="auto"/>
            </w:tcBorders>
            <w:shd w:val="clear" w:color="auto" w:fill="auto"/>
            <w:noWrap/>
            <w:vAlign w:val="center"/>
            <w:hideMark/>
          </w:tcPr>
          <w:p w:rsidR="0034275A" w:rsidRPr="00AB2937" w:rsidP="00DC05D5" w14:paraId="6D73DE5E" w14:textId="62B16F0F">
            <w:pPr>
              <w:keepNext/>
              <w:keepLines/>
              <w:spacing w:line="240" w:lineRule="auto"/>
              <w:jc w:val="right"/>
              <w:rPr>
                <w:rFonts w:ascii="Arial Narrow" w:eastAsia="Times New Roman" w:hAnsi="Arial Narrow" w:cs="Calibri"/>
                <w:b/>
                <w:bCs/>
                <w:color w:val="000000"/>
                <w:sz w:val="18"/>
                <w:szCs w:val="18"/>
              </w:rPr>
            </w:pPr>
            <w:r w:rsidRPr="00AB2937">
              <w:rPr>
                <w:rFonts w:ascii="Arial Narrow" w:eastAsia="Times New Roman" w:hAnsi="Arial Narrow" w:cs="Calibri"/>
                <w:b/>
                <w:bCs/>
                <w:color w:val="000000"/>
                <w:sz w:val="18"/>
                <w:szCs w:val="18"/>
              </w:rPr>
              <w:t>-25,</w:t>
            </w:r>
            <w:r w:rsidR="005D35CC">
              <w:rPr>
                <w:rFonts w:ascii="Arial Narrow" w:eastAsia="Times New Roman" w:hAnsi="Arial Narrow" w:cs="Calibri"/>
                <w:b/>
                <w:bCs/>
                <w:color w:val="000000"/>
                <w:sz w:val="18"/>
                <w:szCs w:val="18"/>
              </w:rPr>
              <w:t>417</w:t>
            </w:r>
          </w:p>
        </w:tc>
        <w:tc>
          <w:tcPr>
            <w:tcW w:w="2156" w:type="dxa"/>
            <w:gridSpan w:val="2"/>
            <w:tcBorders>
              <w:top w:val="single" w:sz="4" w:space="0" w:color="auto"/>
              <w:left w:val="nil"/>
              <w:bottom w:val="nil"/>
              <w:right w:val="single" w:sz="4" w:space="0" w:color="auto"/>
            </w:tcBorders>
            <w:shd w:val="clear" w:color="auto" w:fill="auto"/>
            <w:noWrap/>
            <w:vAlign w:val="center"/>
            <w:hideMark/>
          </w:tcPr>
          <w:p w:rsidR="0034275A" w:rsidRPr="00AB2937" w:rsidP="00DC05D5" w14:paraId="1126BD1A" w14:textId="4BFE8025">
            <w:pPr>
              <w:keepNext/>
              <w:keepLines/>
              <w:spacing w:line="240" w:lineRule="auto"/>
              <w:jc w:val="right"/>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35,611</w:t>
            </w:r>
          </w:p>
        </w:tc>
        <w:tc>
          <w:tcPr>
            <w:tcW w:w="1825" w:type="dxa"/>
            <w:gridSpan w:val="2"/>
            <w:tcBorders>
              <w:top w:val="single" w:sz="4" w:space="0" w:color="auto"/>
              <w:left w:val="nil"/>
              <w:bottom w:val="nil"/>
              <w:right w:val="single" w:sz="4" w:space="0" w:color="auto"/>
            </w:tcBorders>
            <w:shd w:val="clear" w:color="auto" w:fill="auto"/>
            <w:vAlign w:val="center"/>
            <w:hideMark/>
          </w:tcPr>
          <w:p w:rsidR="0034275A" w:rsidRPr="00AB2937" w:rsidP="00DC05D5" w14:paraId="16315927" w14:textId="7D86E248">
            <w:pPr>
              <w:keepNext/>
              <w:keepLines/>
              <w:spacing w:line="240" w:lineRule="auto"/>
              <w:jc w:val="right"/>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729,485</w:t>
            </w:r>
          </w:p>
        </w:tc>
      </w:tr>
      <w:tr w14:paraId="24910425" w14:textId="77777777" w:rsidTr="00E2548A">
        <w:tblPrEx>
          <w:tblW w:w="11515" w:type="dxa"/>
          <w:jc w:val="center"/>
          <w:tblLook w:val="04A0"/>
        </w:tblPrEx>
        <w:trPr>
          <w:trHeight w:val="300"/>
          <w:jc w:val="center"/>
        </w:trPr>
        <w:tc>
          <w:tcPr>
            <w:tcW w:w="11515" w:type="dxa"/>
            <w:gridSpan w:val="9"/>
            <w:tcBorders>
              <w:top w:val="single" w:sz="4" w:space="0" w:color="auto"/>
              <w:left w:val="single" w:sz="4" w:space="0" w:color="auto"/>
              <w:bottom w:val="nil"/>
              <w:right w:val="single" w:sz="4" w:space="0" w:color="000000"/>
            </w:tcBorders>
            <w:shd w:val="clear" w:color="auto" w:fill="auto"/>
            <w:hideMark/>
          </w:tcPr>
          <w:p w:rsidR="0034275A" w:rsidRPr="00AB2937" w:rsidP="00DC05D5" w14:paraId="7484C546" w14:textId="77777777">
            <w:pPr>
              <w:keepNext/>
              <w:keepLines/>
              <w:spacing w:line="240" w:lineRule="auto"/>
              <w:rPr>
                <w:rFonts w:ascii="Arial Narrow" w:eastAsia="Times New Roman" w:hAnsi="Arial Narrow" w:cs="Calibri"/>
                <w:color w:val="000000"/>
                <w:sz w:val="20"/>
                <w:szCs w:val="20"/>
              </w:rPr>
            </w:pPr>
            <w:r w:rsidRPr="00AB2937">
              <w:rPr>
                <w:rFonts w:ascii="Arial Narrow" w:eastAsia="Times New Roman" w:hAnsi="Arial Narrow" w:cs="Calibri"/>
                <w:color w:val="000000"/>
                <w:sz w:val="20"/>
                <w:szCs w:val="20"/>
              </w:rPr>
              <w:t>General Notes:</w:t>
            </w:r>
          </w:p>
        </w:tc>
      </w:tr>
      <w:tr w14:paraId="69E59B3F" w14:textId="77777777" w:rsidTr="00E2548A">
        <w:tblPrEx>
          <w:tblW w:w="11515" w:type="dxa"/>
          <w:jc w:val="center"/>
          <w:tblLook w:val="04A0"/>
        </w:tblPrEx>
        <w:trPr>
          <w:trHeight w:val="300"/>
          <w:jc w:val="center"/>
        </w:trPr>
        <w:tc>
          <w:tcPr>
            <w:tcW w:w="11515" w:type="dxa"/>
            <w:gridSpan w:val="9"/>
            <w:tcBorders>
              <w:top w:val="nil"/>
              <w:left w:val="single" w:sz="4" w:space="0" w:color="auto"/>
              <w:bottom w:val="nil"/>
              <w:right w:val="single" w:sz="4" w:space="0" w:color="000000"/>
            </w:tcBorders>
            <w:shd w:val="clear" w:color="auto" w:fill="auto"/>
            <w:hideMark/>
          </w:tcPr>
          <w:p w:rsidR="0034275A" w:rsidRPr="00AB2937" w:rsidP="00DC05D5" w14:paraId="6A58C0B4" w14:textId="77777777">
            <w:pPr>
              <w:keepNext/>
              <w:keepLines/>
              <w:spacing w:line="240" w:lineRule="auto"/>
              <w:rPr>
                <w:rFonts w:ascii="Arial Narrow" w:eastAsia="Times New Roman" w:hAnsi="Arial Narrow" w:cs="Calibri"/>
                <w:color w:val="000000"/>
                <w:sz w:val="20"/>
                <w:szCs w:val="20"/>
              </w:rPr>
            </w:pPr>
            <w:r w:rsidRPr="00AB2937">
              <w:rPr>
                <w:rFonts w:ascii="Arial Narrow" w:eastAsia="Times New Roman" w:hAnsi="Arial Narrow" w:cs="Calibri"/>
                <w:color w:val="000000"/>
                <w:sz w:val="20"/>
                <w:szCs w:val="20"/>
              </w:rPr>
              <w:t>• All unit and total burden estimates are reported in hours and are on an annual basis.</w:t>
            </w:r>
          </w:p>
        </w:tc>
      </w:tr>
      <w:tr w14:paraId="103AF781" w14:textId="77777777" w:rsidTr="00E2548A">
        <w:tblPrEx>
          <w:tblW w:w="11515" w:type="dxa"/>
          <w:jc w:val="center"/>
          <w:tblLook w:val="04A0"/>
        </w:tblPrEx>
        <w:trPr>
          <w:trHeight w:val="300"/>
          <w:jc w:val="center"/>
        </w:trPr>
        <w:tc>
          <w:tcPr>
            <w:tcW w:w="11515" w:type="dxa"/>
            <w:gridSpan w:val="9"/>
            <w:tcBorders>
              <w:top w:val="nil"/>
              <w:left w:val="single" w:sz="4" w:space="0" w:color="auto"/>
              <w:bottom w:val="nil"/>
              <w:right w:val="single" w:sz="4" w:space="0" w:color="000000"/>
            </w:tcBorders>
            <w:shd w:val="clear" w:color="auto" w:fill="auto"/>
            <w:hideMark/>
          </w:tcPr>
          <w:p w:rsidR="0034275A" w:rsidRPr="00AB2937" w:rsidP="00DC05D5" w14:paraId="2881A245" w14:textId="77777777">
            <w:pPr>
              <w:keepNext/>
              <w:keepLines/>
              <w:spacing w:line="240" w:lineRule="auto"/>
              <w:rPr>
                <w:rFonts w:ascii="Arial Narrow" w:eastAsia="Times New Roman" w:hAnsi="Arial Narrow" w:cs="Calibri"/>
                <w:color w:val="000000"/>
                <w:sz w:val="20"/>
                <w:szCs w:val="20"/>
              </w:rPr>
            </w:pPr>
            <w:r w:rsidRPr="00AB2937">
              <w:rPr>
                <w:rFonts w:ascii="Arial Narrow" w:eastAsia="Times New Roman" w:hAnsi="Arial Narrow" w:cs="Calibri"/>
                <w:color w:val="000000"/>
                <w:sz w:val="20"/>
                <w:szCs w:val="20"/>
              </w:rPr>
              <w:t>• The total burdens presented in this table may not equal the product of the unit burden and the reporting universe count of sites due to rounding.</w:t>
            </w:r>
          </w:p>
        </w:tc>
      </w:tr>
      <w:tr w14:paraId="45184359" w14:textId="77777777" w:rsidTr="00E2548A">
        <w:tblPrEx>
          <w:tblW w:w="11515" w:type="dxa"/>
          <w:jc w:val="center"/>
          <w:tblLook w:val="04A0"/>
        </w:tblPrEx>
        <w:trPr>
          <w:trHeight w:val="180"/>
          <w:jc w:val="center"/>
        </w:trPr>
        <w:tc>
          <w:tcPr>
            <w:tcW w:w="11515" w:type="dxa"/>
            <w:gridSpan w:val="9"/>
            <w:tcBorders>
              <w:top w:val="nil"/>
              <w:left w:val="single" w:sz="4" w:space="0" w:color="auto"/>
              <w:bottom w:val="nil"/>
              <w:right w:val="single" w:sz="4" w:space="0" w:color="000000"/>
            </w:tcBorders>
            <w:shd w:val="clear" w:color="auto" w:fill="auto"/>
            <w:hideMark/>
          </w:tcPr>
          <w:p w:rsidR="0034275A" w:rsidRPr="00AB2937" w:rsidP="00DC05D5" w14:paraId="4135B973" w14:textId="77777777">
            <w:pPr>
              <w:keepNext/>
              <w:keepLines/>
              <w:spacing w:line="240" w:lineRule="auto"/>
              <w:rPr>
                <w:rFonts w:ascii="Arial Narrow" w:eastAsia="Times New Roman" w:hAnsi="Arial Narrow" w:cs="Calibri"/>
                <w:color w:val="000000"/>
                <w:sz w:val="20"/>
                <w:szCs w:val="20"/>
              </w:rPr>
            </w:pPr>
            <w:r w:rsidRPr="00AB2937">
              <w:rPr>
                <w:rFonts w:ascii="Arial Narrow" w:eastAsia="Times New Roman" w:hAnsi="Arial Narrow" w:cs="Calibri"/>
                <w:color w:val="000000"/>
                <w:sz w:val="20"/>
                <w:szCs w:val="20"/>
              </w:rPr>
              <w:t>Table Footnotes:</w:t>
            </w:r>
          </w:p>
        </w:tc>
      </w:tr>
      <w:tr w14:paraId="7E31A988" w14:textId="77777777" w:rsidTr="00E2548A">
        <w:tblPrEx>
          <w:tblW w:w="11515" w:type="dxa"/>
          <w:jc w:val="center"/>
          <w:tblLook w:val="04A0"/>
        </w:tblPrEx>
        <w:trPr>
          <w:trHeight w:val="300"/>
          <w:jc w:val="center"/>
        </w:trPr>
        <w:tc>
          <w:tcPr>
            <w:tcW w:w="11515" w:type="dxa"/>
            <w:gridSpan w:val="9"/>
            <w:tcBorders>
              <w:top w:val="nil"/>
              <w:left w:val="single" w:sz="4" w:space="0" w:color="auto"/>
              <w:bottom w:val="nil"/>
              <w:right w:val="single" w:sz="4" w:space="0" w:color="000000"/>
            </w:tcBorders>
            <w:shd w:val="clear" w:color="auto" w:fill="auto"/>
            <w:hideMark/>
          </w:tcPr>
          <w:p w:rsidR="0034275A" w:rsidRPr="00AB2937" w:rsidP="00DC05D5" w14:paraId="4EDC8D9D" w14:textId="77777777">
            <w:pPr>
              <w:keepNext/>
              <w:keepLines/>
              <w:spacing w:line="240" w:lineRule="auto"/>
              <w:rPr>
                <w:rFonts w:ascii="Arial Narrow" w:eastAsia="Times New Roman" w:hAnsi="Arial Narrow" w:cs="Calibri"/>
                <w:color w:val="000000"/>
                <w:sz w:val="20"/>
                <w:szCs w:val="20"/>
              </w:rPr>
            </w:pPr>
            <w:r w:rsidRPr="00AB2937">
              <w:rPr>
                <w:rFonts w:ascii="Arial Narrow" w:eastAsia="Times New Roman" w:hAnsi="Arial Narrow" w:cs="Calibri"/>
                <w:color w:val="000000"/>
                <w:sz w:val="20"/>
                <w:szCs w:val="20"/>
                <w:vertAlign w:val="superscript"/>
              </w:rPr>
              <w:t>1</w:t>
            </w:r>
            <w:r w:rsidRPr="00AB2937">
              <w:rPr>
                <w:rFonts w:ascii="Arial Narrow" w:eastAsia="Times New Roman" w:hAnsi="Arial Narrow" w:cs="Calibri"/>
                <w:color w:val="000000"/>
                <w:sz w:val="20"/>
                <w:szCs w:val="20"/>
              </w:rPr>
              <w:t xml:space="preserve">From 5,660 sites in 2018 CDR ICR to an estimated 5460 sites in the 2022 CDR ICR. Note that the number of sites in the previous ICR has been adjusted from 5,662 to 5,660 to account for </w:t>
            </w:r>
            <w:r>
              <w:rPr>
                <w:rFonts w:ascii="Arial Narrow" w:eastAsia="Times New Roman" w:hAnsi="Arial Narrow" w:cs="Calibri"/>
                <w:color w:val="000000"/>
                <w:sz w:val="20"/>
                <w:szCs w:val="20"/>
              </w:rPr>
              <w:t xml:space="preserve">the removal of </w:t>
            </w:r>
            <w:r w:rsidRPr="00AB2937">
              <w:rPr>
                <w:rFonts w:ascii="Arial Narrow" w:eastAsia="Times New Roman" w:hAnsi="Arial Narrow" w:cs="Calibri"/>
                <w:color w:val="000000"/>
                <w:sz w:val="20"/>
                <w:szCs w:val="20"/>
              </w:rPr>
              <w:t xml:space="preserve">two </w:t>
            </w:r>
            <w:r>
              <w:rPr>
                <w:rFonts w:ascii="Arial Narrow" w:eastAsia="Times New Roman" w:hAnsi="Arial Narrow" w:cs="Calibri"/>
                <w:color w:val="000000"/>
                <w:sz w:val="20"/>
                <w:szCs w:val="20"/>
              </w:rPr>
              <w:t>test sites</w:t>
            </w:r>
            <w:r w:rsidRPr="00AB2937">
              <w:rPr>
                <w:rFonts w:ascii="Arial Narrow" w:eastAsia="Times New Roman" w:hAnsi="Arial Narrow" w:cs="Calibri"/>
                <w:color w:val="000000"/>
                <w:sz w:val="20"/>
                <w:szCs w:val="20"/>
              </w:rPr>
              <w:t xml:space="preserve"> identified in the 2016 CDR after the preparation of the 2018 ICR renewal.</w:t>
            </w:r>
          </w:p>
        </w:tc>
      </w:tr>
      <w:tr w14:paraId="3EFD30F9" w14:textId="77777777" w:rsidTr="00E2548A">
        <w:tblPrEx>
          <w:tblW w:w="11515" w:type="dxa"/>
          <w:jc w:val="center"/>
          <w:tblLook w:val="04A0"/>
        </w:tblPrEx>
        <w:trPr>
          <w:trHeight w:val="720"/>
          <w:jc w:val="center"/>
        </w:trPr>
        <w:tc>
          <w:tcPr>
            <w:tcW w:w="11515" w:type="dxa"/>
            <w:gridSpan w:val="9"/>
            <w:tcBorders>
              <w:top w:val="nil"/>
              <w:left w:val="single" w:sz="4" w:space="0" w:color="auto"/>
              <w:bottom w:val="nil"/>
              <w:right w:val="single" w:sz="4" w:space="0" w:color="000000"/>
            </w:tcBorders>
            <w:shd w:val="clear" w:color="auto" w:fill="auto"/>
            <w:hideMark/>
          </w:tcPr>
          <w:p w:rsidR="0034275A" w:rsidRPr="00AB2937" w:rsidP="00DC05D5" w14:paraId="5241BD04" w14:textId="77777777">
            <w:pPr>
              <w:keepNext/>
              <w:keepLines/>
              <w:spacing w:line="240" w:lineRule="auto"/>
              <w:rPr>
                <w:rFonts w:ascii="Arial Narrow" w:eastAsia="Times New Roman" w:hAnsi="Arial Narrow" w:cs="Calibri"/>
                <w:color w:val="000000"/>
                <w:sz w:val="20"/>
                <w:szCs w:val="20"/>
              </w:rPr>
            </w:pPr>
            <w:r w:rsidRPr="00AB2937">
              <w:rPr>
                <w:rFonts w:ascii="Arial Narrow" w:eastAsia="Times New Roman" w:hAnsi="Arial Narrow" w:cs="Calibri"/>
                <w:color w:val="000000"/>
                <w:sz w:val="20"/>
                <w:szCs w:val="20"/>
                <w:vertAlign w:val="superscript"/>
              </w:rPr>
              <w:t>2</w:t>
            </w:r>
            <w:r w:rsidRPr="00AB2937">
              <w:rPr>
                <w:rFonts w:ascii="Arial Narrow" w:eastAsia="Times New Roman" w:hAnsi="Arial Narrow" w:cs="Calibri"/>
                <w:color w:val="000000"/>
                <w:sz w:val="20"/>
                <w:szCs w:val="20"/>
              </w:rPr>
              <w:t>New and modified reporting activities include new and modified reportable data elements, changes to CBI substantiation requirements, and the rule familiarization and compliance determination associated with the changes in the 2020 CDR Revisions Rule and the 2020 8(a) SMD Update Rule.</w:t>
            </w:r>
          </w:p>
        </w:tc>
      </w:tr>
      <w:tr w14:paraId="1F524C96" w14:textId="77777777" w:rsidTr="00E2548A">
        <w:tblPrEx>
          <w:tblW w:w="11515" w:type="dxa"/>
          <w:jc w:val="center"/>
          <w:tblLook w:val="04A0"/>
        </w:tblPrEx>
        <w:trPr>
          <w:trHeight w:val="300"/>
          <w:jc w:val="center"/>
        </w:trPr>
        <w:tc>
          <w:tcPr>
            <w:tcW w:w="11515" w:type="dxa"/>
            <w:gridSpan w:val="9"/>
            <w:tcBorders>
              <w:top w:val="nil"/>
              <w:left w:val="single" w:sz="4" w:space="0" w:color="auto"/>
              <w:bottom w:val="single" w:sz="4" w:space="0" w:color="auto"/>
              <w:right w:val="single" w:sz="4" w:space="0" w:color="000000"/>
            </w:tcBorders>
            <w:shd w:val="clear" w:color="auto" w:fill="auto"/>
            <w:hideMark/>
          </w:tcPr>
          <w:p w:rsidR="0034275A" w:rsidRPr="00AB2937" w:rsidP="00DC05D5" w14:paraId="124C973A" w14:textId="77777777">
            <w:pPr>
              <w:keepNext/>
              <w:keepLines/>
              <w:spacing w:after="0" w:line="240" w:lineRule="auto"/>
              <w:rPr>
                <w:rFonts w:ascii="Arial Narrow" w:eastAsia="Times New Roman" w:hAnsi="Arial Narrow" w:cs="Calibri"/>
                <w:color w:val="000000"/>
                <w:sz w:val="20"/>
                <w:szCs w:val="20"/>
              </w:rPr>
            </w:pPr>
            <w:r w:rsidRPr="00AB2937">
              <w:rPr>
                <w:rFonts w:ascii="Arial Narrow" w:eastAsia="Times New Roman" w:hAnsi="Arial Narrow" w:cs="Calibri"/>
                <w:color w:val="000000"/>
                <w:sz w:val="20"/>
                <w:szCs w:val="20"/>
                <w:vertAlign w:val="superscript"/>
              </w:rPr>
              <w:t>3</w:t>
            </w:r>
            <w:r w:rsidRPr="00AB2937">
              <w:rPr>
                <w:rFonts w:ascii="Arial Narrow" w:eastAsia="Times New Roman" w:hAnsi="Arial Narrow" w:cs="Calibri"/>
                <w:color w:val="000000"/>
                <w:sz w:val="20"/>
                <w:szCs w:val="20"/>
              </w:rPr>
              <w:t>Includes rule familiarization (new reporters), compliance determination, form completion, and recordkeeping.</w:t>
            </w:r>
          </w:p>
        </w:tc>
      </w:tr>
    </w:tbl>
    <w:p w:rsidR="005E57F7" w:rsidP="00486F2B" w14:paraId="5AD60C2B" w14:textId="77777777">
      <w:pPr>
        <w:pStyle w:val="BodyText"/>
      </w:pPr>
    </w:p>
    <w:p w:rsidR="002311B4" w:rsidP="002059F4" w14:paraId="0C6C4DBD" w14:textId="77777777">
      <w:pPr>
        <w:pStyle w:val="Heading2"/>
        <w:ind w:left="360"/>
      </w:pPr>
      <w:r w:rsidRPr="00A640A9">
        <w:t>For collections whose results will be published, outline the plans for tabulation and publication.</w:t>
      </w:r>
      <w:r w:rsidR="007F3A69">
        <w:t xml:space="preserve"> </w:t>
      </w:r>
      <w:r w:rsidRPr="007F3A69" w:rsidR="007F3A69">
        <w:t>Address any complex analytical techniques that will be used. Provide the time schedule for the entire project, including beginning and ending dates of the collection of information, completion of report, publication dates, and other actions.</w:t>
      </w:r>
    </w:p>
    <w:p w:rsidR="00D278E1" w:rsidRPr="002311B4" w:rsidP="002311B4" w14:paraId="29D5BAF2" w14:textId="032A1C29">
      <w:r w:rsidRPr="002311B4">
        <w:t>After each collect</w:t>
      </w:r>
      <w:r w:rsidRPr="002311B4" w:rsidR="00D16473">
        <w:t>ion</w:t>
      </w:r>
      <w:r w:rsidRPr="002311B4">
        <w:t xml:space="preserve">, the </w:t>
      </w:r>
      <w:r w:rsidRPr="002311B4" w:rsidR="00DF29C1">
        <w:t xml:space="preserve">CDR data are </w:t>
      </w:r>
      <w:r w:rsidRPr="002311B4" w:rsidR="00F26349">
        <w:t>tabulated into</w:t>
      </w:r>
      <w:r w:rsidRPr="002311B4" w:rsidR="002C6AEB">
        <w:t xml:space="preserve"> </w:t>
      </w:r>
      <w:r w:rsidRPr="002311B4" w:rsidR="0002499C">
        <w:t>a series of spreadsheets</w:t>
      </w:r>
      <w:r w:rsidRPr="002311B4" w:rsidR="00B05A38">
        <w:t xml:space="preserve"> and</w:t>
      </w:r>
      <w:r w:rsidRPr="002311B4" w:rsidR="0002499C">
        <w:t xml:space="preserve"> </w:t>
      </w:r>
      <w:r w:rsidRPr="002311B4" w:rsidR="001C3924">
        <w:t xml:space="preserve">an </w:t>
      </w:r>
      <w:r w:rsidRPr="002311B4">
        <w:t>Access database</w:t>
      </w:r>
      <w:r w:rsidRPr="002311B4" w:rsidR="001C3924">
        <w:t>,</w:t>
      </w:r>
      <w:r w:rsidRPr="002311B4" w:rsidR="00D16473">
        <w:t xml:space="preserve"> checked to ensure</w:t>
      </w:r>
      <w:r w:rsidRPr="002311B4" w:rsidR="00552B6D">
        <w:t xml:space="preserve"> any data submitted as confidential</w:t>
      </w:r>
      <w:r w:rsidRPr="002311B4" w:rsidR="000C37E7">
        <w:t xml:space="preserve"> are protected, and </w:t>
      </w:r>
      <w:r w:rsidRPr="002311B4" w:rsidR="00953974">
        <w:t xml:space="preserve">made public by directly posting on the CDR website and via </w:t>
      </w:r>
      <w:r w:rsidRPr="002311B4" w:rsidR="00DF29C1">
        <w:t xml:space="preserve">the online </w:t>
      </w:r>
      <w:r w:rsidRPr="002311B4" w:rsidR="00DF29C1">
        <w:t>ChemView</w:t>
      </w:r>
      <w:r w:rsidRPr="002311B4" w:rsidR="00DF29C1">
        <w:t xml:space="preserve"> database</w:t>
      </w:r>
      <w:r w:rsidRPr="002311B4" w:rsidR="00953974">
        <w:t>.</w:t>
      </w:r>
      <w:r w:rsidR="000E70CF">
        <w:t xml:space="preserve"> </w:t>
      </w:r>
      <w:r w:rsidRPr="002311B4" w:rsidR="00A640A9">
        <w:t>If</w:t>
      </w:r>
      <w:r w:rsidRPr="002311B4">
        <w:t xml:space="preserve"> seeking approval to not display the expiration date for OMB approval of the information collection, explain the reasons why display would be inappropriate.</w:t>
      </w:r>
    </w:p>
    <w:p w:rsidR="00FA12B8" w:rsidP="00FA12B8" w14:paraId="12760EBA" w14:textId="77777777">
      <w:pPr>
        <w:pStyle w:val="Heading2"/>
        <w:ind w:left="360"/>
      </w:pPr>
      <w:r>
        <w:t>If seeking approval to not display the expiration date for OMB approval of the information collection, explain the reasons why display would be inappropriate.</w:t>
      </w:r>
    </w:p>
    <w:p w:rsidR="0002347E" w:rsidRPr="0002347E" w:rsidP="0002347E" w14:paraId="3F906589" w14:textId="55F53D88">
      <w:pPr>
        <w:rPr>
          <w:lang w:bidi="en-US"/>
        </w:rPr>
      </w:pPr>
      <w:r>
        <w:rPr>
          <w:lang w:bidi="en-US"/>
        </w:rPr>
        <w:t xml:space="preserve">Not applicable. </w:t>
      </w:r>
    </w:p>
    <w:p w:rsidR="005D6FB8" w:rsidP="00FA12B8" w14:paraId="380B6953" w14:textId="538A23E8">
      <w:pPr>
        <w:pStyle w:val="Heading2"/>
        <w:ind w:left="360"/>
      </w:pPr>
      <w:r>
        <w:t xml:space="preserve">Explain each exception to the certification statement identified in </w:t>
      </w:r>
      <w:r w:rsidRPr="007F3A69" w:rsidR="007F3A69">
        <w:t>“Certification for Paperwork Reduction Act Submissions.”</w:t>
      </w:r>
    </w:p>
    <w:p w:rsidR="0002347E" w:rsidRPr="0002347E" w:rsidP="0002347E" w14:paraId="38339095" w14:textId="6EA1BC53">
      <w:r w:rsidRPr="0002347E">
        <w:t xml:space="preserve">EPA does not request an exception to the certification of this information collection. </w:t>
      </w:r>
    </w:p>
    <w:p w:rsidR="0026304B" w:rsidP="002059F4" w14:paraId="6054E19E" w14:textId="080567FA">
      <w:pPr>
        <w:pStyle w:val="Heading1"/>
      </w:pPr>
      <w:r>
        <w:t>Supplemental Information</w:t>
      </w:r>
    </w:p>
    <w:p w:rsidR="004E0712" w:rsidP="23F9D9DA" w14:paraId="20307F14" w14:textId="0E234451">
      <w:r>
        <w:t xml:space="preserve">This collection of information is approved by OMB under the Paperwork Reduction Act, 44 U.S.C. 3501 et seq. (OMB Control No. 2070-0162). Responses to this collection of information are mandatory for certain persons, as specified at 40 CFR 711. An agency may not conduct or sponsor, and a person is not required to respond to, a collection of information unless it displays a currently valid OMB control number. The </w:t>
      </w:r>
      <w:r w:rsidRPr="00710E44">
        <w:t xml:space="preserve">public reporting and recordkeeping burden for this collection of information is estimated to be </w:t>
      </w:r>
      <w:r w:rsidRPr="00710E44" w:rsidR="1896A9C3">
        <w:t>135</w:t>
      </w:r>
      <w:r w:rsidRPr="00710E44">
        <w:t xml:space="preserve"> hours per response. Send comments on the Agency’s need for this information, the accuracy </w:t>
      </w:r>
      <w:r>
        <w:t>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B3269F" w:rsidRPr="005F567A" w:rsidP="00B3269F" w14:paraId="303CF943" w14:textId="30FE0843">
      <w:pPr>
        <w:numPr>
          <w:ilvl w:val="12"/>
          <w:numId w:val="0"/>
        </w:numPr>
        <w:rPr>
          <w:rFonts w:cs="Arial"/>
          <w:color w:val="0F0F0F"/>
          <w:szCs w:val="24"/>
        </w:rPr>
      </w:pPr>
      <w:bookmarkStart w:id="7" w:name="_Hlk102050759"/>
      <w:r w:rsidRPr="005F567A">
        <w:rPr>
          <w:rFonts w:cs="Arial"/>
          <w:color w:val="0F0F0F"/>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w:t>
      </w:r>
      <w:r w:rsidRPr="005F567A">
        <w:rPr>
          <w:rFonts w:cs="Arial"/>
          <w:szCs w:val="24"/>
        </w:rPr>
        <w:t>Number EPA-HQ-OPPT-</w:t>
      </w:r>
      <w:r w:rsidR="000D40CB">
        <w:rPr>
          <w:rFonts w:cs="Arial"/>
          <w:szCs w:val="24"/>
        </w:rPr>
        <w:t>2013-0721</w:t>
      </w:r>
      <w:r w:rsidRPr="005F567A">
        <w:rPr>
          <w:rFonts w:cs="Arial"/>
          <w:szCs w:val="24"/>
        </w:rPr>
        <w:t xml:space="preserve">, </w:t>
      </w:r>
      <w:bookmarkStart w:id="8" w:name="_Hlk80705102"/>
      <w:r w:rsidRPr="005F567A">
        <w:rPr>
          <w:rFonts w:cs="Arial"/>
          <w:szCs w:val="24"/>
        </w:rPr>
        <w:t xml:space="preserve">which </w:t>
      </w:r>
      <w:r w:rsidRPr="005F567A">
        <w:rPr>
          <w:rFonts w:cs="Arial"/>
          <w:color w:val="0F0F0F"/>
          <w:szCs w:val="24"/>
        </w:rPr>
        <w:t xml:space="preserve">is available at </w:t>
      </w:r>
      <w:hyperlink r:id="rId35" w:history="1">
        <w:r w:rsidRPr="005F567A">
          <w:rPr>
            <w:rStyle w:val="Hyperlink"/>
            <w:rFonts w:cs="Arial"/>
            <w:szCs w:val="24"/>
          </w:rPr>
          <w:t>http://www.regulations.gov</w:t>
        </w:r>
      </w:hyperlink>
      <w:r w:rsidRPr="005F567A">
        <w:rPr>
          <w:rStyle w:val="Hyperlink"/>
          <w:rFonts w:cs="Arial"/>
          <w:szCs w:val="24"/>
        </w:rPr>
        <w:t>.</w:t>
      </w:r>
      <w:r w:rsidRPr="005F567A">
        <w:rPr>
          <w:rFonts w:cs="Arial"/>
          <w:color w:val="0F0F0F"/>
          <w:szCs w:val="24"/>
        </w:rPr>
        <w:t>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p>
    <w:p w:rsidR="00B3269F" w:rsidRPr="005F567A" w:rsidP="00B3269F" w14:paraId="2E3344CD" w14:textId="77777777">
      <w:pPr>
        <w:rPr>
          <w:rFonts w:cs="Arial"/>
        </w:rPr>
      </w:pPr>
      <w:r w:rsidRPr="005F567A">
        <w:rPr>
          <w:rFonts w:cs="Arial"/>
          <w:color w:val="0F0F0F"/>
          <w:szCs w:val="24"/>
        </w:rPr>
        <w:t xml:space="preserve">You can also provide comments to the Office of Information and Regulatory Affairs, Office of Management and Budget </w:t>
      </w:r>
      <w:r w:rsidRPr="005F567A">
        <w:rPr>
          <w:rFonts w:cs="Arial"/>
        </w:rPr>
        <w:t xml:space="preserve">via </w:t>
      </w:r>
      <w:hyperlink r:id="rId36" w:history="1">
        <w:r w:rsidRPr="005F567A">
          <w:rPr>
            <w:rStyle w:val="Hyperlink"/>
            <w:rFonts w:cs="Arial"/>
          </w:rPr>
          <w:t>http://www.reginfo.gov/public/do/PRAMain</w:t>
        </w:r>
      </w:hyperlink>
      <w:r w:rsidRPr="005F567A">
        <w:rPr>
          <w:rFonts w:cs="Arial"/>
        </w:rPr>
        <w:t xml:space="preserve">. Find </w:t>
      </w:r>
      <w:r w:rsidRPr="005F567A">
        <w:rPr>
          <w:rFonts w:cs="Arial"/>
        </w:rPr>
        <w:t>this particular information collection by selecting ‘‘Currently under 30-day Review—Open for Public Comments’’ or by using the search function.</w:t>
      </w:r>
    </w:p>
    <w:p w:rsidR="00F4767D" w:rsidRPr="00F4767D" w:rsidP="00F4767D" w14:paraId="6D4A7E79" w14:textId="77777777">
      <w:r w:rsidRPr="00F4767D">
        <w:t xml:space="preserve">All comments received by EPA will be included in the docket without change, including any personal information provided, unless the comment includes profanity, threats, information claimed to be Confidential Business Information (CBI), or other information whose disclosure is restricted by statute. Do not submit electronically any information you consider to be CBI or other information whose disclosure is restricted by statute. </w:t>
      </w:r>
    </w:p>
    <w:p w:rsidR="00F4767D" w:rsidRPr="00F4767D" w:rsidP="00F4767D" w14:paraId="5DE2DE91" w14:textId="77777777">
      <w:pPr>
        <w:spacing w:line="240" w:lineRule="auto"/>
      </w:pPr>
      <w:bookmarkStart w:id="9" w:name="_Hlk79500589"/>
      <w:r w:rsidRPr="00F4767D">
        <w:t xml:space="preserve">For the latest status information on EPA/DC services and docket access, visit </w:t>
      </w:r>
      <w:r w:rsidRPr="00F4767D">
        <w:rPr>
          <w:color w:val="0563C1" w:themeColor="hyperlink"/>
          <w:u w:val="single"/>
        </w:rPr>
        <w:t>https://www.epa.gov/dockets</w:t>
      </w:r>
      <w:r w:rsidRPr="00F4767D">
        <w:t>.</w:t>
      </w:r>
      <w:bookmarkEnd w:id="9"/>
    </w:p>
    <w:bookmarkEnd w:id="7"/>
    <w:bookmarkEnd w:id="8"/>
    <w:p w:rsidR="00C97580" w:rsidP="00C97580" w14:paraId="0C95FCF5" w14:textId="63172977">
      <w:pPr>
        <w:pStyle w:val="Heading1"/>
      </w:pPr>
      <w:r>
        <w:t xml:space="preserve">REFERENCES </w:t>
      </w:r>
    </w:p>
    <w:p w:rsidR="0001422D" w:rsidP="00DC05D5" w14:paraId="5201996D" w14:textId="5E8615A7">
      <w:pPr>
        <w:rPr>
          <w:lang w:bidi="en-US"/>
        </w:rPr>
      </w:pPr>
      <w:r>
        <w:rPr>
          <w:lang w:bidi="en-US"/>
        </w:rPr>
        <w:t xml:space="preserve">1. </w:t>
      </w:r>
      <w:r w:rsidRPr="23F9D9DA" w:rsidR="00D665EA">
        <w:rPr>
          <w:lang w:bidi="en-US"/>
        </w:rPr>
        <w:t>EPA, 2020</w:t>
      </w:r>
      <w:r w:rsidRPr="23F9D9DA" w:rsidR="0014153C">
        <w:rPr>
          <w:lang w:bidi="en-US"/>
        </w:rPr>
        <w:t>a</w:t>
      </w:r>
      <w:r w:rsidRPr="23F9D9DA" w:rsidR="004D49DA">
        <w:rPr>
          <w:lang w:bidi="en-US"/>
        </w:rPr>
        <w:t>.</w:t>
      </w:r>
      <w:r w:rsidRPr="23F9D9DA" w:rsidR="00425D59">
        <w:rPr>
          <w:lang w:bidi="en-US"/>
        </w:rPr>
        <w:t xml:space="preserve"> </w:t>
      </w:r>
      <w:r w:rsidRPr="23F9D9DA" w:rsidR="00425D59">
        <w:t xml:space="preserve">Economic Analysis for the </w:t>
      </w:r>
      <w:r w:rsidRPr="23F9D9DA" w:rsidR="72F684F2">
        <w:t xml:space="preserve">Final Rule on the TSCA </w:t>
      </w:r>
      <w:r w:rsidRPr="23F9D9DA" w:rsidR="360DD1D6">
        <w:t>Chemical Data Reporting (</w:t>
      </w:r>
      <w:r w:rsidRPr="23F9D9DA" w:rsidR="00425D59">
        <w:t>CDR</w:t>
      </w:r>
      <w:r w:rsidRPr="23F9D9DA" w:rsidR="41CDA108">
        <w:t>)</w:t>
      </w:r>
      <w:r w:rsidRPr="23F9D9DA" w:rsidR="00425D59">
        <w:t xml:space="preserve"> Revisions</w:t>
      </w:r>
      <w:r w:rsidRPr="23F9D9DA" w:rsidR="4C1F6220">
        <w:t xml:space="preserve">. </w:t>
      </w:r>
      <w:hyperlink r:id="rId37" w:history="1">
        <w:r w:rsidRPr="008C6DF7" w:rsidR="4C1F6220">
          <w:rPr>
            <w:rStyle w:val="Hyperlink"/>
          </w:rPr>
          <w:t>Docket EPA-HQ-2018-0321-0118</w:t>
        </w:r>
      </w:hyperlink>
    </w:p>
    <w:p w:rsidR="0014153C" w:rsidRPr="00DC05D5" w:rsidP="00DC05D5" w14:paraId="49C43B5C" w14:textId="39F57327">
      <w:pPr>
        <w:rPr>
          <w:lang w:bidi="en-US"/>
        </w:rPr>
      </w:pPr>
      <w:r w:rsidRPr="00DC05D5">
        <w:rPr>
          <w:lang w:bidi="en-US"/>
        </w:rPr>
        <w:t xml:space="preserve">2. </w:t>
      </w:r>
      <w:r w:rsidRPr="00DC05D5">
        <w:rPr>
          <w:lang w:bidi="en-US"/>
        </w:rPr>
        <w:t>EPA, 2020b</w:t>
      </w:r>
      <w:r w:rsidRPr="00DC05D5" w:rsidR="00FD60C8">
        <w:rPr>
          <w:lang w:bidi="en-US"/>
        </w:rPr>
        <w:t>.</w:t>
      </w:r>
      <w:r w:rsidRPr="00DC05D5" w:rsidR="00F11E07">
        <w:rPr>
          <w:lang w:bidi="en-US"/>
        </w:rPr>
        <w:t xml:space="preserve"> </w:t>
      </w:r>
      <w:r w:rsidRPr="00DC05D5" w:rsidR="00F11E07">
        <w:t xml:space="preserve">Economic Analysis for the </w:t>
      </w:r>
      <w:r w:rsidRPr="00DC05D5" w:rsidR="6D57755D">
        <w:t xml:space="preserve">Final Rule on the TSCA Section 8(a) </w:t>
      </w:r>
      <w:r w:rsidRPr="00DC05D5" w:rsidR="00F11E07">
        <w:t xml:space="preserve">Small Manufacturers Definition </w:t>
      </w:r>
      <w:r w:rsidRPr="00DC05D5" w:rsidR="24E3A6D4">
        <w:t>Update</w:t>
      </w:r>
      <w:r w:rsidRPr="00DC05D5" w:rsidR="6D5121A9">
        <w:t xml:space="preserve">. </w:t>
      </w:r>
      <w:hyperlink r:id="rId38" w:history="1">
        <w:r w:rsidRPr="00546FCE" w:rsidR="6D5121A9">
          <w:rPr>
            <w:rStyle w:val="Hyperlink"/>
          </w:rPr>
          <w:t>Docket EPA-HQ-2018-0321-0141</w:t>
        </w:r>
      </w:hyperlink>
    </w:p>
    <w:p w:rsidR="00AE56D8" w:rsidRPr="00DC05D5" w:rsidP="00DC05D5" w14:paraId="4572CE3F" w14:textId="7280C7D1">
      <w:r w:rsidRPr="00DC05D5">
        <w:t xml:space="preserve">3. </w:t>
      </w:r>
      <w:r w:rsidRPr="00DC05D5" w:rsidR="00FD60C8">
        <w:t xml:space="preserve">EPA 2018. </w:t>
      </w:r>
      <w:hyperlink r:id="rId39" w:history="1">
        <w:r w:rsidRPr="00DC05D5">
          <w:t>2016 CDR</w:t>
        </w:r>
        <w:r w:rsidRPr="00DC05D5" w:rsidR="31BC3486">
          <w:rPr>
            <w:rStyle w:val="Hyperlink"/>
            <w:u w:val="none"/>
          </w:rPr>
          <w:t xml:space="preserve"> </w:t>
        </w:r>
        <w:r w:rsidRPr="00546FCE" w:rsidR="31BC3486">
          <w:rPr>
            <w:rStyle w:val="Hyperlink"/>
          </w:rPr>
          <w:t>Database</w:t>
        </w:r>
      </w:hyperlink>
    </w:p>
    <w:p w:rsidR="00A640A9" w:rsidP="002059F4" w14:paraId="4CFB748D" w14:textId="17BA477A">
      <w:pPr>
        <w:pStyle w:val="Heading1"/>
      </w:pPr>
      <w:r>
        <w:t>List of Attachments</w:t>
      </w:r>
    </w:p>
    <w:p w:rsidR="0026304B" w:rsidP="0026304B" w14:paraId="4BA9D995" w14:textId="5CE6A7F2">
      <w:pPr>
        <w:rPr>
          <w:lang w:bidi="en-US"/>
        </w:rPr>
      </w:pPr>
      <w:r>
        <w:rPr>
          <w:lang w:bidi="en-US"/>
        </w:rPr>
        <w:t>T</w:t>
      </w:r>
      <w:r w:rsidRPr="00FD497D">
        <w:rPr>
          <w:lang w:bidi="en-US"/>
        </w:rPr>
        <w:t xml:space="preserve">he attachments listed below can be found in the docket for this ICR or </w:t>
      </w:r>
      <w:r>
        <w:rPr>
          <w:lang w:bidi="en-US"/>
        </w:rPr>
        <w:t xml:space="preserve">by using the </w:t>
      </w:r>
      <w:r w:rsidRPr="00FD497D">
        <w:rPr>
          <w:lang w:bidi="en-US"/>
        </w:rPr>
        <w:t xml:space="preserve">hyperlink </w:t>
      </w:r>
      <w:r>
        <w:rPr>
          <w:lang w:bidi="en-US"/>
        </w:rPr>
        <w:t xml:space="preserve">that </w:t>
      </w:r>
      <w:r w:rsidRPr="00FD497D">
        <w:rPr>
          <w:lang w:bidi="en-US"/>
        </w:rPr>
        <w:t xml:space="preserve">is provided </w:t>
      </w:r>
      <w:r>
        <w:rPr>
          <w:lang w:bidi="en-US"/>
        </w:rPr>
        <w:t>in the list below</w:t>
      </w:r>
      <w:r w:rsidRPr="00FD497D">
        <w:rPr>
          <w:lang w:bidi="en-US"/>
        </w:rPr>
        <w:t xml:space="preserve">. The docket for </w:t>
      </w:r>
      <w:r>
        <w:rPr>
          <w:lang w:bidi="en-US"/>
        </w:rPr>
        <w:t xml:space="preserve">this ICR </w:t>
      </w:r>
      <w:r w:rsidRPr="00FD497D">
        <w:rPr>
          <w:lang w:bidi="en-US"/>
        </w:rPr>
        <w:t xml:space="preserve">is accessible electronically through </w:t>
      </w:r>
      <w:hyperlink r:id="rId40" w:history="1">
        <w:r w:rsidRPr="00FD497D">
          <w:rPr>
            <w:rStyle w:val="Hyperlink"/>
          </w:rPr>
          <w:t>http://www.regulations.gov</w:t>
        </w:r>
      </w:hyperlink>
      <w:r>
        <w:rPr>
          <w:lang w:bidi="en-US"/>
        </w:rPr>
        <w:t xml:space="preserve"> </w:t>
      </w:r>
      <w:r w:rsidRPr="00FD497D">
        <w:rPr>
          <w:lang w:bidi="en-US"/>
        </w:rPr>
        <w:t>using</w:t>
      </w:r>
      <w:r>
        <w:rPr>
          <w:lang w:bidi="en-US"/>
        </w:rPr>
        <w:t xml:space="preserve"> Docket ID Number: </w:t>
      </w:r>
      <w:r>
        <w:rPr>
          <w:rFonts w:cs="Arial"/>
          <w:szCs w:val="24"/>
        </w:rPr>
        <w:t>EPA-HQ-</w:t>
      </w:r>
      <w:r w:rsidR="00DE7930">
        <w:rPr>
          <w:rFonts w:cs="Arial"/>
          <w:szCs w:val="24"/>
        </w:rPr>
        <w:t>OPPT</w:t>
      </w:r>
      <w:r>
        <w:rPr>
          <w:rFonts w:cs="Arial"/>
          <w:szCs w:val="24"/>
        </w:rPr>
        <w:t>-</w:t>
      </w:r>
      <w:r w:rsidR="00DE7930">
        <w:rPr>
          <w:rFonts w:cs="Arial"/>
          <w:szCs w:val="24"/>
        </w:rPr>
        <w:t>20</w:t>
      </w:r>
      <w:r w:rsidR="00307190">
        <w:rPr>
          <w:rFonts w:cs="Arial"/>
          <w:szCs w:val="24"/>
        </w:rPr>
        <w:t>13</w:t>
      </w:r>
      <w:r>
        <w:rPr>
          <w:rFonts w:cs="Arial"/>
          <w:szCs w:val="24"/>
        </w:rPr>
        <w:t>-</w:t>
      </w:r>
      <w:r w:rsidR="00307190">
        <w:rPr>
          <w:rFonts w:cs="Arial"/>
          <w:szCs w:val="24"/>
        </w:rPr>
        <w:t>0721</w:t>
      </w:r>
      <w:r>
        <w:rPr>
          <w:lang w:bidi="en-US"/>
        </w:rPr>
        <w:t>.</w:t>
      </w:r>
    </w:p>
    <w:tbl>
      <w:tblPr>
        <w:tblStyle w:val="TableGrid"/>
        <w:tblW w:w="0" w:type="auto"/>
        <w:tblLook w:val="04A0"/>
      </w:tblPr>
      <w:tblGrid>
        <w:gridCol w:w="1537"/>
        <w:gridCol w:w="7813"/>
      </w:tblGrid>
      <w:tr w14:paraId="3C28984B" w14:textId="77777777" w:rsidTr="00BD22E3">
        <w:tblPrEx>
          <w:tblW w:w="0" w:type="auto"/>
          <w:tblLook w:val="04A0"/>
        </w:tblPrEx>
        <w:tc>
          <w:tcPr>
            <w:tcW w:w="1537" w:type="dxa"/>
          </w:tcPr>
          <w:p w:rsidR="0026304B" w:rsidRPr="0026304B" w:rsidP="0026304B" w14:paraId="20CF178A" w14:textId="573CA89A">
            <w:pPr>
              <w:widowControl w:val="0"/>
              <w:spacing w:before="40" w:after="40" w:line="240" w:lineRule="auto"/>
              <w:rPr>
                <w:b/>
                <w:bCs/>
                <w:lang w:bidi="en-US"/>
              </w:rPr>
            </w:pPr>
            <w:r>
              <w:rPr>
                <w:b/>
                <w:bCs/>
                <w:lang w:bidi="en-US"/>
              </w:rPr>
              <w:t>Attachment</w:t>
            </w:r>
          </w:p>
        </w:tc>
        <w:tc>
          <w:tcPr>
            <w:tcW w:w="7813" w:type="dxa"/>
          </w:tcPr>
          <w:p w:rsidR="0026304B" w:rsidRPr="0026304B" w:rsidP="0026304B" w14:paraId="43C6C962" w14:textId="23EC8126">
            <w:pPr>
              <w:widowControl w:val="0"/>
              <w:spacing w:before="40" w:after="40" w:line="240" w:lineRule="auto"/>
              <w:rPr>
                <w:b/>
                <w:bCs/>
                <w:lang w:bidi="en-US"/>
              </w:rPr>
            </w:pPr>
            <w:r w:rsidRPr="0026304B">
              <w:rPr>
                <w:b/>
                <w:bCs/>
                <w:lang w:bidi="en-US"/>
              </w:rPr>
              <w:t xml:space="preserve">Title </w:t>
            </w:r>
          </w:p>
        </w:tc>
      </w:tr>
      <w:tr w14:paraId="653EF079" w14:textId="77777777" w:rsidTr="00BD22E3">
        <w:tblPrEx>
          <w:tblW w:w="0" w:type="auto"/>
          <w:tblLook w:val="04A0"/>
        </w:tblPrEx>
        <w:tc>
          <w:tcPr>
            <w:tcW w:w="1537" w:type="dxa"/>
          </w:tcPr>
          <w:p w:rsidR="0026304B" w:rsidP="0026304B" w14:paraId="244D5D03" w14:textId="3D501ABF">
            <w:pPr>
              <w:widowControl w:val="0"/>
              <w:spacing w:before="40" w:after="40" w:line="240" w:lineRule="auto"/>
              <w:rPr>
                <w:lang w:bidi="en-US"/>
              </w:rPr>
            </w:pPr>
            <w:r>
              <w:rPr>
                <w:lang w:bidi="en-US"/>
              </w:rPr>
              <w:t>1.</w:t>
            </w:r>
          </w:p>
        </w:tc>
        <w:tc>
          <w:tcPr>
            <w:tcW w:w="7813" w:type="dxa"/>
          </w:tcPr>
          <w:p w:rsidR="0026304B" w:rsidP="0026304B" w14:paraId="46F5F82F" w14:textId="706489AC">
            <w:pPr>
              <w:widowControl w:val="0"/>
              <w:spacing w:before="40" w:after="40" w:line="240" w:lineRule="auto"/>
              <w:rPr>
                <w:lang w:bidi="en-US"/>
              </w:rPr>
            </w:pPr>
            <w:hyperlink r:id="rId41" w:history="1">
              <w:r w:rsidRPr="00702F29" w:rsidR="00B1352E">
                <w:rPr>
                  <w:rStyle w:val="Hyperlink"/>
                  <w:lang w:bidi="en-US"/>
                </w:rPr>
                <w:t>Statutory Authority</w:t>
              </w:r>
            </w:hyperlink>
          </w:p>
        </w:tc>
      </w:tr>
      <w:tr w14:paraId="5BBC1B5F" w14:textId="77777777" w:rsidTr="00BD22E3">
        <w:tblPrEx>
          <w:tblW w:w="0" w:type="auto"/>
          <w:tblLook w:val="04A0"/>
        </w:tblPrEx>
        <w:tc>
          <w:tcPr>
            <w:tcW w:w="1537" w:type="dxa"/>
          </w:tcPr>
          <w:p w:rsidR="00B1352E" w:rsidP="0026304B" w14:paraId="2DB440ED" w14:textId="078D2013">
            <w:pPr>
              <w:widowControl w:val="0"/>
              <w:spacing w:before="40" w:after="40" w:line="240" w:lineRule="auto"/>
              <w:rPr>
                <w:lang w:bidi="en-US"/>
              </w:rPr>
            </w:pPr>
            <w:r>
              <w:rPr>
                <w:lang w:bidi="en-US"/>
              </w:rPr>
              <w:t>2.</w:t>
            </w:r>
          </w:p>
        </w:tc>
        <w:tc>
          <w:tcPr>
            <w:tcW w:w="7813" w:type="dxa"/>
          </w:tcPr>
          <w:p w:rsidR="00B1352E" w:rsidP="0026304B" w14:paraId="772B85E2" w14:textId="67376D59">
            <w:pPr>
              <w:widowControl w:val="0"/>
              <w:spacing w:before="40" w:after="40" w:line="240" w:lineRule="auto"/>
              <w:rPr>
                <w:lang w:bidi="en-US"/>
              </w:rPr>
            </w:pPr>
            <w:hyperlink r:id="rId42" w:anchor="_top" w:history="1">
              <w:r w:rsidRPr="00F161A1">
                <w:rPr>
                  <w:rStyle w:val="Hyperlink"/>
                  <w:lang w:bidi="en-US"/>
                </w:rPr>
                <w:t>Implementing Regulation</w:t>
              </w:r>
            </w:hyperlink>
            <w:r w:rsidR="00192965">
              <w:rPr>
                <w:lang w:bidi="en-US"/>
              </w:rPr>
              <w:t xml:space="preserve"> </w:t>
            </w:r>
          </w:p>
        </w:tc>
      </w:tr>
      <w:tr w14:paraId="6C11C514" w14:textId="77777777" w:rsidTr="00BD22E3">
        <w:tblPrEx>
          <w:tblW w:w="0" w:type="auto"/>
          <w:tblLook w:val="04A0"/>
        </w:tblPrEx>
        <w:tc>
          <w:tcPr>
            <w:tcW w:w="1537" w:type="dxa"/>
          </w:tcPr>
          <w:p w:rsidR="00FB4236" w:rsidP="0026304B" w14:paraId="58CDF743" w14:textId="3E255747">
            <w:pPr>
              <w:widowControl w:val="0"/>
              <w:spacing w:before="40" w:after="40" w:line="240" w:lineRule="auto"/>
              <w:rPr>
                <w:lang w:bidi="en-US"/>
              </w:rPr>
            </w:pPr>
            <w:r>
              <w:rPr>
                <w:lang w:bidi="en-US"/>
              </w:rPr>
              <w:t>3.</w:t>
            </w:r>
          </w:p>
        </w:tc>
        <w:tc>
          <w:tcPr>
            <w:tcW w:w="7813" w:type="dxa"/>
          </w:tcPr>
          <w:p w:rsidR="00FB4236" w:rsidP="0026304B" w14:paraId="7093AAF1" w14:textId="6289351A">
            <w:pPr>
              <w:widowControl w:val="0"/>
              <w:spacing w:before="40" w:after="40" w:line="240" w:lineRule="auto"/>
              <w:rPr>
                <w:lang w:bidi="en-US"/>
              </w:rPr>
            </w:pPr>
            <w:r>
              <w:rPr>
                <w:lang w:bidi="en-US"/>
              </w:rPr>
              <w:t>Uses of Specific Data Elements</w:t>
            </w:r>
          </w:p>
        </w:tc>
      </w:tr>
      <w:tr w14:paraId="37BA0E56" w14:textId="77777777" w:rsidTr="00BD22E3">
        <w:tblPrEx>
          <w:tblW w:w="0" w:type="auto"/>
          <w:tblLook w:val="04A0"/>
        </w:tblPrEx>
        <w:tc>
          <w:tcPr>
            <w:tcW w:w="1537" w:type="dxa"/>
          </w:tcPr>
          <w:p w:rsidR="008A12EB" w:rsidP="0026304B" w14:paraId="4CF8EF3C" w14:textId="56AD6BEE">
            <w:pPr>
              <w:widowControl w:val="0"/>
              <w:spacing w:before="40" w:after="40" w:line="240" w:lineRule="auto"/>
              <w:rPr>
                <w:lang w:bidi="en-US"/>
              </w:rPr>
            </w:pPr>
            <w:r>
              <w:rPr>
                <w:lang w:bidi="en-US"/>
              </w:rPr>
              <w:t>4</w:t>
            </w:r>
            <w:r>
              <w:rPr>
                <w:lang w:bidi="en-US"/>
              </w:rPr>
              <w:t>.</w:t>
            </w:r>
          </w:p>
        </w:tc>
        <w:tc>
          <w:tcPr>
            <w:tcW w:w="7813" w:type="dxa"/>
          </w:tcPr>
          <w:p w:rsidR="008A12EB" w:rsidRPr="008A12EB" w:rsidP="0026304B" w14:paraId="04FEA2D9" w14:textId="3DEC274F">
            <w:pPr>
              <w:widowControl w:val="0"/>
              <w:spacing w:before="40" w:after="40" w:line="240" w:lineRule="auto"/>
              <w:rPr>
                <w:lang w:val="fr-FR" w:bidi="en-US"/>
              </w:rPr>
            </w:pPr>
            <w:r>
              <w:rPr>
                <w:lang w:val="fr-FR" w:bidi="en-US"/>
              </w:rPr>
              <w:t xml:space="preserve">Wage </w:t>
            </w:r>
            <w:r w:rsidR="006B4EE2">
              <w:rPr>
                <w:lang w:val="fr-FR" w:bidi="en-US"/>
              </w:rPr>
              <w:t>R</w:t>
            </w:r>
            <w:r>
              <w:rPr>
                <w:lang w:val="fr-FR" w:bidi="en-US"/>
              </w:rPr>
              <w:t>ate</w:t>
            </w:r>
            <w:r w:rsidR="00DD18E5">
              <w:rPr>
                <w:lang w:val="fr-FR" w:bidi="en-US"/>
              </w:rPr>
              <w:t>s</w:t>
            </w:r>
          </w:p>
        </w:tc>
      </w:tr>
      <w:tr w14:paraId="1B73B0DE" w14:textId="77777777" w:rsidTr="00BD22E3">
        <w:tblPrEx>
          <w:tblW w:w="0" w:type="auto"/>
          <w:tblLook w:val="04A0"/>
        </w:tblPrEx>
        <w:tc>
          <w:tcPr>
            <w:tcW w:w="1537" w:type="dxa"/>
          </w:tcPr>
          <w:p w:rsidR="00D623E9" w:rsidP="00D623E9" w14:paraId="2F24ADFA" w14:textId="54784913">
            <w:pPr>
              <w:widowControl w:val="0"/>
              <w:spacing w:before="40" w:after="40" w:line="240" w:lineRule="auto"/>
              <w:rPr>
                <w:lang w:bidi="en-US"/>
              </w:rPr>
            </w:pPr>
            <w:r>
              <w:rPr>
                <w:lang w:bidi="en-US"/>
              </w:rPr>
              <w:t>5.</w:t>
            </w:r>
          </w:p>
        </w:tc>
        <w:tc>
          <w:tcPr>
            <w:tcW w:w="7813" w:type="dxa"/>
          </w:tcPr>
          <w:p w:rsidR="00D623E9" w:rsidP="00D623E9" w14:paraId="2D33132F" w14:textId="78CEB6B2">
            <w:pPr>
              <w:widowControl w:val="0"/>
              <w:spacing w:before="40" w:after="40" w:line="240" w:lineRule="auto"/>
              <w:rPr>
                <w:lang w:val="fr-FR" w:bidi="en-US"/>
              </w:rPr>
            </w:pPr>
            <w:hyperlink r:id="rId43" w:history="1">
              <w:r w:rsidRPr="00E27B47">
                <w:rPr>
                  <w:rStyle w:val="Hyperlink"/>
                  <w:lang w:val="fr-FR" w:bidi="en-US"/>
                </w:rPr>
                <w:t>CDX User Guide</w:t>
              </w:r>
            </w:hyperlink>
          </w:p>
        </w:tc>
      </w:tr>
      <w:tr w14:paraId="5FED3202" w14:textId="77777777" w:rsidTr="001E51F5">
        <w:tblPrEx>
          <w:tblW w:w="0" w:type="auto"/>
          <w:tblLook w:val="04A0"/>
        </w:tblPrEx>
        <w:trPr>
          <w:trHeight w:val="260"/>
        </w:trPr>
        <w:tc>
          <w:tcPr>
            <w:tcW w:w="1537" w:type="dxa"/>
          </w:tcPr>
          <w:p w:rsidR="001E51F5" w:rsidP="00D623E9" w14:paraId="2FF013F4" w14:textId="05B4E7DA">
            <w:pPr>
              <w:widowControl w:val="0"/>
              <w:spacing w:before="40" w:after="40" w:line="240" w:lineRule="auto"/>
              <w:rPr>
                <w:lang w:bidi="en-US"/>
              </w:rPr>
            </w:pPr>
            <w:r>
              <w:rPr>
                <w:lang w:bidi="en-US"/>
              </w:rPr>
              <w:t xml:space="preserve">6. </w:t>
            </w:r>
          </w:p>
        </w:tc>
        <w:tc>
          <w:tcPr>
            <w:tcW w:w="7813" w:type="dxa"/>
          </w:tcPr>
          <w:p w:rsidR="001E51F5" w:rsidP="00D623E9" w14:paraId="283A4EC9" w14:textId="566FF472">
            <w:pPr>
              <w:widowControl w:val="0"/>
              <w:spacing w:before="40" w:after="40" w:line="240" w:lineRule="auto"/>
            </w:pPr>
            <w:r>
              <w:t xml:space="preserve">CDR Screen shots </w:t>
            </w:r>
          </w:p>
        </w:tc>
      </w:tr>
      <w:tr w14:paraId="2AFB6650" w14:textId="77777777" w:rsidTr="00BD22E3">
        <w:tblPrEx>
          <w:tblW w:w="0" w:type="auto"/>
          <w:tblLook w:val="04A0"/>
        </w:tblPrEx>
        <w:tc>
          <w:tcPr>
            <w:tcW w:w="1537" w:type="dxa"/>
          </w:tcPr>
          <w:p w:rsidR="00D623E9" w:rsidP="00D623E9" w14:paraId="6C069DDE" w14:textId="79AB7D10">
            <w:pPr>
              <w:widowControl w:val="0"/>
              <w:spacing w:before="40" w:after="40" w:line="240" w:lineRule="auto"/>
              <w:rPr>
                <w:lang w:bidi="en-US"/>
              </w:rPr>
            </w:pPr>
            <w:r>
              <w:rPr>
                <w:lang w:bidi="en-US"/>
              </w:rPr>
              <w:t>7</w:t>
            </w:r>
            <w:r>
              <w:rPr>
                <w:lang w:bidi="en-US"/>
              </w:rPr>
              <w:t>.</w:t>
            </w:r>
          </w:p>
        </w:tc>
        <w:tc>
          <w:tcPr>
            <w:tcW w:w="7813" w:type="dxa"/>
          </w:tcPr>
          <w:p w:rsidR="00D623E9" w:rsidP="00D623E9" w14:paraId="54E331D4" w14:textId="5E8B0E46">
            <w:pPr>
              <w:widowControl w:val="0"/>
              <w:spacing w:before="40" w:after="40" w:line="240" w:lineRule="auto"/>
              <w:rPr>
                <w:lang w:val="fr-FR" w:bidi="en-US"/>
              </w:rPr>
            </w:pPr>
            <w:r>
              <w:rPr>
                <w:lang w:val="fr-FR" w:bidi="en-US"/>
              </w:rPr>
              <w:t xml:space="preserve">Consultation </w:t>
            </w:r>
            <w:r>
              <w:rPr>
                <w:lang w:val="fr-FR" w:bidi="en-US"/>
              </w:rPr>
              <w:t>Email</w:t>
            </w:r>
            <w:r>
              <w:rPr>
                <w:lang w:val="fr-FR" w:bidi="en-US"/>
              </w:rPr>
              <w:t xml:space="preserve"> </w:t>
            </w:r>
          </w:p>
        </w:tc>
      </w:tr>
      <w:tr w14:paraId="744FCF5B" w14:textId="77777777" w:rsidTr="00BD22E3">
        <w:tblPrEx>
          <w:tblW w:w="0" w:type="auto"/>
          <w:tblLook w:val="04A0"/>
        </w:tblPrEx>
        <w:tc>
          <w:tcPr>
            <w:tcW w:w="1537" w:type="dxa"/>
          </w:tcPr>
          <w:p w:rsidR="00F50654" w:rsidP="00D623E9" w14:paraId="1ACFCBA5" w14:textId="1EF3FB69">
            <w:pPr>
              <w:widowControl w:val="0"/>
              <w:spacing w:before="40" w:after="40" w:line="240" w:lineRule="auto"/>
              <w:rPr>
                <w:lang w:bidi="en-US"/>
              </w:rPr>
            </w:pPr>
            <w:r>
              <w:rPr>
                <w:lang w:bidi="en-US"/>
              </w:rPr>
              <w:t>8</w:t>
            </w:r>
            <w:r>
              <w:rPr>
                <w:lang w:bidi="en-US"/>
              </w:rPr>
              <w:t xml:space="preserve">. </w:t>
            </w:r>
          </w:p>
        </w:tc>
        <w:tc>
          <w:tcPr>
            <w:tcW w:w="7813" w:type="dxa"/>
          </w:tcPr>
          <w:p w:rsidR="00F50654" w:rsidP="00D623E9" w14:paraId="30C4431F" w14:textId="3601A43A">
            <w:pPr>
              <w:widowControl w:val="0"/>
              <w:spacing w:before="40" w:after="40" w:line="240" w:lineRule="auto"/>
              <w:rPr>
                <w:lang w:val="fr-FR" w:bidi="en-US"/>
              </w:rPr>
            </w:pPr>
            <w:r>
              <w:rPr>
                <w:lang w:val="fr-FR" w:bidi="en-US"/>
              </w:rPr>
              <w:t xml:space="preserve">Consultation Response from Arakawa </w:t>
            </w:r>
          </w:p>
        </w:tc>
      </w:tr>
      <w:tr w14:paraId="225BF089" w14:textId="77777777" w:rsidTr="00BD22E3">
        <w:tblPrEx>
          <w:tblW w:w="0" w:type="auto"/>
          <w:tblLook w:val="04A0"/>
        </w:tblPrEx>
        <w:tc>
          <w:tcPr>
            <w:tcW w:w="1537" w:type="dxa"/>
          </w:tcPr>
          <w:p w:rsidR="00D623E9" w:rsidP="00D623E9" w14:paraId="3B25122F" w14:textId="6407FAEF">
            <w:pPr>
              <w:widowControl w:val="0"/>
              <w:spacing w:before="40" w:after="40" w:line="240" w:lineRule="auto"/>
              <w:rPr>
                <w:lang w:bidi="en-US"/>
              </w:rPr>
            </w:pPr>
            <w:r>
              <w:rPr>
                <w:lang w:bidi="en-US"/>
              </w:rPr>
              <w:t>9</w:t>
            </w:r>
            <w:r>
              <w:rPr>
                <w:lang w:bidi="en-US"/>
              </w:rPr>
              <w:t xml:space="preserve">. </w:t>
            </w:r>
          </w:p>
        </w:tc>
        <w:tc>
          <w:tcPr>
            <w:tcW w:w="7813" w:type="dxa"/>
          </w:tcPr>
          <w:p w:rsidR="00D623E9" w:rsidP="00D623E9" w14:paraId="183773A3" w14:textId="4A984B78">
            <w:pPr>
              <w:widowControl w:val="0"/>
              <w:spacing w:before="40" w:after="40" w:line="240" w:lineRule="auto"/>
              <w:rPr>
                <w:lang w:val="fr-FR" w:bidi="en-US"/>
              </w:rPr>
            </w:pPr>
            <w:r>
              <w:rPr>
                <w:lang w:val="fr-FR" w:bidi="en-US"/>
              </w:rPr>
              <w:t>Summarized</w:t>
            </w:r>
            <w:r>
              <w:rPr>
                <w:lang w:val="fr-FR" w:bidi="en-US"/>
              </w:rPr>
              <w:t xml:space="preserve"> Comments and Responses</w:t>
            </w:r>
          </w:p>
        </w:tc>
      </w:tr>
      <w:tr w14:paraId="4718FD8B" w14:textId="77777777" w:rsidTr="00BD22E3">
        <w:tblPrEx>
          <w:tblW w:w="0" w:type="auto"/>
          <w:tblLook w:val="04A0"/>
        </w:tblPrEx>
        <w:tc>
          <w:tcPr>
            <w:tcW w:w="1537" w:type="dxa"/>
          </w:tcPr>
          <w:p w:rsidR="00733CFC" w:rsidP="00D623E9" w14:paraId="6731575C" w14:textId="02A342E2">
            <w:pPr>
              <w:widowControl w:val="0"/>
              <w:spacing w:before="40" w:after="40" w:line="240" w:lineRule="auto"/>
              <w:rPr>
                <w:lang w:bidi="en-US"/>
              </w:rPr>
            </w:pPr>
            <w:r>
              <w:rPr>
                <w:lang w:bidi="en-US"/>
              </w:rPr>
              <w:t>10</w:t>
            </w:r>
            <w:r>
              <w:rPr>
                <w:lang w:bidi="en-US"/>
              </w:rPr>
              <w:t xml:space="preserve">. </w:t>
            </w:r>
          </w:p>
        </w:tc>
        <w:tc>
          <w:tcPr>
            <w:tcW w:w="7813" w:type="dxa"/>
          </w:tcPr>
          <w:p w:rsidR="00733CFC" w:rsidP="00D623E9" w14:paraId="6AF15363" w14:textId="58FF3B65">
            <w:pPr>
              <w:widowControl w:val="0"/>
              <w:spacing w:before="40" w:after="40" w:line="240" w:lineRule="auto"/>
              <w:rPr>
                <w:lang w:val="fr-FR" w:bidi="en-US"/>
              </w:rPr>
            </w:pPr>
            <w:r>
              <w:rPr>
                <w:lang w:val="fr-FR" w:bidi="en-US"/>
              </w:rPr>
              <w:t xml:space="preserve">Form U EPA Form No. </w:t>
            </w:r>
            <w:r w:rsidR="006A22B1">
              <w:rPr>
                <w:lang w:val="fr-FR" w:bidi="en-US"/>
              </w:rPr>
              <w:t>9600-010</w:t>
            </w:r>
          </w:p>
        </w:tc>
      </w:tr>
      <w:tr w14:paraId="0D9718A0" w14:textId="77777777" w:rsidTr="00BD22E3">
        <w:tblPrEx>
          <w:tblW w:w="0" w:type="auto"/>
          <w:tblLook w:val="04A0"/>
        </w:tblPrEx>
        <w:tc>
          <w:tcPr>
            <w:tcW w:w="1537" w:type="dxa"/>
          </w:tcPr>
          <w:p w:rsidR="006A22B1" w:rsidP="00D623E9" w14:paraId="7F7571A0" w14:textId="3DC42FB2">
            <w:pPr>
              <w:widowControl w:val="0"/>
              <w:spacing w:before="40" w:after="40" w:line="240" w:lineRule="auto"/>
              <w:rPr>
                <w:lang w:bidi="en-US"/>
              </w:rPr>
            </w:pPr>
            <w:r>
              <w:rPr>
                <w:lang w:bidi="en-US"/>
              </w:rPr>
              <w:t>1</w:t>
            </w:r>
            <w:r w:rsidR="001E51F5">
              <w:rPr>
                <w:lang w:bidi="en-US"/>
              </w:rPr>
              <w:t>1</w:t>
            </w:r>
            <w:r>
              <w:rPr>
                <w:lang w:bidi="en-US"/>
              </w:rPr>
              <w:t xml:space="preserve">. </w:t>
            </w:r>
          </w:p>
        </w:tc>
        <w:tc>
          <w:tcPr>
            <w:tcW w:w="7813" w:type="dxa"/>
          </w:tcPr>
          <w:p w:rsidR="006A22B1" w:rsidP="00D623E9" w14:paraId="579516C3" w14:textId="7C659F4C">
            <w:pPr>
              <w:widowControl w:val="0"/>
              <w:spacing w:before="40" w:after="40" w:line="240" w:lineRule="auto"/>
              <w:rPr>
                <w:lang w:val="fr-FR" w:bidi="en-US"/>
              </w:rPr>
            </w:pPr>
            <w:r>
              <w:rPr>
                <w:lang w:val="fr-FR" w:bidi="en-US"/>
              </w:rPr>
              <w:t>Form U Primary Manufacturer Import EPA Form No.9600-011</w:t>
            </w:r>
          </w:p>
        </w:tc>
      </w:tr>
      <w:tr w14:paraId="2C3F01E5" w14:textId="77777777" w:rsidTr="00BD22E3">
        <w:tblPrEx>
          <w:tblW w:w="0" w:type="auto"/>
          <w:tblLook w:val="04A0"/>
        </w:tblPrEx>
        <w:tc>
          <w:tcPr>
            <w:tcW w:w="1537" w:type="dxa"/>
          </w:tcPr>
          <w:p w:rsidR="006A22B1" w:rsidP="00D623E9" w14:paraId="6AC2BE9A" w14:textId="3F12C4E7">
            <w:pPr>
              <w:widowControl w:val="0"/>
              <w:spacing w:before="40" w:after="40" w:line="240" w:lineRule="auto"/>
              <w:rPr>
                <w:lang w:bidi="en-US"/>
              </w:rPr>
            </w:pPr>
            <w:r>
              <w:rPr>
                <w:lang w:bidi="en-US"/>
              </w:rPr>
              <w:t>1</w:t>
            </w:r>
            <w:r w:rsidR="001E51F5">
              <w:rPr>
                <w:lang w:bidi="en-US"/>
              </w:rPr>
              <w:t>2</w:t>
            </w:r>
            <w:r w:rsidR="00F50654">
              <w:rPr>
                <w:lang w:bidi="en-US"/>
              </w:rPr>
              <w:t>.</w:t>
            </w:r>
          </w:p>
        </w:tc>
        <w:tc>
          <w:tcPr>
            <w:tcW w:w="7813" w:type="dxa"/>
          </w:tcPr>
          <w:p w:rsidR="006A22B1" w:rsidP="00D623E9" w14:paraId="4C1712F4" w14:textId="010CDE3E">
            <w:pPr>
              <w:widowControl w:val="0"/>
              <w:spacing w:before="40" w:after="40" w:line="240" w:lineRule="auto"/>
              <w:rPr>
                <w:lang w:val="fr-FR" w:bidi="en-US"/>
              </w:rPr>
            </w:pPr>
            <w:r>
              <w:rPr>
                <w:lang w:val="fr-FR" w:bidi="en-US"/>
              </w:rPr>
              <w:t>Form U. Primary Co-Manufacture EPA Form No 9600-012</w:t>
            </w:r>
          </w:p>
        </w:tc>
      </w:tr>
      <w:tr w14:paraId="01661819" w14:textId="77777777" w:rsidTr="00BD22E3">
        <w:tblPrEx>
          <w:tblW w:w="0" w:type="auto"/>
          <w:tblLook w:val="04A0"/>
        </w:tblPrEx>
        <w:tc>
          <w:tcPr>
            <w:tcW w:w="1537" w:type="dxa"/>
          </w:tcPr>
          <w:p w:rsidR="00733CFC" w:rsidP="00D623E9" w14:paraId="476E0506" w14:textId="2498D69B">
            <w:pPr>
              <w:widowControl w:val="0"/>
              <w:spacing w:before="40" w:after="40" w:line="240" w:lineRule="auto"/>
              <w:rPr>
                <w:lang w:bidi="en-US"/>
              </w:rPr>
            </w:pPr>
            <w:r>
              <w:rPr>
                <w:lang w:bidi="en-US"/>
              </w:rPr>
              <w:t>1</w:t>
            </w:r>
            <w:r w:rsidR="001E51F5">
              <w:rPr>
                <w:lang w:bidi="en-US"/>
              </w:rPr>
              <w:t>3</w:t>
            </w:r>
            <w:r>
              <w:rPr>
                <w:lang w:bidi="en-US"/>
              </w:rPr>
              <w:t>.</w:t>
            </w:r>
          </w:p>
        </w:tc>
        <w:tc>
          <w:tcPr>
            <w:tcW w:w="7813" w:type="dxa"/>
          </w:tcPr>
          <w:p w:rsidR="00733CFC" w:rsidP="00D623E9" w14:paraId="62C3822E" w14:textId="7EFDB7CC">
            <w:pPr>
              <w:widowControl w:val="0"/>
              <w:spacing w:before="40" w:after="40" w:line="240" w:lineRule="auto"/>
              <w:rPr>
                <w:lang w:val="fr-FR" w:bidi="en-US"/>
              </w:rPr>
            </w:pPr>
            <w:r>
              <w:rPr>
                <w:lang w:val="fr-FR" w:bidi="en-US"/>
              </w:rPr>
              <w:t>Form U Primary Co-Manufacturer</w:t>
            </w:r>
            <w:r w:rsidR="00247D1B">
              <w:rPr>
                <w:lang w:val="fr-FR" w:bidi="en-US"/>
              </w:rPr>
              <w:t xml:space="preserve"> Producing</w:t>
            </w:r>
            <w:r>
              <w:rPr>
                <w:lang w:val="fr-FR" w:bidi="en-US"/>
              </w:rPr>
              <w:t xml:space="preserve"> EPA Form No.</w:t>
            </w:r>
            <w:r w:rsidR="00247D1B">
              <w:rPr>
                <w:lang w:val="fr-FR" w:bidi="en-US"/>
              </w:rPr>
              <w:t>9600-013</w:t>
            </w:r>
            <w:r>
              <w:rPr>
                <w:lang w:val="fr-FR" w:bidi="en-US"/>
              </w:rPr>
              <w:t xml:space="preserve"> </w:t>
            </w:r>
          </w:p>
        </w:tc>
      </w:tr>
      <w:tr w14:paraId="374EAA2A" w14:textId="77777777" w:rsidTr="00BD22E3">
        <w:tblPrEx>
          <w:tblW w:w="0" w:type="auto"/>
          <w:tblLook w:val="04A0"/>
        </w:tblPrEx>
        <w:tc>
          <w:tcPr>
            <w:tcW w:w="1537" w:type="dxa"/>
          </w:tcPr>
          <w:p w:rsidR="00247D1B" w:rsidP="00247D1B" w14:paraId="2690E592" w14:textId="0BA88A10">
            <w:pPr>
              <w:widowControl w:val="0"/>
              <w:spacing w:before="40" w:after="40" w:line="240" w:lineRule="auto"/>
              <w:rPr>
                <w:lang w:bidi="en-US"/>
              </w:rPr>
            </w:pPr>
            <w:r>
              <w:rPr>
                <w:lang w:bidi="en-US"/>
              </w:rPr>
              <w:t>1</w:t>
            </w:r>
            <w:r w:rsidR="001E51F5">
              <w:rPr>
                <w:lang w:bidi="en-US"/>
              </w:rPr>
              <w:t>4</w:t>
            </w:r>
            <w:r>
              <w:rPr>
                <w:lang w:bidi="en-US"/>
              </w:rPr>
              <w:t xml:space="preserve">. </w:t>
            </w:r>
          </w:p>
        </w:tc>
        <w:tc>
          <w:tcPr>
            <w:tcW w:w="7813" w:type="dxa"/>
          </w:tcPr>
          <w:p w:rsidR="00247D1B" w:rsidP="00247D1B" w14:paraId="1FC3D853" w14:textId="26FB5D35">
            <w:pPr>
              <w:widowControl w:val="0"/>
              <w:spacing w:before="40" w:after="40" w:line="240" w:lineRule="auto"/>
              <w:rPr>
                <w:lang w:val="fr-FR" w:bidi="en-US"/>
              </w:rPr>
            </w:pPr>
            <w:r>
              <w:rPr>
                <w:lang w:val="fr-FR" w:bidi="en-US"/>
              </w:rPr>
              <w:t xml:space="preserve">Form U Secondary or Tertiary EPA Form No.9600-014 </w:t>
            </w:r>
          </w:p>
        </w:tc>
      </w:tr>
      <w:tr w14:paraId="2E1842E0" w14:textId="77777777" w:rsidTr="00BD22E3">
        <w:tblPrEx>
          <w:tblW w:w="0" w:type="auto"/>
          <w:tblLook w:val="04A0"/>
        </w:tblPrEx>
        <w:tc>
          <w:tcPr>
            <w:tcW w:w="1537" w:type="dxa"/>
          </w:tcPr>
          <w:p w:rsidR="00247D1B" w:rsidP="00247D1B" w14:paraId="07BAADF0" w14:textId="36F0C988">
            <w:pPr>
              <w:widowControl w:val="0"/>
              <w:spacing w:before="40" w:after="40" w:line="240" w:lineRule="auto"/>
              <w:rPr>
                <w:lang w:bidi="en-US"/>
              </w:rPr>
            </w:pPr>
            <w:r>
              <w:rPr>
                <w:lang w:bidi="en-US"/>
              </w:rPr>
              <w:t>1</w:t>
            </w:r>
            <w:r w:rsidR="001E51F5">
              <w:rPr>
                <w:lang w:bidi="en-US"/>
              </w:rPr>
              <w:t>5</w:t>
            </w:r>
            <w:r>
              <w:rPr>
                <w:lang w:bidi="en-US"/>
              </w:rPr>
              <w:t xml:space="preserve">. </w:t>
            </w:r>
          </w:p>
        </w:tc>
        <w:tc>
          <w:tcPr>
            <w:tcW w:w="7813" w:type="dxa"/>
          </w:tcPr>
          <w:p w:rsidR="00247D1B" w:rsidP="00247D1B" w14:paraId="1FAF95F3" w14:textId="2D8CE7CD">
            <w:pPr>
              <w:widowControl w:val="0"/>
              <w:spacing w:before="40" w:after="40" w:line="240" w:lineRule="auto"/>
              <w:rPr>
                <w:lang w:val="fr-FR" w:bidi="en-US"/>
              </w:rPr>
            </w:pPr>
            <w:r>
              <w:rPr>
                <w:lang w:val="fr-FR" w:bidi="en-US"/>
              </w:rPr>
              <w:t>Form U Secondary Notify Tertiary EPA Form No. 9600-015</w:t>
            </w:r>
          </w:p>
        </w:tc>
      </w:tr>
    </w:tbl>
    <w:p w:rsidR="00340B02" w:rsidRPr="00D31142" w:rsidP="0026304B" w14:paraId="0D46D908" w14:textId="77777777">
      <w:pPr>
        <w:rPr>
          <w:lang w:bidi="en-US"/>
        </w:rPr>
      </w:pPr>
    </w:p>
    <w:sectPr w:rsidSect="002059F4">
      <w:footerReference w:type="default" r:id="rId44"/>
      <w:headerReference w:type="first" r:id="rId45"/>
      <w:footerReference w:type="first" r:id="rId4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2340518"/>
      <w:docPartObj>
        <w:docPartGallery w:val="Page Numbers (Bottom of Page)"/>
        <w:docPartUnique/>
      </w:docPartObj>
    </w:sdtPr>
    <w:sdtEndPr>
      <w:rPr>
        <w:noProof/>
      </w:rPr>
    </w:sdtEndPr>
    <w:sdtContent>
      <w:p w:rsidR="006F1C05" w14:paraId="4C269A98" w14:textId="73099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9C6E60" w14:paraId="1FDD3C08" w14:textId="47A97CD4">
    <w:pPr>
      <w:pStyle w:val="NoSpacing"/>
      <w:spacing w:after="12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E60" w:rsidP="009505AD" w14:paraId="79EB01F2" w14:textId="39482EC5">
    <w:pPr>
      <w:pStyle w:val="Footer"/>
      <w:spacing w:before="120"/>
      <w:jc w:val="center"/>
    </w:pPr>
    <w:sdt>
      <w:sdtPr>
        <w:id w:val="1988427682"/>
        <w:docPartObj>
          <w:docPartGallery w:val="Page Numbers (Top of Page)"/>
          <w:docPartUnique/>
        </w:docPartObj>
      </w:sdtPr>
      <w:sdtContent>
        <w:r w:rsidRPr="009505AD">
          <w:rPr>
            <w:sz w:val="20"/>
            <w:szCs w:val="20"/>
          </w:rPr>
          <w:t xml:space="preserve">Page </w:t>
        </w:r>
        <w:r w:rsidRPr="009505AD">
          <w:rPr>
            <w:b/>
            <w:bCs/>
            <w:sz w:val="20"/>
            <w:szCs w:val="20"/>
          </w:rPr>
          <w:fldChar w:fldCharType="begin"/>
        </w:r>
        <w:r w:rsidRPr="009505AD">
          <w:rPr>
            <w:b/>
            <w:bCs/>
            <w:sz w:val="20"/>
            <w:szCs w:val="20"/>
          </w:rPr>
          <w:instrText xml:space="preserve"> PAGE </w:instrText>
        </w:r>
        <w:r w:rsidRPr="009505AD">
          <w:rPr>
            <w:b/>
            <w:bCs/>
            <w:sz w:val="20"/>
            <w:szCs w:val="20"/>
          </w:rPr>
          <w:fldChar w:fldCharType="separate"/>
        </w:r>
        <w:r>
          <w:rPr>
            <w:b/>
            <w:bCs/>
            <w:sz w:val="20"/>
            <w:szCs w:val="20"/>
          </w:rPr>
          <w:t>2</w:t>
        </w:r>
        <w:r w:rsidRPr="009505AD">
          <w:rPr>
            <w:b/>
            <w:bCs/>
            <w:sz w:val="20"/>
            <w:szCs w:val="20"/>
          </w:rPr>
          <w:fldChar w:fldCharType="end"/>
        </w:r>
        <w:r w:rsidRPr="009505AD">
          <w:rPr>
            <w:sz w:val="20"/>
            <w:szCs w:val="20"/>
          </w:rPr>
          <w:t xml:space="preserve"> of </w:t>
        </w:r>
        <w:r w:rsidRPr="009505AD">
          <w:rPr>
            <w:b/>
            <w:bCs/>
            <w:sz w:val="20"/>
            <w:szCs w:val="20"/>
          </w:rPr>
          <w:fldChar w:fldCharType="begin"/>
        </w:r>
        <w:r w:rsidRPr="009505AD">
          <w:rPr>
            <w:b/>
            <w:bCs/>
            <w:sz w:val="20"/>
            <w:szCs w:val="20"/>
          </w:rPr>
          <w:instrText xml:space="preserve"> NUMPAGES  </w:instrText>
        </w:r>
        <w:r w:rsidRPr="009505AD">
          <w:rPr>
            <w:b/>
            <w:bCs/>
            <w:sz w:val="20"/>
            <w:szCs w:val="20"/>
          </w:rPr>
          <w:fldChar w:fldCharType="separate"/>
        </w:r>
        <w:r>
          <w:rPr>
            <w:b/>
            <w:bCs/>
            <w:sz w:val="20"/>
            <w:szCs w:val="20"/>
          </w:rPr>
          <w:t>5</w:t>
        </w:r>
        <w:r w:rsidRPr="009505AD">
          <w:rPr>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2F82" w:rsidP="005645B8" w14:paraId="5C0835D4" w14:textId="77777777">
      <w:pPr>
        <w:spacing w:after="0" w:line="240" w:lineRule="auto"/>
      </w:pPr>
      <w:r>
        <w:separator/>
      </w:r>
    </w:p>
  </w:footnote>
  <w:footnote w:type="continuationSeparator" w:id="1">
    <w:p w:rsidR="00B92F82" w:rsidP="005645B8" w14:paraId="771EBE14" w14:textId="77777777">
      <w:pPr>
        <w:spacing w:after="0" w:line="240" w:lineRule="auto"/>
      </w:pPr>
      <w:r>
        <w:continuationSeparator/>
      </w:r>
    </w:p>
  </w:footnote>
  <w:footnote w:type="continuationNotice" w:id="2">
    <w:p w:rsidR="00B92F82" w14:paraId="4C766FA7" w14:textId="77777777">
      <w:pPr>
        <w:spacing w:after="0" w:line="240" w:lineRule="auto"/>
      </w:pPr>
    </w:p>
  </w:footnote>
  <w:footnote w:id="3">
    <w:p w:rsidR="009C6E60" w:rsidP="001304AF" w14:paraId="71E15BE4" w14:textId="77777777">
      <w:pPr>
        <w:pStyle w:val="FootnoteText"/>
      </w:pPr>
      <w:r>
        <w:rPr>
          <w:rStyle w:val="FootnoteReference"/>
        </w:rPr>
        <w:footnoteRef/>
      </w:r>
      <w:r>
        <w:t xml:space="preserve"> </w:t>
      </w:r>
      <w:r w:rsidRPr="006011E4">
        <w:t>The original IUR rule was codified at 40 CFR part 710. In its August 2011 amendments, EPA moved the CDR rule to 40 CFR part 711.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E60" w14:paraId="224E3199" w14:textId="77E58D97">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A2F74"/>
    <w:multiLevelType w:val="multilevel"/>
    <w:tmpl w:val="6F14DDA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28264D6"/>
    <w:multiLevelType w:val="multilevel"/>
    <w:tmpl w:val="6F14DDA0"/>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A162DF9"/>
    <w:multiLevelType w:val="hybridMultilevel"/>
    <w:tmpl w:val="B526F0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D0024C"/>
    <w:multiLevelType w:val="hybridMultilevel"/>
    <w:tmpl w:val="851ADF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305E64"/>
    <w:multiLevelType w:val="hybridMultilevel"/>
    <w:tmpl w:val="CBC03F5C"/>
    <w:lvl w:ilvl="0">
      <w:start w:val="1"/>
      <w:numFmt w:val="lowerLetter"/>
      <w:pStyle w:val="Heading3"/>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B65469"/>
    <w:multiLevelType w:val="hybridMultilevel"/>
    <w:tmpl w:val="32BCB64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B450A3"/>
    <w:multiLevelType w:val="hybridMultilevel"/>
    <w:tmpl w:val="AC8288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94916"/>
    <w:multiLevelType w:val="hybridMultilevel"/>
    <w:tmpl w:val="5DF046F4"/>
    <w:lvl w:ilvl="0">
      <w:start w:val="1"/>
      <w:numFmt w:val="bullet"/>
      <w:lvlText w:val=""/>
      <w:lvlJc w:val="left"/>
      <w:pPr>
        <w:tabs>
          <w:tab w:val="num" w:pos="1080"/>
        </w:tabs>
        <w:ind w:left="1080" w:hanging="360"/>
      </w:pPr>
      <w:rPr>
        <w:rFonts w:ascii="Symbol" w:hAnsi="Symbol" w:hint="default"/>
        <w:sz w:val="24"/>
        <w:szCs w:val="24"/>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22887923"/>
    <w:multiLevelType w:val="hybridMultilevel"/>
    <w:tmpl w:val="E9D2E40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2271A5"/>
    <w:multiLevelType w:val="hybridMultilevel"/>
    <w:tmpl w:val="1E10D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7B6113"/>
    <w:multiLevelType w:val="hybridMultilevel"/>
    <w:tmpl w:val="61E03720"/>
    <w:lvl w:ilvl="0">
      <w:start w:val="1"/>
      <w:numFmt w:val="bullet"/>
      <w:pStyle w:val="List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0C826BC"/>
    <w:multiLevelType w:val="multilevel"/>
    <w:tmpl w:val="0409001D"/>
    <w:numStyleLink w:val="ListNumber1"/>
  </w:abstractNum>
  <w:abstractNum w:abstractNumId="12">
    <w:nsid w:val="34183E4D"/>
    <w:multiLevelType w:val="hybridMultilevel"/>
    <w:tmpl w:val="060A1A7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342B1F"/>
    <w:multiLevelType w:val="multilevel"/>
    <w:tmpl w:val="FF7E1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C308DC"/>
    <w:multiLevelType w:val="multilevel"/>
    <w:tmpl w:val="05389A80"/>
    <w:lvl w:ilvl="0">
      <w:start w:val="1"/>
      <w:numFmt w:val="decimal"/>
      <w:lvlText w:val="%1."/>
      <w:lvlJc w:val="left"/>
      <w:pPr>
        <w:ind w:left="720" w:hanging="360"/>
      </w:pPr>
      <w:rPr>
        <w:rFonts w:hint="default"/>
        <w:b/>
      </w:rPr>
    </w:lvl>
    <w:lvl w:ilvl="1">
      <w:start w:val="1"/>
      <w:numFmt w:val="lowerLetter"/>
      <w:lvlText w:val="%1(%2)."/>
      <w:lvlJc w:val="left"/>
      <w:pPr>
        <w:ind w:left="45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lowerRoman"/>
      <w:lvlText w:val="%1(%2)(%3)."/>
      <w:lvlJc w:val="left"/>
      <w:pPr>
        <w:ind w:left="1170" w:hanging="36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 (%4)"/>
      <w:lvlJc w:val="left"/>
      <w:pPr>
        <w:ind w:left="1170" w:hanging="360"/>
      </w:pPr>
      <w:rPr>
        <w:rFonts w:hint="default"/>
        <w:b/>
        <w:i/>
      </w:rPr>
    </w:lvl>
    <w:lvl w:ilvl="4">
      <w:start w:val="1"/>
      <w:numFmt w:val="lowerLetter"/>
      <w:lvlText w:val="(%5)."/>
      <w:lvlJc w:val="left"/>
      <w:pPr>
        <w:ind w:left="1314" w:hanging="144"/>
      </w:pPr>
      <w:rPr>
        <w:rFonts w:hint="default"/>
        <w:b w:val="0"/>
        <w:i/>
      </w:rPr>
    </w:lvl>
    <w:lvl w:ilvl="5">
      <w:start w:val="1"/>
      <w:numFmt w:val="lowerRoman"/>
      <w:lvlText w:val="(%6)."/>
      <w:lvlJc w:val="left"/>
      <w:pPr>
        <w:ind w:left="1530" w:hanging="72"/>
      </w:pPr>
      <w:rPr>
        <w:rFonts w:hint="default"/>
        <w:b w:val="0"/>
        <w:i/>
      </w:rPr>
    </w:lvl>
    <w:lvl w:ilvl="6">
      <w:start w:val="1"/>
      <w:numFmt w:val="decimal"/>
      <w:lvlText w:val="%7."/>
      <w:lvlJc w:val="left"/>
      <w:pPr>
        <w:ind w:left="1818" w:hanging="144"/>
      </w:pPr>
      <w:rPr>
        <w:rFonts w:hint="default"/>
      </w:rPr>
    </w:lvl>
    <w:lvl w:ilvl="7">
      <w:start w:val="1"/>
      <w:numFmt w:val="lowerLetter"/>
      <w:lvlText w:val="%8."/>
      <w:lvlJc w:val="left"/>
      <w:pPr>
        <w:ind w:left="2178" w:hanging="216"/>
      </w:pPr>
      <w:rPr>
        <w:rFonts w:hint="default"/>
      </w:rPr>
    </w:lvl>
    <w:lvl w:ilvl="8">
      <w:start w:val="1"/>
      <w:numFmt w:val="lowerRoman"/>
      <w:lvlText w:val="%9."/>
      <w:lvlJc w:val="left"/>
      <w:pPr>
        <w:ind w:left="2466" w:hanging="216"/>
      </w:pPr>
      <w:rPr>
        <w:rFonts w:hint="default"/>
      </w:rPr>
    </w:lvl>
  </w:abstractNum>
  <w:abstractNum w:abstractNumId="15">
    <w:nsid w:val="47F1296D"/>
    <w:multiLevelType w:val="multilevel"/>
    <w:tmpl w:val="8E38A2A6"/>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nsid w:val="49384034"/>
    <w:multiLevelType w:val="hybridMultilevel"/>
    <w:tmpl w:val="92F8A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DCF52FB"/>
    <w:multiLevelType w:val="hybridMultilevel"/>
    <w:tmpl w:val="5916FB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E3C0A59"/>
    <w:multiLevelType w:val="hybridMultilevel"/>
    <w:tmpl w:val="42E4A7DC"/>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Arial"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9">
    <w:nsid w:val="4ED16976"/>
    <w:multiLevelType w:val="multilevel"/>
    <w:tmpl w:val="F14A3BE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0">
    <w:nsid w:val="500F1B23"/>
    <w:multiLevelType w:val="multilevel"/>
    <w:tmpl w:val="A05684B2"/>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1">
    <w:nsid w:val="5C527F15"/>
    <w:multiLevelType w:val="hybridMultilevel"/>
    <w:tmpl w:val="EC2C0850"/>
    <w:lvl w:ilvl="0">
      <w:start w:val="1"/>
      <w:numFmt w:val="decimal"/>
      <w:pStyle w:val="Heading2"/>
      <w:lvlText w:val="%1."/>
      <w:lvlJc w:val="center"/>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CF84D5C"/>
    <w:multiLevelType w:val="multilevel"/>
    <w:tmpl w:val="F14A3BE2"/>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3">
    <w:nsid w:val="5DDB63B2"/>
    <w:multiLevelType w:val="hybridMultilevel"/>
    <w:tmpl w:val="DBFAC76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F4C34F5"/>
    <w:multiLevelType w:val="multilevel"/>
    <w:tmpl w:val="0409001D"/>
    <w:styleLink w:val="ListNumber1"/>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5">
    <w:nsid w:val="61594CCD"/>
    <w:multiLevelType w:val="hybridMultilevel"/>
    <w:tmpl w:val="8F74E88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6">
    <w:nsid w:val="66366440"/>
    <w:multiLevelType w:val="hybridMultilevel"/>
    <w:tmpl w:val="54546F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Symbo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Symbo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Symbo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6C8562F"/>
    <w:multiLevelType w:val="hybridMultilevel"/>
    <w:tmpl w:val="FF9CA10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Symbo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Symbo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Symbo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8">
    <w:nsid w:val="69A36DD5"/>
    <w:multiLevelType w:val="multilevel"/>
    <w:tmpl w:val="4E569796"/>
    <w:lvl w:ilvl="0">
      <w:start w:val="1"/>
      <w:numFmt w:val="decimal"/>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9">
    <w:nsid w:val="7D1C6236"/>
    <w:multiLevelType w:val="hybridMultilevel"/>
    <w:tmpl w:val="EC1A273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792556875">
    <w:abstractNumId w:val="14"/>
  </w:num>
  <w:num w:numId="2" w16cid:durableId="787428374">
    <w:abstractNumId w:val="15"/>
  </w:num>
  <w:num w:numId="3" w16cid:durableId="1692761842">
    <w:abstractNumId w:val="21"/>
  </w:num>
  <w:num w:numId="4" w16cid:durableId="1796636392">
    <w:abstractNumId w:val="4"/>
  </w:num>
  <w:num w:numId="5" w16cid:durableId="792210902">
    <w:abstractNumId w:val="4"/>
    <w:lvlOverride w:ilvl="0">
      <w:startOverride w:val="1"/>
    </w:lvlOverride>
  </w:num>
  <w:num w:numId="6" w16cid:durableId="1038239965">
    <w:abstractNumId w:val="4"/>
    <w:lvlOverride w:ilvl="0">
      <w:startOverride w:val="1"/>
    </w:lvlOverride>
  </w:num>
  <w:num w:numId="7" w16cid:durableId="1589070988">
    <w:abstractNumId w:val="10"/>
  </w:num>
  <w:num w:numId="8" w16cid:durableId="1446580880">
    <w:abstractNumId w:val="26"/>
  </w:num>
  <w:num w:numId="9" w16cid:durableId="2134715308">
    <w:abstractNumId w:val="2"/>
  </w:num>
  <w:num w:numId="10" w16cid:durableId="301813399">
    <w:abstractNumId w:val="25"/>
  </w:num>
  <w:num w:numId="11" w16cid:durableId="273512959">
    <w:abstractNumId w:val="29"/>
  </w:num>
  <w:num w:numId="12" w16cid:durableId="1157453995">
    <w:abstractNumId w:val="5"/>
  </w:num>
  <w:num w:numId="13" w16cid:durableId="311370618">
    <w:abstractNumId w:val="16"/>
  </w:num>
  <w:num w:numId="14" w16cid:durableId="1536695632">
    <w:abstractNumId w:val="12"/>
  </w:num>
  <w:num w:numId="15" w16cid:durableId="1552691248">
    <w:abstractNumId w:val="9"/>
  </w:num>
  <w:num w:numId="16" w16cid:durableId="906306576">
    <w:abstractNumId w:val="11"/>
  </w:num>
  <w:num w:numId="17" w16cid:durableId="460420732">
    <w:abstractNumId w:val="24"/>
  </w:num>
  <w:num w:numId="18" w16cid:durableId="1389646247">
    <w:abstractNumId w:val="8"/>
  </w:num>
  <w:num w:numId="19" w16cid:durableId="696780300">
    <w:abstractNumId w:val="18"/>
  </w:num>
  <w:num w:numId="20" w16cid:durableId="94984522">
    <w:abstractNumId w:val="27"/>
  </w:num>
  <w:num w:numId="21" w16cid:durableId="1236670069">
    <w:abstractNumId w:val="7"/>
  </w:num>
  <w:num w:numId="22" w16cid:durableId="1392267022">
    <w:abstractNumId w:val="17"/>
  </w:num>
  <w:num w:numId="23" w16cid:durableId="933320373">
    <w:abstractNumId w:val="20"/>
  </w:num>
  <w:num w:numId="24" w16cid:durableId="615450521">
    <w:abstractNumId w:val="13"/>
  </w:num>
  <w:num w:numId="25" w16cid:durableId="213928275">
    <w:abstractNumId w:val="1"/>
  </w:num>
  <w:num w:numId="26" w16cid:durableId="1079640307">
    <w:abstractNumId w:val="0"/>
  </w:num>
  <w:num w:numId="27" w16cid:durableId="1079667840">
    <w:abstractNumId w:val="22"/>
  </w:num>
  <w:num w:numId="28" w16cid:durableId="1658533851">
    <w:abstractNumId w:val="19"/>
  </w:num>
  <w:num w:numId="29" w16cid:durableId="286812283">
    <w:abstractNumId w:val="3"/>
  </w:num>
  <w:num w:numId="30" w16cid:durableId="1842548080">
    <w:abstractNumId w:val="28"/>
  </w:num>
  <w:num w:numId="31" w16cid:durableId="612708297">
    <w:abstractNumId w:val="23"/>
  </w:num>
  <w:num w:numId="32" w16cid:durableId="338119606">
    <w:abstractNumId w:val="6"/>
  </w:num>
  <w:num w:numId="33" w16cid:durableId="1493258015">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DB"/>
    <w:rsid w:val="00001788"/>
    <w:rsid w:val="000019A8"/>
    <w:rsid w:val="00001C0C"/>
    <w:rsid w:val="00002B4E"/>
    <w:rsid w:val="00005276"/>
    <w:rsid w:val="00005CF8"/>
    <w:rsid w:val="000060BC"/>
    <w:rsid w:val="0000670B"/>
    <w:rsid w:val="00006B5B"/>
    <w:rsid w:val="0001146C"/>
    <w:rsid w:val="0001422D"/>
    <w:rsid w:val="0002347E"/>
    <w:rsid w:val="00023B78"/>
    <w:rsid w:val="0002499C"/>
    <w:rsid w:val="0002618F"/>
    <w:rsid w:val="00030854"/>
    <w:rsid w:val="00030EEB"/>
    <w:rsid w:val="0003111A"/>
    <w:rsid w:val="00031267"/>
    <w:rsid w:val="0003181D"/>
    <w:rsid w:val="00035558"/>
    <w:rsid w:val="0003608D"/>
    <w:rsid w:val="00037701"/>
    <w:rsid w:val="00040E25"/>
    <w:rsid w:val="00041493"/>
    <w:rsid w:val="000436D4"/>
    <w:rsid w:val="00044602"/>
    <w:rsid w:val="00044A74"/>
    <w:rsid w:val="000453DB"/>
    <w:rsid w:val="00055C1D"/>
    <w:rsid w:val="00056AE7"/>
    <w:rsid w:val="00060DA7"/>
    <w:rsid w:val="00061DFC"/>
    <w:rsid w:val="00062044"/>
    <w:rsid w:val="00062C7D"/>
    <w:rsid w:val="0006464F"/>
    <w:rsid w:val="0006517D"/>
    <w:rsid w:val="000656A4"/>
    <w:rsid w:val="00066240"/>
    <w:rsid w:val="00067454"/>
    <w:rsid w:val="00067F35"/>
    <w:rsid w:val="000705A9"/>
    <w:rsid w:val="00073171"/>
    <w:rsid w:val="00086DC2"/>
    <w:rsid w:val="0009299A"/>
    <w:rsid w:val="00095863"/>
    <w:rsid w:val="00097C0A"/>
    <w:rsid w:val="000A1145"/>
    <w:rsid w:val="000A5E68"/>
    <w:rsid w:val="000B05DE"/>
    <w:rsid w:val="000B21FA"/>
    <w:rsid w:val="000C1C93"/>
    <w:rsid w:val="000C2497"/>
    <w:rsid w:val="000C37E7"/>
    <w:rsid w:val="000C44DC"/>
    <w:rsid w:val="000D40CB"/>
    <w:rsid w:val="000D4774"/>
    <w:rsid w:val="000D5E31"/>
    <w:rsid w:val="000E087D"/>
    <w:rsid w:val="000E0920"/>
    <w:rsid w:val="000E25EC"/>
    <w:rsid w:val="000E28F2"/>
    <w:rsid w:val="000E40F0"/>
    <w:rsid w:val="000E4612"/>
    <w:rsid w:val="000E6078"/>
    <w:rsid w:val="000E70CF"/>
    <w:rsid w:val="000F24BD"/>
    <w:rsid w:val="000F3174"/>
    <w:rsid w:val="000F3685"/>
    <w:rsid w:val="000F3F2B"/>
    <w:rsid w:val="00103B2E"/>
    <w:rsid w:val="0010405C"/>
    <w:rsid w:val="00104357"/>
    <w:rsid w:val="001053CB"/>
    <w:rsid w:val="001056A9"/>
    <w:rsid w:val="00107247"/>
    <w:rsid w:val="00107515"/>
    <w:rsid w:val="00112AFF"/>
    <w:rsid w:val="0012070B"/>
    <w:rsid w:val="00120736"/>
    <w:rsid w:val="00121A9F"/>
    <w:rsid w:val="00121B50"/>
    <w:rsid w:val="00122EA2"/>
    <w:rsid w:val="00123DDA"/>
    <w:rsid w:val="001278AD"/>
    <w:rsid w:val="001304AF"/>
    <w:rsid w:val="00131468"/>
    <w:rsid w:val="00131713"/>
    <w:rsid w:val="0013520A"/>
    <w:rsid w:val="00136C5B"/>
    <w:rsid w:val="0013706C"/>
    <w:rsid w:val="00137146"/>
    <w:rsid w:val="001407DC"/>
    <w:rsid w:val="0014153C"/>
    <w:rsid w:val="00144E19"/>
    <w:rsid w:val="001458BC"/>
    <w:rsid w:val="0014622D"/>
    <w:rsid w:val="001506AC"/>
    <w:rsid w:val="00150A8B"/>
    <w:rsid w:val="00150AF8"/>
    <w:rsid w:val="00156616"/>
    <w:rsid w:val="00161ED7"/>
    <w:rsid w:val="0016469E"/>
    <w:rsid w:val="00165824"/>
    <w:rsid w:val="00166195"/>
    <w:rsid w:val="00167608"/>
    <w:rsid w:val="00170883"/>
    <w:rsid w:val="00174CD9"/>
    <w:rsid w:val="001757BA"/>
    <w:rsid w:val="00177044"/>
    <w:rsid w:val="00181709"/>
    <w:rsid w:val="00183A5E"/>
    <w:rsid w:val="0018575F"/>
    <w:rsid w:val="00185FB8"/>
    <w:rsid w:val="00187092"/>
    <w:rsid w:val="00187E0C"/>
    <w:rsid w:val="00192218"/>
    <w:rsid w:val="00192965"/>
    <w:rsid w:val="00193743"/>
    <w:rsid w:val="001967C9"/>
    <w:rsid w:val="001A04DD"/>
    <w:rsid w:val="001A3773"/>
    <w:rsid w:val="001A4070"/>
    <w:rsid w:val="001A4BBA"/>
    <w:rsid w:val="001A7317"/>
    <w:rsid w:val="001A7A14"/>
    <w:rsid w:val="001B00A5"/>
    <w:rsid w:val="001B45B0"/>
    <w:rsid w:val="001B53C7"/>
    <w:rsid w:val="001C111D"/>
    <w:rsid w:val="001C3187"/>
    <w:rsid w:val="001C3924"/>
    <w:rsid w:val="001C4B99"/>
    <w:rsid w:val="001C5524"/>
    <w:rsid w:val="001C5C28"/>
    <w:rsid w:val="001D21BC"/>
    <w:rsid w:val="001D5FC5"/>
    <w:rsid w:val="001D605F"/>
    <w:rsid w:val="001E0054"/>
    <w:rsid w:val="001E00A7"/>
    <w:rsid w:val="001E0DDA"/>
    <w:rsid w:val="001E270F"/>
    <w:rsid w:val="001E2E47"/>
    <w:rsid w:val="001E36D9"/>
    <w:rsid w:val="001E51F5"/>
    <w:rsid w:val="001E5236"/>
    <w:rsid w:val="001E7A47"/>
    <w:rsid w:val="001F04A4"/>
    <w:rsid w:val="001F1792"/>
    <w:rsid w:val="001F2206"/>
    <w:rsid w:val="001F4207"/>
    <w:rsid w:val="001F714F"/>
    <w:rsid w:val="002006DF"/>
    <w:rsid w:val="002059F4"/>
    <w:rsid w:val="00205C75"/>
    <w:rsid w:val="002061D9"/>
    <w:rsid w:val="00215B24"/>
    <w:rsid w:val="00216468"/>
    <w:rsid w:val="002173A6"/>
    <w:rsid w:val="00226F11"/>
    <w:rsid w:val="0022704E"/>
    <w:rsid w:val="00227264"/>
    <w:rsid w:val="002311B4"/>
    <w:rsid w:val="00232A4D"/>
    <w:rsid w:val="00233BDD"/>
    <w:rsid w:val="002341A2"/>
    <w:rsid w:val="00234FA5"/>
    <w:rsid w:val="0023602B"/>
    <w:rsid w:val="002373D0"/>
    <w:rsid w:val="002375B5"/>
    <w:rsid w:val="0024041C"/>
    <w:rsid w:val="002404CA"/>
    <w:rsid w:val="002414EB"/>
    <w:rsid w:val="00242050"/>
    <w:rsid w:val="002437C5"/>
    <w:rsid w:val="00243860"/>
    <w:rsid w:val="00246128"/>
    <w:rsid w:val="00247D1B"/>
    <w:rsid w:val="002503B5"/>
    <w:rsid w:val="002561E5"/>
    <w:rsid w:val="00257894"/>
    <w:rsid w:val="002615D9"/>
    <w:rsid w:val="00261698"/>
    <w:rsid w:val="0026304B"/>
    <w:rsid w:val="00263C3B"/>
    <w:rsid w:val="00266D04"/>
    <w:rsid w:val="00270936"/>
    <w:rsid w:val="00271285"/>
    <w:rsid w:val="0027213D"/>
    <w:rsid w:val="00272700"/>
    <w:rsid w:val="002728CD"/>
    <w:rsid w:val="002764AF"/>
    <w:rsid w:val="00280FA6"/>
    <w:rsid w:val="00282359"/>
    <w:rsid w:val="0028351D"/>
    <w:rsid w:val="002836BB"/>
    <w:rsid w:val="00284C6F"/>
    <w:rsid w:val="00284F31"/>
    <w:rsid w:val="00287839"/>
    <w:rsid w:val="002910C3"/>
    <w:rsid w:val="002917DB"/>
    <w:rsid w:val="0029186D"/>
    <w:rsid w:val="00294EAC"/>
    <w:rsid w:val="00296DB3"/>
    <w:rsid w:val="00296FA5"/>
    <w:rsid w:val="002A0973"/>
    <w:rsid w:val="002A2217"/>
    <w:rsid w:val="002A32FE"/>
    <w:rsid w:val="002A3714"/>
    <w:rsid w:val="002A57F7"/>
    <w:rsid w:val="002A7542"/>
    <w:rsid w:val="002B1367"/>
    <w:rsid w:val="002B14BB"/>
    <w:rsid w:val="002B290C"/>
    <w:rsid w:val="002B7C3E"/>
    <w:rsid w:val="002C2BE0"/>
    <w:rsid w:val="002C34CD"/>
    <w:rsid w:val="002C6AEB"/>
    <w:rsid w:val="002C768C"/>
    <w:rsid w:val="002D3E11"/>
    <w:rsid w:val="002E3A57"/>
    <w:rsid w:val="002F07ED"/>
    <w:rsid w:val="002F0984"/>
    <w:rsid w:val="002F191D"/>
    <w:rsid w:val="002F21F7"/>
    <w:rsid w:val="002F251E"/>
    <w:rsid w:val="002F2599"/>
    <w:rsid w:val="002F7FE7"/>
    <w:rsid w:val="00300A44"/>
    <w:rsid w:val="003041B0"/>
    <w:rsid w:val="00305D21"/>
    <w:rsid w:val="00307190"/>
    <w:rsid w:val="00307478"/>
    <w:rsid w:val="00310459"/>
    <w:rsid w:val="00310DF0"/>
    <w:rsid w:val="00314A03"/>
    <w:rsid w:val="00317ADE"/>
    <w:rsid w:val="00320F7D"/>
    <w:rsid w:val="003211BA"/>
    <w:rsid w:val="00331C82"/>
    <w:rsid w:val="003333E7"/>
    <w:rsid w:val="00340B02"/>
    <w:rsid w:val="00341D6A"/>
    <w:rsid w:val="0034275A"/>
    <w:rsid w:val="0034454F"/>
    <w:rsid w:val="00344F64"/>
    <w:rsid w:val="003464D3"/>
    <w:rsid w:val="00347AE1"/>
    <w:rsid w:val="00351F02"/>
    <w:rsid w:val="0035611D"/>
    <w:rsid w:val="00356BB4"/>
    <w:rsid w:val="003605D7"/>
    <w:rsid w:val="00363031"/>
    <w:rsid w:val="003645F8"/>
    <w:rsid w:val="00364E9A"/>
    <w:rsid w:val="00366DF1"/>
    <w:rsid w:val="00366E73"/>
    <w:rsid w:val="00375B12"/>
    <w:rsid w:val="00377490"/>
    <w:rsid w:val="003774BB"/>
    <w:rsid w:val="0038272C"/>
    <w:rsid w:val="003832B9"/>
    <w:rsid w:val="003845EA"/>
    <w:rsid w:val="00385369"/>
    <w:rsid w:val="003853DC"/>
    <w:rsid w:val="0038550D"/>
    <w:rsid w:val="003877F0"/>
    <w:rsid w:val="00390DE7"/>
    <w:rsid w:val="00391209"/>
    <w:rsid w:val="00392C19"/>
    <w:rsid w:val="00393ED4"/>
    <w:rsid w:val="003951A1"/>
    <w:rsid w:val="00395C2C"/>
    <w:rsid w:val="00397FED"/>
    <w:rsid w:val="003A4735"/>
    <w:rsid w:val="003A6B3A"/>
    <w:rsid w:val="003A7888"/>
    <w:rsid w:val="003B1462"/>
    <w:rsid w:val="003B620E"/>
    <w:rsid w:val="003B777A"/>
    <w:rsid w:val="003C0407"/>
    <w:rsid w:val="003C2DDB"/>
    <w:rsid w:val="003C48A3"/>
    <w:rsid w:val="003C6F38"/>
    <w:rsid w:val="003D000C"/>
    <w:rsid w:val="003D096C"/>
    <w:rsid w:val="003D09E2"/>
    <w:rsid w:val="003D13A3"/>
    <w:rsid w:val="003D1B8E"/>
    <w:rsid w:val="003D324B"/>
    <w:rsid w:val="003E0ABE"/>
    <w:rsid w:val="003E219D"/>
    <w:rsid w:val="003E29F9"/>
    <w:rsid w:val="003E2EAF"/>
    <w:rsid w:val="003E2F88"/>
    <w:rsid w:val="003E530A"/>
    <w:rsid w:val="003E5CB4"/>
    <w:rsid w:val="003F0438"/>
    <w:rsid w:val="003F1A38"/>
    <w:rsid w:val="003F1A5A"/>
    <w:rsid w:val="003F2780"/>
    <w:rsid w:val="003F2D43"/>
    <w:rsid w:val="003F33BE"/>
    <w:rsid w:val="0040050F"/>
    <w:rsid w:val="00400873"/>
    <w:rsid w:val="00401CAD"/>
    <w:rsid w:val="00402236"/>
    <w:rsid w:val="00415AA6"/>
    <w:rsid w:val="0041647C"/>
    <w:rsid w:val="00420C26"/>
    <w:rsid w:val="00423461"/>
    <w:rsid w:val="00425D59"/>
    <w:rsid w:val="00430740"/>
    <w:rsid w:val="00433DB3"/>
    <w:rsid w:val="004352F3"/>
    <w:rsid w:val="004354BF"/>
    <w:rsid w:val="00436176"/>
    <w:rsid w:val="0043657E"/>
    <w:rsid w:val="00453D10"/>
    <w:rsid w:val="00454477"/>
    <w:rsid w:val="0045503C"/>
    <w:rsid w:val="0045548F"/>
    <w:rsid w:val="00460348"/>
    <w:rsid w:val="004604B9"/>
    <w:rsid w:val="004604E2"/>
    <w:rsid w:val="00460C7D"/>
    <w:rsid w:val="00461214"/>
    <w:rsid w:val="00462031"/>
    <w:rsid w:val="00470705"/>
    <w:rsid w:val="004727A6"/>
    <w:rsid w:val="0047350C"/>
    <w:rsid w:val="004749E6"/>
    <w:rsid w:val="00477853"/>
    <w:rsid w:val="00483121"/>
    <w:rsid w:val="00483711"/>
    <w:rsid w:val="0048413B"/>
    <w:rsid w:val="0048551F"/>
    <w:rsid w:val="00486F2B"/>
    <w:rsid w:val="0049003D"/>
    <w:rsid w:val="004917AF"/>
    <w:rsid w:val="0049660B"/>
    <w:rsid w:val="00496FDB"/>
    <w:rsid w:val="004A0907"/>
    <w:rsid w:val="004A4941"/>
    <w:rsid w:val="004A5DE1"/>
    <w:rsid w:val="004A7019"/>
    <w:rsid w:val="004A73E2"/>
    <w:rsid w:val="004B060F"/>
    <w:rsid w:val="004B17DB"/>
    <w:rsid w:val="004B2A0D"/>
    <w:rsid w:val="004B388F"/>
    <w:rsid w:val="004B4881"/>
    <w:rsid w:val="004B4F35"/>
    <w:rsid w:val="004B524B"/>
    <w:rsid w:val="004B55E9"/>
    <w:rsid w:val="004B5873"/>
    <w:rsid w:val="004C1AF5"/>
    <w:rsid w:val="004C20BC"/>
    <w:rsid w:val="004C2DAC"/>
    <w:rsid w:val="004C3E3E"/>
    <w:rsid w:val="004C3EE4"/>
    <w:rsid w:val="004D1C35"/>
    <w:rsid w:val="004D2B6E"/>
    <w:rsid w:val="004D3C16"/>
    <w:rsid w:val="004D49DA"/>
    <w:rsid w:val="004D6B4F"/>
    <w:rsid w:val="004D7832"/>
    <w:rsid w:val="004E0712"/>
    <w:rsid w:val="004E4BB9"/>
    <w:rsid w:val="004E4C1E"/>
    <w:rsid w:val="004E55EF"/>
    <w:rsid w:val="004E7887"/>
    <w:rsid w:val="004E7AD1"/>
    <w:rsid w:val="004F7676"/>
    <w:rsid w:val="0050242A"/>
    <w:rsid w:val="00502D91"/>
    <w:rsid w:val="0050312A"/>
    <w:rsid w:val="00503769"/>
    <w:rsid w:val="00504ED8"/>
    <w:rsid w:val="00507919"/>
    <w:rsid w:val="00512482"/>
    <w:rsid w:val="00514782"/>
    <w:rsid w:val="00515E1B"/>
    <w:rsid w:val="00515F16"/>
    <w:rsid w:val="00516E31"/>
    <w:rsid w:val="00516F34"/>
    <w:rsid w:val="005202BB"/>
    <w:rsid w:val="0053159D"/>
    <w:rsid w:val="005319AB"/>
    <w:rsid w:val="00534AA1"/>
    <w:rsid w:val="00540567"/>
    <w:rsid w:val="00541567"/>
    <w:rsid w:val="005450A1"/>
    <w:rsid w:val="00546FCE"/>
    <w:rsid w:val="00550859"/>
    <w:rsid w:val="00551637"/>
    <w:rsid w:val="00551CD5"/>
    <w:rsid w:val="00552B6D"/>
    <w:rsid w:val="00555904"/>
    <w:rsid w:val="00560ABE"/>
    <w:rsid w:val="00561DB9"/>
    <w:rsid w:val="005636A3"/>
    <w:rsid w:val="005645B8"/>
    <w:rsid w:val="00566EA2"/>
    <w:rsid w:val="005707A2"/>
    <w:rsid w:val="00572748"/>
    <w:rsid w:val="00572C33"/>
    <w:rsid w:val="00572D6A"/>
    <w:rsid w:val="00573EA8"/>
    <w:rsid w:val="00575DC0"/>
    <w:rsid w:val="005764BF"/>
    <w:rsid w:val="00580694"/>
    <w:rsid w:val="00582721"/>
    <w:rsid w:val="005833BE"/>
    <w:rsid w:val="005846B9"/>
    <w:rsid w:val="0059087E"/>
    <w:rsid w:val="00590D50"/>
    <w:rsid w:val="00591A98"/>
    <w:rsid w:val="00592314"/>
    <w:rsid w:val="00592C40"/>
    <w:rsid w:val="00595EF1"/>
    <w:rsid w:val="005A21B7"/>
    <w:rsid w:val="005B14C3"/>
    <w:rsid w:val="005B3922"/>
    <w:rsid w:val="005C1CDD"/>
    <w:rsid w:val="005C44E1"/>
    <w:rsid w:val="005C6883"/>
    <w:rsid w:val="005C6F0E"/>
    <w:rsid w:val="005D2725"/>
    <w:rsid w:val="005D28B7"/>
    <w:rsid w:val="005D35CC"/>
    <w:rsid w:val="005D3C17"/>
    <w:rsid w:val="005D6FB8"/>
    <w:rsid w:val="005E2318"/>
    <w:rsid w:val="005E303B"/>
    <w:rsid w:val="005E57F7"/>
    <w:rsid w:val="005E617B"/>
    <w:rsid w:val="005F06EC"/>
    <w:rsid w:val="005F45AE"/>
    <w:rsid w:val="005F567A"/>
    <w:rsid w:val="005F768A"/>
    <w:rsid w:val="005F7B62"/>
    <w:rsid w:val="00600D80"/>
    <w:rsid w:val="00600F44"/>
    <w:rsid w:val="006011E4"/>
    <w:rsid w:val="00601A14"/>
    <w:rsid w:val="00603567"/>
    <w:rsid w:val="006036F0"/>
    <w:rsid w:val="00604AF5"/>
    <w:rsid w:val="00610CED"/>
    <w:rsid w:val="00614476"/>
    <w:rsid w:val="00623CBF"/>
    <w:rsid w:val="00630001"/>
    <w:rsid w:val="0063180A"/>
    <w:rsid w:val="0063582A"/>
    <w:rsid w:val="00640337"/>
    <w:rsid w:val="00640B76"/>
    <w:rsid w:val="00641AE3"/>
    <w:rsid w:val="00643A9D"/>
    <w:rsid w:val="00644E7A"/>
    <w:rsid w:val="00647266"/>
    <w:rsid w:val="0064734A"/>
    <w:rsid w:val="006535DF"/>
    <w:rsid w:val="006538BD"/>
    <w:rsid w:val="00655EEA"/>
    <w:rsid w:val="006565BE"/>
    <w:rsid w:val="00657EAA"/>
    <w:rsid w:val="00666FEA"/>
    <w:rsid w:val="006707EC"/>
    <w:rsid w:val="00674C7F"/>
    <w:rsid w:val="006750A9"/>
    <w:rsid w:val="00676540"/>
    <w:rsid w:val="00677BEE"/>
    <w:rsid w:val="00681AC1"/>
    <w:rsid w:val="006825E2"/>
    <w:rsid w:val="00684CA7"/>
    <w:rsid w:val="00686EA5"/>
    <w:rsid w:val="00692F7B"/>
    <w:rsid w:val="006943C3"/>
    <w:rsid w:val="00695B1A"/>
    <w:rsid w:val="0069792E"/>
    <w:rsid w:val="00697F61"/>
    <w:rsid w:val="006A00A7"/>
    <w:rsid w:val="006A07BE"/>
    <w:rsid w:val="006A146E"/>
    <w:rsid w:val="006A1C4E"/>
    <w:rsid w:val="006A2110"/>
    <w:rsid w:val="006A22B1"/>
    <w:rsid w:val="006A3172"/>
    <w:rsid w:val="006A5A28"/>
    <w:rsid w:val="006A7C23"/>
    <w:rsid w:val="006A7EB8"/>
    <w:rsid w:val="006B1B9A"/>
    <w:rsid w:val="006B4EE2"/>
    <w:rsid w:val="006B5279"/>
    <w:rsid w:val="006B52E1"/>
    <w:rsid w:val="006B680A"/>
    <w:rsid w:val="006B7269"/>
    <w:rsid w:val="006B7C92"/>
    <w:rsid w:val="006C4C76"/>
    <w:rsid w:val="006C521E"/>
    <w:rsid w:val="006C558F"/>
    <w:rsid w:val="006C6C37"/>
    <w:rsid w:val="006C73F3"/>
    <w:rsid w:val="006D1012"/>
    <w:rsid w:val="006D425A"/>
    <w:rsid w:val="006D48EE"/>
    <w:rsid w:val="006E1E5C"/>
    <w:rsid w:val="006E4C14"/>
    <w:rsid w:val="006F1C05"/>
    <w:rsid w:val="006F3735"/>
    <w:rsid w:val="006F6AA0"/>
    <w:rsid w:val="006F6B0F"/>
    <w:rsid w:val="00702F29"/>
    <w:rsid w:val="00710616"/>
    <w:rsid w:val="00710E44"/>
    <w:rsid w:val="0071704F"/>
    <w:rsid w:val="00720EA7"/>
    <w:rsid w:val="007230A6"/>
    <w:rsid w:val="00724277"/>
    <w:rsid w:val="00724524"/>
    <w:rsid w:val="00726420"/>
    <w:rsid w:val="007270EE"/>
    <w:rsid w:val="0072775A"/>
    <w:rsid w:val="0073054C"/>
    <w:rsid w:val="00733CFC"/>
    <w:rsid w:val="0074528B"/>
    <w:rsid w:val="0074546E"/>
    <w:rsid w:val="007463C4"/>
    <w:rsid w:val="0074676C"/>
    <w:rsid w:val="00750E50"/>
    <w:rsid w:val="007629DB"/>
    <w:rsid w:val="007702B1"/>
    <w:rsid w:val="00770C78"/>
    <w:rsid w:val="00770D59"/>
    <w:rsid w:val="00773DB2"/>
    <w:rsid w:val="00777EA5"/>
    <w:rsid w:val="00781042"/>
    <w:rsid w:val="0078337E"/>
    <w:rsid w:val="007854D0"/>
    <w:rsid w:val="0078762A"/>
    <w:rsid w:val="00787B1C"/>
    <w:rsid w:val="00792002"/>
    <w:rsid w:val="007924E4"/>
    <w:rsid w:val="00792ED7"/>
    <w:rsid w:val="007937F8"/>
    <w:rsid w:val="00793E5D"/>
    <w:rsid w:val="0079430B"/>
    <w:rsid w:val="007953D9"/>
    <w:rsid w:val="007A01E7"/>
    <w:rsid w:val="007A375D"/>
    <w:rsid w:val="007A3C9E"/>
    <w:rsid w:val="007A3DE7"/>
    <w:rsid w:val="007B244D"/>
    <w:rsid w:val="007B3187"/>
    <w:rsid w:val="007B640F"/>
    <w:rsid w:val="007B7B14"/>
    <w:rsid w:val="007C0253"/>
    <w:rsid w:val="007C1271"/>
    <w:rsid w:val="007C207E"/>
    <w:rsid w:val="007C2F06"/>
    <w:rsid w:val="007C3211"/>
    <w:rsid w:val="007C58BC"/>
    <w:rsid w:val="007D5E6A"/>
    <w:rsid w:val="007E0AFB"/>
    <w:rsid w:val="007E5A95"/>
    <w:rsid w:val="007F20D8"/>
    <w:rsid w:val="007F330A"/>
    <w:rsid w:val="007F3A69"/>
    <w:rsid w:val="007F57FD"/>
    <w:rsid w:val="007F66E8"/>
    <w:rsid w:val="00802A37"/>
    <w:rsid w:val="00805693"/>
    <w:rsid w:val="008133F2"/>
    <w:rsid w:val="00813F46"/>
    <w:rsid w:val="00821213"/>
    <w:rsid w:val="00827412"/>
    <w:rsid w:val="00830D94"/>
    <w:rsid w:val="00831837"/>
    <w:rsid w:val="00831D58"/>
    <w:rsid w:val="00832771"/>
    <w:rsid w:val="008327AC"/>
    <w:rsid w:val="00834821"/>
    <w:rsid w:val="00841EEC"/>
    <w:rsid w:val="00842BF0"/>
    <w:rsid w:val="00846470"/>
    <w:rsid w:val="00846EC6"/>
    <w:rsid w:val="008572A8"/>
    <w:rsid w:val="00861135"/>
    <w:rsid w:val="00861917"/>
    <w:rsid w:val="008619C1"/>
    <w:rsid w:val="00863C6D"/>
    <w:rsid w:val="00863D9F"/>
    <w:rsid w:val="00863DF3"/>
    <w:rsid w:val="00864054"/>
    <w:rsid w:val="00864557"/>
    <w:rsid w:val="008645F4"/>
    <w:rsid w:val="00870E89"/>
    <w:rsid w:val="008715B4"/>
    <w:rsid w:val="008809CD"/>
    <w:rsid w:val="00882707"/>
    <w:rsid w:val="008841E3"/>
    <w:rsid w:val="008851E4"/>
    <w:rsid w:val="00885220"/>
    <w:rsid w:val="00885B8B"/>
    <w:rsid w:val="0088633D"/>
    <w:rsid w:val="00892B44"/>
    <w:rsid w:val="00897D7E"/>
    <w:rsid w:val="008A094B"/>
    <w:rsid w:val="008A116E"/>
    <w:rsid w:val="008A12EB"/>
    <w:rsid w:val="008A1F06"/>
    <w:rsid w:val="008A252E"/>
    <w:rsid w:val="008A26F4"/>
    <w:rsid w:val="008A4152"/>
    <w:rsid w:val="008A585B"/>
    <w:rsid w:val="008A5F0A"/>
    <w:rsid w:val="008A7D31"/>
    <w:rsid w:val="008A7FB7"/>
    <w:rsid w:val="008B265C"/>
    <w:rsid w:val="008B3911"/>
    <w:rsid w:val="008B5E56"/>
    <w:rsid w:val="008C01D2"/>
    <w:rsid w:val="008C1AFE"/>
    <w:rsid w:val="008C2686"/>
    <w:rsid w:val="008C31D3"/>
    <w:rsid w:val="008C6DF7"/>
    <w:rsid w:val="008C7C3F"/>
    <w:rsid w:val="008D5472"/>
    <w:rsid w:val="008E29EA"/>
    <w:rsid w:val="008E30DB"/>
    <w:rsid w:val="008E4D61"/>
    <w:rsid w:val="008E6FA6"/>
    <w:rsid w:val="008E79EC"/>
    <w:rsid w:val="008F0C3E"/>
    <w:rsid w:val="008F11B0"/>
    <w:rsid w:val="008F25AA"/>
    <w:rsid w:val="008F29A5"/>
    <w:rsid w:val="008F2D50"/>
    <w:rsid w:val="008F3092"/>
    <w:rsid w:val="008F4245"/>
    <w:rsid w:val="008F47E2"/>
    <w:rsid w:val="008F5F88"/>
    <w:rsid w:val="008F5FE3"/>
    <w:rsid w:val="00905203"/>
    <w:rsid w:val="00907DB1"/>
    <w:rsid w:val="009142B1"/>
    <w:rsid w:val="0091435B"/>
    <w:rsid w:val="00915013"/>
    <w:rsid w:val="0093316B"/>
    <w:rsid w:val="00933D80"/>
    <w:rsid w:val="00935F1F"/>
    <w:rsid w:val="00936FB6"/>
    <w:rsid w:val="009428C2"/>
    <w:rsid w:val="00943D6D"/>
    <w:rsid w:val="009464FA"/>
    <w:rsid w:val="009505AD"/>
    <w:rsid w:val="0095111B"/>
    <w:rsid w:val="009533EA"/>
    <w:rsid w:val="00953974"/>
    <w:rsid w:val="009546E4"/>
    <w:rsid w:val="009551BD"/>
    <w:rsid w:val="009562B3"/>
    <w:rsid w:val="009569B2"/>
    <w:rsid w:val="0096132F"/>
    <w:rsid w:val="00963424"/>
    <w:rsid w:val="00963A4E"/>
    <w:rsid w:val="009645A6"/>
    <w:rsid w:val="009659F9"/>
    <w:rsid w:val="00965BFC"/>
    <w:rsid w:val="00967DC0"/>
    <w:rsid w:val="0097150D"/>
    <w:rsid w:val="009732B9"/>
    <w:rsid w:val="009734C8"/>
    <w:rsid w:val="009739CF"/>
    <w:rsid w:val="009767E8"/>
    <w:rsid w:val="0097705B"/>
    <w:rsid w:val="009803E7"/>
    <w:rsid w:val="00983892"/>
    <w:rsid w:val="00987CD1"/>
    <w:rsid w:val="00987E97"/>
    <w:rsid w:val="0099356E"/>
    <w:rsid w:val="00993D9E"/>
    <w:rsid w:val="009A16CC"/>
    <w:rsid w:val="009A250A"/>
    <w:rsid w:val="009A4C83"/>
    <w:rsid w:val="009A6239"/>
    <w:rsid w:val="009A6852"/>
    <w:rsid w:val="009A6B17"/>
    <w:rsid w:val="009A6D93"/>
    <w:rsid w:val="009A7738"/>
    <w:rsid w:val="009B2862"/>
    <w:rsid w:val="009B4308"/>
    <w:rsid w:val="009B4B07"/>
    <w:rsid w:val="009B6376"/>
    <w:rsid w:val="009C43E9"/>
    <w:rsid w:val="009C61B8"/>
    <w:rsid w:val="009C6E60"/>
    <w:rsid w:val="009D0C71"/>
    <w:rsid w:val="009D1902"/>
    <w:rsid w:val="009E1C26"/>
    <w:rsid w:val="009E4D71"/>
    <w:rsid w:val="009E67F5"/>
    <w:rsid w:val="009E6A53"/>
    <w:rsid w:val="009E7CAB"/>
    <w:rsid w:val="009F0C3D"/>
    <w:rsid w:val="009F0D69"/>
    <w:rsid w:val="009F19D4"/>
    <w:rsid w:val="009F4C2D"/>
    <w:rsid w:val="009F52D6"/>
    <w:rsid w:val="009F5B0C"/>
    <w:rsid w:val="009F7CB6"/>
    <w:rsid w:val="00A00A4F"/>
    <w:rsid w:val="00A042D3"/>
    <w:rsid w:val="00A04732"/>
    <w:rsid w:val="00A05072"/>
    <w:rsid w:val="00A0528F"/>
    <w:rsid w:val="00A052A0"/>
    <w:rsid w:val="00A05B84"/>
    <w:rsid w:val="00A069ED"/>
    <w:rsid w:val="00A10C3E"/>
    <w:rsid w:val="00A137B9"/>
    <w:rsid w:val="00A13E06"/>
    <w:rsid w:val="00A15DA9"/>
    <w:rsid w:val="00A20E41"/>
    <w:rsid w:val="00A22124"/>
    <w:rsid w:val="00A245EB"/>
    <w:rsid w:val="00A2520F"/>
    <w:rsid w:val="00A263B5"/>
    <w:rsid w:val="00A27C5F"/>
    <w:rsid w:val="00A3050A"/>
    <w:rsid w:val="00A33137"/>
    <w:rsid w:val="00A33A03"/>
    <w:rsid w:val="00A33DAA"/>
    <w:rsid w:val="00A376A7"/>
    <w:rsid w:val="00A4217D"/>
    <w:rsid w:val="00A427AB"/>
    <w:rsid w:val="00A43AB6"/>
    <w:rsid w:val="00A4455A"/>
    <w:rsid w:val="00A450DA"/>
    <w:rsid w:val="00A462BA"/>
    <w:rsid w:val="00A46AB9"/>
    <w:rsid w:val="00A46F3E"/>
    <w:rsid w:val="00A47159"/>
    <w:rsid w:val="00A56015"/>
    <w:rsid w:val="00A56699"/>
    <w:rsid w:val="00A578CE"/>
    <w:rsid w:val="00A57DB4"/>
    <w:rsid w:val="00A61966"/>
    <w:rsid w:val="00A62217"/>
    <w:rsid w:val="00A6287F"/>
    <w:rsid w:val="00A640A9"/>
    <w:rsid w:val="00A640C2"/>
    <w:rsid w:val="00A70C73"/>
    <w:rsid w:val="00A72919"/>
    <w:rsid w:val="00A7351C"/>
    <w:rsid w:val="00A80AB3"/>
    <w:rsid w:val="00A85322"/>
    <w:rsid w:val="00A85561"/>
    <w:rsid w:val="00A85B28"/>
    <w:rsid w:val="00A873E9"/>
    <w:rsid w:val="00A902D4"/>
    <w:rsid w:val="00A91C5E"/>
    <w:rsid w:val="00A923AB"/>
    <w:rsid w:val="00A929BD"/>
    <w:rsid w:val="00A92DD1"/>
    <w:rsid w:val="00A9667B"/>
    <w:rsid w:val="00AA3423"/>
    <w:rsid w:val="00AA7A7A"/>
    <w:rsid w:val="00AB2155"/>
    <w:rsid w:val="00AB2937"/>
    <w:rsid w:val="00AB7ED9"/>
    <w:rsid w:val="00AC0A9B"/>
    <w:rsid w:val="00AC1FF8"/>
    <w:rsid w:val="00AC2E11"/>
    <w:rsid w:val="00AC3804"/>
    <w:rsid w:val="00AD2BE1"/>
    <w:rsid w:val="00AD2DF6"/>
    <w:rsid w:val="00AD3033"/>
    <w:rsid w:val="00AD32D5"/>
    <w:rsid w:val="00AD58D5"/>
    <w:rsid w:val="00AD65F7"/>
    <w:rsid w:val="00AD7842"/>
    <w:rsid w:val="00AE47C0"/>
    <w:rsid w:val="00AE56D8"/>
    <w:rsid w:val="00AE636B"/>
    <w:rsid w:val="00AE6D7E"/>
    <w:rsid w:val="00AF0792"/>
    <w:rsid w:val="00AF2ED0"/>
    <w:rsid w:val="00AF43D3"/>
    <w:rsid w:val="00AF60D0"/>
    <w:rsid w:val="00AF7129"/>
    <w:rsid w:val="00B002FA"/>
    <w:rsid w:val="00B04949"/>
    <w:rsid w:val="00B05304"/>
    <w:rsid w:val="00B05A38"/>
    <w:rsid w:val="00B10300"/>
    <w:rsid w:val="00B10468"/>
    <w:rsid w:val="00B119CD"/>
    <w:rsid w:val="00B1352E"/>
    <w:rsid w:val="00B23162"/>
    <w:rsid w:val="00B233EA"/>
    <w:rsid w:val="00B23894"/>
    <w:rsid w:val="00B262D4"/>
    <w:rsid w:val="00B3269F"/>
    <w:rsid w:val="00B33E4E"/>
    <w:rsid w:val="00B33E77"/>
    <w:rsid w:val="00B36540"/>
    <w:rsid w:val="00B4290B"/>
    <w:rsid w:val="00B440E8"/>
    <w:rsid w:val="00B44DAC"/>
    <w:rsid w:val="00B475F9"/>
    <w:rsid w:val="00B50B87"/>
    <w:rsid w:val="00B50F0F"/>
    <w:rsid w:val="00B50F16"/>
    <w:rsid w:val="00B51F61"/>
    <w:rsid w:val="00B56B80"/>
    <w:rsid w:val="00B56C5B"/>
    <w:rsid w:val="00B57BED"/>
    <w:rsid w:val="00B6027F"/>
    <w:rsid w:val="00B61ECA"/>
    <w:rsid w:val="00B63A76"/>
    <w:rsid w:val="00B65C1B"/>
    <w:rsid w:val="00B67096"/>
    <w:rsid w:val="00B73EDC"/>
    <w:rsid w:val="00B755E0"/>
    <w:rsid w:val="00B7576D"/>
    <w:rsid w:val="00B76216"/>
    <w:rsid w:val="00B76699"/>
    <w:rsid w:val="00B776B2"/>
    <w:rsid w:val="00B77AA3"/>
    <w:rsid w:val="00B82FDB"/>
    <w:rsid w:val="00B84CC9"/>
    <w:rsid w:val="00B850CB"/>
    <w:rsid w:val="00B8613B"/>
    <w:rsid w:val="00B86836"/>
    <w:rsid w:val="00B915A3"/>
    <w:rsid w:val="00B926A0"/>
    <w:rsid w:val="00B92716"/>
    <w:rsid w:val="00B92F82"/>
    <w:rsid w:val="00B946B7"/>
    <w:rsid w:val="00B969BA"/>
    <w:rsid w:val="00BA14E3"/>
    <w:rsid w:val="00BA2E8E"/>
    <w:rsid w:val="00BA50D0"/>
    <w:rsid w:val="00BA5D52"/>
    <w:rsid w:val="00BA7A1E"/>
    <w:rsid w:val="00BB0C2C"/>
    <w:rsid w:val="00BB1C4E"/>
    <w:rsid w:val="00BB39F3"/>
    <w:rsid w:val="00BB3E7E"/>
    <w:rsid w:val="00BB7017"/>
    <w:rsid w:val="00BC3991"/>
    <w:rsid w:val="00BC6D25"/>
    <w:rsid w:val="00BC7A0C"/>
    <w:rsid w:val="00BD1BAB"/>
    <w:rsid w:val="00BD22E3"/>
    <w:rsid w:val="00BD27F2"/>
    <w:rsid w:val="00BD3690"/>
    <w:rsid w:val="00BD41C6"/>
    <w:rsid w:val="00BD6D56"/>
    <w:rsid w:val="00BD7A4D"/>
    <w:rsid w:val="00BE2586"/>
    <w:rsid w:val="00BE40C9"/>
    <w:rsid w:val="00BE461C"/>
    <w:rsid w:val="00BE6CB6"/>
    <w:rsid w:val="00BF04C3"/>
    <w:rsid w:val="00BF07B2"/>
    <w:rsid w:val="00BF1561"/>
    <w:rsid w:val="00BF4EC4"/>
    <w:rsid w:val="00BF5050"/>
    <w:rsid w:val="00BF52B6"/>
    <w:rsid w:val="00BF571F"/>
    <w:rsid w:val="00BF5E95"/>
    <w:rsid w:val="00BF6148"/>
    <w:rsid w:val="00BF6A8F"/>
    <w:rsid w:val="00C0168B"/>
    <w:rsid w:val="00C0170E"/>
    <w:rsid w:val="00C01896"/>
    <w:rsid w:val="00C05711"/>
    <w:rsid w:val="00C06667"/>
    <w:rsid w:val="00C068EE"/>
    <w:rsid w:val="00C078C5"/>
    <w:rsid w:val="00C123B1"/>
    <w:rsid w:val="00C12EA2"/>
    <w:rsid w:val="00C13147"/>
    <w:rsid w:val="00C139A9"/>
    <w:rsid w:val="00C13C64"/>
    <w:rsid w:val="00C1400E"/>
    <w:rsid w:val="00C237E2"/>
    <w:rsid w:val="00C23AC5"/>
    <w:rsid w:val="00C23B3F"/>
    <w:rsid w:val="00C33846"/>
    <w:rsid w:val="00C42EF5"/>
    <w:rsid w:val="00C45276"/>
    <w:rsid w:val="00C4555A"/>
    <w:rsid w:val="00C455D4"/>
    <w:rsid w:val="00C5240E"/>
    <w:rsid w:val="00C55162"/>
    <w:rsid w:val="00C55FFC"/>
    <w:rsid w:val="00C56605"/>
    <w:rsid w:val="00C569A2"/>
    <w:rsid w:val="00C57465"/>
    <w:rsid w:val="00C60793"/>
    <w:rsid w:val="00C608C8"/>
    <w:rsid w:val="00C61D56"/>
    <w:rsid w:val="00C624CE"/>
    <w:rsid w:val="00C626D1"/>
    <w:rsid w:val="00C6353F"/>
    <w:rsid w:val="00C63C57"/>
    <w:rsid w:val="00C6475A"/>
    <w:rsid w:val="00C66546"/>
    <w:rsid w:val="00C66E66"/>
    <w:rsid w:val="00C7069B"/>
    <w:rsid w:val="00C7178A"/>
    <w:rsid w:val="00C71808"/>
    <w:rsid w:val="00C71DD1"/>
    <w:rsid w:val="00C720D3"/>
    <w:rsid w:val="00C74251"/>
    <w:rsid w:val="00C76C81"/>
    <w:rsid w:val="00C81FAD"/>
    <w:rsid w:val="00C84271"/>
    <w:rsid w:val="00C86991"/>
    <w:rsid w:val="00C8744A"/>
    <w:rsid w:val="00C91AA1"/>
    <w:rsid w:val="00C94BDB"/>
    <w:rsid w:val="00C97580"/>
    <w:rsid w:val="00CA1CD5"/>
    <w:rsid w:val="00CA621D"/>
    <w:rsid w:val="00CB12DC"/>
    <w:rsid w:val="00CB1903"/>
    <w:rsid w:val="00CB241E"/>
    <w:rsid w:val="00CB3C16"/>
    <w:rsid w:val="00CB4A02"/>
    <w:rsid w:val="00CB5B0F"/>
    <w:rsid w:val="00CB6A40"/>
    <w:rsid w:val="00CC1A6F"/>
    <w:rsid w:val="00CC2366"/>
    <w:rsid w:val="00CC4D3C"/>
    <w:rsid w:val="00CD2973"/>
    <w:rsid w:val="00CD536C"/>
    <w:rsid w:val="00CD54F1"/>
    <w:rsid w:val="00CD5A2F"/>
    <w:rsid w:val="00CD611B"/>
    <w:rsid w:val="00CD6970"/>
    <w:rsid w:val="00CE4BAD"/>
    <w:rsid w:val="00CE5817"/>
    <w:rsid w:val="00CE77CA"/>
    <w:rsid w:val="00CF52D3"/>
    <w:rsid w:val="00D01870"/>
    <w:rsid w:val="00D025F8"/>
    <w:rsid w:val="00D0290A"/>
    <w:rsid w:val="00D039F8"/>
    <w:rsid w:val="00D03BFF"/>
    <w:rsid w:val="00D03FDA"/>
    <w:rsid w:val="00D05E6C"/>
    <w:rsid w:val="00D13274"/>
    <w:rsid w:val="00D13590"/>
    <w:rsid w:val="00D137F8"/>
    <w:rsid w:val="00D16473"/>
    <w:rsid w:val="00D16F57"/>
    <w:rsid w:val="00D17D1B"/>
    <w:rsid w:val="00D208A4"/>
    <w:rsid w:val="00D21BF4"/>
    <w:rsid w:val="00D23CDC"/>
    <w:rsid w:val="00D278E1"/>
    <w:rsid w:val="00D31142"/>
    <w:rsid w:val="00D327BE"/>
    <w:rsid w:val="00D33085"/>
    <w:rsid w:val="00D3365A"/>
    <w:rsid w:val="00D37789"/>
    <w:rsid w:val="00D37C19"/>
    <w:rsid w:val="00D40F25"/>
    <w:rsid w:val="00D44CEF"/>
    <w:rsid w:val="00D45D6E"/>
    <w:rsid w:val="00D51B35"/>
    <w:rsid w:val="00D53902"/>
    <w:rsid w:val="00D55A3B"/>
    <w:rsid w:val="00D60245"/>
    <w:rsid w:val="00D60977"/>
    <w:rsid w:val="00D61344"/>
    <w:rsid w:val="00D623E9"/>
    <w:rsid w:val="00D63099"/>
    <w:rsid w:val="00D630AA"/>
    <w:rsid w:val="00D643D0"/>
    <w:rsid w:val="00D64DC8"/>
    <w:rsid w:val="00D65464"/>
    <w:rsid w:val="00D665EA"/>
    <w:rsid w:val="00D66DE3"/>
    <w:rsid w:val="00D674FF"/>
    <w:rsid w:val="00D7123D"/>
    <w:rsid w:val="00D7230B"/>
    <w:rsid w:val="00D72422"/>
    <w:rsid w:val="00D73EEB"/>
    <w:rsid w:val="00D74DF6"/>
    <w:rsid w:val="00D80D21"/>
    <w:rsid w:val="00D82AAE"/>
    <w:rsid w:val="00D83509"/>
    <w:rsid w:val="00D84EDC"/>
    <w:rsid w:val="00D85CD3"/>
    <w:rsid w:val="00D87640"/>
    <w:rsid w:val="00D923B8"/>
    <w:rsid w:val="00D92E0B"/>
    <w:rsid w:val="00D940CE"/>
    <w:rsid w:val="00D9473E"/>
    <w:rsid w:val="00DA199A"/>
    <w:rsid w:val="00DB0AD5"/>
    <w:rsid w:val="00DB1F1B"/>
    <w:rsid w:val="00DB2B29"/>
    <w:rsid w:val="00DC05D5"/>
    <w:rsid w:val="00DC1D2F"/>
    <w:rsid w:val="00DC2BF8"/>
    <w:rsid w:val="00DC3FE0"/>
    <w:rsid w:val="00DC43E8"/>
    <w:rsid w:val="00DC6056"/>
    <w:rsid w:val="00DC6905"/>
    <w:rsid w:val="00DC6B69"/>
    <w:rsid w:val="00DD0521"/>
    <w:rsid w:val="00DD18E5"/>
    <w:rsid w:val="00DD3644"/>
    <w:rsid w:val="00DD3B69"/>
    <w:rsid w:val="00DD4F2B"/>
    <w:rsid w:val="00DD52A5"/>
    <w:rsid w:val="00DE0C83"/>
    <w:rsid w:val="00DE2410"/>
    <w:rsid w:val="00DE4211"/>
    <w:rsid w:val="00DE5258"/>
    <w:rsid w:val="00DE5415"/>
    <w:rsid w:val="00DE6025"/>
    <w:rsid w:val="00DE7282"/>
    <w:rsid w:val="00DE7930"/>
    <w:rsid w:val="00DF1E32"/>
    <w:rsid w:val="00DF29C1"/>
    <w:rsid w:val="00DF2CAF"/>
    <w:rsid w:val="00DF328E"/>
    <w:rsid w:val="00DF591D"/>
    <w:rsid w:val="00E00E93"/>
    <w:rsid w:val="00E01C47"/>
    <w:rsid w:val="00E01ED6"/>
    <w:rsid w:val="00E041AB"/>
    <w:rsid w:val="00E07C8A"/>
    <w:rsid w:val="00E101E9"/>
    <w:rsid w:val="00E13704"/>
    <w:rsid w:val="00E14613"/>
    <w:rsid w:val="00E206F2"/>
    <w:rsid w:val="00E2446B"/>
    <w:rsid w:val="00E24611"/>
    <w:rsid w:val="00E2548A"/>
    <w:rsid w:val="00E273CB"/>
    <w:rsid w:val="00E27B47"/>
    <w:rsid w:val="00E27EDB"/>
    <w:rsid w:val="00E30005"/>
    <w:rsid w:val="00E30863"/>
    <w:rsid w:val="00E30CAA"/>
    <w:rsid w:val="00E315D0"/>
    <w:rsid w:val="00E31C2E"/>
    <w:rsid w:val="00E33345"/>
    <w:rsid w:val="00E33E7F"/>
    <w:rsid w:val="00E33F67"/>
    <w:rsid w:val="00E42F90"/>
    <w:rsid w:val="00E43602"/>
    <w:rsid w:val="00E44980"/>
    <w:rsid w:val="00E453DD"/>
    <w:rsid w:val="00E51B9F"/>
    <w:rsid w:val="00E51F16"/>
    <w:rsid w:val="00E52688"/>
    <w:rsid w:val="00E54ED6"/>
    <w:rsid w:val="00E56352"/>
    <w:rsid w:val="00E5797B"/>
    <w:rsid w:val="00E61AFA"/>
    <w:rsid w:val="00E62C67"/>
    <w:rsid w:val="00E6506D"/>
    <w:rsid w:val="00E6721E"/>
    <w:rsid w:val="00E7213C"/>
    <w:rsid w:val="00E7569C"/>
    <w:rsid w:val="00E75A51"/>
    <w:rsid w:val="00E76D4E"/>
    <w:rsid w:val="00E7768E"/>
    <w:rsid w:val="00E81781"/>
    <w:rsid w:val="00E852C2"/>
    <w:rsid w:val="00E85DEB"/>
    <w:rsid w:val="00E8638C"/>
    <w:rsid w:val="00E87823"/>
    <w:rsid w:val="00E87990"/>
    <w:rsid w:val="00E87C47"/>
    <w:rsid w:val="00E93BC9"/>
    <w:rsid w:val="00E97BAA"/>
    <w:rsid w:val="00EA0CDB"/>
    <w:rsid w:val="00EA107A"/>
    <w:rsid w:val="00EA34EE"/>
    <w:rsid w:val="00EA52D1"/>
    <w:rsid w:val="00EA5D23"/>
    <w:rsid w:val="00EB2185"/>
    <w:rsid w:val="00EB4F03"/>
    <w:rsid w:val="00EB6CA7"/>
    <w:rsid w:val="00EB6E67"/>
    <w:rsid w:val="00EC352F"/>
    <w:rsid w:val="00EC4C1B"/>
    <w:rsid w:val="00EC6D12"/>
    <w:rsid w:val="00EC7408"/>
    <w:rsid w:val="00ED0A66"/>
    <w:rsid w:val="00ED0FD8"/>
    <w:rsid w:val="00ED110B"/>
    <w:rsid w:val="00ED11B4"/>
    <w:rsid w:val="00ED49EC"/>
    <w:rsid w:val="00ED6F18"/>
    <w:rsid w:val="00EE07C0"/>
    <w:rsid w:val="00EE2A4B"/>
    <w:rsid w:val="00EE5F2B"/>
    <w:rsid w:val="00EE6426"/>
    <w:rsid w:val="00EE741C"/>
    <w:rsid w:val="00EF118F"/>
    <w:rsid w:val="00EF2F0F"/>
    <w:rsid w:val="00EF3149"/>
    <w:rsid w:val="00EF57C9"/>
    <w:rsid w:val="00EF5826"/>
    <w:rsid w:val="00EF5A45"/>
    <w:rsid w:val="00EF6576"/>
    <w:rsid w:val="00EF6BBB"/>
    <w:rsid w:val="00EF6E26"/>
    <w:rsid w:val="00F00793"/>
    <w:rsid w:val="00F0108A"/>
    <w:rsid w:val="00F02AAC"/>
    <w:rsid w:val="00F063FE"/>
    <w:rsid w:val="00F06A30"/>
    <w:rsid w:val="00F07253"/>
    <w:rsid w:val="00F075FB"/>
    <w:rsid w:val="00F10824"/>
    <w:rsid w:val="00F11E07"/>
    <w:rsid w:val="00F1275E"/>
    <w:rsid w:val="00F14C72"/>
    <w:rsid w:val="00F14FE4"/>
    <w:rsid w:val="00F161A1"/>
    <w:rsid w:val="00F174C6"/>
    <w:rsid w:val="00F202D2"/>
    <w:rsid w:val="00F25474"/>
    <w:rsid w:val="00F26349"/>
    <w:rsid w:val="00F31907"/>
    <w:rsid w:val="00F35387"/>
    <w:rsid w:val="00F35ED2"/>
    <w:rsid w:val="00F36AEB"/>
    <w:rsid w:val="00F4329E"/>
    <w:rsid w:val="00F440AB"/>
    <w:rsid w:val="00F464F7"/>
    <w:rsid w:val="00F4767D"/>
    <w:rsid w:val="00F47DAC"/>
    <w:rsid w:val="00F47EF1"/>
    <w:rsid w:val="00F50654"/>
    <w:rsid w:val="00F50956"/>
    <w:rsid w:val="00F51901"/>
    <w:rsid w:val="00F540CF"/>
    <w:rsid w:val="00F5706F"/>
    <w:rsid w:val="00F570FA"/>
    <w:rsid w:val="00F63340"/>
    <w:rsid w:val="00F645DA"/>
    <w:rsid w:val="00F65968"/>
    <w:rsid w:val="00F66C32"/>
    <w:rsid w:val="00F6733D"/>
    <w:rsid w:val="00F72603"/>
    <w:rsid w:val="00F8580A"/>
    <w:rsid w:val="00F87DA3"/>
    <w:rsid w:val="00F87F30"/>
    <w:rsid w:val="00F87F6D"/>
    <w:rsid w:val="00F91137"/>
    <w:rsid w:val="00F91D06"/>
    <w:rsid w:val="00F93999"/>
    <w:rsid w:val="00F94249"/>
    <w:rsid w:val="00F96DD7"/>
    <w:rsid w:val="00FA0E20"/>
    <w:rsid w:val="00FA12B8"/>
    <w:rsid w:val="00FA21C9"/>
    <w:rsid w:val="00FA2C14"/>
    <w:rsid w:val="00FA3247"/>
    <w:rsid w:val="00FA3B0F"/>
    <w:rsid w:val="00FA4C8D"/>
    <w:rsid w:val="00FA5329"/>
    <w:rsid w:val="00FA7244"/>
    <w:rsid w:val="00FA7456"/>
    <w:rsid w:val="00FB4236"/>
    <w:rsid w:val="00FB71E0"/>
    <w:rsid w:val="00FB7DEF"/>
    <w:rsid w:val="00FC4210"/>
    <w:rsid w:val="00FD1EBE"/>
    <w:rsid w:val="00FD497D"/>
    <w:rsid w:val="00FD5968"/>
    <w:rsid w:val="00FD60C8"/>
    <w:rsid w:val="00FD6118"/>
    <w:rsid w:val="00FE6439"/>
    <w:rsid w:val="00FE68DD"/>
    <w:rsid w:val="00FF0C34"/>
    <w:rsid w:val="00FF1F2F"/>
    <w:rsid w:val="00FF2D22"/>
    <w:rsid w:val="00FF54A5"/>
    <w:rsid w:val="00FF699A"/>
    <w:rsid w:val="01CCED94"/>
    <w:rsid w:val="020172FA"/>
    <w:rsid w:val="02D057C7"/>
    <w:rsid w:val="035EA560"/>
    <w:rsid w:val="04FE3817"/>
    <w:rsid w:val="063BE677"/>
    <w:rsid w:val="06ADAB1A"/>
    <w:rsid w:val="0A34E644"/>
    <w:rsid w:val="0B7B80FE"/>
    <w:rsid w:val="0BC642FA"/>
    <w:rsid w:val="0D162C00"/>
    <w:rsid w:val="0EBEAE49"/>
    <w:rsid w:val="10083E5B"/>
    <w:rsid w:val="104C8A63"/>
    <w:rsid w:val="1087B227"/>
    <w:rsid w:val="11425DA9"/>
    <w:rsid w:val="12A08883"/>
    <w:rsid w:val="14368DD7"/>
    <w:rsid w:val="15929ADE"/>
    <w:rsid w:val="174CBDA0"/>
    <w:rsid w:val="183F1ED2"/>
    <w:rsid w:val="1896A9C3"/>
    <w:rsid w:val="1AC64E1D"/>
    <w:rsid w:val="1B76BF94"/>
    <w:rsid w:val="1BAAFFF6"/>
    <w:rsid w:val="1F1B32AD"/>
    <w:rsid w:val="20BD06B0"/>
    <w:rsid w:val="231FE9EA"/>
    <w:rsid w:val="237F02E1"/>
    <w:rsid w:val="23CF1A95"/>
    <w:rsid w:val="23F9D9DA"/>
    <w:rsid w:val="24E3A6D4"/>
    <w:rsid w:val="28604EBA"/>
    <w:rsid w:val="2B97EF7C"/>
    <w:rsid w:val="30613586"/>
    <w:rsid w:val="309BF907"/>
    <w:rsid w:val="31BC3486"/>
    <w:rsid w:val="3254B2AA"/>
    <w:rsid w:val="32E0D80D"/>
    <w:rsid w:val="33CD44F2"/>
    <w:rsid w:val="3418C7A6"/>
    <w:rsid w:val="34C6BF24"/>
    <w:rsid w:val="3525A965"/>
    <w:rsid w:val="35D2EA68"/>
    <w:rsid w:val="360DD1D6"/>
    <w:rsid w:val="372568D0"/>
    <w:rsid w:val="39C5F73A"/>
    <w:rsid w:val="3E348A24"/>
    <w:rsid w:val="41562AB2"/>
    <w:rsid w:val="41CDA108"/>
    <w:rsid w:val="42F4067F"/>
    <w:rsid w:val="4562CB8C"/>
    <w:rsid w:val="462F9022"/>
    <w:rsid w:val="47BFEFBE"/>
    <w:rsid w:val="48A0A168"/>
    <w:rsid w:val="4BA637D1"/>
    <w:rsid w:val="4C1F6220"/>
    <w:rsid w:val="4C92B5EC"/>
    <w:rsid w:val="4C9B1B96"/>
    <w:rsid w:val="4EEE6ECF"/>
    <w:rsid w:val="51E0812A"/>
    <w:rsid w:val="53DA847E"/>
    <w:rsid w:val="57DDC782"/>
    <w:rsid w:val="58D8819C"/>
    <w:rsid w:val="5925006F"/>
    <w:rsid w:val="5A4DAD6F"/>
    <w:rsid w:val="5BBD4A97"/>
    <w:rsid w:val="6147A71A"/>
    <w:rsid w:val="61A16F4D"/>
    <w:rsid w:val="653D23A8"/>
    <w:rsid w:val="69C415F8"/>
    <w:rsid w:val="6D5121A9"/>
    <w:rsid w:val="6D57755D"/>
    <w:rsid w:val="6F4E727B"/>
    <w:rsid w:val="6FA83AAE"/>
    <w:rsid w:val="702FB8D0"/>
    <w:rsid w:val="7108953D"/>
    <w:rsid w:val="72EFB581"/>
    <w:rsid w:val="72F684F2"/>
    <w:rsid w:val="743F9E87"/>
    <w:rsid w:val="7776A7D1"/>
    <w:rsid w:val="77F2469F"/>
    <w:rsid w:val="7985041B"/>
    <w:rsid w:val="7C8D497B"/>
    <w:rsid w:val="7FAE1FC0"/>
    <w:rsid w:val="7FF073C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F299A91"/>
  <w15:chartTrackingRefBased/>
  <w15:docId w15:val="{BEB6FFA4-18E2-4E16-A494-0B9B9F464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45B8"/>
    <w:pPr>
      <w:spacing w:after="200" w:line="276" w:lineRule="auto"/>
    </w:pPr>
    <w:rPr>
      <w:rFonts w:ascii="Arial" w:hAnsi="Arial"/>
      <w:sz w:val="24"/>
    </w:rPr>
  </w:style>
  <w:style w:type="paragraph" w:styleId="Heading1">
    <w:name w:val="heading 1"/>
    <w:basedOn w:val="Normal"/>
    <w:next w:val="Normal"/>
    <w:link w:val="Heading1Char"/>
    <w:uiPriority w:val="9"/>
    <w:qFormat/>
    <w:rsid w:val="007A01E7"/>
    <w:pPr>
      <w:spacing w:before="240" w:line="240" w:lineRule="auto"/>
      <w:outlineLvl w:val="0"/>
    </w:pPr>
    <w:rPr>
      <w:rFonts w:eastAsiaTheme="majorEastAsia" w:cstheme="majorBidi"/>
      <w:b/>
      <w:bCs/>
      <w:caps/>
      <w:sz w:val="28"/>
      <w:szCs w:val="28"/>
      <w:lang w:bidi="en-US"/>
    </w:rPr>
  </w:style>
  <w:style w:type="paragraph" w:styleId="Heading2">
    <w:name w:val="heading 2"/>
    <w:basedOn w:val="ListParagraph"/>
    <w:next w:val="Normal"/>
    <w:link w:val="Heading2Char"/>
    <w:unhideWhenUsed/>
    <w:qFormat/>
    <w:rsid w:val="002917DB"/>
    <w:pPr>
      <w:numPr>
        <w:numId w:val="3"/>
      </w:numPr>
      <w:tabs>
        <w:tab w:val="left" w:pos="1080"/>
      </w:tabs>
      <w:spacing w:line="240" w:lineRule="auto"/>
      <w:contextualSpacing w:val="0"/>
      <w:outlineLvl w:val="1"/>
    </w:pPr>
    <w:rPr>
      <w:rFonts w:eastAsiaTheme="majorEastAsia" w:cstheme="majorBidi"/>
      <w:b/>
      <w:bCs/>
      <w:szCs w:val="26"/>
      <w:lang w:bidi="en-US"/>
    </w:rPr>
  </w:style>
  <w:style w:type="paragraph" w:styleId="Heading3">
    <w:name w:val="heading 3"/>
    <w:basedOn w:val="ListParagraph"/>
    <w:next w:val="Normal"/>
    <w:link w:val="Heading3Char"/>
    <w:uiPriority w:val="9"/>
    <w:unhideWhenUsed/>
    <w:qFormat/>
    <w:rsid w:val="007A01E7"/>
    <w:pPr>
      <w:numPr>
        <w:numId w:val="4"/>
      </w:numPr>
      <w:tabs>
        <w:tab w:val="left" w:pos="1710"/>
      </w:tabs>
      <w:autoSpaceDE w:val="0"/>
      <w:autoSpaceDN w:val="0"/>
      <w:adjustRightInd w:val="0"/>
      <w:spacing w:line="240" w:lineRule="auto"/>
      <w:contextualSpacing w:val="0"/>
      <w:outlineLvl w:val="2"/>
    </w:pPr>
    <w:rPr>
      <w:rFonts w:cs="Times New Roman"/>
      <w:b/>
      <w:bCs/>
      <w:szCs w:val="24"/>
    </w:rPr>
  </w:style>
  <w:style w:type="paragraph" w:styleId="Heading4">
    <w:name w:val="heading 4"/>
    <w:basedOn w:val="ListParagraph"/>
    <w:next w:val="Normal"/>
    <w:link w:val="Heading4Char"/>
    <w:uiPriority w:val="9"/>
    <w:unhideWhenUsed/>
    <w:qFormat/>
    <w:rsid w:val="005645B8"/>
    <w:pPr>
      <w:numPr>
        <w:ilvl w:val="3"/>
        <w:numId w:val="1"/>
      </w:numPr>
      <w:tabs>
        <w:tab w:val="left" w:pos="1620"/>
      </w:tabs>
      <w:outlineLvl w:val="3"/>
    </w:pPr>
    <w:rPr>
      <w:rFonts w:cs="Times New Roman"/>
      <w:b/>
      <w:bCs/>
      <w:i/>
      <w:szCs w:val="24"/>
    </w:rPr>
  </w:style>
  <w:style w:type="paragraph" w:styleId="Heading5">
    <w:name w:val="heading 5"/>
    <w:basedOn w:val="Normal"/>
    <w:next w:val="Normal"/>
    <w:link w:val="Heading5Char"/>
    <w:uiPriority w:val="9"/>
    <w:semiHidden/>
    <w:unhideWhenUsed/>
    <w:qFormat/>
    <w:rsid w:val="003D09E2"/>
    <w:pPr>
      <w:keepNext/>
      <w:keepLines/>
      <w:numPr>
        <w:ilvl w:val="4"/>
        <w:numId w:val="2"/>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3D09E2"/>
    <w:pPr>
      <w:keepNext/>
      <w:keepLines/>
      <w:numPr>
        <w:ilvl w:val="5"/>
        <w:numId w:val="2"/>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3D09E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D09E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D09E2"/>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1E7"/>
    <w:rPr>
      <w:rFonts w:ascii="Arial" w:hAnsi="Arial" w:eastAsiaTheme="majorEastAsia" w:cstheme="majorBidi"/>
      <w:b/>
      <w:bCs/>
      <w:caps/>
      <w:sz w:val="28"/>
      <w:szCs w:val="28"/>
      <w:lang w:bidi="en-US"/>
    </w:rPr>
  </w:style>
  <w:style w:type="paragraph" w:styleId="ListParagraph">
    <w:name w:val="List Paragraph"/>
    <w:basedOn w:val="Normal"/>
    <w:uiPriority w:val="34"/>
    <w:qFormat/>
    <w:rsid w:val="005645B8"/>
    <w:pPr>
      <w:ind w:left="720"/>
      <w:contextualSpacing/>
    </w:pPr>
  </w:style>
  <w:style w:type="character" w:customStyle="1" w:styleId="Heading2Char">
    <w:name w:val="Heading 2 Char"/>
    <w:basedOn w:val="DefaultParagraphFont"/>
    <w:link w:val="Heading2"/>
    <w:rsid w:val="002917DB"/>
    <w:rPr>
      <w:rFonts w:ascii="Arial" w:hAnsi="Arial" w:eastAsiaTheme="majorEastAsia" w:cstheme="majorBidi"/>
      <w:b/>
      <w:bCs/>
      <w:sz w:val="24"/>
      <w:szCs w:val="26"/>
      <w:lang w:bidi="en-US"/>
    </w:rPr>
  </w:style>
  <w:style w:type="character" w:customStyle="1" w:styleId="Heading3Char">
    <w:name w:val="Heading 3 Char"/>
    <w:basedOn w:val="DefaultParagraphFont"/>
    <w:link w:val="Heading3"/>
    <w:uiPriority w:val="9"/>
    <w:rsid w:val="007A01E7"/>
    <w:rPr>
      <w:rFonts w:ascii="Arial" w:hAnsi="Arial" w:cs="Times New Roman"/>
      <w:b/>
      <w:bCs/>
      <w:sz w:val="24"/>
      <w:szCs w:val="24"/>
    </w:rPr>
  </w:style>
  <w:style w:type="character" w:customStyle="1" w:styleId="Heading4Char">
    <w:name w:val="Heading 4 Char"/>
    <w:basedOn w:val="DefaultParagraphFont"/>
    <w:link w:val="Heading4"/>
    <w:uiPriority w:val="9"/>
    <w:rsid w:val="005645B8"/>
    <w:rPr>
      <w:rFonts w:ascii="Arial" w:hAnsi="Arial" w:cs="Times New Roman"/>
      <w:b/>
      <w:bCs/>
      <w:i/>
      <w:sz w:val="24"/>
      <w:szCs w:val="24"/>
    </w:rPr>
  </w:style>
  <w:style w:type="character" w:customStyle="1" w:styleId="Heading5Char">
    <w:name w:val="Heading 5 Char"/>
    <w:basedOn w:val="DefaultParagraphFont"/>
    <w:link w:val="Heading5"/>
    <w:uiPriority w:val="9"/>
    <w:semiHidden/>
    <w:rsid w:val="003D09E2"/>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3D09E2"/>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3D09E2"/>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3D09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D09E2"/>
    <w:rPr>
      <w:rFonts w:asciiTheme="majorHAnsi" w:eastAsiaTheme="majorEastAsia" w:hAnsiTheme="majorHAnsi" w:cstheme="majorBidi"/>
      <w:i/>
      <w:iCs/>
      <w:color w:val="404040" w:themeColor="text1" w:themeTint="BF"/>
      <w:sz w:val="20"/>
      <w:szCs w:val="20"/>
    </w:rPr>
  </w:style>
  <w:style w:type="paragraph" w:styleId="NoSpacing">
    <w:name w:val="No Spacing"/>
    <w:uiPriority w:val="1"/>
    <w:qFormat/>
    <w:rsid w:val="005645B8"/>
    <w:pPr>
      <w:spacing w:after="0" w:line="240" w:lineRule="auto"/>
    </w:pPr>
  </w:style>
  <w:style w:type="paragraph" w:styleId="FootnoteText">
    <w:name w:val="footnote text"/>
    <w:basedOn w:val="Normal"/>
    <w:link w:val="FootnoteTextChar"/>
    <w:unhideWhenUsed/>
    <w:rsid w:val="005645B8"/>
    <w:pPr>
      <w:spacing w:after="0" w:line="240" w:lineRule="auto"/>
    </w:pPr>
    <w:rPr>
      <w:sz w:val="20"/>
      <w:szCs w:val="20"/>
    </w:rPr>
  </w:style>
  <w:style w:type="character" w:customStyle="1" w:styleId="FootnoteTextChar">
    <w:name w:val="Footnote Text Char"/>
    <w:basedOn w:val="DefaultParagraphFont"/>
    <w:link w:val="FootnoteText"/>
    <w:rsid w:val="005645B8"/>
    <w:rPr>
      <w:rFonts w:ascii="Arial" w:hAnsi="Arial"/>
      <w:sz w:val="20"/>
      <w:szCs w:val="20"/>
    </w:rPr>
  </w:style>
  <w:style w:type="character" w:styleId="FootnoteReference">
    <w:name w:val="footnote reference"/>
    <w:basedOn w:val="DefaultParagraphFont"/>
    <w:unhideWhenUsed/>
    <w:rsid w:val="005645B8"/>
    <w:rPr>
      <w:vertAlign w:val="superscript"/>
    </w:rPr>
  </w:style>
  <w:style w:type="table" w:styleId="TableGrid">
    <w:name w:val="Table Grid"/>
    <w:basedOn w:val="TableNormal"/>
    <w:rsid w:val="00B26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5E31"/>
    <w:rPr>
      <w:sz w:val="16"/>
      <w:szCs w:val="16"/>
    </w:rPr>
  </w:style>
  <w:style w:type="paragraph" w:styleId="CommentText">
    <w:name w:val="annotation text"/>
    <w:basedOn w:val="Normal"/>
    <w:link w:val="CommentTextChar"/>
    <w:uiPriority w:val="99"/>
    <w:unhideWhenUsed/>
    <w:rsid w:val="000D5E31"/>
    <w:pPr>
      <w:spacing w:line="240" w:lineRule="auto"/>
    </w:pPr>
    <w:rPr>
      <w:sz w:val="20"/>
      <w:szCs w:val="20"/>
    </w:rPr>
  </w:style>
  <w:style w:type="character" w:customStyle="1" w:styleId="CommentTextChar">
    <w:name w:val="Comment Text Char"/>
    <w:basedOn w:val="DefaultParagraphFont"/>
    <w:link w:val="CommentText"/>
    <w:uiPriority w:val="99"/>
    <w:rsid w:val="000D5E3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D5E31"/>
    <w:rPr>
      <w:b/>
      <w:bCs/>
    </w:rPr>
  </w:style>
  <w:style w:type="character" w:customStyle="1" w:styleId="CommentSubjectChar">
    <w:name w:val="Comment Subject Char"/>
    <w:basedOn w:val="CommentTextChar"/>
    <w:link w:val="CommentSubject"/>
    <w:uiPriority w:val="99"/>
    <w:semiHidden/>
    <w:rsid w:val="000D5E31"/>
    <w:rPr>
      <w:rFonts w:ascii="Arial" w:hAnsi="Arial"/>
      <w:b/>
      <w:bCs/>
      <w:sz w:val="20"/>
      <w:szCs w:val="20"/>
    </w:rPr>
  </w:style>
  <w:style w:type="paragraph" w:styleId="BalloonText">
    <w:name w:val="Balloon Text"/>
    <w:basedOn w:val="Normal"/>
    <w:link w:val="BalloonTextChar"/>
    <w:uiPriority w:val="99"/>
    <w:semiHidden/>
    <w:unhideWhenUsed/>
    <w:rsid w:val="000D5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E31"/>
    <w:rPr>
      <w:rFonts w:ascii="Segoe UI" w:hAnsi="Segoe UI" w:cs="Segoe UI"/>
      <w:sz w:val="18"/>
      <w:szCs w:val="18"/>
    </w:rPr>
  </w:style>
  <w:style w:type="character" w:styleId="Hyperlink">
    <w:name w:val="Hyperlink"/>
    <w:basedOn w:val="DefaultParagraphFont"/>
    <w:uiPriority w:val="99"/>
    <w:unhideWhenUsed/>
    <w:rsid w:val="009A7738"/>
    <w:rPr>
      <w:color w:val="0563C1" w:themeColor="hyperlink"/>
      <w:u w:val="single"/>
    </w:rPr>
  </w:style>
  <w:style w:type="character" w:customStyle="1" w:styleId="EndnoteTextChar">
    <w:name w:val="Endnote Text Char"/>
    <w:basedOn w:val="DefaultParagraphFont"/>
    <w:link w:val="EndnoteText"/>
    <w:uiPriority w:val="99"/>
    <w:semiHidden/>
    <w:rsid w:val="003D09E2"/>
    <w:rPr>
      <w:rFonts w:ascii="Arial" w:hAnsi="Arial"/>
      <w:sz w:val="20"/>
      <w:szCs w:val="20"/>
    </w:rPr>
  </w:style>
  <w:style w:type="paragraph" w:styleId="EndnoteText">
    <w:name w:val="endnote text"/>
    <w:basedOn w:val="Normal"/>
    <w:link w:val="EndnoteTextChar"/>
    <w:uiPriority w:val="99"/>
    <w:semiHidden/>
    <w:unhideWhenUsed/>
    <w:rsid w:val="003D09E2"/>
    <w:pPr>
      <w:spacing w:after="0" w:line="240" w:lineRule="auto"/>
    </w:pPr>
    <w:rPr>
      <w:sz w:val="20"/>
      <w:szCs w:val="20"/>
    </w:rPr>
  </w:style>
  <w:style w:type="paragraph" w:styleId="Header">
    <w:name w:val="header"/>
    <w:basedOn w:val="Normal"/>
    <w:link w:val="HeaderChar"/>
    <w:uiPriority w:val="99"/>
    <w:unhideWhenUsed/>
    <w:rsid w:val="003D0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E2"/>
    <w:rPr>
      <w:rFonts w:ascii="Arial" w:hAnsi="Arial"/>
      <w:sz w:val="24"/>
    </w:rPr>
  </w:style>
  <w:style w:type="paragraph" w:styleId="Footer">
    <w:name w:val="footer"/>
    <w:basedOn w:val="Normal"/>
    <w:link w:val="FooterChar"/>
    <w:uiPriority w:val="99"/>
    <w:unhideWhenUsed/>
    <w:rsid w:val="003D0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E2"/>
    <w:rPr>
      <w:rFonts w:ascii="Arial" w:hAnsi="Arial"/>
      <w:sz w:val="24"/>
    </w:rPr>
  </w:style>
  <w:style w:type="paragraph" w:styleId="Caption">
    <w:name w:val="caption"/>
    <w:basedOn w:val="Normal"/>
    <w:next w:val="Normal"/>
    <w:uiPriority w:val="35"/>
    <w:unhideWhenUsed/>
    <w:qFormat/>
    <w:rsid w:val="003D09E2"/>
    <w:pPr>
      <w:spacing w:line="240" w:lineRule="auto"/>
    </w:pPr>
    <w:rPr>
      <w:rFonts w:cs="Arial"/>
      <w:b/>
      <w:bCs/>
      <w:color w:val="000000" w:themeColor="text1"/>
      <w:szCs w:val="18"/>
    </w:rPr>
  </w:style>
  <w:style w:type="paragraph" w:styleId="Revision">
    <w:name w:val="Revision"/>
    <w:hidden/>
    <w:uiPriority w:val="99"/>
    <w:semiHidden/>
    <w:rsid w:val="003D09E2"/>
    <w:pPr>
      <w:spacing w:after="0" w:line="240" w:lineRule="auto"/>
    </w:pPr>
  </w:style>
  <w:style w:type="character" w:customStyle="1" w:styleId="HTMLPreformattedChar">
    <w:name w:val="HTML Preformatted Char"/>
    <w:basedOn w:val="DefaultParagraphFont"/>
    <w:link w:val="HTMLPreformatted"/>
    <w:uiPriority w:val="99"/>
    <w:semiHidden/>
    <w:rsid w:val="003D09E2"/>
    <w:rPr>
      <w:rFonts w:ascii="Consolas" w:hAnsi="Consolas"/>
      <w:sz w:val="20"/>
      <w:szCs w:val="20"/>
    </w:rPr>
  </w:style>
  <w:style w:type="paragraph" w:styleId="HTMLPreformatted">
    <w:name w:val="HTML Preformatted"/>
    <w:basedOn w:val="Normal"/>
    <w:link w:val="HTMLPreformattedChar"/>
    <w:uiPriority w:val="99"/>
    <w:semiHidden/>
    <w:unhideWhenUsed/>
    <w:rsid w:val="003D09E2"/>
    <w:pPr>
      <w:spacing w:after="0" w:line="240" w:lineRule="auto"/>
    </w:pPr>
    <w:rPr>
      <w:rFonts w:ascii="Consolas" w:hAnsi="Consolas"/>
      <w:sz w:val="20"/>
      <w:szCs w:val="20"/>
    </w:rPr>
  </w:style>
  <w:style w:type="paragraph" w:styleId="BodyText">
    <w:name w:val="Body Text"/>
    <w:basedOn w:val="Normal"/>
    <w:link w:val="BodyTextChar"/>
    <w:rsid w:val="003D09E2"/>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3D09E2"/>
    <w:rPr>
      <w:rFonts w:ascii="Arial" w:eastAsia="Times New Roman" w:hAnsi="Arial" w:cs="Times New Roman"/>
      <w:sz w:val="24"/>
      <w:szCs w:val="20"/>
    </w:rPr>
  </w:style>
  <w:style w:type="paragraph" w:styleId="BodyTextFirstIndent">
    <w:name w:val="Body Text First Indent"/>
    <w:basedOn w:val="BodyText"/>
    <w:link w:val="BodyTextFirstIndentChar"/>
    <w:rsid w:val="003D09E2"/>
    <w:pPr>
      <w:ind w:firstLine="210"/>
    </w:pPr>
  </w:style>
  <w:style w:type="character" w:customStyle="1" w:styleId="BodyTextFirstIndentChar">
    <w:name w:val="Body Text First Indent Char"/>
    <w:basedOn w:val="BodyTextChar"/>
    <w:link w:val="BodyTextFirstIndent"/>
    <w:rsid w:val="003D09E2"/>
    <w:rPr>
      <w:rFonts w:ascii="Arial" w:eastAsia="Times New Roman" w:hAnsi="Arial" w:cs="Times New Roman"/>
      <w:sz w:val="24"/>
      <w:szCs w:val="20"/>
    </w:rPr>
  </w:style>
  <w:style w:type="paragraph" w:styleId="Bibliography">
    <w:name w:val="Bibliography"/>
    <w:basedOn w:val="Normal"/>
    <w:next w:val="Normal"/>
    <w:uiPriority w:val="37"/>
    <w:unhideWhenUsed/>
    <w:rsid w:val="003D09E2"/>
    <w:pPr>
      <w:spacing w:after="0" w:line="240" w:lineRule="auto"/>
      <w:ind w:left="720" w:hanging="720"/>
    </w:pPr>
  </w:style>
  <w:style w:type="paragraph" w:styleId="TOCHeading">
    <w:name w:val="TOC Heading"/>
    <w:basedOn w:val="Heading1"/>
    <w:next w:val="Normal"/>
    <w:uiPriority w:val="39"/>
    <w:unhideWhenUsed/>
    <w:qFormat/>
    <w:rsid w:val="003D09E2"/>
    <w:pPr>
      <w:spacing w:after="0" w:line="259" w:lineRule="auto"/>
      <w:outlineLvl w:val="9"/>
    </w:pPr>
    <w:rPr>
      <w:rFonts w:asciiTheme="majorHAnsi" w:hAnsiTheme="majorHAnsi"/>
      <w:b w:val="0"/>
      <w:bCs w:val="0"/>
      <w:color w:val="2E74B5" w:themeColor="accent1" w:themeShade="BF"/>
      <w:sz w:val="32"/>
      <w:szCs w:val="32"/>
      <w:lang w:bidi="ar-SA"/>
    </w:rPr>
  </w:style>
  <w:style w:type="paragraph" w:styleId="TOC1">
    <w:name w:val="toc 1"/>
    <w:basedOn w:val="Normal"/>
    <w:next w:val="Normal"/>
    <w:autoRedefine/>
    <w:uiPriority w:val="39"/>
    <w:unhideWhenUsed/>
    <w:rsid w:val="003D09E2"/>
    <w:pPr>
      <w:spacing w:after="100"/>
    </w:pPr>
  </w:style>
  <w:style w:type="paragraph" w:styleId="TOC2">
    <w:name w:val="toc 2"/>
    <w:basedOn w:val="Normal"/>
    <w:next w:val="Normal"/>
    <w:autoRedefine/>
    <w:uiPriority w:val="39"/>
    <w:unhideWhenUsed/>
    <w:rsid w:val="003D09E2"/>
    <w:pPr>
      <w:spacing w:after="100"/>
      <w:ind w:left="240"/>
    </w:pPr>
  </w:style>
  <w:style w:type="paragraph" w:styleId="TOC3">
    <w:name w:val="toc 3"/>
    <w:basedOn w:val="Normal"/>
    <w:next w:val="Normal"/>
    <w:autoRedefine/>
    <w:uiPriority w:val="39"/>
    <w:unhideWhenUsed/>
    <w:rsid w:val="003D09E2"/>
    <w:pPr>
      <w:spacing w:after="100"/>
      <w:ind w:left="480"/>
    </w:pPr>
  </w:style>
  <w:style w:type="character" w:styleId="UnresolvedMention">
    <w:name w:val="Unresolved Mention"/>
    <w:basedOn w:val="DefaultParagraphFont"/>
    <w:uiPriority w:val="99"/>
    <w:unhideWhenUsed/>
    <w:rsid w:val="00A15DA9"/>
    <w:rPr>
      <w:color w:val="605E5C"/>
      <w:shd w:val="clear" w:color="auto" w:fill="E1DFDD"/>
    </w:rPr>
  </w:style>
  <w:style w:type="character" w:styleId="Mention">
    <w:name w:val="Mention"/>
    <w:basedOn w:val="DefaultParagraphFont"/>
    <w:uiPriority w:val="99"/>
    <w:unhideWhenUsed/>
    <w:rsid w:val="00A15DA9"/>
    <w:rPr>
      <w:color w:val="2B579A"/>
      <w:shd w:val="clear" w:color="auto" w:fill="E1DFDD"/>
    </w:rPr>
  </w:style>
  <w:style w:type="paragraph" w:styleId="Title">
    <w:name w:val="Title"/>
    <w:basedOn w:val="Normal"/>
    <w:next w:val="Normal"/>
    <w:link w:val="TitleChar"/>
    <w:uiPriority w:val="10"/>
    <w:qFormat/>
    <w:rsid w:val="002059F4"/>
    <w:pPr>
      <w:spacing w:after="0" w:line="240" w:lineRule="auto"/>
      <w:jc w:val="center"/>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2059F4"/>
    <w:rPr>
      <w:rFonts w:ascii="Arial" w:hAnsi="Arial" w:eastAsiaTheme="majorEastAsia" w:cstheme="majorBidi"/>
      <w:b/>
      <w:spacing w:val="-10"/>
      <w:kern w:val="28"/>
      <w:sz w:val="28"/>
      <w:szCs w:val="56"/>
    </w:rPr>
  </w:style>
  <w:style w:type="paragraph" w:styleId="ListBullet">
    <w:name w:val="List Bullet"/>
    <w:basedOn w:val="Normal"/>
    <w:next w:val="Normal"/>
    <w:rsid w:val="007C207E"/>
    <w:pPr>
      <w:numPr>
        <w:numId w:val="7"/>
      </w:numPr>
      <w:spacing w:after="0" w:line="240" w:lineRule="auto"/>
    </w:pPr>
    <w:rPr>
      <w:rFonts w:ascii="Times New Roman" w:eastAsia="Times New Roman" w:hAnsi="Times New Roman" w:cs="Times New Roman"/>
      <w:szCs w:val="20"/>
    </w:rPr>
  </w:style>
  <w:style w:type="paragraph" w:customStyle="1" w:styleId="a">
    <w:name w:val="آ"/>
    <w:basedOn w:val="Normal"/>
    <w:rsid w:val="00787B1C"/>
    <w:pPr>
      <w:widowControl w:val="0"/>
      <w:spacing w:after="0" w:line="240" w:lineRule="auto"/>
    </w:pPr>
    <w:rPr>
      <w:rFonts w:ascii="Times New Roman" w:eastAsia="Times New Roman" w:hAnsi="Times New Roman" w:cs="Times New Roman"/>
      <w:szCs w:val="20"/>
    </w:rPr>
  </w:style>
  <w:style w:type="numbering" w:customStyle="1" w:styleId="ListNumber1">
    <w:name w:val="List Number_1"/>
    <w:uiPriority w:val="99"/>
    <w:rsid w:val="00CD611B"/>
    <w:pPr>
      <w:numPr>
        <w:numId w:val="17"/>
      </w:numPr>
    </w:pPr>
  </w:style>
  <w:style w:type="character" w:styleId="FollowedHyperlink">
    <w:name w:val="FollowedHyperlink"/>
    <w:basedOn w:val="DefaultParagraphFont"/>
    <w:uiPriority w:val="99"/>
    <w:semiHidden/>
    <w:unhideWhenUsed/>
    <w:rsid w:val="003E530A"/>
    <w:rPr>
      <w:color w:val="954F72" w:themeColor="followedHyperlink"/>
      <w:u w:val="single"/>
    </w:rPr>
  </w:style>
  <w:style w:type="character" w:customStyle="1" w:styleId="normaltextrun">
    <w:name w:val="normaltextrun"/>
    <w:basedOn w:val="DefaultParagraphFont"/>
    <w:rsid w:val="00B3269F"/>
  </w:style>
  <w:style w:type="character" w:styleId="Emphasis">
    <w:name w:val="Emphasis"/>
    <w:basedOn w:val="DefaultParagraphFont"/>
    <w:uiPriority w:val="20"/>
    <w:qFormat/>
    <w:rsid w:val="00B326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gi-bin/text-idx?SID=72e46806befb5032729dc4d209702813&amp;mc=true&amp;node=pt40.33.711&amp;rgn=div5" TargetMode="External" /><Relationship Id="rId11" Type="http://schemas.openxmlformats.org/officeDocument/2006/relationships/hyperlink" Target="https://www.epa.gov/assessing-and-managing-chemicals-under-tsca/tsca-work-plan-methods-document" TargetMode="External" /><Relationship Id="rId12" Type="http://schemas.openxmlformats.org/officeDocument/2006/relationships/hyperlink" Target="https://cbiaccess.epa.gov/Citrix/CBIWeb/https:/www.epa.gov/assessing-and-managing-chemicals-under-tsca/risk-evaluations-existing-chemicals-under-tsca" TargetMode="External" /><Relationship Id="rId13" Type="http://schemas.openxmlformats.org/officeDocument/2006/relationships/hyperlink" Target="https://www.gpo.gov/fdsys/pkg/FR-2014-10-10/html/2014-24009.htm" TargetMode="External" /><Relationship Id="rId14" Type="http://schemas.openxmlformats.org/officeDocument/2006/relationships/hyperlink" Target="https://www.epa.gov/chemical-data-reporting/instructions-reporting-2020-tsca-chemical-data-reporting" TargetMode="External" /><Relationship Id="rId15" Type="http://schemas.openxmlformats.org/officeDocument/2006/relationships/hyperlink" Target="https://www.epa.gov/chemical-data-reporting/sample-form-u-2020-chemical-data-reporting-submissions" TargetMode="External" /><Relationship Id="rId16" Type="http://schemas.openxmlformats.org/officeDocument/2006/relationships/hyperlink" Target="https://www.epa.gov/chemical-data-reporting/summary-reporting-requirement-changes-due-cdr-revisions-and-small" TargetMode="External" /><Relationship Id="rId17" Type="http://schemas.openxmlformats.org/officeDocument/2006/relationships/hyperlink" Target="https://www.epa.gov/chemical-data-reporting/case-studies-2020-chemical-data-reporting" TargetMode="External" /><Relationship Id="rId18" Type="http://schemas.openxmlformats.org/officeDocument/2006/relationships/hyperlink" Target="https://www.epa.gov/chemical-data-reporting/chemical-data-reporting-byproducts-impurities-and-recycling-scenarios" TargetMode="External" /><Relationship Id="rId19" Type="http://schemas.openxmlformats.org/officeDocument/2006/relationships/hyperlink" Target="https://www.epa.gov/chemical-data-reporting/2020-chemical-data-reporting-frequent-questions" TargetMode="External" /><Relationship Id="rId2" Type="http://schemas.openxmlformats.org/officeDocument/2006/relationships/settings" Target="settings.xml" /><Relationship Id="rId20" Type="http://schemas.openxmlformats.org/officeDocument/2006/relationships/hyperlink" Target="https://www.epa.gov/chemical-data-reporting/tsca-chemical-data-reporting-fact-sheet-reporting-thresholds-2020" TargetMode="External" /><Relationship Id="rId21" Type="http://schemas.openxmlformats.org/officeDocument/2006/relationships/hyperlink" Target="https://www.epa.gov/chemical-data-reporting/2020-tsca-chemical-data-reporting-fact-sheet-chemical-substances-are-subject" TargetMode="External" /><Relationship Id="rId22" Type="http://schemas.openxmlformats.org/officeDocument/2006/relationships/hyperlink" Target="https://www.epa.gov/chemical-data-reporting/help-chemical-data-reporting-how-search-chemicals-subject-certain-tsca" TargetMode="External" /><Relationship Id="rId23" Type="http://schemas.openxmlformats.org/officeDocument/2006/relationships/hyperlink" Target="https://www.epa.gov/chemical-data-reporting/fact-sheet-reporting-after-changes-company-ownership-or-legal-identity-2020" TargetMode="External" /><Relationship Id="rId24" Type="http://schemas.openxmlformats.org/officeDocument/2006/relationships/hyperlink" Target="https://www.epa.gov/chemical-data-reporting/tsca-chemical-data-reporting-fact-sheet-importers-2020" TargetMode="External" /><Relationship Id="rId25" Type="http://schemas.openxmlformats.org/officeDocument/2006/relationships/hyperlink" Target="https://www.epa.gov/chemical-data-reporting/tsca-chemical-data-reporting-fact-sheet-imported-articles-2020" TargetMode="External" /><Relationship Id="rId26" Type="http://schemas.openxmlformats.org/officeDocument/2006/relationships/hyperlink" Target="https://www.epa.gov/chemical-data-reporting/2020-tsca-chemical-data-reporting-fact-sheet-co-manufactured-chemicals" TargetMode="External" /><Relationship Id="rId27" Type="http://schemas.openxmlformats.org/officeDocument/2006/relationships/hyperlink" Target="https://www.epa.gov/chemical-data-reporting/tsca-chemical-data-reporting-fact-sheet-non-isolated-intermediates" TargetMode="External" /><Relationship Id="rId28" Type="http://schemas.openxmlformats.org/officeDocument/2006/relationships/hyperlink" Target="https://www.epa.gov/chemical-data-reporting/tsca-chemical-data-reporting-fact-sheet-kraft-pulp-and-paper-process" TargetMode="External" /><Relationship Id="rId29" Type="http://schemas.openxmlformats.org/officeDocument/2006/relationships/hyperlink" Target="https://www.epa.gov/chemical-data-reporting/tsca-chemical-data-reporting-fact-sheet-byproducts-reporting-printed-circuit" TargetMode="External" /><Relationship Id="rId3" Type="http://schemas.openxmlformats.org/officeDocument/2006/relationships/webSettings" Target="webSettings.xml" /><Relationship Id="rId30" Type="http://schemas.openxmlformats.org/officeDocument/2006/relationships/hyperlink" Target="https://www.epa.gov/chemical-data-reporting/tsca-chemical-data-reporting-fact-sheet-reporting-electricity-generating" TargetMode="External" /><Relationship Id="rId31" Type="http://schemas.openxmlformats.org/officeDocument/2006/relationships/hyperlink" Target="https://www.epa.gov/chemical-data-reporting/tsca-chemical-data-reporting-fact-sheet-reporting-manufactured-chemical" TargetMode="External" /><Relationship Id="rId32" Type="http://schemas.openxmlformats.org/officeDocument/2006/relationships/hyperlink" Target="https://www.epa.gov/chemical-data-reporting/tsca-chemical-data-reporting-preparing-and-submitting-petition" TargetMode="External" /><Relationship Id="rId33" Type="http://schemas.openxmlformats.org/officeDocument/2006/relationships/hyperlink" Target="https://gcc02.safelinks.protection.outlook.com/?url=https%3A%2F%2Fwww.reginfo.gov%2Fpublic%2Fdo%2FPRAViewICR%3Fref_nbr%3D201904-2070-006&amp;data=04%7C01%7CSharkey.Susan%40epa.gov%7C34ceace3e8c54b76658e08d967f52377%7C88b378b367484867acf976aacbeca6a7%7C0%7C0%7C637655124817337202%7CUnknown%7CTWFpbGZsb3d8eyJWIjoiMC4wLjAwMDAiLCJQIjoiV2luMzIiLCJBTiI6Ik1haWwiLCJXVCI6Mn0%3D%7C1000&amp;sdata=gQn6EFx1QrsT2ZQuILJw91NMP7qwUd5iqypi2v0i3Og%3D&amp;reserved=0" TargetMode="External" /><Relationship Id="rId34" Type="http://schemas.openxmlformats.org/officeDocument/2006/relationships/hyperlink" Target="https://gcc02.safelinks.protection.outlook.com/?url=https%3A%2F%2Fwww.reginfo.gov%2Fpublic%2Fdo%2FPRAViewICR%3Fref_nbr%3D202003-2070-006&amp;data=04%7C01%7CSharkey.Susan%40epa.gov%7C34ceace3e8c54b76658e08d967f52377%7C88b378b367484867acf976aacbeca6a7%7C0%7C0%7C637655124817347158%7CUnknown%7CTWFpbGZsb3d8eyJWIjoiMC4wLjAwMDAiLCJQIjoiV2luMzIiLCJBTiI6Ik1haWwiLCJXVCI6Mn0%3D%7C1000&amp;sdata=sXTYmKOn2RnjgXKYMUkuqRya%2Bc0d36tDEQ%2FFvR7RjNg%3D&amp;reserved=0" TargetMode="External" /><Relationship Id="rId35" Type="http://schemas.openxmlformats.org/officeDocument/2006/relationships/hyperlink" Target="https://gcc01.safelinks.protection.outlook.com/?url=http%3A%2F%2Fwww.regulations.gov%2F&amp;data=02%7C01%7CJohnson.Amaris%40epa.gov%7C65c78ba73b1c4704fa3b08d83d5ce864%7C88b378b367484867acf976aacbeca6a7%7C0%7C0%7C637326816523141399&amp;sdata=WOWgcU%2By8oJt6418QKqXD04axE1uaiohF6TecHDjyrE%3D&amp;reserved=0" TargetMode="External" /><Relationship Id="rId36" Type="http://schemas.openxmlformats.org/officeDocument/2006/relationships/hyperlink" Target="http://www.reginfo.gov/public/do/PRAMain" TargetMode="External" /><Relationship Id="rId37" Type="http://schemas.openxmlformats.org/officeDocument/2006/relationships/hyperlink" Target="https://www.regulations.gov/document/EPA-HQ-OPPT-2018-0321-0118" TargetMode="External" /><Relationship Id="rId38" Type="http://schemas.openxmlformats.org/officeDocument/2006/relationships/hyperlink" Target="https://www.regulations.gov/document/EPA-HQ-OPPT-2018-0321-0141" TargetMode="External" /><Relationship Id="rId39" Type="http://schemas.openxmlformats.org/officeDocument/2006/relationships/hyperlink" Target="https://www.epa.gov/assessing-and-managing-chemicals-under-tsca/introduction-chemview" TargetMode="External" /><Relationship Id="rId4" Type="http://schemas.openxmlformats.org/officeDocument/2006/relationships/fontTable" Target="fontTable.xml" /><Relationship Id="rId40" Type="http://schemas.openxmlformats.org/officeDocument/2006/relationships/hyperlink" Target="http://www.regulations.gov" TargetMode="External" /><Relationship Id="rId41" Type="http://schemas.openxmlformats.org/officeDocument/2006/relationships/hyperlink" Target="http://uscode.house.gov/view.xhtml?path=/prelim@title15/chapter53&amp;edition=prelim" TargetMode="External" /><Relationship Id="rId42" Type="http://schemas.openxmlformats.org/officeDocument/2006/relationships/hyperlink" Target="https://www.ecfr.gov/cgi-bin/text-idx?SID=d0ff709a0e84960feea05bedf81e4370&amp;node=pt40.31.711&amp;rgn=div5" TargetMode="External" /><Relationship Id="rId43" Type="http://schemas.openxmlformats.org/officeDocument/2006/relationships/hyperlink" Target="https://www.epa.gov/chemical-data-reporting/cspp-cdx-registration-guide" TargetMode="External" /><Relationship Id="rId44" Type="http://schemas.openxmlformats.org/officeDocument/2006/relationships/footer" Target="footer1.xml" /><Relationship Id="rId45" Type="http://schemas.openxmlformats.org/officeDocument/2006/relationships/header" Target="header1.xml" /><Relationship Id="rId46" Type="http://schemas.openxmlformats.org/officeDocument/2006/relationships/footer" Target="footer2.xml" /><Relationship Id="rId47" Type="http://schemas.openxmlformats.org/officeDocument/2006/relationships/theme" Target="theme/theme1.xml" /><Relationship Id="rId48" Type="http://schemas.openxmlformats.org/officeDocument/2006/relationships/numbering" Target="numbering.xml" /><Relationship Id="rId49" Type="http://schemas.openxmlformats.org/officeDocument/2006/relationships/styles" Target="styles.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CategoryDescription xmlns="http://schemas.microsoft.com/sharepoint.v3" xsi:nil="true"/>
    <_ip_UnifiedCompliancePolicyUIAction xmlns="http://schemas.microsoft.com/sharepoint/v3" xsi:nil="true"/>
    <_ip_UnifiedCompliancePolicyProperties xmlns="http://schemas.microsoft.com/sharepoint/v3" xsi:nil="true"/>
    <SharedWithUsers xmlns="a5d1ca4e-0a3f-4119-b619-e20b93ebd1aa">
      <UserInfo>
        <DisplayName>Anapolle, Kent</DisplayName>
        <AccountId>17</AccountId>
        <AccountType/>
      </UserInfo>
      <UserInfo>
        <DisplayName>Griffin, Stephanie</DisplayName>
        <AccountId>25</AccountId>
        <AccountType/>
      </UserInfo>
      <UserInfo>
        <DisplayName>Turk, David</DisplayName>
        <AccountId>21</AccountId>
        <AccountType/>
      </UserInfo>
      <UserInfo>
        <DisplayName>Comnes, Meredith</DisplayName>
        <AccountId>36</AccountId>
        <AccountType/>
      </UserInfo>
      <UserInfo>
        <DisplayName>Widawsky, David</DisplayName>
        <AccountId>27</AccountId>
        <AccountType/>
      </UserInfo>
      <UserInfo>
        <DisplayName>Reisman, Larry</DisplayName>
        <AccountId>26</AccountId>
        <AccountType/>
      </UserInfo>
      <UserInfo>
        <DisplayName>Tierney, Meghan</DisplayName>
        <AccountId>62</AccountId>
        <AccountType/>
      </UserInfo>
      <UserInfo>
        <DisplayName>Kragie, Sheila Xiah</DisplayName>
        <AccountId>76</AccountId>
        <AccountType/>
      </UserInfo>
      <UserInfo>
        <DisplayName>Pierce, Alison</DisplayName>
        <AccountId>64</AccountId>
        <AccountType/>
      </UserInfo>
      <UserInfo>
        <DisplayName>Lee, Virginia</DisplayName>
        <AccountId>51</AccountId>
        <AccountType/>
      </UserInfo>
      <UserInfo>
        <DisplayName>Henry, Tala</DisplayName>
        <AccountId>65</AccountId>
        <AccountType/>
      </UserInfo>
    </SharedWithUsers>
    <FRN_x0020_List_x0020_Item_x0020_ID xmlns="118f882f-1e32-4cf2-ad69-9de43d57f4c6">3742</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3" ma:contentTypeDescription="Create a new document." ma:contentTypeScope="" ma:versionID="5a73bf4dba65c9c3ee53b6b939e0c1bd">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22416af3408451da99adca02857ff5c6"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FF444B56-BA86-4284-B1F7-B5381B365F4F}">
  <ds:schemaRefs>
    <ds:schemaRef ds:uri="http://schemas.microsoft.com/office/2006/metadata/properties"/>
    <ds:schemaRef ds:uri="http://schemas.microsoft.com/sharepoint/v3"/>
    <ds:schemaRef ds:uri="a5d1ca4e-0a3f-4119-b619-e20b93ebd1aa"/>
    <ds:schemaRef ds:uri="http://schemas.microsoft.com/office/2006/documentManagement/types"/>
    <ds:schemaRef ds:uri="http://purl.org/dc/elements/1.1/"/>
    <ds:schemaRef ds:uri="http://www.w3.org/XML/1998/namespace"/>
    <ds:schemaRef ds:uri="http://purl.org/dc/terms/"/>
    <ds:schemaRef ds:uri="http://schemas.openxmlformats.org/package/2006/metadata/core-properties"/>
    <ds:schemaRef ds:uri="http://schemas.microsoft.com/office/infopath/2007/PartnerControls"/>
    <ds:schemaRef ds:uri="118f882f-1e32-4cf2-ad69-9de43d57f4c6"/>
    <ds:schemaRef ds:uri="4ffa91fb-a0ff-4ac5-b2db-65c790d184a4"/>
    <ds:schemaRef ds:uri="http://schemas.microsoft.com/sharepoint.v3"/>
    <ds:schemaRef ds:uri="http://purl.org/dc/dcmitype/"/>
  </ds:schemaRefs>
</ds:datastoreItem>
</file>

<file path=customXml/itemProps2.xml><?xml version="1.0" encoding="utf-8"?>
<ds:datastoreItem xmlns:ds="http://schemas.openxmlformats.org/officeDocument/2006/customXml" ds:itemID="{44905671-8A76-45C7-AE59-E120B505B13E}">
  <ds:schemaRefs>
    <ds:schemaRef ds:uri="http://schemas.microsoft.com/sharepoint/v3/contenttype/forms"/>
  </ds:schemaRefs>
</ds:datastoreItem>
</file>

<file path=customXml/itemProps3.xml><?xml version="1.0" encoding="utf-8"?>
<ds:datastoreItem xmlns:ds="http://schemas.openxmlformats.org/officeDocument/2006/customXml" ds:itemID="{7753EBB0-9D2B-4D23-B8CE-FCBAC4AF1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751510-EADE-4376-B0D8-2565CE692034}">
  <ds:schemaRefs>
    <ds:schemaRef ds:uri="http://schemas.openxmlformats.org/officeDocument/2006/bibliography"/>
  </ds:schemaRefs>
</ds:datastoreItem>
</file>

<file path=customXml/itemProps5.xml><?xml version="1.0" encoding="utf-8"?>
<ds:datastoreItem xmlns:ds="http://schemas.openxmlformats.org/officeDocument/2006/customXml" ds:itemID="{0A8375B5-05CB-4846-8DE0-6783098B2E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9572</Words>
  <Characters>54563</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
    </vt:vector>
  </TitlesOfParts>
  <Company>White House Communications Agency</Company>
  <LinksUpToDate>false</LinksUpToDate>
  <CharactersWithSpaces>64007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OMB Comments;siu.carolyn@epa.gov</dc:creator>
  <cp:lastModifiedBy>Johnson, Amaris</cp:lastModifiedBy>
  <cp:revision>2</cp:revision>
  <dcterms:created xsi:type="dcterms:W3CDTF">2023-06-27T19:46:00Z</dcterms:created>
  <dcterms:modified xsi:type="dcterms:W3CDTF">2023-06-27T19:46:00Z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76ba6546f7117cb598babc3f14db37bd4791a8a166d43e522ca2a9bcf9ef10f7</vt:lpwstr>
  </property>
  <property fmtid="{D5CDD505-2E9C-101B-9397-08002B2CF9AE}" pid="7" name="TaxKeyword">
    <vt:lpwstr/>
  </property>
</Properties>
</file>