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0A0F" w:rsidRPr="00360471" w:rsidP="007D63C5" w14:paraId="3D9600FF" w14:textId="77777777">
      <w:pPr>
        <w:spacing w:after="0" w:line="240" w:lineRule="auto"/>
        <w:jc w:val="center"/>
        <w:rPr>
          <w:rFonts w:ascii="Times New Roman" w:hAnsi="Times New Roman" w:cs="Times New Roman"/>
          <w:b/>
        </w:rPr>
      </w:pPr>
      <w:r w:rsidRPr="00360471">
        <w:rPr>
          <w:rFonts w:ascii="Times New Roman" w:hAnsi="Times New Roman" w:cs="Times New Roman"/>
          <w:b/>
        </w:rPr>
        <w:t>NON-SUBSTANTIVE CHANGE REQUEST JUSTIFICATION</w:t>
      </w:r>
    </w:p>
    <w:p w:rsidR="00DD785E" w:rsidRPr="00360471" w:rsidP="00DD785E" w14:paraId="10741514" w14:textId="1CA9C1C4">
      <w:pPr>
        <w:spacing w:after="0" w:line="240" w:lineRule="auto"/>
        <w:jc w:val="center"/>
        <w:rPr>
          <w:rFonts w:ascii="Times New Roman" w:hAnsi="Times New Roman" w:cs="Times New Roman"/>
          <w:b/>
        </w:rPr>
      </w:pPr>
      <w:r w:rsidRPr="00FD79CE">
        <w:rPr>
          <w:rFonts w:ascii="Times New Roman" w:hAnsi="Times New Roman" w:cs="Times New Roman"/>
          <w:b/>
        </w:rPr>
        <w:t xml:space="preserve">OMB Control No. </w:t>
      </w:r>
      <w:bookmarkStart w:id="0" w:name="_Hlk98856200"/>
      <w:r w:rsidR="00F253A4">
        <w:rPr>
          <w:rFonts w:ascii="Times New Roman" w:hAnsi="Times New Roman" w:cs="Times New Roman"/>
          <w:b/>
        </w:rPr>
        <w:t>3060-0798</w:t>
      </w:r>
      <w:bookmarkEnd w:id="0"/>
      <w:r>
        <w:rPr>
          <w:rFonts w:ascii="Times New Roman" w:hAnsi="Times New Roman" w:cs="Times New Roman"/>
          <w:b/>
        </w:rPr>
        <w:t xml:space="preserve"> </w:t>
      </w:r>
    </w:p>
    <w:p w:rsidR="002F20F5" w:rsidRPr="00360471" w:rsidP="000E2109" w14:paraId="280E9E4C" w14:textId="377B347A">
      <w:pPr>
        <w:autoSpaceDE w:val="0"/>
        <w:autoSpaceDN w:val="0"/>
        <w:adjustRightInd w:val="0"/>
        <w:spacing w:after="0" w:line="240" w:lineRule="auto"/>
        <w:jc w:val="center"/>
        <w:rPr>
          <w:rFonts w:ascii="Times New Roman" w:hAnsi="Times New Roman" w:cs="Times New Roman"/>
          <w:bCs/>
        </w:rPr>
      </w:pPr>
      <w:r w:rsidRPr="00A54DA7">
        <w:rPr>
          <w:rFonts w:ascii="Times New Roman" w:hAnsi="Times New Roman"/>
          <w:spacing w:val="-3"/>
        </w:rPr>
        <w:t>FCC Forms 601</w:t>
      </w:r>
      <w:r w:rsidR="00DC7083">
        <w:rPr>
          <w:rFonts w:ascii="Times New Roman" w:hAnsi="Times New Roman"/>
          <w:spacing w:val="-3"/>
        </w:rPr>
        <w:t xml:space="preserve"> </w:t>
      </w:r>
    </w:p>
    <w:p w:rsidR="0095598D" w:rsidRPr="00360471" w:rsidP="007D63C5" w14:paraId="53DB9DD4" w14:textId="77777777">
      <w:pPr>
        <w:spacing w:after="0" w:line="240" w:lineRule="auto"/>
        <w:jc w:val="center"/>
        <w:rPr>
          <w:rFonts w:ascii="Times New Roman" w:hAnsi="Times New Roman" w:cs="Times New Roman"/>
        </w:rPr>
      </w:pPr>
    </w:p>
    <w:p w:rsidR="00BC0E51" w:rsidP="000A759D" w14:paraId="72C7028D" w14:textId="0CECAA7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r w:rsidRPr="00360471">
        <w:rPr>
          <w:rFonts w:ascii="Times New Roman" w:eastAsia="Times New Roman" w:hAnsi="Times New Roman" w:cs="Times New Roman"/>
        </w:rPr>
        <w:tab/>
      </w:r>
      <w:bookmarkStart w:id="1" w:name="_Hlk529184930"/>
      <w:r w:rsidRPr="00360471">
        <w:rPr>
          <w:rFonts w:ascii="Times New Roman" w:eastAsia="Times New Roman" w:hAnsi="Times New Roman" w:cs="Times New Roman"/>
        </w:rPr>
        <w:t xml:space="preserve">The </w:t>
      </w:r>
      <w:r w:rsidR="000A759D">
        <w:rPr>
          <w:rFonts w:ascii="Times New Roman" w:hAnsi="Times New Roman" w:cs="Times New Roman"/>
        </w:rPr>
        <w:t xml:space="preserve">Wireless Telecommunication </w:t>
      </w:r>
      <w:r w:rsidRPr="000A759D" w:rsidR="000A759D">
        <w:rPr>
          <w:rFonts w:ascii="Times New Roman" w:hAnsi="Times New Roman" w:cs="Times New Roman"/>
        </w:rPr>
        <w:t>Bureau</w:t>
      </w:r>
      <w:r w:rsidR="000A759D">
        <w:rPr>
          <w:rFonts w:ascii="Times New Roman" w:hAnsi="Times New Roman" w:cs="Times New Roman"/>
        </w:rPr>
        <w:t xml:space="preserve"> (WTB)</w:t>
      </w:r>
      <w:r w:rsidRPr="00360471">
        <w:rPr>
          <w:rFonts w:ascii="Times New Roman" w:eastAsia="Times New Roman" w:hAnsi="Times New Roman" w:cs="Times New Roman"/>
        </w:rPr>
        <w:t xml:space="preserve"> is submitting this non-substantive change request to the Office of Management </w:t>
      </w:r>
      <w:r w:rsidRPr="00360471" w:rsidR="00E72F52">
        <w:rPr>
          <w:rFonts w:ascii="Times New Roman" w:eastAsia="Times New Roman" w:hAnsi="Times New Roman" w:cs="Times New Roman"/>
        </w:rPr>
        <w:t xml:space="preserve">and Budget </w:t>
      </w:r>
      <w:r w:rsidRPr="00360471">
        <w:rPr>
          <w:rFonts w:ascii="Times New Roman" w:eastAsia="Times New Roman" w:hAnsi="Times New Roman" w:cs="Times New Roman"/>
        </w:rPr>
        <w:t xml:space="preserve">(OMB) for approval of minor non-substantive </w:t>
      </w:r>
      <w:r w:rsidR="008174ED">
        <w:rPr>
          <w:rFonts w:ascii="Times New Roman" w:eastAsia="Times New Roman" w:hAnsi="Times New Roman" w:cs="Times New Roman"/>
        </w:rPr>
        <w:t xml:space="preserve">corrections to </w:t>
      </w:r>
      <w:r w:rsidR="00DC7083">
        <w:rPr>
          <w:rFonts w:ascii="Times New Roman" w:eastAsia="Times New Roman" w:hAnsi="Times New Roman" w:cs="Times New Roman"/>
        </w:rPr>
        <w:t xml:space="preserve">the instructions for </w:t>
      </w:r>
      <w:r w:rsidR="0050607A">
        <w:rPr>
          <w:rFonts w:ascii="Times New Roman" w:eastAsia="Times New Roman" w:hAnsi="Times New Roman" w:cs="Times New Roman"/>
        </w:rPr>
        <w:t>FCC Form</w:t>
      </w:r>
      <w:r>
        <w:rPr>
          <w:rFonts w:ascii="Times New Roman" w:eastAsia="Times New Roman" w:hAnsi="Times New Roman" w:cs="Times New Roman"/>
        </w:rPr>
        <w:t>s</w:t>
      </w:r>
      <w:r w:rsidR="0050607A">
        <w:rPr>
          <w:rFonts w:ascii="Times New Roman" w:eastAsia="Times New Roman" w:hAnsi="Times New Roman" w:cs="Times New Roman"/>
        </w:rPr>
        <w:t xml:space="preserve"> 601 and</w:t>
      </w:r>
      <w:r w:rsidR="001E1C0D">
        <w:rPr>
          <w:rFonts w:ascii="Times New Roman" w:eastAsia="Times New Roman" w:hAnsi="Times New Roman" w:cs="Times New Roman"/>
        </w:rPr>
        <w:t xml:space="preserve"> question 3(a) on the form</w:t>
      </w:r>
      <w:r w:rsidR="0050607A">
        <w:rPr>
          <w:rFonts w:ascii="Times New Roman" w:eastAsia="Times New Roman" w:hAnsi="Times New Roman" w:cs="Times New Roman"/>
        </w:rPr>
        <w:t>.</w:t>
      </w:r>
      <w:r w:rsidRPr="00360471" w:rsidR="00F01496">
        <w:rPr>
          <w:rFonts w:ascii="Times New Roman" w:eastAsia="Times New Roman" w:hAnsi="Times New Roman" w:cs="Times New Roman"/>
        </w:rPr>
        <w:t xml:space="preserve"> </w:t>
      </w:r>
    </w:p>
    <w:p w:rsidR="00BC0E51" w:rsidP="000A759D" w14:paraId="0FD05A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p>
    <w:p w:rsidR="000A759D" w:rsidP="000A759D" w14:paraId="522408AB" w14:textId="3DED930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50607A">
        <w:rPr>
          <w:rFonts w:ascii="Times New Roman" w:eastAsia="Times New Roman" w:hAnsi="Times New Roman" w:cs="Times New Roman"/>
        </w:rPr>
        <w:t xml:space="preserve">The </w:t>
      </w:r>
      <w:r w:rsidRPr="00360471" w:rsidR="00B86B21">
        <w:rPr>
          <w:rFonts w:ascii="Times New Roman" w:eastAsia="Times New Roman" w:hAnsi="Times New Roman" w:cs="Times New Roman"/>
        </w:rPr>
        <w:t xml:space="preserve">FCC </w:t>
      </w:r>
      <w:r w:rsidRPr="00360471" w:rsidR="00807458">
        <w:rPr>
          <w:rFonts w:ascii="Times New Roman" w:eastAsia="Times New Roman" w:hAnsi="Times New Roman" w:cs="Times New Roman"/>
        </w:rPr>
        <w:t xml:space="preserve">Form </w:t>
      </w:r>
      <w:r w:rsidRPr="000A759D">
        <w:rPr>
          <w:rFonts w:ascii="Times New Roman" w:eastAsia="Times New Roman" w:hAnsi="Times New Roman" w:cs="Times New Roman"/>
        </w:rPr>
        <w:t>601</w:t>
      </w:r>
      <w:r w:rsidRPr="00A54DA7" w:rsidR="00A54DA7">
        <w:t xml:space="preserve"> </w:t>
      </w:r>
      <w:r w:rsidRPr="00A54DA7" w:rsidR="00A54DA7">
        <w:rPr>
          <w:rFonts w:ascii="Times New Roman" w:eastAsia="Times New Roman" w:hAnsi="Times New Roman" w:cs="Times New Roman"/>
        </w:rPr>
        <w:t xml:space="preserve">is a consolidated, multi-part application form that is used for market-based and site-based licensing for wireless telecommunications services, including public safety, which are filed through the Commission’s Universal Licensing System (ULS).  </w:t>
      </w:r>
      <w:r w:rsidR="0050607A">
        <w:rPr>
          <w:rFonts w:ascii="Times New Roman" w:eastAsia="Times New Roman" w:hAnsi="Times New Roman" w:cs="Times New Roman"/>
        </w:rPr>
        <w:t xml:space="preserve"> </w:t>
      </w:r>
      <w:r w:rsidR="00D92F48">
        <w:rPr>
          <w:rFonts w:ascii="Times New Roman" w:eastAsia="Times New Roman" w:hAnsi="Times New Roman" w:cs="Times New Roman"/>
        </w:rPr>
        <w:t>In December of 2020 the Commission inadvertently removed instructions for requesting a Demonstration License f</w:t>
      </w:r>
      <w:r w:rsidR="00EF6D88">
        <w:rPr>
          <w:rFonts w:ascii="Times New Roman" w:eastAsia="Times New Roman" w:hAnsi="Times New Roman" w:cs="Times New Roman"/>
        </w:rPr>
        <w:t xml:space="preserve">rom the paper and on-line reference copy </w:t>
      </w:r>
      <w:r w:rsidR="008B7A56">
        <w:rPr>
          <w:rFonts w:ascii="Times New Roman" w:eastAsia="Times New Roman" w:hAnsi="Times New Roman" w:cs="Times New Roman"/>
        </w:rPr>
        <w:t xml:space="preserve">of the FCC Form </w:t>
      </w:r>
      <w:r w:rsidR="00EF6D88">
        <w:rPr>
          <w:rFonts w:ascii="Times New Roman" w:eastAsia="Times New Roman" w:hAnsi="Times New Roman" w:cs="Times New Roman"/>
        </w:rPr>
        <w:t xml:space="preserve">601.  This information was never removed from the </w:t>
      </w:r>
      <w:r w:rsidR="008B7A56">
        <w:rPr>
          <w:rFonts w:ascii="Times New Roman" w:eastAsia="Times New Roman" w:hAnsi="Times New Roman" w:cs="Times New Roman"/>
        </w:rPr>
        <w:t xml:space="preserve">electronic on-line filing system, </w:t>
      </w:r>
      <w:r w:rsidR="00977A3B">
        <w:rPr>
          <w:rFonts w:ascii="Times New Roman" w:eastAsia="Times New Roman" w:hAnsi="Times New Roman" w:cs="Times New Roman"/>
        </w:rPr>
        <w:t xml:space="preserve">and </w:t>
      </w:r>
      <w:r w:rsidR="008B7A56">
        <w:rPr>
          <w:rFonts w:ascii="Times New Roman" w:eastAsia="Times New Roman" w:hAnsi="Times New Roman" w:cs="Times New Roman"/>
        </w:rPr>
        <w:t>applicants continue to submit these requests.</w:t>
      </w:r>
      <w:r w:rsidR="002E5D7A">
        <w:rPr>
          <w:rFonts w:ascii="Times New Roman" w:eastAsia="Times New Roman" w:hAnsi="Times New Roman" w:cs="Times New Roman"/>
        </w:rPr>
        <w:t xml:space="preserve">  We are submitting this non-substantive </w:t>
      </w:r>
      <w:r w:rsidR="002A189D">
        <w:rPr>
          <w:rFonts w:ascii="Times New Roman" w:eastAsia="Times New Roman" w:hAnsi="Times New Roman" w:cs="Times New Roman"/>
        </w:rPr>
        <w:t xml:space="preserve">change requests </w:t>
      </w:r>
      <w:r w:rsidR="00F72EDE">
        <w:rPr>
          <w:rFonts w:ascii="Times New Roman" w:eastAsia="Times New Roman" w:hAnsi="Times New Roman" w:cs="Times New Roman"/>
        </w:rPr>
        <w:t>for approval to correct this oversight.</w:t>
      </w:r>
    </w:p>
    <w:p w:rsidR="000762C7" w:rsidP="000A759D" w14:paraId="5E2DCA08" w14:textId="1DAC7CF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p>
    <w:p w:rsidR="000762C7" w:rsidP="000A759D" w14:paraId="5C369B32" w14:textId="3A02433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The FCC Form 601 Instructions are being corrected as follows:</w:t>
      </w:r>
    </w:p>
    <w:p w:rsidR="003A16FE" w:rsidP="000A759D" w14:paraId="03D8E136" w14:textId="3244746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p>
    <w:p w:rsidR="003A16FE" w:rsidP="000A759D" w14:paraId="0731D468" w14:textId="6320EF8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Current </w:t>
      </w:r>
      <w:r w:rsidR="00454617">
        <w:rPr>
          <w:rFonts w:ascii="Times New Roman" w:eastAsia="Times New Roman" w:hAnsi="Times New Roman" w:cs="Times New Roman"/>
        </w:rPr>
        <w:t>text:</w:t>
      </w:r>
    </w:p>
    <w:p w:rsidR="00454617" w:rsidP="000A759D" w14:paraId="0191F72C" w14:textId="1610047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p>
    <w:p w:rsidR="00A71A6E" w:rsidP="00A71A6E" w14:paraId="1CC5F6A6" w14:textId="612B59FB">
      <w:pPr>
        <w:pStyle w:val="BodyText"/>
        <w:tabs>
          <w:tab w:val="left" w:pos="2763"/>
        </w:tabs>
        <w:ind w:left="0" w:right="117"/>
        <w:jc w:val="both"/>
      </w:pPr>
      <w:r w:rsidRPr="003C056A">
        <w:rPr>
          <w:u w:val="single" w:color="000000"/>
        </w:rPr>
        <w:t>Item 3a</w:t>
      </w:r>
      <w:r w:rsidRPr="003C056A">
        <w:rPr>
          <w:u w:color="000000"/>
        </w:rPr>
        <w:t xml:space="preserve"> </w:t>
      </w:r>
      <w:r w:rsidRPr="003C056A">
        <w:t xml:space="preserve">If the application is a request for </w:t>
      </w:r>
      <w:r>
        <w:t xml:space="preserve">a </w:t>
      </w:r>
      <w:r w:rsidRPr="003C056A">
        <w:t xml:space="preserve">Special Temporary Authorization (STA), enter ‘M’ or ‘S’, respectively. Otherwise, enter ‘N’ for </w:t>
      </w:r>
      <w:r>
        <w:t xml:space="preserve">  </w:t>
      </w:r>
      <w:r w:rsidRPr="003C056A">
        <w:t>Not Applicable.</w:t>
      </w:r>
    </w:p>
    <w:p w:rsidR="00A71A6E" w:rsidP="00A71A6E" w14:paraId="7193EF61" w14:textId="77777777">
      <w:pPr>
        <w:pStyle w:val="BodyText"/>
        <w:tabs>
          <w:tab w:val="left" w:pos="2763"/>
        </w:tabs>
        <w:ind w:left="0" w:right="117"/>
        <w:jc w:val="both"/>
      </w:pPr>
    </w:p>
    <w:p w:rsidR="00A71A6E" w:rsidP="00A81CD9" w14:paraId="45D612F4" w14:textId="668560D6">
      <w:pPr>
        <w:pStyle w:val="BodyText"/>
        <w:tabs>
          <w:tab w:val="left" w:pos="2763"/>
        </w:tabs>
        <w:ind w:left="0" w:right="112"/>
        <w:jc w:val="both"/>
      </w:pPr>
      <w:r w:rsidRPr="003C056A">
        <w:t xml:space="preserve">In </w:t>
      </w:r>
      <w:r w:rsidRPr="003C056A">
        <w:rPr>
          <w:u w:val="single" w:color="000000"/>
        </w:rPr>
        <w:t xml:space="preserve">emergencies </w:t>
      </w:r>
      <w:r w:rsidRPr="003C056A">
        <w:t xml:space="preserve">or other </w:t>
      </w:r>
      <w:r w:rsidRPr="003C056A">
        <w:rPr>
          <w:u w:val="single" w:color="000000"/>
        </w:rPr>
        <w:t xml:space="preserve">urgent conditions </w:t>
      </w:r>
      <w:r w:rsidRPr="003C056A">
        <w:t>requiring immediate or temporary use of facilities, request may be made for Special Temporary Authority (STA) to install and/or operate new or modified equipment, subject to the appropriate requirements governing Special Temporary Authorizations contained in the FCC rules. If item 3a is answered 'S', attach an exhibit including the following information:  description of the nature of the extraordinary circumstance, equipment to be used, type of operation to be conducted, and an explanation of how the facilities will be used, times and dates of operation.</w:t>
      </w:r>
    </w:p>
    <w:p w:rsidR="00A81CD9" w:rsidRPr="00A81CD9" w:rsidP="00A81CD9" w14:paraId="1D6EA3D3" w14:textId="77777777">
      <w:pPr>
        <w:pStyle w:val="BodyText"/>
        <w:tabs>
          <w:tab w:val="left" w:pos="2763"/>
        </w:tabs>
        <w:ind w:left="0" w:right="112"/>
        <w:jc w:val="both"/>
      </w:pPr>
    </w:p>
    <w:p w:rsidR="00A71A6E" w:rsidRPr="003C056A" w:rsidP="00A71A6E" w14:paraId="40A1EE90" w14:textId="60359F18">
      <w:pPr>
        <w:pStyle w:val="BodyText"/>
        <w:tabs>
          <w:tab w:val="left" w:pos="2763"/>
        </w:tabs>
        <w:ind w:left="830" w:right="111"/>
        <w:jc w:val="both"/>
        <w:rPr>
          <w:u w:val="single" w:color="000000"/>
        </w:rPr>
      </w:pPr>
      <w:r w:rsidRPr="003C056A">
        <w:rPr>
          <w:rFonts w:cs="Arial"/>
          <w:b/>
          <w:bCs/>
        </w:rPr>
        <w:t xml:space="preserve">Note: </w:t>
      </w:r>
      <w:r w:rsidRPr="003C056A">
        <w:t>To file an initial request for an STA</w:t>
      </w:r>
      <w:r w:rsidR="00A81CD9">
        <w:t xml:space="preserve">, </w:t>
      </w:r>
      <w:r w:rsidRPr="003C056A">
        <w:t>Applicants should select an application purpose of NE – “New” in Item 2 and then answer Items 3a and 3b as appropriate. STAs are granted for a maximum of 180 days. If another STA</w:t>
      </w:r>
      <w:r>
        <w:t xml:space="preserve"> is needed</w:t>
      </w:r>
      <w:r w:rsidRPr="003C056A">
        <w:t>, Applicants may file by selecting application purpose RO – “Renewal Only” and supply the appropriate Call Sign in Item 5. The “Renewal Only” purpose is provided for the convenience of the Applicant (the Applicant will retain the same call sign if the request is granted).</w:t>
      </w:r>
    </w:p>
    <w:p w:rsidR="00A71A6E" w:rsidP="000A759D" w14:paraId="7F87EE1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p>
    <w:p w:rsidR="00454617" w:rsidP="000A759D" w14:paraId="710EE745" w14:textId="63CB3EE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p>
    <w:p w:rsidR="00454617" w:rsidP="000A759D" w14:paraId="0738C8B6" w14:textId="3D9DF5B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Revised text:</w:t>
      </w:r>
    </w:p>
    <w:p w:rsidR="005A63CE" w:rsidP="005A63CE" w14:paraId="53F89F30" w14:textId="77777777">
      <w:pPr>
        <w:pStyle w:val="BodyText"/>
        <w:tabs>
          <w:tab w:val="left" w:pos="2763"/>
        </w:tabs>
        <w:ind w:left="0" w:right="117"/>
        <w:jc w:val="both"/>
      </w:pPr>
      <w:r w:rsidRPr="003C056A">
        <w:rPr>
          <w:u w:val="single" w:color="000000"/>
        </w:rPr>
        <w:t>Item 3a</w:t>
      </w:r>
      <w:r w:rsidRPr="003C056A">
        <w:rPr>
          <w:u w:color="000000"/>
        </w:rPr>
        <w:t xml:space="preserve"> </w:t>
      </w:r>
      <w:r w:rsidRPr="003C056A">
        <w:t xml:space="preserve">If the application is a request for a </w:t>
      </w:r>
      <w:r w:rsidRPr="00A81CD9">
        <w:rPr>
          <w:highlight w:val="yellow"/>
        </w:rPr>
        <w:t>Demonstration License</w:t>
      </w:r>
      <w:r>
        <w:t xml:space="preserve"> or a </w:t>
      </w:r>
      <w:r w:rsidRPr="003C056A">
        <w:t xml:space="preserve">Special Temporary Authorization (STA), enter ‘M’ or ‘S’, respectively. Otherwise, enter ‘N’ for </w:t>
      </w:r>
      <w:r>
        <w:t xml:space="preserve">  </w:t>
      </w:r>
      <w:r w:rsidRPr="003C056A">
        <w:t>Not Applicable.</w:t>
      </w:r>
    </w:p>
    <w:p w:rsidR="005A63CE" w:rsidP="005A63CE" w14:paraId="03FFD267" w14:textId="77777777">
      <w:pPr>
        <w:pStyle w:val="BodyText"/>
        <w:tabs>
          <w:tab w:val="left" w:pos="2763"/>
        </w:tabs>
        <w:ind w:left="0" w:right="117"/>
        <w:jc w:val="both"/>
      </w:pPr>
    </w:p>
    <w:p w:rsidR="005A63CE" w:rsidP="005A63CE" w14:paraId="0837645B" w14:textId="4E2AFEF5">
      <w:pPr>
        <w:pStyle w:val="Default"/>
        <w:rPr>
          <w:sz w:val="18"/>
          <w:szCs w:val="18"/>
        </w:rPr>
      </w:pPr>
      <w:r w:rsidRPr="00A81CD9">
        <w:rPr>
          <w:sz w:val="18"/>
          <w:szCs w:val="18"/>
          <w:highlight w:val="yellow"/>
        </w:rPr>
        <w:t>Demonstration licenses are intended for use by Licensees involved in the sale and/or marketing of radio equipment. Demonstration licenses may be used for purposes of demonstrating equipment to potential customers at trade shows or at other exhibitions, performing on site coverage studies for potential customers, or other uses as provided for in Subpart I of Part 2 of the Commission’s Rules. Demonstration licenses may not be used for the Licensee’s internal communications in its day to day business operations.</w:t>
      </w:r>
      <w:r>
        <w:rPr>
          <w:sz w:val="18"/>
          <w:szCs w:val="18"/>
        </w:rPr>
        <w:t xml:space="preserve"> </w:t>
      </w:r>
    </w:p>
    <w:p w:rsidR="00A71A6E" w:rsidP="005A63CE" w14:paraId="6283D2F2" w14:textId="764074DD">
      <w:pPr>
        <w:pStyle w:val="Default"/>
        <w:rPr>
          <w:sz w:val="18"/>
          <w:szCs w:val="18"/>
        </w:rPr>
      </w:pPr>
    </w:p>
    <w:p w:rsidR="00A71A6E" w:rsidRPr="003C056A" w:rsidP="00A71A6E" w14:paraId="7B814DBA" w14:textId="77777777">
      <w:pPr>
        <w:pStyle w:val="BodyText"/>
        <w:tabs>
          <w:tab w:val="left" w:pos="2763"/>
        </w:tabs>
        <w:ind w:left="0" w:right="112"/>
        <w:jc w:val="both"/>
      </w:pPr>
      <w:r w:rsidRPr="003C056A">
        <w:t xml:space="preserve">In </w:t>
      </w:r>
      <w:r w:rsidRPr="003C056A">
        <w:rPr>
          <w:u w:val="single" w:color="000000"/>
        </w:rPr>
        <w:t xml:space="preserve">emergencies </w:t>
      </w:r>
      <w:r w:rsidRPr="003C056A">
        <w:t xml:space="preserve">or other </w:t>
      </w:r>
      <w:r w:rsidRPr="003C056A">
        <w:rPr>
          <w:u w:val="single" w:color="000000"/>
        </w:rPr>
        <w:t xml:space="preserve">urgent conditions </w:t>
      </w:r>
      <w:r w:rsidRPr="003C056A">
        <w:t>requiring immediate or temporary use of facilities, request may be made for Special Temporary Authority (STA) to install and/or operate new or modified equipment, subject to the appropriate requirements governing Special Temporary Authorizations contained in the FCC rules. If item 3a is answered 'S', attach an exhibit including the following information:   description of the nature of the extraordinary circumstance, equipment to be used, type of operation to be conducted, and an explanation of how the facilities will be used, times and dates of operation.</w:t>
      </w:r>
    </w:p>
    <w:p w:rsidR="00A71A6E" w:rsidRPr="003C056A" w:rsidP="00A71A6E" w14:paraId="2A8FCB83" w14:textId="77777777">
      <w:pPr>
        <w:tabs>
          <w:tab w:val="left" w:pos="2763"/>
        </w:tabs>
        <w:spacing w:before="1"/>
        <w:rPr>
          <w:rFonts w:ascii="Arial" w:eastAsia="Arial" w:hAnsi="Arial" w:cs="Arial"/>
          <w:sz w:val="17"/>
          <w:szCs w:val="17"/>
        </w:rPr>
      </w:pPr>
    </w:p>
    <w:p w:rsidR="00A71A6E" w:rsidRPr="002A72FD" w:rsidP="002A72FD" w14:paraId="21D03228" w14:textId="6DD260F9">
      <w:pPr>
        <w:pStyle w:val="BodyText"/>
        <w:tabs>
          <w:tab w:val="left" w:pos="2763"/>
        </w:tabs>
        <w:ind w:left="830" w:right="111"/>
        <w:jc w:val="both"/>
        <w:rPr>
          <w:u w:val="single" w:color="000000"/>
        </w:rPr>
      </w:pPr>
      <w:r w:rsidRPr="003C056A">
        <w:rPr>
          <w:rFonts w:cs="Arial"/>
          <w:b/>
          <w:bCs/>
        </w:rPr>
        <w:t xml:space="preserve">Note: </w:t>
      </w:r>
      <w:r w:rsidRPr="003C056A">
        <w:t>To file an initial request for an STA</w:t>
      </w:r>
      <w:r>
        <w:t xml:space="preserve"> or </w:t>
      </w:r>
      <w:r w:rsidRPr="00A81CD9">
        <w:rPr>
          <w:highlight w:val="yellow"/>
        </w:rPr>
        <w:t>Demonstration License</w:t>
      </w:r>
      <w:r w:rsidRPr="003C056A">
        <w:t xml:space="preserve">, Applicants should select an application purpose of NE – “New” in Item 2 and then answer Items 3a and 3b as appropriate. STAs are granted for a </w:t>
      </w:r>
      <w:r w:rsidRPr="003C056A">
        <w:t>maximum of 180 days. If another STA</w:t>
      </w:r>
      <w:r>
        <w:t xml:space="preserve"> or </w:t>
      </w:r>
      <w:r w:rsidRPr="00A81CD9">
        <w:rPr>
          <w:highlight w:val="yellow"/>
        </w:rPr>
        <w:t>Demonstration License</w:t>
      </w:r>
      <w:r>
        <w:t xml:space="preserve"> is needed</w:t>
      </w:r>
      <w:r w:rsidRPr="003C056A">
        <w:t>, Applicants may file by selecting application purpose RO – “Renewal Only” and supply the appropriate Call Sign in Item 5. The “Renewal Only” purpose is provided for the convenience of the Applicant (the Applicant will retain the same call sign if the request is granted).</w:t>
      </w:r>
    </w:p>
    <w:p w:rsidR="005A63CE" w:rsidRPr="003C056A" w:rsidP="005A63CE" w14:paraId="5011AD9B" w14:textId="77777777">
      <w:pPr>
        <w:tabs>
          <w:tab w:val="left" w:pos="2763"/>
        </w:tabs>
        <w:spacing w:before="3"/>
        <w:rPr>
          <w:rFonts w:ascii="Arial" w:eastAsia="Arial" w:hAnsi="Arial" w:cs="Arial"/>
          <w:sz w:val="18"/>
          <w:szCs w:val="18"/>
        </w:rPr>
      </w:pPr>
    </w:p>
    <w:p w:rsidR="000762C7" w:rsidP="000A759D" w14:paraId="52C9E34B" w14:textId="445C583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Question 3a is being revised as follows:</w:t>
      </w:r>
    </w:p>
    <w:p w:rsidR="00684B8C" w:rsidP="000A759D" w14:paraId="25B1BC15" w14:textId="68F9A57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p>
    <w:p w:rsidR="001A2831" w:rsidP="000A759D" w14:paraId="4C4D0C4F" w14:textId="126CF27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Current paper form and reference copy text:</w:t>
      </w:r>
    </w:p>
    <w:p w:rsidR="001A2831" w:rsidP="000A759D" w14:paraId="789DE98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p>
    <w:tbl>
      <w:tblPr>
        <w:tblW w:w="10365" w:type="dxa"/>
        <w:tblInd w:w="91" w:type="dxa"/>
        <w:tblLayout w:type="fixed"/>
        <w:tblCellMar>
          <w:left w:w="0" w:type="dxa"/>
          <w:right w:w="0" w:type="dxa"/>
        </w:tblCellMar>
        <w:tblLook w:val="01E0"/>
      </w:tblPr>
      <w:tblGrid>
        <w:gridCol w:w="8207"/>
        <w:gridCol w:w="2158"/>
      </w:tblGrid>
      <w:tr w14:paraId="612829D1" w14:textId="77777777" w:rsidTr="00454617">
        <w:tblPrEx>
          <w:tblW w:w="10365" w:type="dxa"/>
          <w:tblInd w:w="91" w:type="dxa"/>
          <w:tblLayout w:type="fixed"/>
          <w:tblCellMar>
            <w:left w:w="0" w:type="dxa"/>
            <w:right w:w="0" w:type="dxa"/>
          </w:tblCellMar>
          <w:tblLook w:val="01E0"/>
        </w:tblPrEx>
        <w:trPr>
          <w:trHeight w:hRule="exact" w:val="636"/>
        </w:trPr>
        <w:tc>
          <w:tcPr>
            <w:tcW w:w="8207" w:type="dxa"/>
            <w:tcBorders>
              <w:top w:val="single" w:sz="8" w:space="0" w:color="000000"/>
              <w:left w:val="single" w:sz="8" w:space="0" w:color="000000"/>
              <w:bottom w:val="single" w:sz="8" w:space="0" w:color="000000"/>
              <w:right w:val="single" w:sz="8" w:space="0" w:color="000000"/>
            </w:tcBorders>
          </w:tcPr>
          <w:p w:rsidR="001A2831" w:rsidP="00AE0AB2" w14:paraId="2E8F614F" w14:textId="5CD92BAA">
            <w:pPr>
              <w:pStyle w:val="TableParagraph"/>
              <w:ind w:left="442" w:right="191" w:hanging="372"/>
              <w:rPr>
                <w:rFonts w:ascii="Arial" w:eastAsia="Arial" w:hAnsi="Arial" w:cs="Arial"/>
                <w:sz w:val="16"/>
                <w:szCs w:val="16"/>
              </w:rPr>
            </w:pPr>
            <w:r>
              <w:rPr>
                <w:rFonts w:ascii="Arial" w:eastAsia="Arial" w:hAnsi="Arial" w:cs="Arial"/>
                <w:spacing w:val="-1"/>
                <w:sz w:val="16"/>
                <w:szCs w:val="16"/>
              </w:rPr>
              <w:t>3a</w:t>
            </w:r>
            <w:r w:rsidRPr="008D50C2">
              <w:rPr>
                <w:rFonts w:ascii="Arial" w:eastAsia="Arial" w:hAnsi="Arial" w:cs="Arial"/>
                <w:sz w:val="16"/>
                <w:szCs w:val="16"/>
              </w:rPr>
              <w:t xml:space="preserve">) If this application is for </w:t>
            </w:r>
            <w:r>
              <w:rPr>
                <w:rFonts w:ascii="Arial" w:eastAsia="Arial" w:hAnsi="Arial" w:cs="Arial"/>
                <w:sz w:val="16"/>
                <w:szCs w:val="16"/>
              </w:rPr>
              <w:t xml:space="preserve">a </w:t>
            </w:r>
            <w:r w:rsidRPr="008D50C2">
              <w:rPr>
                <w:rFonts w:ascii="Arial" w:eastAsia="Arial" w:hAnsi="Arial" w:cs="Arial"/>
                <w:b/>
                <w:bCs/>
                <w:sz w:val="16"/>
                <w:szCs w:val="16"/>
                <w:u w:val="single" w:color="000000"/>
              </w:rPr>
              <w:t>S</w:t>
            </w:r>
            <w:r w:rsidRPr="008D50C2">
              <w:rPr>
                <w:rFonts w:ascii="Arial" w:eastAsia="Arial" w:hAnsi="Arial" w:cs="Arial"/>
                <w:sz w:val="16"/>
                <w:szCs w:val="16"/>
              </w:rPr>
              <w:t>pecial Temporary Authorization (STA), enter the code and attach the required exhibit as described in the instructions. Otherwise enter ‘</w:t>
            </w:r>
            <w:r w:rsidRPr="008D50C2">
              <w:rPr>
                <w:rFonts w:ascii="Arial" w:eastAsia="Arial" w:hAnsi="Arial" w:cs="Arial"/>
                <w:b/>
                <w:bCs/>
                <w:sz w:val="16"/>
                <w:szCs w:val="16"/>
                <w:u w:val="single" w:color="000000"/>
              </w:rPr>
              <w:t>N/A</w:t>
            </w:r>
            <w:r w:rsidRPr="008D50C2">
              <w:rPr>
                <w:rFonts w:ascii="Arial" w:eastAsia="Arial" w:hAnsi="Arial" w:cs="Arial"/>
                <w:sz w:val="16"/>
                <w:szCs w:val="16"/>
              </w:rPr>
              <w:t>’ (Not Applicable).</w:t>
            </w:r>
          </w:p>
        </w:tc>
        <w:tc>
          <w:tcPr>
            <w:tcW w:w="2158" w:type="dxa"/>
            <w:tcBorders>
              <w:top w:val="single" w:sz="8" w:space="0" w:color="000000"/>
              <w:left w:val="single" w:sz="8" w:space="0" w:color="000000"/>
              <w:bottom w:val="single" w:sz="8" w:space="0" w:color="000000"/>
              <w:right w:val="single" w:sz="8" w:space="0" w:color="000000"/>
            </w:tcBorders>
          </w:tcPr>
          <w:p w:rsidR="001A2831" w:rsidP="00AE0AB2" w14:paraId="4D94D124" w14:textId="77777777">
            <w:pPr>
              <w:pStyle w:val="TableParagraph"/>
              <w:tabs>
                <w:tab w:val="left" w:pos="752"/>
              </w:tabs>
              <w:spacing w:line="175" w:lineRule="exact"/>
              <w:ind w:left="431"/>
              <w:rPr>
                <w:rFonts w:ascii="Arial" w:eastAsia="Arial" w:hAnsi="Arial" w:cs="Arial"/>
                <w:sz w:val="16"/>
                <w:szCs w:val="16"/>
              </w:rPr>
            </w:pPr>
            <w:r>
              <w:rPr>
                <w:rFonts w:ascii="Arial"/>
                <w:sz w:val="16"/>
              </w:rPr>
              <w:t>(</w:t>
            </w:r>
            <w:r>
              <w:rPr>
                <w:rFonts w:ascii="Arial"/>
                <w:sz w:val="16"/>
              </w:rPr>
              <w:tab/>
            </w:r>
            <w:r>
              <w:rPr>
                <w:rFonts w:ascii="Arial"/>
                <w:spacing w:val="-1"/>
                <w:sz w:val="16"/>
              </w:rPr>
              <w:t>)</w:t>
            </w:r>
            <w:r>
              <w:rPr>
                <w:rFonts w:ascii="Arial"/>
                <w:b/>
                <w:spacing w:val="-1"/>
                <w:sz w:val="16"/>
                <w:u w:val="single" w:color="000000"/>
              </w:rPr>
              <w:t>M</w:t>
            </w:r>
            <w:r w:rsidRPr="005B3A0F">
              <w:rPr>
                <w:rFonts w:ascii="Arial"/>
                <w:b/>
                <w:sz w:val="16"/>
              </w:rPr>
              <w:t xml:space="preserve"> </w:t>
            </w:r>
            <w:r>
              <w:rPr>
                <w:rFonts w:ascii="Arial"/>
                <w:b/>
                <w:sz w:val="16"/>
                <w:u w:val="single" w:color="000000"/>
              </w:rPr>
              <w:t>S</w:t>
            </w:r>
            <w:r w:rsidRPr="005B3A0F">
              <w:rPr>
                <w:rFonts w:ascii="Arial"/>
                <w:b/>
                <w:sz w:val="16"/>
              </w:rPr>
              <w:t xml:space="preserve"> </w:t>
            </w:r>
            <w:r w:rsidRPr="005B3A0F">
              <w:rPr>
                <w:rFonts w:ascii="Arial"/>
                <w:b/>
                <w:spacing w:val="-2"/>
                <w:sz w:val="16"/>
              </w:rPr>
              <w:t>N/A</w:t>
            </w:r>
          </w:p>
        </w:tc>
      </w:tr>
    </w:tbl>
    <w:p w:rsidR="001A2831" w:rsidP="000A759D" w14:paraId="3D1A21C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rPr>
      </w:pPr>
    </w:p>
    <w:p w:rsidR="001A2831" w:rsidP="000A759D" w14:paraId="6E7CE1A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spacing w:val="-3"/>
        </w:rPr>
      </w:pPr>
      <w:r>
        <w:rPr>
          <w:rFonts w:ascii="Times New Roman" w:hAnsi="Times New Roman"/>
          <w:spacing w:val="-3"/>
        </w:rPr>
        <w:t>Revised text:</w:t>
      </w:r>
    </w:p>
    <w:tbl>
      <w:tblPr>
        <w:tblW w:w="10379" w:type="dxa"/>
        <w:tblInd w:w="91" w:type="dxa"/>
        <w:tblLayout w:type="fixed"/>
        <w:tblCellMar>
          <w:left w:w="0" w:type="dxa"/>
          <w:right w:w="0" w:type="dxa"/>
        </w:tblCellMar>
        <w:tblLook w:val="01E0"/>
      </w:tblPr>
      <w:tblGrid>
        <w:gridCol w:w="8218"/>
        <w:gridCol w:w="2161"/>
      </w:tblGrid>
      <w:tr w14:paraId="565EF7F6" w14:textId="77777777" w:rsidTr="00454617">
        <w:tblPrEx>
          <w:tblW w:w="10379" w:type="dxa"/>
          <w:tblInd w:w="91" w:type="dxa"/>
          <w:tblLayout w:type="fixed"/>
          <w:tblCellMar>
            <w:left w:w="0" w:type="dxa"/>
            <w:right w:w="0" w:type="dxa"/>
          </w:tblCellMar>
          <w:tblLook w:val="01E0"/>
        </w:tblPrEx>
        <w:trPr>
          <w:trHeight w:hRule="exact" w:val="717"/>
        </w:trPr>
        <w:tc>
          <w:tcPr>
            <w:tcW w:w="8218" w:type="dxa"/>
            <w:tcBorders>
              <w:top w:val="single" w:sz="8" w:space="0" w:color="000000"/>
              <w:left w:val="single" w:sz="8" w:space="0" w:color="000000"/>
              <w:bottom w:val="single" w:sz="8" w:space="0" w:color="000000"/>
              <w:right w:val="single" w:sz="8" w:space="0" w:color="000000"/>
            </w:tcBorders>
          </w:tcPr>
          <w:p w:rsidR="001A2831" w:rsidP="00AE0AB2" w14:paraId="1D51372C" w14:textId="77777777">
            <w:pPr>
              <w:pStyle w:val="TableParagraph"/>
              <w:ind w:left="442" w:right="191" w:hanging="372"/>
              <w:rPr>
                <w:rFonts w:ascii="Arial" w:eastAsia="Arial" w:hAnsi="Arial" w:cs="Arial"/>
                <w:sz w:val="16"/>
                <w:szCs w:val="16"/>
              </w:rPr>
            </w:pPr>
            <w:r>
              <w:rPr>
                <w:rFonts w:ascii="Arial" w:eastAsia="Arial" w:hAnsi="Arial" w:cs="Arial"/>
                <w:spacing w:val="-1"/>
                <w:sz w:val="16"/>
                <w:szCs w:val="16"/>
              </w:rPr>
              <w:t>3a</w:t>
            </w:r>
            <w:r w:rsidRPr="008D50C2">
              <w:rPr>
                <w:rFonts w:ascii="Arial" w:eastAsia="Arial" w:hAnsi="Arial" w:cs="Arial"/>
                <w:sz w:val="16"/>
                <w:szCs w:val="16"/>
              </w:rPr>
              <w:t xml:space="preserve">) If this application is for </w:t>
            </w:r>
            <w:r>
              <w:rPr>
                <w:rFonts w:ascii="Arial" w:eastAsia="Arial" w:hAnsi="Arial" w:cs="Arial"/>
                <w:sz w:val="16"/>
                <w:szCs w:val="16"/>
              </w:rPr>
              <w:t xml:space="preserve">a </w:t>
            </w:r>
            <w:r w:rsidRPr="002A72FD">
              <w:rPr>
                <w:rFonts w:ascii="Arial" w:eastAsia="Arial" w:hAnsi="Arial" w:cs="Arial"/>
                <w:sz w:val="16"/>
                <w:szCs w:val="16"/>
                <w:highlight w:val="yellow"/>
              </w:rPr>
              <w:t>Demonstration License or a</w:t>
            </w:r>
            <w:r w:rsidRPr="008D50C2">
              <w:rPr>
                <w:rFonts w:ascii="Arial" w:eastAsia="Arial" w:hAnsi="Arial" w:cs="Arial"/>
                <w:sz w:val="16"/>
                <w:szCs w:val="16"/>
              </w:rPr>
              <w:t xml:space="preserve"> </w:t>
            </w:r>
            <w:r w:rsidRPr="008D50C2">
              <w:rPr>
                <w:rFonts w:ascii="Arial" w:eastAsia="Arial" w:hAnsi="Arial" w:cs="Arial"/>
                <w:b/>
                <w:bCs/>
                <w:sz w:val="16"/>
                <w:szCs w:val="16"/>
                <w:u w:val="single" w:color="000000"/>
              </w:rPr>
              <w:t>S</w:t>
            </w:r>
            <w:r w:rsidRPr="008D50C2">
              <w:rPr>
                <w:rFonts w:ascii="Arial" w:eastAsia="Arial" w:hAnsi="Arial" w:cs="Arial"/>
                <w:sz w:val="16"/>
                <w:szCs w:val="16"/>
              </w:rPr>
              <w:t>pecial Temporary Authorization (STA), enter the code and attach the required exhibit as described in the instructions. Otherwise enter ‘</w:t>
            </w:r>
            <w:r w:rsidRPr="008D50C2">
              <w:rPr>
                <w:rFonts w:ascii="Arial" w:eastAsia="Arial" w:hAnsi="Arial" w:cs="Arial"/>
                <w:b/>
                <w:bCs/>
                <w:sz w:val="16"/>
                <w:szCs w:val="16"/>
                <w:u w:val="single" w:color="000000"/>
              </w:rPr>
              <w:t>N/A</w:t>
            </w:r>
            <w:r w:rsidRPr="008D50C2">
              <w:rPr>
                <w:rFonts w:ascii="Arial" w:eastAsia="Arial" w:hAnsi="Arial" w:cs="Arial"/>
                <w:sz w:val="16"/>
                <w:szCs w:val="16"/>
              </w:rPr>
              <w:t>’ (Not Applicable).</w:t>
            </w:r>
          </w:p>
        </w:tc>
        <w:tc>
          <w:tcPr>
            <w:tcW w:w="2161" w:type="dxa"/>
            <w:tcBorders>
              <w:top w:val="single" w:sz="8" w:space="0" w:color="000000"/>
              <w:left w:val="single" w:sz="8" w:space="0" w:color="000000"/>
              <w:bottom w:val="single" w:sz="8" w:space="0" w:color="000000"/>
              <w:right w:val="single" w:sz="8" w:space="0" w:color="000000"/>
            </w:tcBorders>
          </w:tcPr>
          <w:p w:rsidR="001A2831" w:rsidP="00AE0AB2" w14:paraId="4FBE6614" w14:textId="77777777">
            <w:pPr>
              <w:pStyle w:val="TableParagraph"/>
              <w:tabs>
                <w:tab w:val="left" w:pos="752"/>
              </w:tabs>
              <w:spacing w:line="175" w:lineRule="exact"/>
              <w:ind w:left="431"/>
              <w:rPr>
                <w:rFonts w:ascii="Arial" w:eastAsia="Arial" w:hAnsi="Arial" w:cs="Arial"/>
                <w:sz w:val="16"/>
                <w:szCs w:val="16"/>
              </w:rPr>
            </w:pPr>
            <w:r>
              <w:rPr>
                <w:rFonts w:ascii="Arial"/>
                <w:sz w:val="16"/>
              </w:rPr>
              <w:t>(</w:t>
            </w:r>
            <w:r>
              <w:rPr>
                <w:rFonts w:ascii="Arial"/>
                <w:sz w:val="16"/>
              </w:rPr>
              <w:tab/>
            </w:r>
            <w:r>
              <w:rPr>
                <w:rFonts w:ascii="Arial"/>
                <w:spacing w:val="-1"/>
                <w:sz w:val="16"/>
              </w:rPr>
              <w:t>)</w:t>
            </w:r>
            <w:r>
              <w:rPr>
                <w:rFonts w:ascii="Arial"/>
                <w:b/>
                <w:spacing w:val="-1"/>
                <w:sz w:val="16"/>
                <w:u w:val="single" w:color="000000"/>
              </w:rPr>
              <w:t>M</w:t>
            </w:r>
            <w:r w:rsidRPr="005B3A0F">
              <w:rPr>
                <w:rFonts w:ascii="Arial"/>
                <w:b/>
                <w:sz w:val="16"/>
              </w:rPr>
              <w:t xml:space="preserve"> </w:t>
            </w:r>
            <w:r>
              <w:rPr>
                <w:rFonts w:ascii="Arial"/>
                <w:b/>
                <w:sz w:val="16"/>
                <w:u w:val="single" w:color="000000"/>
              </w:rPr>
              <w:t>S</w:t>
            </w:r>
            <w:r w:rsidRPr="005B3A0F">
              <w:rPr>
                <w:rFonts w:ascii="Arial"/>
                <w:b/>
                <w:sz w:val="16"/>
              </w:rPr>
              <w:t xml:space="preserve"> </w:t>
            </w:r>
            <w:r w:rsidRPr="005B3A0F">
              <w:rPr>
                <w:rFonts w:ascii="Arial"/>
                <w:b/>
                <w:spacing w:val="-2"/>
                <w:sz w:val="16"/>
              </w:rPr>
              <w:t>N/A</w:t>
            </w:r>
          </w:p>
        </w:tc>
      </w:tr>
    </w:tbl>
    <w:p w:rsidR="000A759D" w:rsidP="000A759D" w14:paraId="3F07340E" w14:textId="4FAE584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cs="Times New Roman"/>
        </w:rPr>
      </w:pPr>
      <w:r>
        <w:rPr>
          <w:rFonts w:ascii="Times New Roman" w:hAnsi="Times New Roman"/>
          <w:spacing w:val="-3"/>
        </w:rPr>
        <w:tab/>
      </w:r>
      <w:r w:rsidRPr="000A759D">
        <w:rPr>
          <w:rFonts w:ascii="Times New Roman" w:hAnsi="Times New Roman" w:cs="Times New Roman"/>
        </w:rPr>
        <w:t xml:space="preserve"> </w:t>
      </w:r>
    </w:p>
    <w:p w:rsidR="00FC65AE" w:rsidRPr="00FC65AE" w:rsidP="000762C7" w14:paraId="144732E0" w14:textId="5DE36E3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Style w:val="eop"/>
          <w:rFonts w:ascii="Times New Roman" w:hAnsi="Times New Roman" w:cs="Times New Roman"/>
          <w:shd w:val="clear" w:color="auto" w:fill="FFFFFF"/>
        </w:rPr>
      </w:pPr>
      <w:r>
        <w:rPr>
          <w:rFonts w:ascii="Times New Roman" w:hAnsi="Times New Roman" w:cs="Times New Roman"/>
        </w:rPr>
        <w:tab/>
      </w:r>
    </w:p>
    <w:p w:rsidR="000A759D" w:rsidP="000A759D" w14:paraId="47A8BBD2" w14:textId="51F527C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spacing w:val="-3"/>
        </w:rPr>
      </w:pPr>
      <w:r w:rsidRPr="00360471">
        <w:rPr>
          <w:rFonts w:ascii="Times New Roman" w:eastAsia="Times New Roman" w:hAnsi="Times New Roman" w:cs="Times New Roman"/>
        </w:rPr>
        <w:t xml:space="preserve">The substance, </w:t>
      </w:r>
      <w:r w:rsidRPr="00360471" w:rsidR="004B07E7">
        <w:rPr>
          <w:rFonts w:ascii="Times New Roman" w:eastAsia="Times New Roman" w:hAnsi="Times New Roman" w:cs="Times New Roman"/>
        </w:rPr>
        <w:t xml:space="preserve">respondents, </w:t>
      </w:r>
      <w:r w:rsidRPr="00360471">
        <w:rPr>
          <w:rFonts w:ascii="Times New Roman" w:eastAsia="Times New Roman" w:hAnsi="Times New Roman" w:cs="Times New Roman"/>
        </w:rPr>
        <w:t xml:space="preserve">burden hours, and costs </w:t>
      </w:r>
      <w:r w:rsidRPr="00360471" w:rsidR="00851DCE">
        <w:rPr>
          <w:rFonts w:ascii="Times New Roman" w:eastAsia="Times New Roman" w:hAnsi="Times New Roman" w:cs="Times New Roman"/>
        </w:rPr>
        <w:t>of Information Coll</w:t>
      </w:r>
      <w:r w:rsidRPr="00360471" w:rsidR="00807458">
        <w:rPr>
          <w:rFonts w:ascii="Times New Roman" w:eastAsia="Times New Roman" w:hAnsi="Times New Roman" w:cs="Times New Roman"/>
        </w:rPr>
        <w:t xml:space="preserve">ection OMB Control No. </w:t>
      </w:r>
      <w:r w:rsidRPr="00B97711" w:rsidR="00B97711">
        <w:rPr>
          <w:rFonts w:ascii="Times New Roman" w:eastAsia="Times New Roman" w:hAnsi="Times New Roman" w:cs="Times New Roman"/>
        </w:rPr>
        <w:t>3060-0798</w:t>
      </w:r>
      <w:r w:rsidR="00356958">
        <w:rPr>
          <w:rFonts w:ascii="Times New Roman" w:eastAsia="Times New Roman" w:hAnsi="Times New Roman" w:cs="Times New Roman"/>
        </w:rPr>
        <w:t xml:space="preserve"> </w:t>
      </w:r>
      <w:r w:rsidRPr="00360471">
        <w:rPr>
          <w:rFonts w:ascii="Times New Roman" w:eastAsia="Times New Roman" w:hAnsi="Times New Roman" w:cs="Times New Roman"/>
        </w:rPr>
        <w:t>are not impacted</w:t>
      </w:r>
      <w:bookmarkEnd w:id="1"/>
      <w:r w:rsidR="00900BE6">
        <w:rPr>
          <w:rFonts w:ascii="Times New Roman" w:eastAsia="Times New Roman" w:hAnsi="Times New Roman" w:cs="Times New Roman"/>
        </w:rPr>
        <w:t>, and there are no changes required to the supporting statement.</w:t>
      </w:r>
    </w:p>
    <w:p w:rsidR="000A759D" w:rsidP="000A759D" w14:paraId="6BB0005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spacing w:val="-3"/>
        </w:rPr>
      </w:pPr>
    </w:p>
    <w:p w:rsidR="000D2065" w:rsidRPr="00A63351" w:rsidP="000D2065" w14:paraId="56DD70ED" w14:textId="77777777">
      <w:pPr>
        <w:spacing w:after="0" w:line="240" w:lineRule="auto"/>
        <w:rPr>
          <w:rFonts w:ascii="Times New Roman" w:eastAsia="Calibri" w:hAnsi="Times New Roman" w:cs="Times New Roman"/>
        </w:rPr>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8171488"/>
      <w:docPartObj>
        <w:docPartGallery w:val="Page Numbers (Bottom of Page)"/>
        <w:docPartUnique/>
      </w:docPartObj>
    </w:sdtPr>
    <w:sdtEndPr>
      <w:rPr>
        <w:noProof/>
      </w:rPr>
    </w:sdtEndPr>
    <w:sdtContent>
      <w:p w:rsidR="00BA2B66" w14:paraId="1CC5371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A2B66" w14:paraId="54DE770B"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65"/>
    <w:rsid w:val="000101B1"/>
    <w:rsid w:val="00024306"/>
    <w:rsid w:val="000259A6"/>
    <w:rsid w:val="00025E58"/>
    <w:rsid w:val="00033CA5"/>
    <w:rsid w:val="00047E0C"/>
    <w:rsid w:val="00073ACA"/>
    <w:rsid w:val="000745B4"/>
    <w:rsid w:val="000762C7"/>
    <w:rsid w:val="000A0502"/>
    <w:rsid w:val="000A12B7"/>
    <w:rsid w:val="000A346B"/>
    <w:rsid w:val="000A759D"/>
    <w:rsid w:val="000B092D"/>
    <w:rsid w:val="000D175E"/>
    <w:rsid w:val="000D2065"/>
    <w:rsid w:val="000D637F"/>
    <w:rsid w:val="000E2109"/>
    <w:rsid w:val="00112A1F"/>
    <w:rsid w:val="00146AC5"/>
    <w:rsid w:val="00157A44"/>
    <w:rsid w:val="00157D52"/>
    <w:rsid w:val="00160A0F"/>
    <w:rsid w:val="00173181"/>
    <w:rsid w:val="00186051"/>
    <w:rsid w:val="00193C45"/>
    <w:rsid w:val="001A0A4E"/>
    <w:rsid w:val="001A2831"/>
    <w:rsid w:val="001A4EF3"/>
    <w:rsid w:val="001B01B6"/>
    <w:rsid w:val="001B0BE6"/>
    <w:rsid w:val="001C295D"/>
    <w:rsid w:val="001C76AE"/>
    <w:rsid w:val="001E1C0D"/>
    <w:rsid w:val="00223832"/>
    <w:rsid w:val="002259CC"/>
    <w:rsid w:val="00234CE2"/>
    <w:rsid w:val="00250EFC"/>
    <w:rsid w:val="00257BB1"/>
    <w:rsid w:val="00276E12"/>
    <w:rsid w:val="002837E5"/>
    <w:rsid w:val="00296575"/>
    <w:rsid w:val="002A189D"/>
    <w:rsid w:val="002A3FDA"/>
    <w:rsid w:val="002A72FD"/>
    <w:rsid w:val="002C5BDB"/>
    <w:rsid w:val="002E4F5A"/>
    <w:rsid w:val="002E5D7A"/>
    <w:rsid w:val="002F20F5"/>
    <w:rsid w:val="0030134B"/>
    <w:rsid w:val="003220D0"/>
    <w:rsid w:val="003320CC"/>
    <w:rsid w:val="00334152"/>
    <w:rsid w:val="003358EB"/>
    <w:rsid w:val="003447BA"/>
    <w:rsid w:val="00356958"/>
    <w:rsid w:val="00360471"/>
    <w:rsid w:val="00370F7B"/>
    <w:rsid w:val="00394E29"/>
    <w:rsid w:val="003A16FE"/>
    <w:rsid w:val="003C056A"/>
    <w:rsid w:val="003D17ED"/>
    <w:rsid w:val="003D6CD0"/>
    <w:rsid w:val="003E542A"/>
    <w:rsid w:val="003E7A81"/>
    <w:rsid w:val="003F16CA"/>
    <w:rsid w:val="00402B02"/>
    <w:rsid w:val="00417C4C"/>
    <w:rsid w:val="004404CC"/>
    <w:rsid w:val="00454617"/>
    <w:rsid w:val="00475BDE"/>
    <w:rsid w:val="004813EB"/>
    <w:rsid w:val="004A656D"/>
    <w:rsid w:val="004B07E7"/>
    <w:rsid w:val="004B52EB"/>
    <w:rsid w:val="004B5822"/>
    <w:rsid w:val="00500C5F"/>
    <w:rsid w:val="0050607A"/>
    <w:rsid w:val="005074E8"/>
    <w:rsid w:val="00520284"/>
    <w:rsid w:val="00520E97"/>
    <w:rsid w:val="00527F6E"/>
    <w:rsid w:val="00540585"/>
    <w:rsid w:val="00562EBF"/>
    <w:rsid w:val="00575E2F"/>
    <w:rsid w:val="005A19EA"/>
    <w:rsid w:val="005A63CE"/>
    <w:rsid w:val="005A644E"/>
    <w:rsid w:val="005A6758"/>
    <w:rsid w:val="005B3A0F"/>
    <w:rsid w:val="005B7BCE"/>
    <w:rsid w:val="005E50F8"/>
    <w:rsid w:val="006004CE"/>
    <w:rsid w:val="006207D2"/>
    <w:rsid w:val="006328D0"/>
    <w:rsid w:val="006472B9"/>
    <w:rsid w:val="00682B1F"/>
    <w:rsid w:val="00684B8C"/>
    <w:rsid w:val="00697C83"/>
    <w:rsid w:val="006A145C"/>
    <w:rsid w:val="00701463"/>
    <w:rsid w:val="00710EB3"/>
    <w:rsid w:val="007132A3"/>
    <w:rsid w:val="007B2D37"/>
    <w:rsid w:val="007C3AAD"/>
    <w:rsid w:val="007D63C5"/>
    <w:rsid w:val="007F0F98"/>
    <w:rsid w:val="00805750"/>
    <w:rsid w:val="00807458"/>
    <w:rsid w:val="00810867"/>
    <w:rsid w:val="00814691"/>
    <w:rsid w:val="008174ED"/>
    <w:rsid w:val="00820498"/>
    <w:rsid w:val="00826A41"/>
    <w:rsid w:val="00851DCE"/>
    <w:rsid w:val="0085584B"/>
    <w:rsid w:val="00863F43"/>
    <w:rsid w:val="00886690"/>
    <w:rsid w:val="008A6147"/>
    <w:rsid w:val="008B7A56"/>
    <w:rsid w:val="008B7FC5"/>
    <w:rsid w:val="008D47B9"/>
    <w:rsid w:val="008D50C2"/>
    <w:rsid w:val="008F0988"/>
    <w:rsid w:val="00900BE6"/>
    <w:rsid w:val="0095598D"/>
    <w:rsid w:val="0096682C"/>
    <w:rsid w:val="009715BB"/>
    <w:rsid w:val="00977A3B"/>
    <w:rsid w:val="0098393F"/>
    <w:rsid w:val="009C1FE1"/>
    <w:rsid w:val="009F1C73"/>
    <w:rsid w:val="00A010F0"/>
    <w:rsid w:val="00A03D69"/>
    <w:rsid w:val="00A54DA7"/>
    <w:rsid w:val="00A63351"/>
    <w:rsid w:val="00A700B1"/>
    <w:rsid w:val="00A71A6E"/>
    <w:rsid w:val="00A81CD9"/>
    <w:rsid w:val="00A86087"/>
    <w:rsid w:val="00A9023B"/>
    <w:rsid w:val="00AA281E"/>
    <w:rsid w:val="00AD22BF"/>
    <w:rsid w:val="00AE0AB2"/>
    <w:rsid w:val="00AE6896"/>
    <w:rsid w:val="00B0794A"/>
    <w:rsid w:val="00B377AF"/>
    <w:rsid w:val="00B757B3"/>
    <w:rsid w:val="00B86B21"/>
    <w:rsid w:val="00B929F1"/>
    <w:rsid w:val="00B97711"/>
    <w:rsid w:val="00BA2B66"/>
    <w:rsid w:val="00BC0E51"/>
    <w:rsid w:val="00BD3322"/>
    <w:rsid w:val="00BF2562"/>
    <w:rsid w:val="00BF3080"/>
    <w:rsid w:val="00C00485"/>
    <w:rsid w:val="00C0094D"/>
    <w:rsid w:val="00C0179A"/>
    <w:rsid w:val="00C01907"/>
    <w:rsid w:val="00C16735"/>
    <w:rsid w:val="00C26D4B"/>
    <w:rsid w:val="00C31024"/>
    <w:rsid w:val="00C372D6"/>
    <w:rsid w:val="00C451EF"/>
    <w:rsid w:val="00C52073"/>
    <w:rsid w:val="00C537A7"/>
    <w:rsid w:val="00C54A83"/>
    <w:rsid w:val="00C661BE"/>
    <w:rsid w:val="00C74216"/>
    <w:rsid w:val="00C839C2"/>
    <w:rsid w:val="00C96D43"/>
    <w:rsid w:val="00CA1F71"/>
    <w:rsid w:val="00D22E45"/>
    <w:rsid w:val="00D44315"/>
    <w:rsid w:val="00D704EE"/>
    <w:rsid w:val="00D72934"/>
    <w:rsid w:val="00D904D9"/>
    <w:rsid w:val="00D92F48"/>
    <w:rsid w:val="00D97974"/>
    <w:rsid w:val="00DA29D3"/>
    <w:rsid w:val="00DA71F5"/>
    <w:rsid w:val="00DC7083"/>
    <w:rsid w:val="00DD785E"/>
    <w:rsid w:val="00DF64B8"/>
    <w:rsid w:val="00E00B08"/>
    <w:rsid w:val="00E04A4C"/>
    <w:rsid w:val="00E071BA"/>
    <w:rsid w:val="00E163F3"/>
    <w:rsid w:val="00E22167"/>
    <w:rsid w:val="00E42785"/>
    <w:rsid w:val="00E72F52"/>
    <w:rsid w:val="00E80671"/>
    <w:rsid w:val="00E81303"/>
    <w:rsid w:val="00E93ACC"/>
    <w:rsid w:val="00EB19EA"/>
    <w:rsid w:val="00EC5FF8"/>
    <w:rsid w:val="00EE0293"/>
    <w:rsid w:val="00EE0FEB"/>
    <w:rsid w:val="00EF6D88"/>
    <w:rsid w:val="00F01496"/>
    <w:rsid w:val="00F01D8D"/>
    <w:rsid w:val="00F03DB5"/>
    <w:rsid w:val="00F111FF"/>
    <w:rsid w:val="00F1146B"/>
    <w:rsid w:val="00F253A4"/>
    <w:rsid w:val="00F405F7"/>
    <w:rsid w:val="00F662E6"/>
    <w:rsid w:val="00F72B53"/>
    <w:rsid w:val="00F72EDE"/>
    <w:rsid w:val="00F8767D"/>
    <w:rsid w:val="00F96828"/>
    <w:rsid w:val="00FC65AE"/>
    <w:rsid w:val="00FD14E3"/>
    <w:rsid w:val="00FD79CE"/>
    <w:rsid w:val="00FF53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92BF41"/>
  <w15:docId w15:val="{5D6BE749-B6E0-46CC-AB27-79BB51F9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character" w:styleId="CommentReference">
    <w:name w:val="annotation reference"/>
    <w:basedOn w:val="DefaultParagraphFont"/>
    <w:uiPriority w:val="99"/>
    <w:semiHidden/>
    <w:unhideWhenUsed/>
    <w:rsid w:val="00E81303"/>
    <w:rPr>
      <w:sz w:val="16"/>
      <w:szCs w:val="16"/>
    </w:rPr>
  </w:style>
  <w:style w:type="paragraph" w:styleId="CommentText">
    <w:name w:val="annotation text"/>
    <w:basedOn w:val="Normal"/>
    <w:link w:val="CommentTextChar"/>
    <w:uiPriority w:val="99"/>
    <w:semiHidden/>
    <w:unhideWhenUsed/>
    <w:rsid w:val="00E81303"/>
    <w:pPr>
      <w:spacing w:line="240" w:lineRule="auto"/>
    </w:pPr>
    <w:rPr>
      <w:sz w:val="20"/>
      <w:szCs w:val="20"/>
    </w:rPr>
  </w:style>
  <w:style w:type="character" w:customStyle="1" w:styleId="CommentTextChar">
    <w:name w:val="Comment Text Char"/>
    <w:basedOn w:val="DefaultParagraphFont"/>
    <w:link w:val="CommentText"/>
    <w:uiPriority w:val="99"/>
    <w:semiHidden/>
    <w:rsid w:val="00E81303"/>
    <w:rPr>
      <w:sz w:val="20"/>
      <w:szCs w:val="20"/>
    </w:rPr>
  </w:style>
  <w:style w:type="paragraph" w:styleId="CommentSubject">
    <w:name w:val="annotation subject"/>
    <w:basedOn w:val="CommentText"/>
    <w:next w:val="CommentText"/>
    <w:link w:val="CommentSubjectChar"/>
    <w:uiPriority w:val="99"/>
    <w:semiHidden/>
    <w:unhideWhenUsed/>
    <w:rsid w:val="00E81303"/>
    <w:rPr>
      <w:b/>
      <w:bCs/>
    </w:rPr>
  </w:style>
  <w:style w:type="character" w:customStyle="1" w:styleId="CommentSubjectChar">
    <w:name w:val="Comment Subject Char"/>
    <w:basedOn w:val="CommentTextChar"/>
    <w:link w:val="CommentSubject"/>
    <w:uiPriority w:val="99"/>
    <w:semiHidden/>
    <w:rsid w:val="00E81303"/>
    <w:rPr>
      <w:b/>
      <w:bCs/>
      <w:sz w:val="20"/>
      <w:szCs w:val="20"/>
    </w:rPr>
  </w:style>
  <w:style w:type="paragraph" w:styleId="Header">
    <w:name w:val="header"/>
    <w:basedOn w:val="Normal"/>
    <w:link w:val="HeaderChar"/>
    <w:uiPriority w:val="99"/>
    <w:unhideWhenUsed/>
    <w:rsid w:val="00BA2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66"/>
  </w:style>
  <w:style w:type="paragraph" w:styleId="Footer">
    <w:name w:val="footer"/>
    <w:basedOn w:val="Normal"/>
    <w:link w:val="FooterChar"/>
    <w:uiPriority w:val="99"/>
    <w:unhideWhenUsed/>
    <w:rsid w:val="00BA2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66"/>
  </w:style>
  <w:style w:type="character" w:styleId="PageNumber">
    <w:name w:val="page number"/>
    <w:basedOn w:val="DefaultParagraphFont"/>
    <w:rsid w:val="00807458"/>
  </w:style>
  <w:style w:type="character" w:customStyle="1" w:styleId="Document6">
    <w:name w:val="Document 6"/>
    <w:basedOn w:val="DefaultParagraphFont"/>
    <w:rsid w:val="00710EB3"/>
  </w:style>
  <w:style w:type="character" w:customStyle="1" w:styleId="normaltextrun">
    <w:name w:val="normaltextrun"/>
    <w:basedOn w:val="DefaultParagraphFont"/>
    <w:rsid w:val="00FC65AE"/>
  </w:style>
  <w:style w:type="character" w:customStyle="1" w:styleId="eop">
    <w:name w:val="eop"/>
    <w:basedOn w:val="DefaultParagraphFont"/>
    <w:rsid w:val="00FC65AE"/>
  </w:style>
  <w:style w:type="paragraph" w:styleId="BodyText">
    <w:name w:val="Body Text"/>
    <w:basedOn w:val="Normal"/>
    <w:link w:val="BodyTextChar"/>
    <w:uiPriority w:val="1"/>
    <w:qFormat/>
    <w:rsid w:val="005A63CE"/>
    <w:pPr>
      <w:widowControl w:val="0"/>
      <w:spacing w:after="0" w:line="240" w:lineRule="auto"/>
      <w:ind w:left="120"/>
    </w:pPr>
    <w:rPr>
      <w:rFonts w:ascii="Arial" w:eastAsia="Arial" w:hAnsi="Arial"/>
      <w:sz w:val="18"/>
      <w:szCs w:val="18"/>
    </w:rPr>
  </w:style>
  <w:style w:type="character" w:customStyle="1" w:styleId="BodyTextChar">
    <w:name w:val="Body Text Char"/>
    <w:basedOn w:val="DefaultParagraphFont"/>
    <w:link w:val="BodyText"/>
    <w:uiPriority w:val="1"/>
    <w:rsid w:val="005A63CE"/>
    <w:rPr>
      <w:rFonts w:ascii="Arial" w:eastAsia="Arial" w:hAnsi="Arial"/>
      <w:sz w:val="18"/>
      <w:szCs w:val="18"/>
    </w:rPr>
  </w:style>
  <w:style w:type="paragraph" w:customStyle="1" w:styleId="Default">
    <w:name w:val="Default"/>
    <w:rsid w:val="005A63CE"/>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1A2831"/>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6ADD2-57B3-4AB8-BB59-480D8817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cp:lastPrinted>2019-08-28T20:43:00Z</cp:lastPrinted>
  <dcterms:created xsi:type="dcterms:W3CDTF">2023-02-13T12:59:00Z</dcterms:created>
  <dcterms:modified xsi:type="dcterms:W3CDTF">2023-02-13T12:59:00Z</dcterms:modified>
</cp:coreProperties>
</file>